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Microsoft_Visio___1.vsdx" ContentType="application/vnd.ms-visio.drawing"/>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5ED1F">
      <w:pPr>
        <w:ind w:firstLine="880"/>
        <w:jc w:val="center"/>
        <w:rPr>
          <w:rFonts w:hint="eastAsia" w:ascii="宋体" w:hAnsi="宋体"/>
          <w:sz w:val="44"/>
          <w:szCs w:val="44"/>
        </w:rPr>
      </w:pPr>
      <w:bookmarkStart w:id="0" w:name="_Toc536635794"/>
      <w:bookmarkStart w:id="1" w:name="_Toc536683232"/>
    </w:p>
    <w:p w14:paraId="1A0686F2">
      <w:pPr>
        <w:ind w:firstLine="0" w:firstLineChars="0"/>
        <w:jc w:val="center"/>
        <w:rPr>
          <w:rFonts w:hint="eastAsia" w:ascii="楷体_GB2312" w:hAnsi="宋体" w:eastAsia="楷体_GB2312"/>
          <w:b/>
          <w:sz w:val="32"/>
          <w:szCs w:val="32"/>
        </w:rPr>
      </w:pPr>
      <w:r>
        <w:rPr>
          <w:rFonts w:hint="eastAsia" w:ascii="楷体_GB2312" w:hAnsi="宋体" w:eastAsia="楷体_GB2312"/>
          <w:b/>
          <w:sz w:val="32"/>
          <w:szCs w:val="32"/>
        </w:rPr>
        <w:t>三亚崖州湾科教城公共教学区（一期）</w:t>
      </w:r>
      <w:r>
        <w:rPr>
          <w:rFonts w:hint="eastAsia" w:ascii="楷体_GB2312" w:hAnsi="宋体" w:eastAsia="楷体_GB2312"/>
          <w:b/>
          <w:sz w:val="32"/>
          <w:szCs w:val="32"/>
          <w:lang w:val="en-US" w:eastAsia="zh-CN"/>
        </w:rPr>
        <w:t>EPC</w:t>
      </w:r>
      <w:r>
        <w:rPr>
          <w:rFonts w:hint="eastAsia" w:ascii="楷体_GB2312" w:hAnsi="宋体" w:eastAsia="楷体_GB2312"/>
          <w:b/>
          <w:sz w:val="32"/>
          <w:szCs w:val="32"/>
        </w:rPr>
        <w:t>项目</w:t>
      </w:r>
    </w:p>
    <w:p w14:paraId="0773ACBD">
      <w:pPr>
        <w:ind w:firstLine="0" w:firstLineChars="0"/>
        <w:jc w:val="center"/>
        <w:rPr>
          <w:rFonts w:hint="eastAsia" w:ascii="楷体_GB2312" w:hAnsi="华文中宋" w:eastAsia="楷体_GB2312"/>
          <w:b/>
          <w:sz w:val="52"/>
        </w:rPr>
      </w:pPr>
      <w:r>
        <w:rPr>
          <w:rFonts w:hint="eastAsia" w:ascii="楷体_GB2312" w:hAnsi="华文中宋" w:eastAsia="楷体_GB2312"/>
          <w:b/>
          <w:sz w:val="52"/>
        </w:rPr>
        <w:t>施工组织设计</w:t>
      </w:r>
    </w:p>
    <w:p w14:paraId="7BB67253">
      <w:pPr>
        <w:ind w:firstLine="0" w:firstLineChars="0"/>
        <w:jc w:val="center"/>
        <w:rPr>
          <w:rFonts w:hint="eastAsia" w:ascii="楷体_GB2312" w:hAnsi="华文中宋" w:eastAsia="楷体_GB2312"/>
          <w:b/>
          <w:sz w:val="32"/>
        </w:rPr>
      </w:pPr>
    </w:p>
    <w:p w14:paraId="214CC5AD">
      <w:pPr>
        <w:ind w:firstLine="0" w:firstLineChars="0"/>
        <w:jc w:val="center"/>
        <w:rPr>
          <w:rFonts w:cs="Times New Roman"/>
          <w:sz w:val="21"/>
        </w:rPr>
      </w:pPr>
    </w:p>
    <w:p w14:paraId="19484A81">
      <w:pPr>
        <w:ind w:firstLine="0" w:firstLineChars="0"/>
        <w:jc w:val="center"/>
        <w:rPr>
          <w:rFonts w:hint="eastAsia" w:ascii="楷体_GB2312" w:hAnsi="宋体" w:eastAsia="楷体_GB2312"/>
          <w:sz w:val="36"/>
        </w:rPr>
      </w:pPr>
    </w:p>
    <w:p w14:paraId="055EE360">
      <w:pPr>
        <w:ind w:firstLine="0" w:firstLineChars="0"/>
        <w:jc w:val="center"/>
        <w:rPr>
          <w:rFonts w:hint="eastAsia" w:ascii="楷体_GB2312" w:hAnsi="宋体" w:eastAsia="楷体_GB2312"/>
          <w:sz w:val="36"/>
        </w:rPr>
      </w:pPr>
    </w:p>
    <w:p w14:paraId="6C82DF47">
      <w:pPr>
        <w:ind w:firstLine="0" w:firstLineChars="0"/>
        <w:jc w:val="center"/>
        <w:rPr>
          <w:rFonts w:hint="eastAsia" w:ascii="楷体_GB2312" w:hAnsi="宋体" w:eastAsia="楷体_GB2312"/>
          <w:b/>
          <w:sz w:val="32"/>
          <w:szCs w:val="32"/>
          <w:lang w:val="en-US" w:eastAsia="zh-CN"/>
        </w:rPr>
      </w:pPr>
    </w:p>
    <w:p w14:paraId="12ACDD2D">
      <w:pPr>
        <w:ind w:firstLine="0" w:firstLineChars="0"/>
        <w:jc w:val="center"/>
        <w:rPr>
          <w:rFonts w:hint="eastAsia" w:ascii="楷体_GB2312" w:hAnsi="宋体" w:eastAsia="楷体_GB2312"/>
          <w:b/>
          <w:sz w:val="32"/>
          <w:szCs w:val="32"/>
          <w:lang w:val="en-US" w:eastAsia="zh-CN"/>
        </w:rPr>
      </w:pPr>
    </w:p>
    <w:p w14:paraId="5E899693">
      <w:pPr>
        <w:ind w:firstLine="0" w:firstLineChars="0"/>
        <w:jc w:val="center"/>
        <w:rPr>
          <w:rFonts w:hint="eastAsia" w:ascii="楷体_GB2312" w:hAnsi="宋体" w:eastAsia="楷体_GB2312"/>
          <w:b/>
          <w:sz w:val="32"/>
          <w:szCs w:val="32"/>
          <w:lang w:val="en-US" w:eastAsia="zh-CN"/>
        </w:rPr>
      </w:pPr>
    </w:p>
    <w:p w14:paraId="6DD49FCF">
      <w:pPr>
        <w:ind w:firstLine="0" w:firstLineChars="0"/>
        <w:jc w:val="center"/>
        <w:rPr>
          <w:rFonts w:hint="eastAsia" w:ascii="楷体_GB2312" w:hAnsi="宋体" w:eastAsia="楷体_GB2312"/>
          <w:b/>
          <w:sz w:val="32"/>
          <w:szCs w:val="32"/>
          <w:lang w:val="en-US" w:eastAsia="zh-CN"/>
        </w:rPr>
      </w:pPr>
    </w:p>
    <w:p w14:paraId="7582A2F9">
      <w:pPr>
        <w:ind w:firstLine="0" w:firstLineChars="0"/>
        <w:jc w:val="center"/>
        <w:rPr>
          <w:rFonts w:hint="eastAsia" w:ascii="楷体_GB2312" w:hAnsi="宋体" w:eastAsia="楷体_GB2312"/>
          <w:b/>
          <w:sz w:val="32"/>
          <w:szCs w:val="32"/>
          <w:lang w:val="en-US" w:eastAsia="zh-CN"/>
        </w:rPr>
      </w:pPr>
    </w:p>
    <w:p w14:paraId="76DA4DC8">
      <w:pPr>
        <w:ind w:firstLine="0" w:firstLineChars="0"/>
        <w:jc w:val="center"/>
        <w:rPr>
          <w:rFonts w:hint="eastAsia" w:ascii="楷体_GB2312" w:hAnsi="宋体" w:eastAsia="楷体_GB2312"/>
          <w:b/>
          <w:sz w:val="32"/>
          <w:szCs w:val="32"/>
          <w:lang w:val="en-US" w:eastAsia="zh-CN"/>
        </w:rPr>
      </w:pPr>
    </w:p>
    <w:p w14:paraId="43F75453">
      <w:pPr>
        <w:ind w:firstLine="0" w:firstLineChars="0"/>
        <w:jc w:val="center"/>
        <w:rPr>
          <w:rFonts w:hint="eastAsia" w:ascii="楷体_GB2312" w:hAnsi="宋体" w:eastAsia="楷体_GB2312"/>
          <w:b/>
          <w:sz w:val="32"/>
          <w:szCs w:val="32"/>
          <w:lang w:val="en-US" w:eastAsia="zh-CN"/>
        </w:rPr>
      </w:pPr>
    </w:p>
    <w:p w14:paraId="6CB69C6D">
      <w:pPr>
        <w:ind w:firstLine="0" w:firstLineChars="0"/>
        <w:jc w:val="center"/>
        <w:rPr>
          <w:rFonts w:hint="eastAsia" w:ascii="楷体_GB2312" w:hAnsi="宋体" w:eastAsia="楷体_GB2312"/>
          <w:b/>
          <w:sz w:val="32"/>
          <w:szCs w:val="32"/>
          <w:lang w:val="en-US" w:eastAsia="zh-CN"/>
        </w:rPr>
      </w:pPr>
    </w:p>
    <w:p w14:paraId="66CF4C91">
      <w:pPr>
        <w:ind w:firstLine="0" w:firstLineChars="0"/>
        <w:jc w:val="center"/>
        <w:rPr>
          <w:rFonts w:hint="eastAsia" w:ascii="楷体_GB2312" w:hAnsi="宋体" w:eastAsia="楷体_GB2312"/>
          <w:b/>
          <w:sz w:val="32"/>
          <w:szCs w:val="32"/>
          <w:lang w:val="en-US" w:eastAsia="zh-CN"/>
        </w:rPr>
      </w:pPr>
    </w:p>
    <w:p w14:paraId="71AEC3E5">
      <w:pPr>
        <w:ind w:firstLine="0" w:firstLineChars="0"/>
        <w:jc w:val="center"/>
        <w:rPr>
          <w:rFonts w:hint="eastAsia" w:ascii="楷体_GB2312" w:hAnsi="宋体" w:eastAsia="楷体_GB2312"/>
          <w:b/>
          <w:sz w:val="32"/>
          <w:szCs w:val="32"/>
          <w:lang w:val="en-US" w:eastAsia="zh-CN"/>
        </w:rPr>
      </w:pPr>
    </w:p>
    <w:p w14:paraId="273F4527">
      <w:pPr>
        <w:ind w:firstLine="0" w:firstLineChars="0"/>
        <w:jc w:val="center"/>
        <w:rPr>
          <w:rFonts w:hint="eastAsia" w:ascii="楷体_GB2312" w:hAnsi="宋体" w:eastAsia="楷体_GB2312"/>
          <w:b/>
          <w:sz w:val="32"/>
          <w:szCs w:val="32"/>
          <w:lang w:val="en-US" w:eastAsia="zh-CN"/>
        </w:rPr>
      </w:pPr>
    </w:p>
    <w:p w14:paraId="2445894E">
      <w:pPr>
        <w:ind w:firstLine="0" w:firstLineChars="0"/>
        <w:jc w:val="center"/>
        <w:rPr>
          <w:rFonts w:hint="eastAsia" w:ascii="楷体_GB2312" w:hAnsi="宋体" w:eastAsia="楷体_GB2312"/>
          <w:b/>
          <w:sz w:val="32"/>
          <w:szCs w:val="32"/>
          <w:lang w:eastAsia="zh-CN"/>
        </w:rPr>
      </w:pPr>
      <w:r>
        <w:rPr>
          <w:rFonts w:hint="default" w:ascii="楷体_GB2312" w:hAnsi="宋体" w:eastAsia="楷体_GB2312"/>
          <w:b/>
          <w:sz w:val="32"/>
          <w:szCs w:val="32"/>
          <w:lang w:val="en-US"/>
        </w:rPr>
        <mc:AlternateContent>
          <mc:Choice Requires="wps">
            <w:drawing>
              <wp:anchor distT="0" distB="0" distL="114300" distR="114300" simplePos="0" relativeHeight="251659264" behindDoc="0" locked="0" layoutInCell="1" allowOverlap="1">
                <wp:simplePos x="0" y="0"/>
                <wp:positionH relativeFrom="column">
                  <wp:posOffset>1040765</wp:posOffset>
                </wp:positionH>
                <wp:positionV relativeFrom="paragraph">
                  <wp:posOffset>401955</wp:posOffset>
                </wp:positionV>
                <wp:extent cx="3463925" cy="0"/>
                <wp:effectExtent l="0" t="0" r="0" b="0"/>
                <wp:wrapNone/>
                <wp:docPr id="52" name="直接箭头连接符 52"/>
                <wp:cNvGraphicFramePr/>
                <a:graphic xmlns:a="http://schemas.openxmlformats.org/drawingml/2006/main">
                  <a:graphicData uri="http://schemas.microsoft.com/office/word/2010/wordprocessingShape">
                    <wps:wsp>
                      <wps:cNvCnPr/>
                      <wps:spPr>
                        <a:xfrm>
                          <a:off x="0" y="0"/>
                          <a:ext cx="3463925" cy="0"/>
                        </a:xfrm>
                        <a:prstGeom prst="straightConnector1">
                          <a:avLst/>
                        </a:prstGeom>
                        <a:ln w="1587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81.95pt;margin-top:31.65pt;height:0pt;width:272.75pt;z-index:251659264;mso-width-relative:page;mso-height-relative:page;" filled="f" stroked="t" coordsize="21600,21600" o:gfxdata="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RNGDH1gAAAAkBAAAPAAAAAAAAAAEAIAAAACIAAABkcnMvZG93bnJl&#10;di54bWxQSwECFAAUAAAACACHTuJAUY8aGf8BAADvAwAADgAAAAAAAAABACAAAAAlAQAAZHJzL2Uy&#10;b0RvYy54bWxQSwUGAAAAAAYABgBZAQAAlgUAAAAA&#10;">
                <v:fill on="f" focussize="0,0"/>
                <v:stroke weight="1.25pt" color="#000000" joinstyle="round"/>
                <v:imagedata o:title=""/>
                <o:lock v:ext="edit" aspectratio="f"/>
              </v:shape>
            </w:pict>
          </mc:Fallback>
        </mc:AlternateContent>
      </w:r>
      <w:r>
        <w:rPr>
          <w:rFonts w:hint="eastAsia" w:ascii="楷体_GB2312" w:hAnsi="宋体" w:eastAsia="楷体_GB2312"/>
          <w:b/>
          <w:sz w:val="32"/>
          <w:szCs w:val="32"/>
          <w:lang w:val="en-US" w:eastAsia="zh-CN"/>
        </w:rPr>
        <w:t>Xxx</w:t>
      </w:r>
    </w:p>
    <w:p w14:paraId="1AB14E5A">
      <w:pPr>
        <w:ind w:firstLine="0" w:firstLineChars="0"/>
        <w:jc w:val="center"/>
        <w:rPr>
          <w:rFonts w:hint="eastAsia" w:ascii="楷体_GB2312" w:hAnsi="宋体" w:eastAsia="楷体_GB2312"/>
          <w:b/>
          <w:sz w:val="32"/>
          <w:szCs w:val="32"/>
        </w:rPr>
      </w:pPr>
      <w:r>
        <w:rPr>
          <w:rFonts w:hint="eastAsia" w:ascii="楷体_GB2312" w:hAnsi="宋体" w:eastAsia="楷体_GB2312"/>
          <w:b/>
          <w:sz w:val="32"/>
          <w:szCs w:val="32"/>
        </w:rPr>
        <w:t>三亚崖州湾科教城公共教学区</w:t>
      </w:r>
      <w:r>
        <w:rPr>
          <w:rFonts w:hint="eastAsia" w:ascii="楷体_GB2312" w:hAnsi="宋体" w:eastAsia="楷体_GB2312"/>
          <w:b/>
          <w:sz w:val="32"/>
          <w:szCs w:val="32"/>
          <w:lang w:val="en-US" w:eastAsia="zh-CN"/>
        </w:rPr>
        <w:t>EPC</w:t>
      </w:r>
      <w:r>
        <w:rPr>
          <w:rFonts w:hint="eastAsia" w:ascii="楷体_GB2312" w:hAnsi="宋体" w:eastAsia="楷体_GB2312"/>
          <w:b/>
          <w:sz w:val="32"/>
          <w:szCs w:val="32"/>
        </w:rPr>
        <w:t>项目部</w:t>
      </w:r>
    </w:p>
    <w:p w14:paraId="02F81DCE">
      <w:pPr>
        <w:ind w:firstLine="0" w:firstLineChars="0"/>
        <w:jc w:val="center"/>
        <w:rPr>
          <w:rFonts w:hint="eastAsia" w:ascii="楷体_GB2312" w:hAnsi="宋体" w:eastAsia="楷体_GB2312"/>
          <w:b/>
          <w:sz w:val="32"/>
          <w:szCs w:val="32"/>
        </w:rPr>
      </w:pPr>
      <w:r>
        <w:rPr>
          <w:rFonts w:hint="eastAsia" w:ascii="楷体_GB2312" w:hAnsi="宋体" w:eastAsia="楷体_GB2312"/>
          <w:b/>
          <w:sz w:val="32"/>
          <w:szCs w:val="32"/>
          <w:lang w:val="en-US" w:eastAsia="zh-CN"/>
        </w:rPr>
        <w:t>Xx</w:t>
      </w:r>
      <w:r>
        <w:rPr>
          <w:rFonts w:hint="eastAsia" w:ascii="楷体_GB2312" w:hAnsi="宋体" w:eastAsia="楷体_GB2312"/>
          <w:b/>
          <w:sz w:val="32"/>
          <w:szCs w:val="32"/>
        </w:rPr>
        <w:t>年</w:t>
      </w:r>
      <w:r>
        <w:rPr>
          <w:rFonts w:hint="eastAsia" w:ascii="楷体_GB2312" w:hAnsi="宋体" w:eastAsia="楷体_GB2312"/>
          <w:b/>
          <w:sz w:val="32"/>
          <w:szCs w:val="32"/>
          <w:lang w:val="en-US" w:eastAsia="zh-CN"/>
        </w:rPr>
        <w:t>xx</w:t>
      </w:r>
      <w:r>
        <w:rPr>
          <w:rFonts w:hint="eastAsia" w:ascii="楷体_GB2312" w:hAnsi="宋体" w:eastAsia="楷体_GB2312"/>
          <w:b/>
          <w:sz w:val="32"/>
          <w:szCs w:val="32"/>
        </w:rPr>
        <w:t>月</w:t>
      </w:r>
      <w:bookmarkEnd w:id="0"/>
      <w:bookmarkEnd w:id="1"/>
    </w:p>
    <w:p w14:paraId="1F17A472">
      <w:pPr>
        <w:rPr>
          <w:rFonts w:hint="eastAsia" w:ascii="楷体_GB2312" w:hAnsi="宋体" w:eastAsia="楷体_GB2312"/>
          <w:b/>
          <w:sz w:val="32"/>
          <w:szCs w:val="32"/>
        </w:rPr>
      </w:pPr>
      <w:r>
        <w:rPr>
          <w:rFonts w:hint="eastAsia" w:ascii="楷体_GB2312" w:hAnsi="宋体" w:eastAsia="楷体_GB2312"/>
          <w:b/>
          <w:sz w:val="32"/>
          <w:szCs w:val="32"/>
        </w:rPr>
        <w:br w:type="page"/>
      </w:r>
    </w:p>
    <w:p w14:paraId="1B4E7D40">
      <w:pPr>
        <w:ind w:firstLine="0" w:firstLineChars="0"/>
        <w:jc w:val="center"/>
        <w:rPr>
          <w:rFonts w:hint="eastAsia" w:ascii="楷体_GB2312" w:hAnsi="宋体" w:eastAsia="楷体_GB2312"/>
          <w:b/>
          <w:sz w:val="32"/>
          <w:szCs w:val="32"/>
        </w:rPr>
      </w:pPr>
    </w:p>
    <w:p w14:paraId="2D27CC61">
      <w:pPr>
        <w:ind w:firstLine="0" w:firstLineChars="0"/>
        <w:jc w:val="center"/>
        <w:rPr>
          <w:rFonts w:hint="eastAsia" w:ascii="楷体_GB2312" w:hAnsi="宋体" w:eastAsia="楷体_GB2312"/>
          <w:b/>
          <w:sz w:val="32"/>
          <w:szCs w:val="32"/>
        </w:rPr>
        <w:sectPr>
          <w:headerReference r:id="rId7" w:type="first"/>
          <w:footerReference r:id="rId10" w:type="first"/>
          <w:headerReference r:id="rId5" w:type="default"/>
          <w:footerReference r:id="rId8" w:type="default"/>
          <w:headerReference r:id="rId6" w:type="even"/>
          <w:footerReference r:id="rId9" w:type="even"/>
          <w:pgSz w:w="11907" w:h="16840"/>
          <w:pgMar w:top="1440" w:right="1361" w:bottom="1440" w:left="1701" w:header="851" w:footer="992" w:gutter="0"/>
          <w:cols w:space="720" w:num="1"/>
          <w:docGrid w:type="linesAndChars" w:linePitch="312" w:charSpace="0"/>
        </w:sectPr>
      </w:pPr>
    </w:p>
    <w:p w14:paraId="6AD86DB1">
      <w:pPr>
        <w:pStyle w:val="21"/>
        <w:jc w:val="center"/>
      </w:pPr>
      <w:r>
        <w:rPr>
          <w:rFonts w:hint="eastAsia"/>
        </w:rPr>
        <w:t>目录</w:t>
      </w:r>
    </w:p>
    <w:p w14:paraId="44D3B96C">
      <w:pPr>
        <w:pStyle w:val="21"/>
        <w:tabs>
          <w:tab w:val="right" w:leader="dot" w:pos="8844"/>
        </w:tabs>
      </w:pPr>
      <w:r>
        <w:rPr>
          <w:b w:val="0"/>
          <w:szCs w:val="28"/>
        </w:rPr>
        <w:fldChar w:fldCharType="begin"/>
      </w:r>
      <w:r>
        <w:rPr>
          <w:b w:val="0"/>
          <w:szCs w:val="28"/>
        </w:rPr>
        <w:instrText xml:space="preserve"> TOC \o "1-3" \h \z \u </w:instrText>
      </w:r>
      <w:r>
        <w:rPr>
          <w:b w:val="0"/>
          <w:szCs w:val="28"/>
        </w:rPr>
        <w:fldChar w:fldCharType="separate"/>
      </w:r>
      <w:r>
        <w:rPr>
          <w:szCs w:val="28"/>
        </w:rPr>
        <w:fldChar w:fldCharType="begin"/>
      </w:r>
      <w:r>
        <w:rPr>
          <w:szCs w:val="28"/>
        </w:rPr>
        <w:instrText xml:space="preserve"> HYPERLINK \l _Toc11513 </w:instrText>
      </w:r>
      <w:r>
        <w:rPr>
          <w:szCs w:val="28"/>
        </w:rP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第1章 </w:t>
      </w:r>
      <w:r>
        <w:rPr>
          <w:rFonts w:hint="eastAsia"/>
        </w:rPr>
        <w:t>编制依据</w:t>
      </w:r>
      <w:r>
        <w:tab/>
      </w:r>
      <w:r>
        <w:fldChar w:fldCharType="begin"/>
      </w:r>
      <w:r>
        <w:instrText xml:space="preserve"> PAGEREF _Toc11513 \h </w:instrText>
      </w:r>
      <w:r>
        <w:fldChar w:fldCharType="separate"/>
      </w:r>
      <w:r>
        <w:t>1</w:t>
      </w:r>
      <w:r>
        <w:fldChar w:fldCharType="end"/>
      </w:r>
      <w:r>
        <w:rPr>
          <w:szCs w:val="28"/>
        </w:rPr>
        <w:fldChar w:fldCharType="end"/>
      </w:r>
    </w:p>
    <w:p w14:paraId="15CC2116">
      <w:pPr>
        <w:pStyle w:val="25"/>
        <w:tabs>
          <w:tab w:val="right" w:leader="dot" w:pos="8844"/>
        </w:tabs>
      </w:pPr>
      <w:r>
        <w:fldChar w:fldCharType="begin"/>
      </w:r>
      <w:r>
        <w:instrText xml:space="preserve"> HYPERLINK \l _Toc18044 </w:instrText>
      </w:r>
      <w:r>
        <w:fldChar w:fldCharType="separate"/>
      </w:r>
      <w:r>
        <w:rPr>
          <w:rFonts w:hint="eastAsia" w:ascii="宋体" w:hAnsi="宋体" w:eastAsia="宋体"/>
        </w:rPr>
        <w:t xml:space="preserve">1.1 </w:t>
      </w:r>
      <w:r>
        <w:rPr>
          <w:rFonts w:hint="eastAsia"/>
        </w:rPr>
        <w:t>合同</w:t>
      </w:r>
      <w:r>
        <w:tab/>
      </w:r>
      <w:r>
        <w:fldChar w:fldCharType="begin"/>
      </w:r>
      <w:r>
        <w:instrText xml:space="preserve"> PAGEREF _Toc18044 \h </w:instrText>
      </w:r>
      <w:r>
        <w:fldChar w:fldCharType="separate"/>
      </w:r>
      <w:r>
        <w:t>1</w:t>
      </w:r>
      <w:r>
        <w:fldChar w:fldCharType="end"/>
      </w:r>
      <w:r>
        <w:fldChar w:fldCharType="end"/>
      </w:r>
    </w:p>
    <w:p w14:paraId="70BA2D63">
      <w:pPr>
        <w:pStyle w:val="25"/>
        <w:tabs>
          <w:tab w:val="right" w:leader="dot" w:pos="8844"/>
        </w:tabs>
      </w:pPr>
      <w:r>
        <w:fldChar w:fldCharType="begin"/>
      </w:r>
      <w:r>
        <w:instrText xml:space="preserve"> HYPERLINK \l _Toc24816 </w:instrText>
      </w:r>
      <w:r>
        <w:fldChar w:fldCharType="separate"/>
      </w:r>
      <w:r>
        <w:rPr>
          <w:rFonts w:hint="eastAsia" w:ascii="宋体" w:hAnsi="宋体" w:eastAsia="宋体"/>
        </w:rPr>
        <w:t xml:space="preserve">1.2 </w:t>
      </w:r>
      <w:r>
        <w:rPr>
          <w:rFonts w:hint="eastAsia"/>
        </w:rPr>
        <w:t>工程地质勘察报告</w:t>
      </w:r>
      <w:r>
        <w:tab/>
      </w:r>
      <w:r>
        <w:fldChar w:fldCharType="begin"/>
      </w:r>
      <w:r>
        <w:instrText xml:space="preserve"> PAGEREF _Toc24816 \h </w:instrText>
      </w:r>
      <w:r>
        <w:fldChar w:fldCharType="separate"/>
      </w:r>
      <w:r>
        <w:t>1</w:t>
      </w:r>
      <w:r>
        <w:fldChar w:fldCharType="end"/>
      </w:r>
      <w:r>
        <w:fldChar w:fldCharType="end"/>
      </w:r>
    </w:p>
    <w:p w14:paraId="44FFC719">
      <w:pPr>
        <w:pStyle w:val="25"/>
        <w:tabs>
          <w:tab w:val="right" w:leader="dot" w:pos="8844"/>
        </w:tabs>
      </w:pPr>
      <w:r>
        <w:fldChar w:fldCharType="begin"/>
      </w:r>
      <w:r>
        <w:instrText xml:space="preserve"> HYPERLINK \l _Toc4239 </w:instrText>
      </w:r>
      <w:r>
        <w:fldChar w:fldCharType="separate"/>
      </w:r>
      <w:r>
        <w:rPr>
          <w:rFonts w:hint="eastAsia" w:ascii="宋体" w:hAnsi="宋体" w:eastAsia="宋体"/>
        </w:rPr>
        <w:t xml:space="preserve">1.3 </w:t>
      </w:r>
      <w:r>
        <w:rPr>
          <w:rFonts w:hint="eastAsia"/>
        </w:rPr>
        <w:t>经过有关部门审批的有效施工图</w:t>
      </w:r>
      <w:r>
        <w:tab/>
      </w:r>
      <w:r>
        <w:fldChar w:fldCharType="begin"/>
      </w:r>
      <w:r>
        <w:instrText xml:space="preserve"> PAGEREF _Toc4239 \h </w:instrText>
      </w:r>
      <w:r>
        <w:fldChar w:fldCharType="separate"/>
      </w:r>
      <w:r>
        <w:t>1</w:t>
      </w:r>
      <w:r>
        <w:fldChar w:fldCharType="end"/>
      </w:r>
      <w:r>
        <w:fldChar w:fldCharType="end"/>
      </w:r>
    </w:p>
    <w:p w14:paraId="54F615AB">
      <w:pPr>
        <w:pStyle w:val="25"/>
        <w:tabs>
          <w:tab w:val="right" w:leader="dot" w:pos="8844"/>
        </w:tabs>
      </w:pPr>
      <w:r>
        <w:fldChar w:fldCharType="begin"/>
      </w:r>
      <w:r>
        <w:instrText xml:space="preserve"> HYPERLINK \l _Toc10480 </w:instrText>
      </w:r>
      <w:r>
        <w:fldChar w:fldCharType="separate"/>
      </w:r>
      <w:r>
        <w:rPr>
          <w:rFonts w:hint="eastAsia" w:ascii="宋体" w:hAnsi="宋体" w:eastAsia="宋体"/>
        </w:rPr>
        <w:t xml:space="preserve">1.4 </w:t>
      </w:r>
      <w:r>
        <w:rPr>
          <w:rFonts w:hint="eastAsia"/>
        </w:rPr>
        <w:t>国家或行业规范、法规、图集</w:t>
      </w:r>
      <w:r>
        <w:tab/>
      </w:r>
      <w:r>
        <w:fldChar w:fldCharType="begin"/>
      </w:r>
      <w:r>
        <w:instrText xml:space="preserve"> PAGEREF _Toc10480 \h </w:instrText>
      </w:r>
      <w:r>
        <w:fldChar w:fldCharType="separate"/>
      </w:r>
      <w:r>
        <w:t>1</w:t>
      </w:r>
      <w:r>
        <w:fldChar w:fldCharType="end"/>
      </w:r>
      <w:r>
        <w:fldChar w:fldCharType="end"/>
      </w:r>
    </w:p>
    <w:p w14:paraId="54F3D42B">
      <w:pPr>
        <w:pStyle w:val="25"/>
        <w:tabs>
          <w:tab w:val="right" w:leader="dot" w:pos="8844"/>
        </w:tabs>
      </w:pPr>
      <w:r>
        <w:fldChar w:fldCharType="begin"/>
      </w:r>
      <w:r>
        <w:instrText xml:space="preserve"> HYPERLINK \l _Toc15747 </w:instrText>
      </w:r>
      <w:r>
        <w:fldChar w:fldCharType="separate"/>
      </w:r>
      <w:r>
        <w:rPr>
          <w:rFonts w:hint="eastAsia" w:ascii="宋体" w:hAnsi="宋体" w:eastAsia="宋体"/>
        </w:rPr>
        <w:t xml:space="preserve">1.5 </w:t>
      </w:r>
      <w:r>
        <w:rPr>
          <w:rFonts w:hint="eastAsia"/>
        </w:rPr>
        <w:t>企业ISO9002质量体系标准文件</w:t>
      </w:r>
      <w:r>
        <w:tab/>
      </w:r>
      <w:r>
        <w:fldChar w:fldCharType="begin"/>
      </w:r>
      <w:r>
        <w:instrText xml:space="preserve"> PAGEREF _Toc15747 \h </w:instrText>
      </w:r>
      <w:r>
        <w:fldChar w:fldCharType="separate"/>
      </w:r>
      <w:r>
        <w:t>3</w:t>
      </w:r>
      <w:r>
        <w:fldChar w:fldCharType="end"/>
      </w:r>
      <w:r>
        <w:fldChar w:fldCharType="end"/>
      </w:r>
    </w:p>
    <w:p w14:paraId="1430E386">
      <w:pPr>
        <w:pStyle w:val="21"/>
        <w:tabs>
          <w:tab w:val="right" w:leader="dot" w:pos="8844"/>
        </w:tabs>
      </w:pPr>
      <w:r>
        <w:fldChar w:fldCharType="begin"/>
      </w:r>
      <w:r>
        <w:instrText xml:space="preserve"> HYPERLINK \l _Toc11352 </w:instrText>
      </w:r>
      <w: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第2章 </w:t>
      </w:r>
      <w:r>
        <w:rPr>
          <w:rFonts w:hint="eastAsia"/>
        </w:rPr>
        <w:t>工程概况</w:t>
      </w:r>
      <w:r>
        <w:tab/>
      </w:r>
      <w:r>
        <w:fldChar w:fldCharType="begin"/>
      </w:r>
      <w:r>
        <w:instrText xml:space="preserve"> PAGEREF _Toc11352 \h </w:instrText>
      </w:r>
      <w:r>
        <w:fldChar w:fldCharType="separate"/>
      </w:r>
      <w:r>
        <w:t>4</w:t>
      </w:r>
      <w:r>
        <w:fldChar w:fldCharType="end"/>
      </w:r>
      <w:r>
        <w:fldChar w:fldCharType="end"/>
      </w:r>
    </w:p>
    <w:p w14:paraId="4A7EEC42">
      <w:pPr>
        <w:pStyle w:val="25"/>
        <w:tabs>
          <w:tab w:val="right" w:leader="dot" w:pos="8844"/>
        </w:tabs>
      </w:pPr>
      <w:r>
        <w:fldChar w:fldCharType="begin"/>
      </w:r>
      <w:r>
        <w:instrText xml:space="preserve"> HYPERLINK \l _Toc18717 </w:instrText>
      </w:r>
      <w:r>
        <w:fldChar w:fldCharType="separate"/>
      </w:r>
      <w:r>
        <w:rPr>
          <w:rFonts w:hint="eastAsia" w:ascii="宋体" w:hAnsi="宋体" w:eastAsia="宋体"/>
        </w:rPr>
        <w:t xml:space="preserve">2.1 </w:t>
      </w:r>
      <w:r>
        <w:rPr>
          <w:rFonts w:hint="eastAsia"/>
        </w:rPr>
        <w:t>工程建设概况</w:t>
      </w:r>
      <w:r>
        <w:tab/>
      </w:r>
      <w:r>
        <w:fldChar w:fldCharType="begin"/>
      </w:r>
      <w:r>
        <w:instrText xml:space="preserve"> PAGEREF _Toc18717 \h </w:instrText>
      </w:r>
      <w:r>
        <w:fldChar w:fldCharType="separate"/>
      </w:r>
      <w:r>
        <w:t>4</w:t>
      </w:r>
      <w:r>
        <w:fldChar w:fldCharType="end"/>
      </w:r>
      <w:r>
        <w:fldChar w:fldCharType="end"/>
      </w:r>
    </w:p>
    <w:p w14:paraId="029D2225">
      <w:pPr>
        <w:pStyle w:val="25"/>
        <w:tabs>
          <w:tab w:val="right" w:leader="dot" w:pos="8844"/>
        </w:tabs>
      </w:pPr>
      <w:r>
        <w:fldChar w:fldCharType="begin"/>
      </w:r>
      <w:r>
        <w:instrText xml:space="preserve"> HYPERLINK \l _Toc10803 </w:instrText>
      </w:r>
      <w:r>
        <w:fldChar w:fldCharType="separate"/>
      </w:r>
      <w:r>
        <w:rPr>
          <w:rFonts w:hint="eastAsia" w:ascii="宋体" w:hAnsi="宋体" w:eastAsia="宋体"/>
        </w:rPr>
        <w:t xml:space="preserve">2.2 </w:t>
      </w:r>
      <w:r>
        <w:rPr>
          <w:rFonts w:hint="eastAsia"/>
        </w:rPr>
        <w:t>工程建筑设计概况</w:t>
      </w:r>
      <w:r>
        <w:tab/>
      </w:r>
      <w:r>
        <w:fldChar w:fldCharType="begin"/>
      </w:r>
      <w:r>
        <w:instrText xml:space="preserve"> PAGEREF _Toc10803 \h </w:instrText>
      </w:r>
      <w:r>
        <w:fldChar w:fldCharType="separate"/>
      </w:r>
      <w:r>
        <w:t>4</w:t>
      </w:r>
      <w:r>
        <w:fldChar w:fldCharType="end"/>
      </w:r>
      <w:r>
        <w:fldChar w:fldCharType="end"/>
      </w:r>
    </w:p>
    <w:p w14:paraId="43A1ADDA">
      <w:pPr>
        <w:pStyle w:val="25"/>
        <w:tabs>
          <w:tab w:val="right" w:leader="dot" w:pos="8844"/>
        </w:tabs>
      </w:pPr>
      <w:r>
        <w:fldChar w:fldCharType="begin"/>
      </w:r>
      <w:r>
        <w:instrText xml:space="preserve"> HYPERLINK \l _Toc18220 </w:instrText>
      </w:r>
      <w:r>
        <w:fldChar w:fldCharType="separate"/>
      </w:r>
      <w:r>
        <w:rPr>
          <w:rFonts w:hint="eastAsia" w:ascii="宋体" w:hAnsi="宋体" w:eastAsia="宋体"/>
        </w:rPr>
        <w:t xml:space="preserve">2.3 </w:t>
      </w:r>
      <w:r>
        <w:rPr>
          <w:rFonts w:hint="eastAsia"/>
        </w:rPr>
        <w:t>工程结构设计概况</w:t>
      </w:r>
      <w:r>
        <w:tab/>
      </w:r>
      <w:r>
        <w:fldChar w:fldCharType="begin"/>
      </w:r>
      <w:r>
        <w:instrText xml:space="preserve"> PAGEREF _Toc18220 \h </w:instrText>
      </w:r>
      <w:r>
        <w:fldChar w:fldCharType="separate"/>
      </w:r>
      <w:r>
        <w:t>6</w:t>
      </w:r>
      <w:r>
        <w:fldChar w:fldCharType="end"/>
      </w:r>
      <w:r>
        <w:fldChar w:fldCharType="end"/>
      </w:r>
    </w:p>
    <w:p w14:paraId="5882E0F7">
      <w:pPr>
        <w:pStyle w:val="25"/>
        <w:tabs>
          <w:tab w:val="right" w:leader="dot" w:pos="8844"/>
        </w:tabs>
      </w:pPr>
      <w:r>
        <w:fldChar w:fldCharType="begin"/>
      </w:r>
      <w:r>
        <w:instrText xml:space="preserve"> HYPERLINK \l _Toc15423 </w:instrText>
      </w:r>
      <w:r>
        <w:fldChar w:fldCharType="separate"/>
      </w:r>
      <w:r>
        <w:rPr>
          <w:rFonts w:hint="eastAsia" w:ascii="宋体" w:hAnsi="宋体" w:eastAsia="宋体"/>
        </w:rPr>
        <w:t xml:space="preserve">2.4 </w:t>
      </w:r>
      <w:r>
        <w:rPr>
          <w:rFonts w:hint="eastAsia"/>
        </w:rPr>
        <w:t>建筑安装概况</w:t>
      </w:r>
      <w:r>
        <w:tab/>
      </w:r>
      <w:r>
        <w:fldChar w:fldCharType="begin"/>
      </w:r>
      <w:r>
        <w:instrText xml:space="preserve"> PAGEREF _Toc15423 \h </w:instrText>
      </w:r>
      <w:r>
        <w:fldChar w:fldCharType="separate"/>
      </w:r>
      <w:r>
        <w:t>7</w:t>
      </w:r>
      <w:r>
        <w:fldChar w:fldCharType="end"/>
      </w:r>
      <w:r>
        <w:fldChar w:fldCharType="end"/>
      </w:r>
    </w:p>
    <w:p w14:paraId="55BE49D9">
      <w:pPr>
        <w:pStyle w:val="14"/>
        <w:tabs>
          <w:tab w:val="right" w:leader="dot" w:pos="8844"/>
          <w:tab w:val="clear" w:pos="8834"/>
        </w:tabs>
      </w:pPr>
      <w:r>
        <w:fldChar w:fldCharType="begin"/>
      </w:r>
      <w:r>
        <w:instrText xml:space="preserve"> HYPERLINK \l _Toc4862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2.4.1 </w:t>
      </w:r>
      <w:r>
        <w:rPr>
          <w:rFonts w:hint="eastAsia"/>
        </w:rPr>
        <w:t>暖通</w:t>
      </w:r>
      <w:r>
        <w:tab/>
      </w:r>
      <w:r>
        <w:fldChar w:fldCharType="begin"/>
      </w:r>
      <w:r>
        <w:instrText xml:space="preserve"> PAGEREF _Toc4862 \h </w:instrText>
      </w:r>
      <w:r>
        <w:fldChar w:fldCharType="separate"/>
      </w:r>
      <w:r>
        <w:t>7</w:t>
      </w:r>
      <w:r>
        <w:fldChar w:fldCharType="end"/>
      </w:r>
      <w:r>
        <w:fldChar w:fldCharType="end"/>
      </w:r>
    </w:p>
    <w:p w14:paraId="2DB7CEBD">
      <w:pPr>
        <w:pStyle w:val="14"/>
        <w:tabs>
          <w:tab w:val="right" w:leader="dot" w:pos="8844"/>
          <w:tab w:val="clear" w:pos="8834"/>
        </w:tabs>
      </w:pPr>
      <w:r>
        <w:fldChar w:fldCharType="begin"/>
      </w:r>
      <w:r>
        <w:instrText xml:space="preserve"> HYPERLINK \l _Toc24333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2.4.2 </w:t>
      </w:r>
      <w:r>
        <w:rPr>
          <w:rFonts w:hint="eastAsia" w:ascii="宋体" w:hAnsi="宋体"/>
          <w:szCs w:val="24"/>
        </w:rPr>
        <w:t>给排水</w:t>
      </w:r>
      <w:r>
        <w:tab/>
      </w:r>
      <w:r>
        <w:fldChar w:fldCharType="begin"/>
      </w:r>
      <w:r>
        <w:instrText xml:space="preserve"> PAGEREF _Toc24333 \h </w:instrText>
      </w:r>
      <w:r>
        <w:fldChar w:fldCharType="separate"/>
      </w:r>
      <w:r>
        <w:t>12</w:t>
      </w:r>
      <w:r>
        <w:fldChar w:fldCharType="end"/>
      </w:r>
      <w:r>
        <w:fldChar w:fldCharType="end"/>
      </w:r>
    </w:p>
    <w:p w14:paraId="31619A0B">
      <w:pPr>
        <w:pStyle w:val="14"/>
        <w:tabs>
          <w:tab w:val="right" w:leader="dot" w:pos="8844"/>
          <w:tab w:val="clear" w:pos="8834"/>
        </w:tabs>
      </w:pPr>
      <w:r>
        <w:fldChar w:fldCharType="begin"/>
      </w:r>
      <w:r>
        <w:instrText xml:space="preserve"> HYPERLINK \l _Toc29550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2.4.3 </w:t>
      </w:r>
      <w:r>
        <w:rPr>
          <w:rFonts w:hint="eastAsia" w:ascii="宋体" w:hAnsi="宋体"/>
          <w:szCs w:val="24"/>
        </w:rPr>
        <w:t>强电</w:t>
      </w:r>
      <w:r>
        <w:tab/>
      </w:r>
      <w:r>
        <w:fldChar w:fldCharType="begin"/>
      </w:r>
      <w:r>
        <w:instrText xml:space="preserve"> PAGEREF _Toc29550 \h </w:instrText>
      </w:r>
      <w:r>
        <w:fldChar w:fldCharType="separate"/>
      </w:r>
      <w:r>
        <w:t>16</w:t>
      </w:r>
      <w:r>
        <w:fldChar w:fldCharType="end"/>
      </w:r>
      <w:r>
        <w:fldChar w:fldCharType="end"/>
      </w:r>
    </w:p>
    <w:p w14:paraId="48BC8367">
      <w:pPr>
        <w:pStyle w:val="14"/>
        <w:tabs>
          <w:tab w:val="right" w:leader="dot" w:pos="8844"/>
          <w:tab w:val="clear" w:pos="8834"/>
        </w:tabs>
      </w:pPr>
      <w:r>
        <w:fldChar w:fldCharType="begin"/>
      </w:r>
      <w:r>
        <w:instrText xml:space="preserve"> HYPERLINK \l _Toc20562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2.4.4 </w:t>
      </w:r>
      <w:r>
        <w:rPr>
          <w:rFonts w:hint="eastAsia"/>
        </w:rPr>
        <w:t>弱电</w:t>
      </w:r>
      <w:r>
        <w:tab/>
      </w:r>
      <w:r>
        <w:fldChar w:fldCharType="begin"/>
      </w:r>
      <w:r>
        <w:instrText xml:space="preserve"> PAGEREF _Toc20562 \h </w:instrText>
      </w:r>
      <w:r>
        <w:fldChar w:fldCharType="separate"/>
      </w:r>
      <w:r>
        <w:t>27</w:t>
      </w:r>
      <w:r>
        <w:fldChar w:fldCharType="end"/>
      </w:r>
      <w:r>
        <w:fldChar w:fldCharType="end"/>
      </w:r>
    </w:p>
    <w:p w14:paraId="3C49DA03">
      <w:pPr>
        <w:pStyle w:val="25"/>
        <w:tabs>
          <w:tab w:val="right" w:leader="dot" w:pos="8844"/>
        </w:tabs>
      </w:pPr>
      <w:r>
        <w:fldChar w:fldCharType="begin"/>
      </w:r>
      <w:r>
        <w:instrText xml:space="preserve"> HYPERLINK \l _Toc8317 </w:instrText>
      </w:r>
      <w:r>
        <w:fldChar w:fldCharType="separate"/>
      </w:r>
      <w:r>
        <w:rPr>
          <w:rFonts w:hint="eastAsia" w:ascii="宋体" w:hAnsi="宋体" w:eastAsia="宋体"/>
        </w:rPr>
        <w:t xml:space="preserve">2.5 </w:t>
      </w:r>
      <w:r>
        <w:rPr>
          <w:rFonts w:hint="eastAsia"/>
        </w:rPr>
        <w:t>人防工程</w:t>
      </w:r>
      <w:r>
        <w:tab/>
      </w:r>
      <w:r>
        <w:fldChar w:fldCharType="begin"/>
      </w:r>
      <w:r>
        <w:instrText xml:space="preserve"> PAGEREF _Toc8317 \h </w:instrText>
      </w:r>
      <w:r>
        <w:fldChar w:fldCharType="separate"/>
      </w:r>
      <w:r>
        <w:t>30</w:t>
      </w:r>
      <w:r>
        <w:fldChar w:fldCharType="end"/>
      </w:r>
      <w:r>
        <w:fldChar w:fldCharType="end"/>
      </w:r>
    </w:p>
    <w:p w14:paraId="1A2B657A">
      <w:pPr>
        <w:pStyle w:val="14"/>
        <w:tabs>
          <w:tab w:val="right" w:leader="dot" w:pos="8844"/>
          <w:tab w:val="clear" w:pos="8834"/>
        </w:tabs>
      </w:pPr>
      <w:r>
        <w:fldChar w:fldCharType="begin"/>
      </w:r>
      <w:r>
        <w:instrText xml:space="preserve"> HYPERLINK \l _Toc7336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2.5.1 </w:t>
      </w:r>
      <w:r>
        <w:rPr>
          <w:rFonts w:hint="eastAsia"/>
        </w:rPr>
        <w:t>人防概况</w:t>
      </w:r>
      <w:r>
        <w:tab/>
      </w:r>
      <w:r>
        <w:fldChar w:fldCharType="begin"/>
      </w:r>
      <w:r>
        <w:instrText xml:space="preserve"> PAGEREF _Toc7336 \h </w:instrText>
      </w:r>
      <w:r>
        <w:fldChar w:fldCharType="separate"/>
      </w:r>
      <w:r>
        <w:t>30</w:t>
      </w:r>
      <w:r>
        <w:fldChar w:fldCharType="end"/>
      </w:r>
      <w:r>
        <w:fldChar w:fldCharType="end"/>
      </w:r>
    </w:p>
    <w:p w14:paraId="5CE16876">
      <w:pPr>
        <w:pStyle w:val="14"/>
        <w:tabs>
          <w:tab w:val="right" w:leader="dot" w:pos="8844"/>
          <w:tab w:val="clear" w:pos="8834"/>
        </w:tabs>
      </w:pPr>
      <w:r>
        <w:fldChar w:fldCharType="begin"/>
      </w:r>
      <w:r>
        <w:instrText xml:space="preserve"> HYPERLINK \l _Toc16018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2.5.2 </w:t>
      </w:r>
      <w:r>
        <w:rPr>
          <w:rFonts w:hint="eastAsia"/>
        </w:rPr>
        <w:t>人防结构</w:t>
      </w:r>
      <w:r>
        <w:tab/>
      </w:r>
      <w:r>
        <w:fldChar w:fldCharType="begin"/>
      </w:r>
      <w:r>
        <w:instrText xml:space="preserve"> PAGEREF _Toc16018 \h </w:instrText>
      </w:r>
      <w:r>
        <w:fldChar w:fldCharType="separate"/>
      </w:r>
      <w:r>
        <w:t>30</w:t>
      </w:r>
      <w:r>
        <w:fldChar w:fldCharType="end"/>
      </w:r>
      <w:r>
        <w:fldChar w:fldCharType="end"/>
      </w:r>
    </w:p>
    <w:p w14:paraId="5873C68F">
      <w:pPr>
        <w:pStyle w:val="14"/>
        <w:tabs>
          <w:tab w:val="right" w:leader="dot" w:pos="8844"/>
          <w:tab w:val="clear" w:pos="8834"/>
        </w:tabs>
      </w:pPr>
      <w:r>
        <w:fldChar w:fldCharType="begin"/>
      </w:r>
      <w:r>
        <w:instrText xml:space="preserve"> HYPERLINK \l _Toc16451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2.5.3 </w:t>
      </w:r>
      <w:r>
        <w:rPr>
          <w:rFonts w:hint="eastAsia"/>
        </w:rPr>
        <w:t>人防给排水</w:t>
      </w:r>
      <w:r>
        <w:tab/>
      </w:r>
      <w:r>
        <w:fldChar w:fldCharType="begin"/>
      </w:r>
      <w:r>
        <w:instrText xml:space="preserve"> PAGEREF _Toc16451 \h </w:instrText>
      </w:r>
      <w:r>
        <w:fldChar w:fldCharType="separate"/>
      </w:r>
      <w:r>
        <w:t>31</w:t>
      </w:r>
      <w:r>
        <w:fldChar w:fldCharType="end"/>
      </w:r>
      <w:r>
        <w:fldChar w:fldCharType="end"/>
      </w:r>
    </w:p>
    <w:p w14:paraId="68087C2D">
      <w:pPr>
        <w:pStyle w:val="14"/>
        <w:tabs>
          <w:tab w:val="right" w:leader="dot" w:pos="8844"/>
          <w:tab w:val="clear" w:pos="8834"/>
        </w:tabs>
      </w:pPr>
      <w:r>
        <w:fldChar w:fldCharType="begin"/>
      </w:r>
      <w:r>
        <w:instrText xml:space="preserve"> HYPERLINK \l _Toc17619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2.5.4 </w:t>
      </w:r>
      <w:r>
        <w:rPr>
          <w:rFonts w:hint="eastAsia"/>
        </w:rPr>
        <w:t>人防暖通</w:t>
      </w:r>
      <w:r>
        <w:tab/>
      </w:r>
      <w:r>
        <w:fldChar w:fldCharType="begin"/>
      </w:r>
      <w:r>
        <w:instrText xml:space="preserve"> PAGEREF _Toc17619 \h </w:instrText>
      </w:r>
      <w:r>
        <w:fldChar w:fldCharType="separate"/>
      </w:r>
      <w:r>
        <w:t>32</w:t>
      </w:r>
      <w:r>
        <w:fldChar w:fldCharType="end"/>
      </w:r>
      <w:r>
        <w:fldChar w:fldCharType="end"/>
      </w:r>
    </w:p>
    <w:p w14:paraId="5ED25EE6">
      <w:pPr>
        <w:pStyle w:val="14"/>
        <w:tabs>
          <w:tab w:val="right" w:leader="dot" w:pos="8844"/>
          <w:tab w:val="clear" w:pos="8834"/>
        </w:tabs>
      </w:pPr>
      <w:r>
        <w:fldChar w:fldCharType="begin"/>
      </w:r>
      <w:r>
        <w:instrText xml:space="preserve"> HYPERLINK \l _Toc6763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2.5.5 </w:t>
      </w:r>
      <w:r>
        <w:rPr>
          <w:rFonts w:hint="eastAsia"/>
        </w:rPr>
        <w:t>人防电气</w:t>
      </w:r>
      <w:r>
        <w:tab/>
      </w:r>
      <w:r>
        <w:fldChar w:fldCharType="begin"/>
      </w:r>
      <w:r>
        <w:instrText xml:space="preserve"> PAGEREF _Toc6763 \h </w:instrText>
      </w:r>
      <w:r>
        <w:fldChar w:fldCharType="separate"/>
      </w:r>
      <w:r>
        <w:t>32</w:t>
      </w:r>
      <w:r>
        <w:fldChar w:fldCharType="end"/>
      </w:r>
      <w:r>
        <w:fldChar w:fldCharType="end"/>
      </w:r>
    </w:p>
    <w:p w14:paraId="4ED9EF8C">
      <w:pPr>
        <w:pStyle w:val="25"/>
        <w:tabs>
          <w:tab w:val="right" w:leader="dot" w:pos="8844"/>
        </w:tabs>
      </w:pPr>
      <w:r>
        <w:fldChar w:fldCharType="begin"/>
      </w:r>
      <w:r>
        <w:instrText xml:space="preserve"> HYPERLINK \l _Toc12090 </w:instrText>
      </w:r>
      <w:r>
        <w:fldChar w:fldCharType="separate"/>
      </w:r>
      <w:r>
        <w:rPr>
          <w:rFonts w:hint="eastAsia" w:ascii="宋体" w:hAnsi="宋体" w:eastAsia="宋体"/>
        </w:rPr>
        <w:t xml:space="preserve">2.6 </w:t>
      </w:r>
      <w:r>
        <w:rPr>
          <w:rFonts w:hint="eastAsia"/>
        </w:rPr>
        <w:t>装配式工程</w:t>
      </w:r>
      <w:r>
        <w:tab/>
      </w:r>
      <w:r>
        <w:fldChar w:fldCharType="begin"/>
      </w:r>
      <w:r>
        <w:instrText xml:space="preserve"> PAGEREF _Toc12090 \h </w:instrText>
      </w:r>
      <w:r>
        <w:fldChar w:fldCharType="separate"/>
      </w:r>
      <w:r>
        <w:t>34</w:t>
      </w:r>
      <w:r>
        <w:fldChar w:fldCharType="end"/>
      </w:r>
      <w:r>
        <w:fldChar w:fldCharType="end"/>
      </w:r>
    </w:p>
    <w:p w14:paraId="4BB3C219">
      <w:pPr>
        <w:pStyle w:val="14"/>
        <w:tabs>
          <w:tab w:val="right" w:leader="dot" w:pos="8844"/>
          <w:tab w:val="clear" w:pos="8834"/>
        </w:tabs>
      </w:pPr>
      <w:r>
        <w:fldChar w:fldCharType="begin"/>
      </w:r>
      <w:r>
        <w:instrText xml:space="preserve"> HYPERLINK \l _Toc12734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2.6.1 </w:t>
      </w:r>
      <w:r>
        <w:rPr>
          <w:rFonts w:hint="eastAsia"/>
        </w:rPr>
        <w:t>装配式概况</w:t>
      </w:r>
      <w:r>
        <w:tab/>
      </w:r>
      <w:r>
        <w:fldChar w:fldCharType="begin"/>
      </w:r>
      <w:r>
        <w:instrText xml:space="preserve"> PAGEREF _Toc12734 \h </w:instrText>
      </w:r>
      <w:r>
        <w:fldChar w:fldCharType="separate"/>
      </w:r>
      <w:r>
        <w:t>34</w:t>
      </w:r>
      <w:r>
        <w:fldChar w:fldCharType="end"/>
      </w:r>
      <w:r>
        <w:fldChar w:fldCharType="end"/>
      </w:r>
    </w:p>
    <w:p w14:paraId="35D63DC5">
      <w:pPr>
        <w:pStyle w:val="14"/>
        <w:tabs>
          <w:tab w:val="right" w:leader="dot" w:pos="8844"/>
          <w:tab w:val="clear" w:pos="8834"/>
        </w:tabs>
      </w:pPr>
      <w:r>
        <w:fldChar w:fldCharType="begin"/>
      </w:r>
      <w:r>
        <w:instrText xml:space="preserve"> HYPERLINK \l _Toc8779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2.6.2 </w:t>
      </w:r>
      <w:r>
        <w:rPr>
          <w:rFonts w:hint="eastAsia"/>
        </w:rPr>
        <w:t>装配式结构布置</w:t>
      </w:r>
      <w:r>
        <w:tab/>
      </w:r>
      <w:r>
        <w:fldChar w:fldCharType="begin"/>
      </w:r>
      <w:r>
        <w:instrText xml:space="preserve"> PAGEREF _Toc8779 \h </w:instrText>
      </w:r>
      <w:r>
        <w:fldChar w:fldCharType="separate"/>
      </w:r>
      <w:r>
        <w:t>36</w:t>
      </w:r>
      <w:r>
        <w:fldChar w:fldCharType="end"/>
      </w:r>
      <w:r>
        <w:fldChar w:fldCharType="end"/>
      </w:r>
    </w:p>
    <w:p w14:paraId="35C7E50A">
      <w:pPr>
        <w:pStyle w:val="25"/>
        <w:tabs>
          <w:tab w:val="right" w:leader="dot" w:pos="8844"/>
        </w:tabs>
      </w:pPr>
      <w:r>
        <w:fldChar w:fldCharType="begin"/>
      </w:r>
      <w:r>
        <w:instrText xml:space="preserve"> HYPERLINK \l _Toc30597 </w:instrText>
      </w:r>
      <w:r>
        <w:fldChar w:fldCharType="separate"/>
      </w:r>
      <w:r>
        <w:rPr>
          <w:rFonts w:hint="eastAsia" w:ascii="宋体" w:hAnsi="宋体" w:eastAsia="宋体"/>
        </w:rPr>
        <w:t xml:space="preserve">2.7 </w:t>
      </w:r>
      <w:r>
        <w:rPr>
          <w:rFonts w:hint="eastAsia"/>
        </w:rPr>
        <w:t>自然条件</w:t>
      </w:r>
      <w:r>
        <w:tab/>
      </w:r>
      <w:r>
        <w:fldChar w:fldCharType="begin"/>
      </w:r>
      <w:r>
        <w:instrText xml:space="preserve"> PAGEREF _Toc30597 \h </w:instrText>
      </w:r>
      <w:r>
        <w:fldChar w:fldCharType="separate"/>
      </w:r>
      <w:r>
        <w:t>36</w:t>
      </w:r>
      <w:r>
        <w:fldChar w:fldCharType="end"/>
      </w:r>
      <w:r>
        <w:fldChar w:fldCharType="end"/>
      </w:r>
    </w:p>
    <w:p w14:paraId="6B1104BA">
      <w:pPr>
        <w:pStyle w:val="14"/>
        <w:tabs>
          <w:tab w:val="right" w:leader="dot" w:pos="8844"/>
          <w:tab w:val="clear" w:pos="8834"/>
        </w:tabs>
      </w:pPr>
      <w:r>
        <w:fldChar w:fldCharType="begin"/>
      </w:r>
      <w:r>
        <w:instrText xml:space="preserve"> HYPERLINK \l _Toc5537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2.7.1 </w:t>
      </w:r>
      <w:r>
        <w:rPr>
          <w:rFonts w:hint="eastAsia"/>
        </w:rPr>
        <w:t>气象条件</w:t>
      </w:r>
      <w:r>
        <w:tab/>
      </w:r>
      <w:r>
        <w:fldChar w:fldCharType="begin"/>
      </w:r>
      <w:r>
        <w:instrText xml:space="preserve"> PAGEREF _Toc5537 \h </w:instrText>
      </w:r>
      <w:r>
        <w:fldChar w:fldCharType="separate"/>
      </w:r>
      <w:r>
        <w:t>36</w:t>
      </w:r>
      <w:r>
        <w:fldChar w:fldCharType="end"/>
      </w:r>
      <w:r>
        <w:fldChar w:fldCharType="end"/>
      </w:r>
    </w:p>
    <w:p w14:paraId="2003410E">
      <w:pPr>
        <w:pStyle w:val="14"/>
        <w:tabs>
          <w:tab w:val="right" w:leader="dot" w:pos="8844"/>
          <w:tab w:val="clear" w:pos="8834"/>
        </w:tabs>
      </w:pPr>
      <w:r>
        <w:fldChar w:fldCharType="begin"/>
      </w:r>
      <w:r>
        <w:instrText xml:space="preserve"> HYPERLINK \l _Toc27295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2.7.2 </w:t>
      </w:r>
      <w:r>
        <w:rPr>
          <w:rFonts w:hint="eastAsia" w:ascii="宋体" w:hAnsi="宋体"/>
        </w:rPr>
        <w:t>工程地质条件</w:t>
      </w:r>
      <w:r>
        <w:tab/>
      </w:r>
      <w:r>
        <w:fldChar w:fldCharType="begin"/>
      </w:r>
      <w:r>
        <w:instrText xml:space="preserve"> PAGEREF _Toc27295 \h </w:instrText>
      </w:r>
      <w:r>
        <w:fldChar w:fldCharType="separate"/>
      </w:r>
      <w:r>
        <w:t>37</w:t>
      </w:r>
      <w:r>
        <w:fldChar w:fldCharType="end"/>
      </w:r>
      <w:r>
        <w:fldChar w:fldCharType="end"/>
      </w:r>
    </w:p>
    <w:p w14:paraId="5D2A4015">
      <w:pPr>
        <w:pStyle w:val="14"/>
        <w:tabs>
          <w:tab w:val="right" w:leader="dot" w:pos="8844"/>
          <w:tab w:val="clear" w:pos="8834"/>
        </w:tabs>
      </w:pPr>
      <w:r>
        <w:fldChar w:fldCharType="begin"/>
      </w:r>
      <w:r>
        <w:instrText xml:space="preserve"> HYPERLINK \l _Toc932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2.7.3 </w:t>
      </w:r>
      <w:r>
        <w:rPr>
          <w:rFonts w:hint="eastAsia" w:ascii="宋体" w:hAnsi="宋体"/>
        </w:rPr>
        <w:t>水文条件</w:t>
      </w:r>
      <w:r>
        <w:tab/>
      </w:r>
      <w:r>
        <w:fldChar w:fldCharType="begin"/>
      </w:r>
      <w:r>
        <w:instrText xml:space="preserve"> PAGEREF _Toc932 \h </w:instrText>
      </w:r>
      <w:r>
        <w:fldChar w:fldCharType="separate"/>
      </w:r>
      <w:r>
        <w:t>39</w:t>
      </w:r>
      <w:r>
        <w:fldChar w:fldCharType="end"/>
      </w:r>
      <w:r>
        <w:fldChar w:fldCharType="end"/>
      </w:r>
    </w:p>
    <w:p w14:paraId="3946EA1C">
      <w:pPr>
        <w:pStyle w:val="14"/>
        <w:tabs>
          <w:tab w:val="right" w:leader="dot" w:pos="8844"/>
          <w:tab w:val="clear" w:pos="8834"/>
        </w:tabs>
      </w:pPr>
      <w:r>
        <w:fldChar w:fldCharType="begin"/>
      </w:r>
      <w:r>
        <w:instrText xml:space="preserve"> HYPERLINK \l _Toc16074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2.7.4 </w:t>
      </w:r>
      <w:r>
        <w:rPr>
          <w:rFonts w:hint="eastAsia"/>
        </w:rPr>
        <w:t>地形条件</w:t>
      </w:r>
      <w:r>
        <w:tab/>
      </w:r>
      <w:r>
        <w:fldChar w:fldCharType="begin"/>
      </w:r>
      <w:r>
        <w:instrText xml:space="preserve"> PAGEREF _Toc16074 \h </w:instrText>
      </w:r>
      <w:r>
        <w:fldChar w:fldCharType="separate"/>
      </w:r>
      <w:r>
        <w:t>40</w:t>
      </w:r>
      <w:r>
        <w:fldChar w:fldCharType="end"/>
      </w:r>
      <w:r>
        <w:fldChar w:fldCharType="end"/>
      </w:r>
    </w:p>
    <w:p w14:paraId="1A71DD54">
      <w:pPr>
        <w:pStyle w:val="14"/>
        <w:tabs>
          <w:tab w:val="right" w:leader="dot" w:pos="8844"/>
          <w:tab w:val="clear" w:pos="8834"/>
        </w:tabs>
      </w:pPr>
      <w:r>
        <w:fldChar w:fldCharType="begin"/>
      </w:r>
      <w:r>
        <w:instrText xml:space="preserve"> HYPERLINK \l _Toc20516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2.7.5 </w:t>
      </w:r>
      <w:r>
        <w:rPr>
          <w:rFonts w:hint="eastAsia"/>
        </w:rPr>
        <w:t>场地稳定性</w:t>
      </w:r>
      <w:r>
        <w:tab/>
      </w:r>
      <w:r>
        <w:fldChar w:fldCharType="begin"/>
      </w:r>
      <w:r>
        <w:instrText xml:space="preserve"> PAGEREF _Toc20516 \h </w:instrText>
      </w:r>
      <w:r>
        <w:fldChar w:fldCharType="separate"/>
      </w:r>
      <w:r>
        <w:t>40</w:t>
      </w:r>
      <w:r>
        <w:fldChar w:fldCharType="end"/>
      </w:r>
      <w:r>
        <w:fldChar w:fldCharType="end"/>
      </w:r>
    </w:p>
    <w:p w14:paraId="1AB4BC70">
      <w:pPr>
        <w:pStyle w:val="25"/>
        <w:tabs>
          <w:tab w:val="right" w:leader="dot" w:pos="8844"/>
        </w:tabs>
      </w:pPr>
      <w:r>
        <w:fldChar w:fldCharType="begin"/>
      </w:r>
      <w:r>
        <w:instrText xml:space="preserve"> HYPERLINK \l _Toc4962 </w:instrText>
      </w:r>
      <w:r>
        <w:fldChar w:fldCharType="separate"/>
      </w:r>
      <w:r>
        <w:rPr>
          <w:rFonts w:hint="eastAsia" w:ascii="宋体" w:hAnsi="宋体" w:eastAsia="宋体"/>
        </w:rPr>
        <w:t xml:space="preserve">2.8 </w:t>
      </w:r>
      <w:r>
        <w:rPr>
          <w:rFonts w:hint="eastAsia"/>
        </w:rPr>
        <w:t>工程重难点及相应措施</w:t>
      </w:r>
      <w:r>
        <w:tab/>
      </w:r>
      <w:r>
        <w:fldChar w:fldCharType="begin"/>
      </w:r>
      <w:r>
        <w:instrText xml:space="preserve"> PAGEREF _Toc4962 \h </w:instrText>
      </w:r>
      <w:r>
        <w:fldChar w:fldCharType="separate"/>
      </w:r>
      <w:r>
        <w:t>40</w:t>
      </w:r>
      <w:r>
        <w:fldChar w:fldCharType="end"/>
      </w:r>
      <w:r>
        <w:fldChar w:fldCharType="end"/>
      </w:r>
    </w:p>
    <w:p w14:paraId="3CBDC30C">
      <w:pPr>
        <w:pStyle w:val="14"/>
        <w:tabs>
          <w:tab w:val="right" w:leader="dot" w:pos="8844"/>
          <w:tab w:val="clear" w:pos="8834"/>
        </w:tabs>
      </w:pPr>
      <w:r>
        <w:fldChar w:fldCharType="begin"/>
      </w:r>
      <w:r>
        <w:instrText xml:space="preserve"> HYPERLINK \l _Toc25783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2.8.1 </w:t>
      </w:r>
      <w:r>
        <w:rPr>
          <w:rFonts w:hint="eastAsia"/>
        </w:rPr>
        <w:t>深基坑工程重点、难点分析</w:t>
      </w:r>
      <w:r>
        <w:tab/>
      </w:r>
      <w:r>
        <w:fldChar w:fldCharType="begin"/>
      </w:r>
      <w:r>
        <w:instrText xml:space="preserve"> PAGEREF _Toc25783 \h </w:instrText>
      </w:r>
      <w:r>
        <w:fldChar w:fldCharType="separate"/>
      </w:r>
      <w:r>
        <w:t>40</w:t>
      </w:r>
      <w:r>
        <w:fldChar w:fldCharType="end"/>
      </w:r>
      <w:r>
        <w:fldChar w:fldCharType="end"/>
      </w:r>
    </w:p>
    <w:p w14:paraId="34BB8DCE">
      <w:pPr>
        <w:pStyle w:val="14"/>
        <w:tabs>
          <w:tab w:val="right" w:leader="dot" w:pos="8844"/>
          <w:tab w:val="clear" w:pos="8834"/>
        </w:tabs>
      </w:pPr>
      <w:r>
        <w:fldChar w:fldCharType="begin"/>
      </w:r>
      <w:r>
        <w:instrText xml:space="preserve"> HYPERLINK \l _Toc23743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2.8.2 </w:t>
      </w:r>
      <w:r>
        <w:rPr>
          <w:rFonts w:hint="eastAsia"/>
        </w:rPr>
        <w:t>主体结构施工重点、难点分析</w:t>
      </w:r>
      <w:r>
        <w:tab/>
      </w:r>
      <w:r>
        <w:fldChar w:fldCharType="begin"/>
      </w:r>
      <w:r>
        <w:instrText xml:space="preserve"> PAGEREF _Toc23743 \h </w:instrText>
      </w:r>
      <w:r>
        <w:fldChar w:fldCharType="separate"/>
      </w:r>
      <w:r>
        <w:t>41</w:t>
      </w:r>
      <w:r>
        <w:fldChar w:fldCharType="end"/>
      </w:r>
      <w:r>
        <w:fldChar w:fldCharType="end"/>
      </w:r>
    </w:p>
    <w:p w14:paraId="0039C069">
      <w:pPr>
        <w:pStyle w:val="14"/>
        <w:tabs>
          <w:tab w:val="right" w:leader="dot" w:pos="8844"/>
          <w:tab w:val="clear" w:pos="8834"/>
        </w:tabs>
      </w:pPr>
      <w:r>
        <w:fldChar w:fldCharType="begin"/>
      </w:r>
      <w:r>
        <w:instrText xml:space="preserve"> HYPERLINK \l _Toc14594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2.8.3 </w:t>
      </w:r>
      <w:r>
        <w:rPr>
          <w:rFonts w:hint="eastAsia"/>
        </w:rPr>
        <w:t>机电设备安装重点、难点分析</w:t>
      </w:r>
      <w:r>
        <w:tab/>
      </w:r>
      <w:r>
        <w:fldChar w:fldCharType="begin"/>
      </w:r>
      <w:r>
        <w:instrText xml:space="preserve"> PAGEREF _Toc14594 \h </w:instrText>
      </w:r>
      <w:r>
        <w:fldChar w:fldCharType="separate"/>
      </w:r>
      <w:r>
        <w:t>42</w:t>
      </w:r>
      <w:r>
        <w:fldChar w:fldCharType="end"/>
      </w:r>
      <w:r>
        <w:fldChar w:fldCharType="end"/>
      </w:r>
    </w:p>
    <w:p w14:paraId="7167AA38">
      <w:pPr>
        <w:pStyle w:val="14"/>
        <w:tabs>
          <w:tab w:val="right" w:leader="dot" w:pos="8844"/>
          <w:tab w:val="clear" w:pos="8834"/>
        </w:tabs>
      </w:pPr>
      <w:r>
        <w:fldChar w:fldCharType="begin"/>
      </w:r>
      <w:r>
        <w:instrText xml:space="preserve"> HYPERLINK \l _Toc32218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2.8.4 </w:t>
      </w:r>
      <w:r>
        <w:rPr>
          <w:rFonts w:hint="eastAsia"/>
        </w:rPr>
        <w:t>质量安全管理重点、难点分析及解决方案</w:t>
      </w:r>
      <w:r>
        <w:tab/>
      </w:r>
      <w:r>
        <w:fldChar w:fldCharType="begin"/>
      </w:r>
      <w:r>
        <w:instrText xml:space="preserve"> PAGEREF _Toc32218 \h </w:instrText>
      </w:r>
      <w:r>
        <w:fldChar w:fldCharType="separate"/>
      </w:r>
      <w:r>
        <w:t>44</w:t>
      </w:r>
      <w:r>
        <w:fldChar w:fldCharType="end"/>
      </w:r>
      <w:r>
        <w:fldChar w:fldCharType="end"/>
      </w:r>
    </w:p>
    <w:p w14:paraId="5129E8D7">
      <w:pPr>
        <w:pStyle w:val="21"/>
        <w:tabs>
          <w:tab w:val="right" w:leader="dot" w:pos="8844"/>
        </w:tabs>
      </w:pPr>
      <w:r>
        <w:fldChar w:fldCharType="begin"/>
      </w:r>
      <w:r>
        <w:instrText xml:space="preserve"> HYPERLINK \l _Toc28250 </w:instrText>
      </w:r>
      <w: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第3章 </w:t>
      </w:r>
      <w:r>
        <w:rPr>
          <w:rFonts w:hint="eastAsia"/>
        </w:rPr>
        <w:t>施工部署</w:t>
      </w:r>
      <w:r>
        <w:tab/>
      </w:r>
      <w:r>
        <w:fldChar w:fldCharType="begin"/>
      </w:r>
      <w:r>
        <w:instrText xml:space="preserve"> PAGEREF _Toc28250 \h </w:instrText>
      </w:r>
      <w:r>
        <w:fldChar w:fldCharType="separate"/>
      </w:r>
      <w:r>
        <w:t>45</w:t>
      </w:r>
      <w:r>
        <w:fldChar w:fldCharType="end"/>
      </w:r>
      <w:r>
        <w:fldChar w:fldCharType="end"/>
      </w:r>
    </w:p>
    <w:p w14:paraId="57DFA610">
      <w:pPr>
        <w:pStyle w:val="25"/>
        <w:tabs>
          <w:tab w:val="right" w:leader="dot" w:pos="8844"/>
        </w:tabs>
      </w:pPr>
      <w:r>
        <w:fldChar w:fldCharType="begin"/>
      </w:r>
      <w:r>
        <w:instrText xml:space="preserve"> HYPERLINK \l _Toc15344 </w:instrText>
      </w:r>
      <w:r>
        <w:fldChar w:fldCharType="separate"/>
      </w:r>
      <w:r>
        <w:rPr>
          <w:rFonts w:hint="eastAsia" w:ascii="宋体" w:hAnsi="宋体" w:eastAsia="宋体"/>
        </w:rPr>
        <w:t xml:space="preserve">3.1 </w:t>
      </w:r>
      <w:r>
        <w:rPr>
          <w:rFonts w:hint="eastAsia"/>
        </w:rPr>
        <w:t>工程目标</w:t>
      </w:r>
      <w:r>
        <w:tab/>
      </w:r>
      <w:r>
        <w:fldChar w:fldCharType="begin"/>
      </w:r>
      <w:r>
        <w:instrText xml:space="preserve"> PAGEREF _Toc15344 \h </w:instrText>
      </w:r>
      <w:r>
        <w:fldChar w:fldCharType="separate"/>
      </w:r>
      <w:r>
        <w:t>45</w:t>
      </w:r>
      <w:r>
        <w:fldChar w:fldCharType="end"/>
      </w:r>
      <w:r>
        <w:fldChar w:fldCharType="end"/>
      </w:r>
    </w:p>
    <w:p w14:paraId="63357A9A">
      <w:pPr>
        <w:pStyle w:val="14"/>
        <w:tabs>
          <w:tab w:val="right" w:leader="dot" w:pos="8844"/>
          <w:tab w:val="clear" w:pos="8834"/>
        </w:tabs>
      </w:pPr>
      <w:r>
        <w:fldChar w:fldCharType="begin"/>
      </w:r>
      <w:r>
        <w:instrText xml:space="preserve"> HYPERLINK \l _Toc8544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3.1.1 </w:t>
      </w:r>
      <w:r>
        <w:rPr>
          <w:rFonts w:hint="eastAsia"/>
        </w:rPr>
        <w:t>质量目标</w:t>
      </w:r>
      <w:r>
        <w:tab/>
      </w:r>
      <w:r>
        <w:fldChar w:fldCharType="begin"/>
      </w:r>
      <w:r>
        <w:instrText xml:space="preserve"> PAGEREF _Toc8544 \h </w:instrText>
      </w:r>
      <w:r>
        <w:fldChar w:fldCharType="separate"/>
      </w:r>
      <w:r>
        <w:t>45</w:t>
      </w:r>
      <w:r>
        <w:fldChar w:fldCharType="end"/>
      </w:r>
      <w:r>
        <w:fldChar w:fldCharType="end"/>
      </w:r>
    </w:p>
    <w:p w14:paraId="40D9DFB2">
      <w:pPr>
        <w:pStyle w:val="14"/>
        <w:tabs>
          <w:tab w:val="right" w:leader="dot" w:pos="8844"/>
          <w:tab w:val="clear" w:pos="8834"/>
        </w:tabs>
      </w:pPr>
      <w:r>
        <w:fldChar w:fldCharType="begin"/>
      </w:r>
      <w:r>
        <w:instrText xml:space="preserve"> HYPERLINK \l _Toc17446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3.1.2 </w:t>
      </w:r>
      <w:r>
        <w:rPr>
          <w:rFonts w:hint="eastAsia"/>
        </w:rPr>
        <w:t>工期目标</w:t>
      </w:r>
      <w:r>
        <w:tab/>
      </w:r>
      <w:r>
        <w:fldChar w:fldCharType="begin"/>
      </w:r>
      <w:r>
        <w:instrText xml:space="preserve"> PAGEREF _Toc17446 \h </w:instrText>
      </w:r>
      <w:r>
        <w:fldChar w:fldCharType="separate"/>
      </w:r>
      <w:r>
        <w:t>45</w:t>
      </w:r>
      <w:r>
        <w:fldChar w:fldCharType="end"/>
      </w:r>
      <w:r>
        <w:fldChar w:fldCharType="end"/>
      </w:r>
    </w:p>
    <w:p w14:paraId="4A4EBD88">
      <w:pPr>
        <w:pStyle w:val="14"/>
        <w:tabs>
          <w:tab w:val="right" w:leader="dot" w:pos="8844"/>
          <w:tab w:val="clear" w:pos="8834"/>
        </w:tabs>
      </w:pPr>
      <w:r>
        <w:fldChar w:fldCharType="begin"/>
      </w:r>
      <w:r>
        <w:instrText xml:space="preserve"> HYPERLINK \l _Toc27011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3.1.3 </w:t>
      </w:r>
      <w:r>
        <w:rPr>
          <w:rFonts w:hint="eastAsia"/>
        </w:rPr>
        <w:t>安全目标</w:t>
      </w:r>
      <w:r>
        <w:tab/>
      </w:r>
      <w:r>
        <w:fldChar w:fldCharType="begin"/>
      </w:r>
      <w:r>
        <w:instrText xml:space="preserve"> PAGEREF _Toc27011 \h </w:instrText>
      </w:r>
      <w:r>
        <w:fldChar w:fldCharType="separate"/>
      </w:r>
      <w:r>
        <w:t>45</w:t>
      </w:r>
      <w:r>
        <w:fldChar w:fldCharType="end"/>
      </w:r>
      <w:r>
        <w:fldChar w:fldCharType="end"/>
      </w:r>
    </w:p>
    <w:p w14:paraId="19F61B6B">
      <w:pPr>
        <w:pStyle w:val="14"/>
        <w:tabs>
          <w:tab w:val="right" w:leader="dot" w:pos="8844"/>
          <w:tab w:val="clear" w:pos="8834"/>
        </w:tabs>
      </w:pPr>
      <w:r>
        <w:fldChar w:fldCharType="begin"/>
      </w:r>
      <w:r>
        <w:instrText xml:space="preserve"> HYPERLINK \l _Toc31626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3.1.4 </w:t>
      </w:r>
      <w:r>
        <w:rPr>
          <w:rFonts w:hint="eastAsia"/>
        </w:rPr>
        <w:t>文明施工目标</w:t>
      </w:r>
      <w:r>
        <w:tab/>
      </w:r>
      <w:r>
        <w:fldChar w:fldCharType="begin"/>
      </w:r>
      <w:r>
        <w:instrText xml:space="preserve"> PAGEREF _Toc31626 \h </w:instrText>
      </w:r>
      <w:r>
        <w:fldChar w:fldCharType="separate"/>
      </w:r>
      <w:r>
        <w:t>45</w:t>
      </w:r>
      <w:r>
        <w:fldChar w:fldCharType="end"/>
      </w:r>
      <w:r>
        <w:fldChar w:fldCharType="end"/>
      </w:r>
    </w:p>
    <w:p w14:paraId="5853FC5D">
      <w:pPr>
        <w:pStyle w:val="14"/>
        <w:tabs>
          <w:tab w:val="right" w:leader="dot" w:pos="8844"/>
          <w:tab w:val="clear" w:pos="8834"/>
        </w:tabs>
      </w:pPr>
      <w:r>
        <w:fldChar w:fldCharType="begin"/>
      </w:r>
      <w:r>
        <w:instrText xml:space="preserve"> HYPERLINK \l _Toc32144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3.1.5 </w:t>
      </w:r>
      <w:r>
        <w:rPr>
          <w:rFonts w:hint="eastAsia"/>
        </w:rPr>
        <w:t>成本目标</w:t>
      </w:r>
      <w:r>
        <w:tab/>
      </w:r>
      <w:r>
        <w:fldChar w:fldCharType="begin"/>
      </w:r>
      <w:r>
        <w:instrText xml:space="preserve"> PAGEREF _Toc32144 \h </w:instrText>
      </w:r>
      <w:r>
        <w:fldChar w:fldCharType="separate"/>
      </w:r>
      <w:r>
        <w:t>45</w:t>
      </w:r>
      <w:r>
        <w:fldChar w:fldCharType="end"/>
      </w:r>
      <w:r>
        <w:fldChar w:fldCharType="end"/>
      </w:r>
    </w:p>
    <w:p w14:paraId="0D0C462A">
      <w:pPr>
        <w:pStyle w:val="14"/>
        <w:tabs>
          <w:tab w:val="right" w:leader="dot" w:pos="8844"/>
          <w:tab w:val="clear" w:pos="8834"/>
        </w:tabs>
      </w:pPr>
      <w:r>
        <w:fldChar w:fldCharType="begin"/>
      </w:r>
      <w:r>
        <w:instrText xml:space="preserve"> HYPERLINK \l _Toc21474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3.1.6 </w:t>
      </w:r>
      <w:r>
        <w:rPr>
          <w:rFonts w:hint="eastAsia"/>
        </w:rPr>
        <w:t>其他目标</w:t>
      </w:r>
      <w:r>
        <w:tab/>
      </w:r>
      <w:r>
        <w:fldChar w:fldCharType="begin"/>
      </w:r>
      <w:r>
        <w:instrText xml:space="preserve"> PAGEREF _Toc21474 \h </w:instrText>
      </w:r>
      <w:r>
        <w:fldChar w:fldCharType="separate"/>
      </w:r>
      <w:r>
        <w:t>45</w:t>
      </w:r>
      <w:r>
        <w:fldChar w:fldCharType="end"/>
      </w:r>
      <w:r>
        <w:fldChar w:fldCharType="end"/>
      </w:r>
    </w:p>
    <w:p w14:paraId="604F56F4">
      <w:pPr>
        <w:pStyle w:val="25"/>
        <w:tabs>
          <w:tab w:val="right" w:leader="dot" w:pos="8844"/>
        </w:tabs>
      </w:pPr>
      <w:r>
        <w:fldChar w:fldCharType="begin"/>
      </w:r>
      <w:r>
        <w:instrText xml:space="preserve"> HYPERLINK \l _Toc28081 </w:instrText>
      </w:r>
      <w:r>
        <w:fldChar w:fldCharType="separate"/>
      </w:r>
      <w:r>
        <w:rPr>
          <w:rFonts w:hint="eastAsia" w:ascii="宋体" w:hAnsi="宋体" w:eastAsia="宋体"/>
        </w:rPr>
        <w:t xml:space="preserve">3.2 </w:t>
      </w:r>
      <w:r>
        <w:rPr>
          <w:rFonts w:hint="eastAsia"/>
        </w:rPr>
        <w:t>项目部组织机构</w:t>
      </w:r>
      <w:r>
        <w:tab/>
      </w:r>
      <w:r>
        <w:fldChar w:fldCharType="begin"/>
      </w:r>
      <w:r>
        <w:instrText xml:space="preserve"> PAGEREF _Toc28081 \h </w:instrText>
      </w:r>
      <w:r>
        <w:fldChar w:fldCharType="separate"/>
      </w:r>
      <w:r>
        <w:t>46</w:t>
      </w:r>
      <w:r>
        <w:fldChar w:fldCharType="end"/>
      </w:r>
      <w:r>
        <w:fldChar w:fldCharType="end"/>
      </w:r>
    </w:p>
    <w:p w14:paraId="3B02314E">
      <w:pPr>
        <w:pStyle w:val="14"/>
        <w:tabs>
          <w:tab w:val="right" w:leader="dot" w:pos="8844"/>
          <w:tab w:val="clear" w:pos="8834"/>
        </w:tabs>
      </w:pPr>
      <w:r>
        <w:fldChar w:fldCharType="begin"/>
      </w:r>
      <w:r>
        <w:instrText xml:space="preserve"> HYPERLINK \l _Toc29733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3.2.1 </w:t>
      </w:r>
      <w:r>
        <w:rPr>
          <w:rFonts w:hint="eastAsia"/>
        </w:rPr>
        <w:t>项目部组织机构的设置</w:t>
      </w:r>
      <w:r>
        <w:tab/>
      </w:r>
      <w:r>
        <w:fldChar w:fldCharType="begin"/>
      </w:r>
      <w:r>
        <w:instrText xml:space="preserve"> PAGEREF _Toc29733 \h </w:instrText>
      </w:r>
      <w:r>
        <w:fldChar w:fldCharType="separate"/>
      </w:r>
      <w:r>
        <w:t>46</w:t>
      </w:r>
      <w:r>
        <w:fldChar w:fldCharType="end"/>
      </w:r>
      <w:r>
        <w:fldChar w:fldCharType="end"/>
      </w:r>
    </w:p>
    <w:p w14:paraId="26EC134A">
      <w:pPr>
        <w:pStyle w:val="14"/>
        <w:tabs>
          <w:tab w:val="right" w:leader="dot" w:pos="8844"/>
          <w:tab w:val="clear" w:pos="8834"/>
        </w:tabs>
      </w:pPr>
      <w:r>
        <w:fldChar w:fldCharType="begin"/>
      </w:r>
      <w:r>
        <w:instrText xml:space="preserve"> HYPERLINK \l _Toc9874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3.2.2 </w:t>
      </w:r>
      <w:r>
        <w:rPr>
          <w:rFonts w:hint="eastAsia"/>
        </w:rPr>
        <w:t>各专业管理人员的设置与分工</w:t>
      </w:r>
      <w:r>
        <w:tab/>
      </w:r>
      <w:r>
        <w:fldChar w:fldCharType="begin"/>
      </w:r>
      <w:r>
        <w:instrText xml:space="preserve"> PAGEREF _Toc9874 \h </w:instrText>
      </w:r>
      <w:r>
        <w:fldChar w:fldCharType="separate"/>
      </w:r>
      <w:r>
        <w:t>46</w:t>
      </w:r>
      <w:r>
        <w:fldChar w:fldCharType="end"/>
      </w:r>
      <w:r>
        <w:fldChar w:fldCharType="end"/>
      </w:r>
    </w:p>
    <w:p w14:paraId="0571C146">
      <w:pPr>
        <w:pStyle w:val="25"/>
        <w:tabs>
          <w:tab w:val="right" w:leader="dot" w:pos="8844"/>
        </w:tabs>
      </w:pPr>
      <w:r>
        <w:fldChar w:fldCharType="begin"/>
      </w:r>
      <w:r>
        <w:instrText xml:space="preserve"> HYPERLINK \l _Toc14746 </w:instrText>
      </w:r>
      <w:r>
        <w:fldChar w:fldCharType="separate"/>
      </w:r>
      <w:r>
        <w:rPr>
          <w:rFonts w:hint="eastAsia" w:ascii="宋体" w:hAnsi="宋体" w:eastAsia="宋体"/>
        </w:rPr>
        <w:t xml:space="preserve">3.3 </w:t>
      </w:r>
      <w:r>
        <w:rPr>
          <w:rFonts w:hint="eastAsia"/>
        </w:rPr>
        <w:t>施工流水段的划分及施工工艺流程</w:t>
      </w:r>
      <w:r>
        <w:tab/>
      </w:r>
      <w:r>
        <w:fldChar w:fldCharType="begin"/>
      </w:r>
      <w:r>
        <w:instrText xml:space="preserve"> PAGEREF _Toc14746 \h </w:instrText>
      </w:r>
      <w:r>
        <w:fldChar w:fldCharType="separate"/>
      </w:r>
      <w:r>
        <w:t>51</w:t>
      </w:r>
      <w:r>
        <w:fldChar w:fldCharType="end"/>
      </w:r>
      <w:r>
        <w:fldChar w:fldCharType="end"/>
      </w:r>
    </w:p>
    <w:p w14:paraId="0BDE7685">
      <w:pPr>
        <w:pStyle w:val="14"/>
        <w:tabs>
          <w:tab w:val="right" w:leader="dot" w:pos="8844"/>
          <w:tab w:val="clear" w:pos="8834"/>
        </w:tabs>
      </w:pPr>
      <w:r>
        <w:fldChar w:fldCharType="begin"/>
      </w:r>
      <w:r>
        <w:instrText xml:space="preserve"> HYPERLINK \l _Toc20103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3.3.1 </w:t>
      </w:r>
      <w:r>
        <w:rPr>
          <w:rFonts w:hint="eastAsia"/>
        </w:rPr>
        <w:t>施工平面划分及流水</w:t>
      </w:r>
      <w:r>
        <w:tab/>
      </w:r>
      <w:r>
        <w:fldChar w:fldCharType="begin"/>
      </w:r>
      <w:r>
        <w:instrText xml:space="preserve"> PAGEREF _Toc20103 \h </w:instrText>
      </w:r>
      <w:r>
        <w:fldChar w:fldCharType="separate"/>
      </w:r>
      <w:r>
        <w:t>51</w:t>
      </w:r>
      <w:r>
        <w:fldChar w:fldCharType="end"/>
      </w:r>
      <w:r>
        <w:fldChar w:fldCharType="end"/>
      </w:r>
    </w:p>
    <w:p w14:paraId="6CB59420">
      <w:pPr>
        <w:pStyle w:val="14"/>
        <w:tabs>
          <w:tab w:val="right" w:leader="dot" w:pos="8844"/>
          <w:tab w:val="clear" w:pos="8834"/>
        </w:tabs>
      </w:pPr>
      <w:r>
        <w:fldChar w:fldCharType="begin"/>
      </w:r>
      <w:r>
        <w:instrText xml:space="preserve"> HYPERLINK \l _Toc32482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3.3.2 </w:t>
      </w:r>
      <w:r>
        <w:rPr>
          <w:rFonts w:hint="eastAsia"/>
        </w:rPr>
        <w:t>施工工艺流程</w:t>
      </w:r>
      <w:r>
        <w:tab/>
      </w:r>
      <w:r>
        <w:fldChar w:fldCharType="begin"/>
      </w:r>
      <w:r>
        <w:instrText xml:space="preserve"> PAGEREF _Toc32482 \h </w:instrText>
      </w:r>
      <w:r>
        <w:fldChar w:fldCharType="separate"/>
      </w:r>
      <w:r>
        <w:t>54</w:t>
      </w:r>
      <w:r>
        <w:fldChar w:fldCharType="end"/>
      </w:r>
      <w:r>
        <w:fldChar w:fldCharType="end"/>
      </w:r>
    </w:p>
    <w:p w14:paraId="57A01594">
      <w:pPr>
        <w:pStyle w:val="25"/>
        <w:tabs>
          <w:tab w:val="right" w:leader="dot" w:pos="8844"/>
        </w:tabs>
      </w:pPr>
      <w:r>
        <w:fldChar w:fldCharType="begin"/>
      </w:r>
      <w:r>
        <w:instrText xml:space="preserve"> HYPERLINK \l _Toc21723 </w:instrText>
      </w:r>
      <w:r>
        <w:fldChar w:fldCharType="separate"/>
      </w:r>
      <w:r>
        <w:rPr>
          <w:rFonts w:hint="eastAsia" w:ascii="宋体" w:hAnsi="宋体" w:eastAsia="宋体"/>
        </w:rPr>
        <w:t xml:space="preserve">3.4 </w:t>
      </w:r>
      <w:r>
        <w:rPr>
          <w:rFonts w:hint="eastAsia"/>
        </w:rPr>
        <w:t>招采策划</w:t>
      </w:r>
      <w:r>
        <w:tab/>
      </w:r>
      <w:r>
        <w:fldChar w:fldCharType="begin"/>
      </w:r>
      <w:r>
        <w:instrText xml:space="preserve"> PAGEREF _Toc21723 \h </w:instrText>
      </w:r>
      <w:r>
        <w:fldChar w:fldCharType="separate"/>
      </w:r>
      <w:r>
        <w:t>55</w:t>
      </w:r>
      <w:r>
        <w:fldChar w:fldCharType="end"/>
      </w:r>
      <w:r>
        <w:fldChar w:fldCharType="end"/>
      </w:r>
    </w:p>
    <w:p w14:paraId="4692BB32">
      <w:pPr>
        <w:pStyle w:val="14"/>
        <w:tabs>
          <w:tab w:val="right" w:leader="dot" w:pos="8844"/>
          <w:tab w:val="clear" w:pos="8834"/>
        </w:tabs>
      </w:pPr>
      <w:r>
        <w:fldChar w:fldCharType="begin"/>
      </w:r>
      <w:r>
        <w:instrText xml:space="preserve"> HYPERLINK \l _Toc16516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3.4.1 </w:t>
      </w:r>
      <w:r>
        <w:rPr>
          <w:rFonts w:hint="eastAsia"/>
        </w:rPr>
        <w:t>招采策划大纲</w:t>
      </w:r>
      <w:r>
        <w:tab/>
      </w:r>
      <w:r>
        <w:fldChar w:fldCharType="begin"/>
      </w:r>
      <w:r>
        <w:instrText xml:space="preserve"> PAGEREF _Toc16516 \h </w:instrText>
      </w:r>
      <w:r>
        <w:fldChar w:fldCharType="separate"/>
      </w:r>
      <w:r>
        <w:t>55</w:t>
      </w:r>
      <w:r>
        <w:fldChar w:fldCharType="end"/>
      </w:r>
      <w:r>
        <w:fldChar w:fldCharType="end"/>
      </w:r>
    </w:p>
    <w:p w14:paraId="4905BB1B">
      <w:pPr>
        <w:pStyle w:val="14"/>
        <w:tabs>
          <w:tab w:val="right" w:leader="dot" w:pos="8844"/>
          <w:tab w:val="clear" w:pos="8834"/>
        </w:tabs>
      </w:pPr>
      <w:r>
        <w:fldChar w:fldCharType="begin"/>
      </w:r>
      <w:r>
        <w:instrText xml:space="preserve"> HYPERLINK \l _Toc3258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3.4.2 </w:t>
      </w:r>
      <w:r>
        <w:rPr>
          <w:rFonts w:hint="eastAsia"/>
        </w:rPr>
        <w:t>招采计划</w:t>
      </w:r>
      <w:r>
        <w:tab/>
      </w:r>
      <w:r>
        <w:fldChar w:fldCharType="begin"/>
      </w:r>
      <w:r>
        <w:instrText xml:space="preserve"> PAGEREF _Toc3258 \h </w:instrText>
      </w:r>
      <w:r>
        <w:fldChar w:fldCharType="separate"/>
      </w:r>
      <w:r>
        <w:t>55</w:t>
      </w:r>
      <w:r>
        <w:fldChar w:fldCharType="end"/>
      </w:r>
      <w:r>
        <w:fldChar w:fldCharType="end"/>
      </w:r>
    </w:p>
    <w:p w14:paraId="263FC1C5">
      <w:pPr>
        <w:pStyle w:val="14"/>
        <w:tabs>
          <w:tab w:val="right" w:leader="dot" w:pos="8844"/>
          <w:tab w:val="clear" w:pos="8834"/>
        </w:tabs>
      </w:pPr>
      <w:r>
        <w:fldChar w:fldCharType="begin"/>
      </w:r>
      <w:r>
        <w:instrText xml:space="preserve"> HYPERLINK \l _Toc12982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3.4.3 </w:t>
      </w:r>
      <w:r>
        <w:rPr>
          <w:rFonts w:hint="eastAsia"/>
        </w:rPr>
        <w:t>招采主要思路</w:t>
      </w:r>
      <w:r>
        <w:tab/>
      </w:r>
      <w:r>
        <w:fldChar w:fldCharType="begin"/>
      </w:r>
      <w:r>
        <w:instrText xml:space="preserve"> PAGEREF _Toc12982 \h </w:instrText>
      </w:r>
      <w:r>
        <w:fldChar w:fldCharType="separate"/>
      </w:r>
      <w:r>
        <w:t>58</w:t>
      </w:r>
      <w:r>
        <w:fldChar w:fldCharType="end"/>
      </w:r>
      <w:r>
        <w:fldChar w:fldCharType="end"/>
      </w:r>
    </w:p>
    <w:p w14:paraId="696B4901">
      <w:pPr>
        <w:pStyle w:val="25"/>
        <w:tabs>
          <w:tab w:val="right" w:leader="dot" w:pos="8844"/>
        </w:tabs>
      </w:pPr>
      <w:r>
        <w:fldChar w:fldCharType="begin"/>
      </w:r>
      <w:r>
        <w:instrText xml:space="preserve"> HYPERLINK \l _Toc14422 </w:instrText>
      </w:r>
      <w:r>
        <w:fldChar w:fldCharType="separate"/>
      </w:r>
      <w:r>
        <w:rPr>
          <w:rFonts w:hint="eastAsia" w:ascii="宋体" w:hAnsi="宋体" w:eastAsia="宋体"/>
        </w:rPr>
        <w:t xml:space="preserve">3.5 </w:t>
      </w:r>
      <w:r>
        <w:rPr>
          <w:rFonts w:hint="eastAsia"/>
        </w:rPr>
        <w:t>施工准备</w:t>
      </w:r>
      <w:r>
        <w:tab/>
      </w:r>
      <w:r>
        <w:fldChar w:fldCharType="begin"/>
      </w:r>
      <w:r>
        <w:instrText xml:space="preserve"> PAGEREF _Toc14422 \h </w:instrText>
      </w:r>
      <w:r>
        <w:fldChar w:fldCharType="separate"/>
      </w:r>
      <w:r>
        <w:t>58</w:t>
      </w:r>
      <w:r>
        <w:fldChar w:fldCharType="end"/>
      </w:r>
      <w:r>
        <w:fldChar w:fldCharType="end"/>
      </w:r>
    </w:p>
    <w:p w14:paraId="58557B23">
      <w:pPr>
        <w:pStyle w:val="14"/>
        <w:tabs>
          <w:tab w:val="right" w:leader="dot" w:pos="8844"/>
          <w:tab w:val="clear" w:pos="8834"/>
        </w:tabs>
      </w:pPr>
      <w:r>
        <w:fldChar w:fldCharType="begin"/>
      </w:r>
      <w:r>
        <w:instrText xml:space="preserve"> HYPERLINK \l _Toc14958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3.5.1 </w:t>
      </w:r>
      <w:r>
        <w:rPr>
          <w:rFonts w:hint="eastAsia"/>
        </w:rPr>
        <w:t>施工技术准备</w:t>
      </w:r>
      <w:r>
        <w:tab/>
      </w:r>
      <w:r>
        <w:fldChar w:fldCharType="begin"/>
      </w:r>
      <w:r>
        <w:instrText xml:space="preserve"> PAGEREF _Toc14958 \h </w:instrText>
      </w:r>
      <w:r>
        <w:fldChar w:fldCharType="separate"/>
      </w:r>
      <w:r>
        <w:t>58</w:t>
      </w:r>
      <w:r>
        <w:fldChar w:fldCharType="end"/>
      </w:r>
      <w:r>
        <w:fldChar w:fldCharType="end"/>
      </w:r>
    </w:p>
    <w:p w14:paraId="38F605EB">
      <w:pPr>
        <w:pStyle w:val="14"/>
        <w:tabs>
          <w:tab w:val="right" w:leader="dot" w:pos="8844"/>
          <w:tab w:val="clear" w:pos="8834"/>
        </w:tabs>
      </w:pPr>
      <w:r>
        <w:fldChar w:fldCharType="begin"/>
      </w:r>
      <w:r>
        <w:instrText xml:space="preserve"> HYPERLINK \l _Toc20014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3.5.2 </w:t>
      </w:r>
      <w:r>
        <w:rPr>
          <w:rFonts w:hint="eastAsia"/>
        </w:rPr>
        <w:t>现场准备</w:t>
      </w:r>
      <w:r>
        <w:tab/>
      </w:r>
      <w:r>
        <w:fldChar w:fldCharType="begin"/>
      </w:r>
      <w:r>
        <w:instrText xml:space="preserve"> PAGEREF _Toc20014 \h </w:instrText>
      </w:r>
      <w:r>
        <w:fldChar w:fldCharType="separate"/>
      </w:r>
      <w:r>
        <w:t>62</w:t>
      </w:r>
      <w:r>
        <w:fldChar w:fldCharType="end"/>
      </w:r>
      <w:r>
        <w:fldChar w:fldCharType="end"/>
      </w:r>
    </w:p>
    <w:p w14:paraId="355D46B7">
      <w:pPr>
        <w:pStyle w:val="14"/>
        <w:tabs>
          <w:tab w:val="right" w:leader="dot" w:pos="8844"/>
          <w:tab w:val="clear" w:pos="8834"/>
        </w:tabs>
      </w:pPr>
      <w:r>
        <w:fldChar w:fldCharType="begin"/>
      </w:r>
      <w:r>
        <w:instrText xml:space="preserve"> HYPERLINK \l _Toc3077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3.5.3 </w:t>
      </w:r>
      <w:r>
        <w:rPr>
          <w:rFonts w:hint="eastAsia"/>
        </w:rPr>
        <w:t>各种资源准备</w:t>
      </w:r>
      <w:r>
        <w:tab/>
      </w:r>
      <w:r>
        <w:fldChar w:fldCharType="begin"/>
      </w:r>
      <w:r>
        <w:instrText xml:space="preserve"> PAGEREF _Toc3077 \h </w:instrText>
      </w:r>
      <w:r>
        <w:fldChar w:fldCharType="separate"/>
      </w:r>
      <w:r>
        <w:t>63</w:t>
      </w:r>
      <w:r>
        <w:fldChar w:fldCharType="end"/>
      </w:r>
      <w:r>
        <w:fldChar w:fldCharType="end"/>
      </w:r>
    </w:p>
    <w:p w14:paraId="565FFAA2">
      <w:pPr>
        <w:pStyle w:val="25"/>
        <w:tabs>
          <w:tab w:val="right" w:leader="dot" w:pos="8844"/>
        </w:tabs>
      </w:pPr>
      <w:r>
        <w:fldChar w:fldCharType="begin"/>
      </w:r>
      <w:r>
        <w:instrText xml:space="preserve"> HYPERLINK \l _Toc20905 </w:instrText>
      </w:r>
      <w:r>
        <w:fldChar w:fldCharType="separate"/>
      </w:r>
      <w:r>
        <w:rPr>
          <w:rFonts w:hint="eastAsia" w:ascii="宋体" w:hAnsi="宋体" w:eastAsia="宋体"/>
        </w:rPr>
        <w:t xml:space="preserve">3.6 </w:t>
      </w:r>
      <w:r>
        <w:rPr>
          <w:rFonts w:hint="eastAsia"/>
        </w:rPr>
        <w:t>各阶段施工部署</w:t>
      </w:r>
      <w:r>
        <w:tab/>
      </w:r>
      <w:r>
        <w:fldChar w:fldCharType="begin"/>
      </w:r>
      <w:r>
        <w:instrText xml:space="preserve"> PAGEREF _Toc20905 \h </w:instrText>
      </w:r>
      <w:r>
        <w:fldChar w:fldCharType="separate"/>
      </w:r>
      <w:r>
        <w:t>69</w:t>
      </w:r>
      <w:r>
        <w:fldChar w:fldCharType="end"/>
      </w:r>
      <w:r>
        <w:fldChar w:fldCharType="end"/>
      </w:r>
    </w:p>
    <w:p w14:paraId="49F82F01">
      <w:pPr>
        <w:pStyle w:val="14"/>
        <w:tabs>
          <w:tab w:val="right" w:leader="dot" w:pos="8844"/>
          <w:tab w:val="clear" w:pos="8834"/>
        </w:tabs>
      </w:pPr>
      <w:r>
        <w:fldChar w:fldCharType="begin"/>
      </w:r>
      <w:r>
        <w:instrText xml:space="preserve"> HYPERLINK \l _Toc1013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3.6.1 </w:t>
      </w:r>
      <w:r>
        <w:rPr>
          <w:rFonts w:hint="eastAsia"/>
        </w:rPr>
        <w:t>结构施工阶段</w:t>
      </w:r>
      <w:r>
        <w:tab/>
      </w:r>
      <w:r>
        <w:fldChar w:fldCharType="begin"/>
      </w:r>
      <w:r>
        <w:instrText xml:space="preserve"> PAGEREF _Toc1013 \h </w:instrText>
      </w:r>
      <w:r>
        <w:fldChar w:fldCharType="separate"/>
      </w:r>
      <w:r>
        <w:t>69</w:t>
      </w:r>
      <w:r>
        <w:fldChar w:fldCharType="end"/>
      </w:r>
      <w:r>
        <w:fldChar w:fldCharType="end"/>
      </w:r>
    </w:p>
    <w:p w14:paraId="1B894DA8">
      <w:pPr>
        <w:pStyle w:val="14"/>
        <w:tabs>
          <w:tab w:val="right" w:leader="dot" w:pos="8844"/>
          <w:tab w:val="clear" w:pos="8834"/>
        </w:tabs>
      </w:pPr>
      <w:r>
        <w:fldChar w:fldCharType="begin"/>
      </w:r>
      <w:r>
        <w:instrText xml:space="preserve"> HYPERLINK \l _Toc8540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3.6.2 </w:t>
      </w:r>
      <w:r>
        <w:rPr>
          <w:rFonts w:hint="eastAsia"/>
        </w:rPr>
        <w:t>全面装饰、安装施工阶段</w:t>
      </w:r>
      <w:r>
        <w:tab/>
      </w:r>
      <w:r>
        <w:fldChar w:fldCharType="begin"/>
      </w:r>
      <w:r>
        <w:instrText xml:space="preserve"> PAGEREF _Toc8540 \h </w:instrText>
      </w:r>
      <w:r>
        <w:fldChar w:fldCharType="separate"/>
      </w:r>
      <w:r>
        <w:t>69</w:t>
      </w:r>
      <w:r>
        <w:fldChar w:fldCharType="end"/>
      </w:r>
      <w:r>
        <w:fldChar w:fldCharType="end"/>
      </w:r>
    </w:p>
    <w:p w14:paraId="594211B7">
      <w:pPr>
        <w:pStyle w:val="14"/>
        <w:tabs>
          <w:tab w:val="right" w:leader="dot" w:pos="8844"/>
          <w:tab w:val="clear" w:pos="8834"/>
        </w:tabs>
      </w:pPr>
      <w:r>
        <w:fldChar w:fldCharType="begin"/>
      </w:r>
      <w:r>
        <w:instrText xml:space="preserve"> HYPERLINK \l _Toc12915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3.6.3 </w:t>
      </w:r>
      <w:r>
        <w:rPr>
          <w:rFonts w:hint="eastAsia"/>
        </w:rPr>
        <w:t>收尾、验收和交付阶段</w:t>
      </w:r>
      <w:r>
        <w:tab/>
      </w:r>
      <w:r>
        <w:fldChar w:fldCharType="begin"/>
      </w:r>
      <w:r>
        <w:instrText xml:space="preserve"> PAGEREF _Toc12915 \h </w:instrText>
      </w:r>
      <w:r>
        <w:fldChar w:fldCharType="separate"/>
      </w:r>
      <w:r>
        <w:t>70</w:t>
      </w:r>
      <w:r>
        <w:fldChar w:fldCharType="end"/>
      </w:r>
      <w:r>
        <w:fldChar w:fldCharType="end"/>
      </w:r>
    </w:p>
    <w:p w14:paraId="012A500E">
      <w:pPr>
        <w:pStyle w:val="21"/>
        <w:tabs>
          <w:tab w:val="right" w:leader="dot" w:pos="8844"/>
        </w:tabs>
      </w:pPr>
      <w:r>
        <w:fldChar w:fldCharType="begin"/>
      </w:r>
      <w:r>
        <w:instrText xml:space="preserve"> HYPERLINK \l _Toc28857 </w:instrText>
      </w:r>
      <w: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第4章 </w:t>
      </w:r>
      <w:r>
        <w:rPr>
          <w:rFonts w:hint="eastAsia"/>
        </w:rPr>
        <w:t>施工进度计划</w:t>
      </w:r>
      <w:r>
        <w:tab/>
      </w:r>
      <w:r>
        <w:fldChar w:fldCharType="begin"/>
      </w:r>
      <w:r>
        <w:instrText xml:space="preserve"> PAGEREF _Toc28857 \h </w:instrText>
      </w:r>
      <w:r>
        <w:fldChar w:fldCharType="separate"/>
      </w:r>
      <w:r>
        <w:t>71</w:t>
      </w:r>
      <w:r>
        <w:fldChar w:fldCharType="end"/>
      </w:r>
      <w:r>
        <w:fldChar w:fldCharType="end"/>
      </w:r>
    </w:p>
    <w:p w14:paraId="5622743D">
      <w:pPr>
        <w:pStyle w:val="25"/>
        <w:tabs>
          <w:tab w:val="right" w:leader="dot" w:pos="8844"/>
        </w:tabs>
      </w:pPr>
      <w:r>
        <w:fldChar w:fldCharType="begin"/>
      </w:r>
      <w:r>
        <w:instrText xml:space="preserve"> HYPERLINK \l _Toc6392 </w:instrText>
      </w:r>
      <w:r>
        <w:fldChar w:fldCharType="separate"/>
      </w:r>
      <w:r>
        <w:rPr>
          <w:rFonts w:hint="eastAsia" w:ascii="宋体" w:hAnsi="宋体" w:eastAsia="宋体"/>
        </w:rPr>
        <w:t xml:space="preserve">4.1 </w:t>
      </w:r>
      <w:r>
        <w:rPr>
          <w:rFonts w:hint="eastAsia"/>
        </w:rPr>
        <w:t>工期目标</w:t>
      </w:r>
      <w:r>
        <w:tab/>
      </w:r>
      <w:r>
        <w:fldChar w:fldCharType="begin"/>
      </w:r>
      <w:r>
        <w:instrText xml:space="preserve"> PAGEREF _Toc6392 \h </w:instrText>
      </w:r>
      <w:r>
        <w:fldChar w:fldCharType="separate"/>
      </w:r>
      <w:r>
        <w:t>71</w:t>
      </w:r>
      <w:r>
        <w:fldChar w:fldCharType="end"/>
      </w:r>
      <w:r>
        <w:fldChar w:fldCharType="end"/>
      </w:r>
    </w:p>
    <w:p w14:paraId="560865D0">
      <w:pPr>
        <w:pStyle w:val="25"/>
        <w:tabs>
          <w:tab w:val="right" w:leader="dot" w:pos="8844"/>
        </w:tabs>
      </w:pPr>
      <w:r>
        <w:fldChar w:fldCharType="begin"/>
      </w:r>
      <w:r>
        <w:instrText xml:space="preserve"> HYPERLINK \l _Toc4087 </w:instrText>
      </w:r>
      <w:r>
        <w:fldChar w:fldCharType="separate"/>
      </w:r>
      <w:r>
        <w:rPr>
          <w:rFonts w:hint="eastAsia" w:ascii="宋体" w:hAnsi="宋体" w:eastAsia="宋体"/>
        </w:rPr>
        <w:t xml:space="preserve">4.2 </w:t>
      </w:r>
      <w:r>
        <w:rPr>
          <w:rFonts w:hint="eastAsia"/>
        </w:rPr>
        <w:t>进度计划</w:t>
      </w:r>
      <w:r>
        <w:tab/>
      </w:r>
      <w:r>
        <w:fldChar w:fldCharType="begin"/>
      </w:r>
      <w:r>
        <w:instrText xml:space="preserve"> PAGEREF _Toc4087 \h </w:instrText>
      </w:r>
      <w:r>
        <w:fldChar w:fldCharType="separate"/>
      </w:r>
      <w:r>
        <w:t>71</w:t>
      </w:r>
      <w:r>
        <w:fldChar w:fldCharType="end"/>
      </w:r>
      <w:r>
        <w:fldChar w:fldCharType="end"/>
      </w:r>
    </w:p>
    <w:p w14:paraId="49F35244">
      <w:pPr>
        <w:pStyle w:val="14"/>
        <w:tabs>
          <w:tab w:val="right" w:leader="dot" w:pos="8844"/>
          <w:tab w:val="clear" w:pos="8834"/>
        </w:tabs>
      </w:pPr>
      <w:r>
        <w:fldChar w:fldCharType="begin"/>
      </w:r>
      <w:r>
        <w:instrText xml:space="preserve"> HYPERLINK \l _Toc20727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4.2.1 </w:t>
      </w:r>
      <w:r>
        <w:rPr>
          <w:rFonts w:hint="eastAsia"/>
        </w:rPr>
        <w:t>横道图</w:t>
      </w:r>
      <w:r>
        <w:tab/>
      </w:r>
      <w:r>
        <w:fldChar w:fldCharType="begin"/>
      </w:r>
      <w:r>
        <w:instrText xml:space="preserve"> PAGEREF _Toc20727 \h </w:instrText>
      </w:r>
      <w:r>
        <w:fldChar w:fldCharType="separate"/>
      </w:r>
      <w:r>
        <w:t>72</w:t>
      </w:r>
      <w:r>
        <w:fldChar w:fldCharType="end"/>
      </w:r>
      <w:r>
        <w:fldChar w:fldCharType="end"/>
      </w:r>
    </w:p>
    <w:p w14:paraId="4008B6B5">
      <w:pPr>
        <w:pStyle w:val="14"/>
        <w:tabs>
          <w:tab w:val="right" w:leader="dot" w:pos="8844"/>
          <w:tab w:val="clear" w:pos="8834"/>
        </w:tabs>
      </w:pPr>
      <w:r>
        <w:fldChar w:fldCharType="begin"/>
      </w:r>
      <w:r>
        <w:instrText xml:space="preserve"> HYPERLINK \l _Toc31856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4.2.2 </w:t>
      </w:r>
      <w:r>
        <w:rPr>
          <w:rFonts w:hint="eastAsia"/>
        </w:rPr>
        <w:t>地铁图</w:t>
      </w:r>
      <w:r>
        <w:tab/>
      </w:r>
      <w:r>
        <w:fldChar w:fldCharType="begin"/>
      </w:r>
      <w:r>
        <w:instrText xml:space="preserve"> PAGEREF _Toc31856 \h </w:instrText>
      </w:r>
      <w:r>
        <w:fldChar w:fldCharType="separate"/>
      </w:r>
      <w:r>
        <w:t>77</w:t>
      </w:r>
      <w:r>
        <w:fldChar w:fldCharType="end"/>
      </w:r>
      <w:r>
        <w:fldChar w:fldCharType="end"/>
      </w:r>
    </w:p>
    <w:p w14:paraId="5EDC55C1">
      <w:pPr>
        <w:pStyle w:val="21"/>
        <w:tabs>
          <w:tab w:val="right" w:leader="dot" w:pos="8844"/>
        </w:tabs>
      </w:pPr>
      <w:r>
        <w:fldChar w:fldCharType="begin"/>
      </w:r>
      <w:r>
        <w:instrText xml:space="preserve"> HYPERLINK \l _Toc19788 </w:instrText>
      </w:r>
      <w: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第5章 </w:t>
      </w:r>
      <w:r>
        <w:rPr>
          <w:rFonts w:hint="eastAsia"/>
        </w:rPr>
        <w:t>施工总平面布置</w:t>
      </w:r>
      <w:r>
        <w:tab/>
      </w:r>
      <w:r>
        <w:fldChar w:fldCharType="begin"/>
      </w:r>
      <w:r>
        <w:instrText xml:space="preserve"> PAGEREF _Toc19788 \h </w:instrText>
      </w:r>
      <w:r>
        <w:fldChar w:fldCharType="separate"/>
      </w:r>
      <w:r>
        <w:t>78</w:t>
      </w:r>
      <w:r>
        <w:fldChar w:fldCharType="end"/>
      </w:r>
      <w:r>
        <w:fldChar w:fldCharType="end"/>
      </w:r>
    </w:p>
    <w:p w14:paraId="58F09593">
      <w:pPr>
        <w:pStyle w:val="25"/>
        <w:tabs>
          <w:tab w:val="right" w:leader="dot" w:pos="8844"/>
        </w:tabs>
      </w:pPr>
      <w:r>
        <w:fldChar w:fldCharType="begin"/>
      </w:r>
      <w:r>
        <w:instrText xml:space="preserve"> HYPERLINK \l _Toc17615 </w:instrText>
      </w:r>
      <w:r>
        <w:fldChar w:fldCharType="separate"/>
      </w:r>
      <w:r>
        <w:rPr>
          <w:rFonts w:hint="eastAsia" w:ascii="宋体" w:hAnsi="宋体" w:eastAsia="宋体"/>
        </w:rPr>
        <w:t xml:space="preserve">5.1 </w:t>
      </w:r>
      <w:r>
        <w:rPr>
          <w:rFonts w:hint="eastAsia"/>
        </w:rPr>
        <w:t>施工总平面布置依据</w:t>
      </w:r>
      <w:r>
        <w:tab/>
      </w:r>
      <w:r>
        <w:fldChar w:fldCharType="begin"/>
      </w:r>
      <w:r>
        <w:instrText xml:space="preserve"> PAGEREF _Toc17615 \h </w:instrText>
      </w:r>
      <w:r>
        <w:fldChar w:fldCharType="separate"/>
      </w:r>
      <w:r>
        <w:t>78</w:t>
      </w:r>
      <w:r>
        <w:fldChar w:fldCharType="end"/>
      </w:r>
      <w:r>
        <w:fldChar w:fldCharType="end"/>
      </w:r>
    </w:p>
    <w:p w14:paraId="531DE65D">
      <w:pPr>
        <w:pStyle w:val="25"/>
        <w:tabs>
          <w:tab w:val="right" w:leader="dot" w:pos="8844"/>
        </w:tabs>
      </w:pPr>
      <w:r>
        <w:fldChar w:fldCharType="begin"/>
      </w:r>
      <w:r>
        <w:instrText xml:space="preserve"> HYPERLINK \l _Toc13361 </w:instrText>
      </w:r>
      <w:r>
        <w:fldChar w:fldCharType="separate"/>
      </w:r>
      <w:r>
        <w:rPr>
          <w:rFonts w:hint="eastAsia" w:ascii="宋体" w:hAnsi="宋体" w:eastAsia="宋体"/>
        </w:rPr>
        <w:t xml:space="preserve">5.2 </w:t>
      </w:r>
      <w:r>
        <w:rPr>
          <w:rFonts w:hint="eastAsia"/>
        </w:rPr>
        <w:t>施工总平面图的绘制及布置原则</w:t>
      </w:r>
      <w:r>
        <w:tab/>
      </w:r>
      <w:r>
        <w:fldChar w:fldCharType="begin"/>
      </w:r>
      <w:r>
        <w:instrText xml:space="preserve"> PAGEREF _Toc13361 \h </w:instrText>
      </w:r>
      <w:r>
        <w:fldChar w:fldCharType="separate"/>
      </w:r>
      <w:r>
        <w:t>78</w:t>
      </w:r>
      <w:r>
        <w:fldChar w:fldCharType="end"/>
      </w:r>
      <w:r>
        <w:fldChar w:fldCharType="end"/>
      </w:r>
    </w:p>
    <w:p w14:paraId="4B691D05">
      <w:pPr>
        <w:pStyle w:val="25"/>
        <w:tabs>
          <w:tab w:val="right" w:leader="dot" w:pos="8844"/>
        </w:tabs>
      </w:pPr>
      <w:r>
        <w:fldChar w:fldCharType="begin"/>
      </w:r>
      <w:r>
        <w:instrText xml:space="preserve"> HYPERLINK \l _Toc26558 </w:instrText>
      </w:r>
      <w:r>
        <w:fldChar w:fldCharType="separate"/>
      </w:r>
      <w:r>
        <w:rPr>
          <w:rFonts w:hint="eastAsia" w:ascii="宋体" w:hAnsi="宋体" w:eastAsia="宋体"/>
        </w:rPr>
        <w:t xml:space="preserve">5.3 </w:t>
      </w:r>
      <w:r>
        <w:rPr>
          <w:rFonts w:hint="eastAsia"/>
        </w:rPr>
        <w:t>施工总平面图的内容</w:t>
      </w:r>
      <w:r>
        <w:tab/>
      </w:r>
      <w:r>
        <w:fldChar w:fldCharType="begin"/>
      </w:r>
      <w:r>
        <w:instrText xml:space="preserve"> PAGEREF _Toc26558 \h </w:instrText>
      </w:r>
      <w:r>
        <w:fldChar w:fldCharType="separate"/>
      </w:r>
      <w:r>
        <w:t>79</w:t>
      </w:r>
      <w:r>
        <w:fldChar w:fldCharType="end"/>
      </w:r>
      <w:r>
        <w:fldChar w:fldCharType="end"/>
      </w:r>
    </w:p>
    <w:p w14:paraId="12285D3A">
      <w:pPr>
        <w:pStyle w:val="14"/>
        <w:tabs>
          <w:tab w:val="right" w:leader="dot" w:pos="8844"/>
          <w:tab w:val="clear" w:pos="8834"/>
        </w:tabs>
      </w:pPr>
      <w:r>
        <w:fldChar w:fldCharType="begin"/>
      </w:r>
      <w:r>
        <w:instrText xml:space="preserve"> HYPERLINK \l _Toc32177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5.3.1 </w:t>
      </w:r>
      <w:r>
        <w:rPr>
          <w:rFonts w:hint="eastAsia"/>
        </w:rPr>
        <w:t>现场出入口及围墙</w:t>
      </w:r>
      <w:r>
        <w:tab/>
      </w:r>
      <w:r>
        <w:fldChar w:fldCharType="begin"/>
      </w:r>
      <w:r>
        <w:instrText xml:space="preserve"> PAGEREF _Toc32177 \h </w:instrText>
      </w:r>
      <w:r>
        <w:fldChar w:fldCharType="separate"/>
      </w:r>
      <w:r>
        <w:t>79</w:t>
      </w:r>
      <w:r>
        <w:fldChar w:fldCharType="end"/>
      </w:r>
      <w:r>
        <w:fldChar w:fldCharType="end"/>
      </w:r>
    </w:p>
    <w:p w14:paraId="4ADF63C5">
      <w:pPr>
        <w:pStyle w:val="14"/>
        <w:tabs>
          <w:tab w:val="right" w:leader="dot" w:pos="8844"/>
          <w:tab w:val="clear" w:pos="8834"/>
        </w:tabs>
      </w:pPr>
      <w:r>
        <w:fldChar w:fldCharType="begin"/>
      </w:r>
      <w:r>
        <w:instrText xml:space="preserve"> HYPERLINK \l _Toc18677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5.3.2 </w:t>
      </w:r>
      <w:r>
        <w:rPr>
          <w:rFonts w:hint="eastAsia"/>
        </w:rPr>
        <w:t>现场机械、设备的布置</w:t>
      </w:r>
      <w:r>
        <w:tab/>
      </w:r>
      <w:r>
        <w:fldChar w:fldCharType="begin"/>
      </w:r>
      <w:r>
        <w:instrText xml:space="preserve"> PAGEREF _Toc18677 \h </w:instrText>
      </w:r>
      <w:r>
        <w:fldChar w:fldCharType="separate"/>
      </w:r>
      <w:r>
        <w:t>79</w:t>
      </w:r>
      <w:r>
        <w:fldChar w:fldCharType="end"/>
      </w:r>
      <w:r>
        <w:fldChar w:fldCharType="end"/>
      </w:r>
    </w:p>
    <w:p w14:paraId="1350EF54">
      <w:pPr>
        <w:pStyle w:val="14"/>
        <w:tabs>
          <w:tab w:val="right" w:leader="dot" w:pos="8844"/>
          <w:tab w:val="clear" w:pos="8834"/>
        </w:tabs>
      </w:pPr>
      <w:r>
        <w:fldChar w:fldCharType="begin"/>
      </w:r>
      <w:r>
        <w:instrText xml:space="preserve"> HYPERLINK \l _Toc8957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5.3.3 </w:t>
      </w:r>
      <w:r>
        <w:rPr>
          <w:rFonts w:hint="eastAsia"/>
        </w:rPr>
        <w:t>现场材料加工、堆放场地</w:t>
      </w:r>
      <w:r>
        <w:tab/>
      </w:r>
      <w:r>
        <w:fldChar w:fldCharType="begin"/>
      </w:r>
      <w:r>
        <w:instrText xml:space="preserve"> PAGEREF _Toc8957 \h </w:instrText>
      </w:r>
      <w:r>
        <w:fldChar w:fldCharType="separate"/>
      </w:r>
      <w:r>
        <w:t>79</w:t>
      </w:r>
      <w:r>
        <w:fldChar w:fldCharType="end"/>
      </w:r>
      <w:r>
        <w:fldChar w:fldCharType="end"/>
      </w:r>
    </w:p>
    <w:p w14:paraId="15B2F722">
      <w:pPr>
        <w:pStyle w:val="14"/>
        <w:tabs>
          <w:tab w:val="right" w:leader="dot" w:pos="8844"/>
          <w:tab w:val="clear" w:pos="8834"/>
        </w:tabs>
      </w:pPr>
      <w:r>
        <w:fldChar w:fldCharType="begin"/>
      </w:r>
      <w:r>
        <w:instrText xml:space="preserve"> HYPERLINK \l _Toc30685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5.3.4 </w:t>
      </w:r>
      <w:r>
        <w:rPr>
          <w:rFonts w:hint="eastAsia"/>
        </w:rPr>
        <w:t>现场办公区、生活区</w:t>
      </w:r>
      <w:r>
        <w:tab/>
      </w:r>
      <w:r>
        <w:fldChar w:fldCharType="begin"/>
      </w:r>
      <w:r>
        <w:instrText xml:space="preserve"> PAGEREF _Toc30685 \h </w:instrText>
      </w:r>
      <w:r>
        <w:fldChar w:fldCharType="separate"/>
      </w:r>
      <w:r>
        <w:t>79</w:t>
      </w:r>
      <w:r>
        <w:fldChar w:fldCharType="end"/>
      </w:r>
      <w:r>
        <w:fldChar w:fldCharType="end"/>
      </w:r>
    </w:p>
    <w:p w14:paraId="1FFB2F7A">
      <w:pPr>
        <w:pStyle w:val="14"/>
        <w:tabs>
          <w:tab w:val="right" w:leader="dot" w:pos="8844"/>
          <w:tab w:val="clear" w:pos="8834"/>
        </w:tabs>
      </w:pPr>
      <w:r>
        <w:fldChar w:fldCharType="begin"/>
      </w:r>
      <w:r>
        <w:instrText xml:space="preserve"> HYPERLINK \l _Toc19717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5.3.5 </w:t>
      </w:r>
      <w:r>
        <w:rPr>
          <w:rFonts w:hint="eastAsia"/>
        </w:rPr>
        <w:t>临时用水布置</w:t>
      </w:r>
      <w:r>
        <w:tab/>
      </w:r>
      <w:r>
        <w:fldChar w:fldCharType="begin"/>
      </w:r>
      <w:r>
        <w:instrText xml:space="preserve"> PAGEREF _Toc19717 \h </w:instrText>
      </w:r>
      <w:r>
        <w:fldChar w:fldCharType="separate"/>
      </w:r>
      <w:r>
        <w:t>80</w:t>
      </w:r>
      <w:r>
        <w:fldChar w:fldCharType="end"/>
      </w:r>
      <w:r>
        <w:fldChar w:fldCharType="end"/>
      </w:r>
    </w:p>
    <w:p w14:paraId="268CB710">
      <w:pPr>
        <w:pStyle w:val="14"/>
        <w:tabs>
          <w:tab w:val="right" w:leader="dot" w:pos="8844"/>
          <w:tab w:val="clear" w:pos="8834"/>
        </w:tabs>
      </w:pPr>
      <w:r>
        <w:fldChar w:fldCharType="begin"/>
      </w:r>
      <w:r>
        <w:instrText xml:space="preserve"> HYPERLINK \l _Toc7200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5.3.6 </w:t>
      </w:r>
      <w:r>
        <w:rPr>
          <w:rFonts w:hint="eastAsia"/>
        </w:rPr>
        <w:t>临时用电布置</w:t>
      </w:r>
      <w:r>
        <w:tab/>
      </w:r>
      <w:r>
        <w:fldChar w:fldCharType="begin"/>
      </w:r>
      <w:r>
        <w:instrText xml:space="preserve"> PAGEREF _Toc7200 \h </w:instrText>
      </w:r>
      <w:r>
        <w:fldChar w:fldCharType="separate"/>
      </w:r>
      <w:r>
        <w:t>86</w:t>
      </w:r>
      <w:r>
        <w:fldChar w:fldCharType="end"/>
      </w:r>
      <w:r>
        <w:fldChar w:fldCharType="end"/>
      </w:r>
    </w:p>
    <w:p w14:paraId="6D6A72F2">
      <w:pPr>
        <w:pStyle w:val="25"/>
        <w:tabs>
          <w:tab w:val="right" w:leader="dot" w:pos="8844"/>
        </w:tabs>
      </w:pPr>
      <w:r>
        <w:fldChar w:fldCharType="begin"/>
      </w:r>
      <w:r>
        <w:instrText xml:space="preserve"> HYPERLINK \l _Toc9544 </w:instrText>
      </w:r>
      <w:r>
        <w:fldChar w:fldCharType="separate"/>
      </w:r>
      <w:r>
        <w:rPr>
          <w:rFonts w:hint="eastAsia" w:ascii="宋体" w:hAnsi="宋体" w:eastAsia="宋体"/>
        </w:rPr>
        <w:t xml:space="preserve">5.4 </w:t>
      </w:r>
      <w:r>
        <w:rPr>
          <w:rFonts w:hint="eastAsia"/>
        </w:rPr>
        <w:t>各阶段总平面布置图</w:t>
      </w:r>
      <w:r>
        <w:tab/>
      </w:r>
      <w:r>
        <w:fldChar w:fldCharType="begin"/>
      </w:r>
      <w:r>
        <w:instrText xml:space="preserve"> PAGEREF _Toc9544 \h </w:instrText>
      </w:r>
      <w:r>
        <w:fldChar w:fldCharType="separate"/>
      </w:r>
      <w:r>
        <w:t>87</w:t>
      </w:r>
      <w:r>
        <w:fldChar w:fldCharType="end"/>
      </w:r>
      <w:r>
        <w:fldChar w:fldCharType="end"/>
      </w:r>
    </w:p>
    <w:p w14:paraId="368A57C0">
      <w:pPr>
        <w:pStyle w:val="21"/>
        <w:tabs>
          <w:tab w:val="right" w:leader="dot" w:pos="8844"/>
        </w:tabs>
      </w:pPr>
      <w:r>
        <w:fldChar w:fldCharType="begin"/>
      </w:r>
      <w:r>
        <w:instrText xml:space="preserve"> HYPERLINK \l _Toc16346 </w:instrText>
      </w:r>
      <w: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第6章 </w:t>
      </w:r>
      <w:r>
        <w:rPr>
          <w:rFonts w:hint="eastAsia"/>
        </w:rPr>
        <w:t>主要分部分项工程施工方法</w:t>
      </w:r>
      <w:r>
        <w:tab/>
      </w:r>
      <w:r>
        <w:fldChar w:fldCharType="begin"/>
      </w:r>
      <w:r>
        <w:instrText xml:space="preserve"> PAGEREF _Toc16346 \h </w:instrText>
      </w:r>
      <w:r>
        <w:fldChar w:fldCharType="separate"/>
      </w:r>
      <w:r>
        <w:t>95</w:t>
      </w:r>
      <w:r>
        <w:fldChar w:fldCharType="end"/>
      </w:r>
      <w:r>
        <w:fldChar w:fldCharType="end"/>
      </w:r>
    </w:p>
    <w:p w14:paraId="6616F811">
      <w:pPr>
        <w:pStyle w:val="25"/>
        <w:tabs>
          <w:tab w:val="right" w:leader="dot" w:pos="8844"/>
        </w:tabs>
      </w:pPr>
      <w:r>
        <w:fldChar w:fldCharType="begin"/>
      </w:r>
      <w:r>
        <w:instrText xml:space="preserve"> HYPERLINK \l _Toc16824 </w:instrText>
      </w:r>
      <w:r>
        <w:fldChar w:fldCharType="separate"/>
      </w:r>
      <w:r>
        <w:rPr>
          <w:rFonts w:hint="eastAsia" w:ascii="宋体" w:hAnsi="宋体" w:eastAsia="宋体"/>
        </w:rPr>
        <w:t xml:space="preserve">6.1 </w:t>
      </w:r>
      <w:r>
        <w:rPr>
          <w:rFonts w:hint="eastAsia"/>
        </w:rPr>
        <w:t>测量放线</w:t>
      </w:r>
      <w:r>
        <w:tab/>
      </w:r>
      <w:r>
        <w:fldChar w:fldCharType="begin"/>
      </w:r>
      <w:r>
        <w:instrText xml:space="preserve"> PAGEREF _Toc16824 \h </w:instrText>
      </w:r>
      <w:r>
        <w:fldChar w:fldCharType="separate"/>
      </w:r>
      <w:r>
        <w:t>95</w:t>
      </w:r>
      <w:r>
        <w:fldChar w:fldCharType="end"/>
      </w:r>
      <w:r>
        <w:fldChar w:fldCharType="end"/>
      </w:r>
    </w:p>
    <w:p w14:paraId="4FF19437">
      <w:pPr>
        <w:pStyle w:val="14"/>
        <w:tabs>
          <w:tab w:val="right" w:leader="dot" w:pos="8844"/>
          <w:tab w:val="clear" w:pos="8834"/>
        </w:tabs>
      </w:pPr>
      <w:r>
        <w:fldChar w:fldCharType="begin"/>
      </w:r>
      <w:r>
        <w:instrText xml:space="preserve"> HYPERLINK \l _Toc11343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6.1.1 </w:t>
      </w:r>
      <w:r>
        <w:rPr>
          <w:rFonts w:hint="eastAsia"/>
        </w:rPr>
        <w:t>测量准备</w:t>
      </w:r>
      <w:r>
        <w:tab/>
      </w:r>
      <w:r>
        <w:fldChar w:fldCharType="begin"/>
      </w:r>
      <w:r>
        <w:instrText xml:space="preserve"> PAGEREF _Toc11343 \h </w:instrText>
      </w:r>
      <w:r>
        <w:fldChar w:fldCharType="separate"/>
      </w:r>
      <w:r>
        <w:t>95</w:t>
      </w:r>
      <w:r>
        <w:fldChar w:fldCharType="end"/>
      </w:r>
      <w:r>
        <w:fldChar w:fldCharType="end"/>
      </w:r>
    </w:p>
    <w:p w14:paraId="5FBDA078">
      <w:pPr>
        <w:pStyle w:val="14"/>
        <w:tabs>
          <w:tab w:val="right" w:leader="dot" w:pos="8844"/>
          <w:tab w:val="clear" w:pos="8834"/>
        </w:tabs>
      </w:pPr>
      <w:r>
        <w:fldChar w:fldCharType="begin"/>
      </w:r>
      <w:r>
        <w:instrText xml:space="preserve"> HYPERLINK \l _Toc11554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6.1.2 </w:t>
      </w:r>
      <w:r>
        <w:rPr>
          <w:rFonts w:hint="eastAsia"/>
        </w:rPr>
        <w:t>测量设备配置</w:t>
      </w:r>
      <w:r>
        <w:tab/>
      </w:r>
      <w:r>
        <w:fldChar w:fldCharType="begin"/>
      </w:r>
      <w:r>
        <w:instrText xml:space="preserve"> PAGEREF _Toc11554 \h </w:instrText>
      </w:r>
      <w:r>
        <w:fldChar w:fldCharType="separate"/>
      </w:r>
      <w:r>
        <w:t>95</w:t>
      </w:r>
      <w:r>
        <w:fldChar w:fldCharType="end"/>
      </w:r>
      <w:r>
        <w:fldChar w:fldCharType="end"/>
      </w:r>
    </w:p>
    <w:p w14:paraId="6889E7A3">
      <w:pPr>
        <w:pStyle w:val="14"/>
        <w:tabs>
          <w:tab w:val="right" w:leader="dot" w:pos="8844"/>
          <w:tab w:val="clear" w:pos="8834"/>
        </w:tabs>
      </w:pPr>
      <w:r>
        <w:fldChar w:fldCharType="begin"/>
      </w:r>
      <w:r>
        <w:instrText xml:space="preserve"> HYPERLINK \l _Toc30033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6.1.3 </w:t>
      </w:r>
      <w:r>
        <w:rPr>
          <w:rFonts w:hint="eastAsia"/>
        </w:rPr>
        <w:t>测量控制基准点的建立</w:t>
      </w:r>
      <w:r>
        <w:tab/>
      </w:r>
      <w:r>
        <w:fldChar w:fldCharType="begin"/>
      </w:r>
      <w:r>
        <w:instrText xml:space="preserve"> PAGEREF _Toc30033 \h </w:instrText>
      </w:r>
      <w:r>
        <w:fldChar w:fldCharType="separate"/>
      </w:r>
      <w:r>
        <w:t>96</w:t>
      </w:r>
      <w:r>
        <w:fldChar w:fldCharType="end"/>
      </w:r>
      <w:r>
        <w:fldChar w:fldCharType="end"/>
      </w:r>
    </w:p>
    <w:p w14:paraId="24BDE593">
      <w:pPr>
        <w:pStyle w:val="14"/>
        <w:tabs>
          <w:tab w:val="right" w:leader="dot" w:pos="8844"/>
          <w:tab w:val="clear" w:pos="8834"/>
        </w:tabs>
      </w:pPr>
      <w:r>
        <w:fldChar w:fldCharType="begin"/>
      </w:r>
      <w:r>
        <w:instrText xml:space="preserve"> HYPERLINK \l _Toc22400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 </w:t>
      </w:r>
      <w:r>
        <w:rPr>
          <w:rFonts w:hint="eastAsia"/>
        </w:rPr>
        <w:t>平面控制网的测设技术</w:t>
      </w:r>
      <w:r>
        <w:tab/>
      </w:r>
      <w:r>
        <w:fldChar w:fldCharType="begin"/>
      </w:r>
      <w:r>
        <w:instrText xml:space="preserve"> PAGEREF _Toc22400 \h </w:instrText>
      </w:r>
      <w:r>
        <w:fldChar w:fldCharType="separate"/>
      </w:r>
      <w:r>
        <w:t>96</w:t>
      </w:r>
      <w:r>
        <w:fldChar w:fldCharType="end"/>
      </w:r>
      <w:r>
        <w:fldChar w:fldCharType="end"/>
      </w:r>
    </w:p>
    <w:p w14:paraId="527FA8C7">
      <w:pPr>
        <w:pStyle w:val="14"/>
        <w:tabs>
          <w:tab w:val="right" w:leader="dot" w:pos="8844"/>
          <w:tab w:val="clear" w:pos="8834"/>
        </w:tabs>
      </w:pPr>
      <w:r>
        <w:fldChar w:fldCharType="begin"/>
      </w:r>
      <w:r>
        <w:instrText xml:space="preserve"> HYPERLINK \l _Toc28848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 </w:t>
      </w:r>
      <w:r>
        <w:rPr>
          <w:rFonts w:hint="eastAsia"/>
        </w:rPr>
        <w:t>沉降变形观测</w:t>
      </w:r>
      <w:r>
        <w:tab/>
      </w:r>
      <w:r>
        <w:fldChar w:fldCharType="begin"/>
      </w:r>
      <w:r>
        <w:instrText xml:space="preserve"> PAGEREF _Toc28848 \h </w:instrText>
      </w:r>
      <w:r>
        <w:fldChar w:fldCharType="separate"/>
      </w:r>
      <w:r>
        <w:t>97</w:t>
      </w:r>
      <w:r>
        <w:fldChar w:fldCharType="end"/>
      </w:r>
      <w:r>
        <w:fldChar w:fldCharType="end"/>
      </w:r>
    </w:p>
    <w:p w14:paraId="341ABE2D">
      <w:pPr>
        <w:pStyle w:val="25"/>
        <w:tabs>
          <w:tab w:val="right" w:leader="dot" w:pos="8844"/>
        </w:tabs>
      </w:pPr>
      <w:r>
        <w:fldChar w:fldCharType="begin"/>
      </w:r>
      <w:r>
        <w:instrText xml:space="preserve"> HYPERLINK \l _Toc22037 </w:instrText>
      </w:r>
      <w:r>
        <w:fldChar w:fldCharType="separate"/>
      </w:r>
      <w:r>
        <w:rPr>
          <w:rFonts w:hint="eastAsia" w:ascii="宋体" w:hAnsi="宋体" w:eastAsia="宋体"/>
        </w:rPr>
        <w:t xml:space="preserve">6.2 </w:t>
      </w:r>
      <w:r>
        <w:rPr>
          <w:rFonts w:hint="eastAsia"/>
        </w:rPr>
        <w:t>桩基施工方案</w:t>
      </w:r>
      <w:r>
        <w:tab/>
      </w:r>
      <w:r>
        <w:fldChar w:fldCharType="begin"/>
      </w:r>
      <w:r>
        <w:instrText xml:space="preserve"> PAGEREF _Toc22037 \h </w:instrText>
      </w:r>
      <w:r>
        <w:fldChar w:fldCharType="separate"/>
      </w:r>
      <w:r>
        <w:t>99</w:t>
      </w:r>
      <w:r>
        <w:fldChar w:fldCharType="end"/>
      </w:r>
      <w:r>
        <w:fldChar w:fldCharType="end"/>
      </w:r>
    </w:p>
    <w:p w14:paraId="56B03C20">
      <w:pPr>
        <w:pStyle w:val="14"/>
        <w:tabs>
          <w:tab w:val="right" w:leader="dot" w:pos="8844"/>
          <w:tab w:val="clear" w:pos="8834"/>
        </w:tabs>
      </w:pPr>
      <w:r>
        <w:fldChar w:fldCharType="begin"/>
      </w:r>
      <w:r>
        <w:instrText xml:space="preserve"> HYPERLINK \l _Toc632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6.2.1 </w:t>
      </w:r>
      <w:r>
        <w:rPr>
          <w:rFonts w:hint="eastAsia"/>
        </w:rPr>
        <w:t>工程桩概况</w:t>
      </w:r>
      <w:r>
        <w:tab/>
      </w:r>
      <w:r>
        <w:fldChar w:fldCharType="begin"/>
      </w:r>
      <w:r>
        <w:instrText xml:space="preserve"> PAGEREF _Toc632 \h </w:instrText>
      </w:r>
      <w:r>
        <w:fldChar w:fldCharType="separate"/>
      </w:r>
      <w:r>
        <w:t>99</w:t>
      </w:r>
      <w:r>
        <w:fldChar w:fldCharType="end"/>
      </w:r>
      <w:r>
        <w:fldChar w:fldCharType="end"/>
      </w:r>
    </w:p>
    <w:p w14:paraId="374F7FCE">
      <w:pPr>
        <w:pStyle w:val="14"/>
        <w:tabs>
          <w:tab w:val="right" w:leader="dot" w:pos="8844"/>
          <w:tab w:val="clear" w:pos="8834"/>
        </w:tabs>
      </w:pPr>
      <w:r>
        <w:fldChar w:fldCharType="begin"/>
      </w:r>
      <w:r>
        <w:instrText xml:space="preserve"> HYPERLINK \l _Toc22862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6.2.2 </w:t>
      </w:r>
      <w:r>
        <w:rPr>
          <w:rFonts w:hint="eastAsia"/>
        </w:rPr>
        <w:t>总体施工流程</w:t>
      </w:r>
      <w:r>
        <w:tab/>
      </w:r>
      <w:r>
        <w:fldChar w:fldCharType="begin"/>
      </w:r>
      <w:r>
        <w:instrText xml:space="preserve"> PAGEREF _Toc22862 \h </w:instrText>
      </w:r>
      <w:r>
        <w:fldChar w:fldCharType="separate"/>
      </w:r>
      <w:r>
        <w:t>99</w:t>
      </w:r>
      <w:r>
        <w:fldChar w:fldCharType="end"/>
      </w:r>
      <w:r>
        <w:fldChar w:fldCharType="end"/>
      </w:r>
    </w:p>
    <w:p w14:paraId="10525A81">
      <w:pPr>
        <w:pStyle w:val="14"/>
        <w:tabs>
          <w:tab w:val="right" w:leader="dot" w:pos="8844"/>
          <w:tab w:val="clear" w:pos="8834"/>
        </w:tabs>
      </w:pPr>
      <w:r>
        <w:fldChar w:fldCharType="begin"/>
      </w:r>
      <w:r>
        <w:instrText xml:space="preserve"> HYPERLINK \l _Toc11201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6.2.3 </w:t>
      </w:r>
      <w:r>
        <w:rPr>
          <w:rFonts w:hint="eastAsia"/>
        </w:rPr>
        <w:t>施工工艺</w:t>
      </w:r>
      <w:r>
        <w:tab/>
      </w:r>
      <w:r>
        <w:fldChar w:fldCharType="begin"/>
      </w:r>
      <w:r>
        <w:instrText xml:space="preserve"> PAGEREF _Toc11201 \h </w:instrText>
      </w:r>
      <w:r>
        <w:fldChar w:fldCharType="separate"/>
      </w:r>
      <w:r>
        <w:t>99</w:t>
      </w:r>
      <w:r>
        <w:fldChar w:fldCharType="end"/>
      </w:r>
      <w:r>
        <w:fldChar w:fldCharType="end"/>
      </w:r>
    </w:p>
    <w:p w14:paraId="297FA88C">
      <w:pPr>
        <w:pStyle w:val="25"/>
        <w:tabs>
          <w:tab w:val="right" w:leader="dot" w:pos="8844"/>
        </w:tabs>
      </w:pPr>
      <w:r>
        <w:fldChar w:fldCharType="begin"/>
      </w:r>
      <w:r>
        <w:instrText xml:space="preserve"> HYPERLINK \l _Toc11957 </w:instrText>
      </w:r>
      <w:r>
        <w:fldChar w:fldCharType="separate"/>
      </w:r>
      <w:r>
        <w:rPr>
          <w:rFonts w:hint="eastAsia" w:ascii="宋体" w:hAnsi="宋体" w:eastAsia="宋体"/>
        </w:rPr>
        <w:t xml:space="preserve">6.3 </w:t>
      </w:r>
      <w:r>
        <w:rPr>
          <w:rFonts w:hint="eastAsia"/>
        </w:rPr>
        <w:t>地下工程</w:t>
      </w:r>
      <w:r>
        <w:tab/>
      </w:r>
      <w:r>
        <w:fldChar w:fldCharType="begin"/>
      </w:r>
      <w:r>
        <w:instrText xml:space="preserve"> PAGEREF _Toc11957 \h </w:instrText>
      </w:r>
      <w:r>
        <w:fldChar w:fldCharType="separate"/>
      </w:r>
      <w:r>
        <w:t>102</w:t>
      </w:r>
      <w:r>
        <w:fldChar w:fldCharType="end"/>
      </w:r>
      <w:r>
        <w:fldChar w:fldCharType="end"/>
      </w:r>
    </w:p>
    <w:p w14:paraId="78F10908">
      <w:pPr>
        <w:pStyle w:val="14"/>
        <w:tabs>
          <w:tab w:val="right" w:leader="dot" w:pos="8844"/>
          <w:tab w:val="clear" w:pos="8834"/>
        </w:tabs>
      </w:pPr>
      <w:r>
        <w:fldChar w:fldCharType="begin"/>
      </w:r>
      <w:r>
        <w:instrText xml:space="preserve"> HYPERLINK \l _Toc31070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6.3.1 </w:t>
      </w:r>
      <w:r>
        <w:rPr>
          <w:rFonts w:hint="eastAsia"/>
        </w:rPr>
        <w:t>基坑支护</w:t>
      </w:r>
      <w:r>
        <w:tab/>
      </w:r>
      <w:r>
        <w:fldChar w:fldCharType="begin"/>
      </w:r>
      <w:r>
        <w:instrText xml:space="preserve"> PAGEREF _Toc31070 \h </w:instrText>
      </w:r>
      <w:r>
        <w:fldChar w:fldCharType="separate"/>
      </w:r>
      <w:r>
        <w:t>102</w:t>
      </w:r>
      <w:r>
        <w:fldChar w:fldCharType="end"/>
      </w:r>
      <w:r>
        <w:fldChar w:fldCharType="end"/>
      </w:r>
    </w:p>
    <w:p w14:paraId="7EEF2D2E">
      <w:pPr>
        <w:pStyle w:val="14"/>
        <w:tabs>
          <w:tab w:val="right" w:leader="dot" w:pos="8844"/>
          <w:tab w:val="clear" w:pos="8834"/>
        </w:tabs>
      </w:pPr>
      <w:r>
        <w:fldChar w:fldCharType="begin"/>
      </w:r>
      <w:r>
        <w:instrText xml:space="preserve"> HYPERLINK \l _Toc6016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6.3.2 </w:t>
      </w:r>
      <w:r>
        <w:rPr>
          <w:rFonts w:hint="eastAsia"/>
        </w:rPr>
        <w:t>土石方工程</w:t>
      </w:r>
      <w:r>
        <w:tab/>
      </w:r>
      <w:r>
        <w:fldChar w:fldCharType="begin"/>
      </w:r>
      <w:r>
        <w:instrText xml:space="preserve"> PAGEREF _Toc6016 \h </w:instrText>
      </w:r>
      <w:r>
        <w:fldChar w:fldCharType="separate"/>
      </w:r>
      <w:r>
        <w:t>113</w:t>
      </w:r>
      <w:r>
        <w:fldChar w:fldCharType="end"/>
      </w:r>
      <w:r>
        <w:fldChar w:fldCharType="end"/>
      </w:r>
    </w:p>
    <w:p w14:paraId="33FF0005">
      <w:pPr>
        <w:pStyle w:val="25"/>
        <w:tabs>
          <w:tab w:val="right" w:leader="dot" w:pos="8844"/>
        </w:tabs>
      </w:pPr>
      <w:r>
        <w:fldChar w:fldCharType="begin"/>
      </w:r>
      <w:r>
        <w:instrText xml:space="preserve"> HYPERLINK \l _Toc6325 </w:instrText>
      </w:r>
      <w:r>
        <w:fldChar w:fldCharType="separate"/>
      </w:r>
      <w:r>
        <w:rPr>
          <w:rFonts w:hint="eastAsia" w:ascii="宋体" w:hAnsi="宋体" w:eastAsia="宋体"/>
        </w:rPr>
        <w:t xml:space="preserve">6.4 </w:t>
      </w:r>
      <w:r>
        <w:rPr>
          <w:rFonts w:hint="eastAsia"/>
        </w:rPr>
        <w:t>结构工程</w:t>
      </w:r>
      <w:r>
        <w:tab/>
      </w:r>
      <w:r>
        <w:fldChar w:fldCharType="begin"/>
      </w:r>
      <w:r>
        <w:instrText xml:space="preserve"> PAGEREF _Toc6325 \h </w:instrText>
      </w:r>
      <w:r>
        <w:fldChar w:fldCharType="separate"/>
      </w:r>
      <w:r>
        <w:t>116</w:t>
      </w:r>
      <w:r>
        <w:fldChar w:fldCharType="end"/>
      </w:r>
      <w:r>
        <w:fldChar w:fldCharType="end"/>
      </w:r>
    </w:p>
    <w:p w14:paraId="18E15211">
      <w:pPr>
        <w:pStyle w:val="14"/>
        <w:tabs>
          <w:tab w:val="right" w:leader="dot" w:pos="8844"/>
          <w:tab w:val="clear" w:pos="8834"/>
        </w:tabs>
      </w:pPr>
      <w:r>
        <w:fldChar w:fldCharType="begin"/>
      </w:r>
      <w:r>
        <w:instrText xml:space="preserve"> HYPERLINK \l _Toc16505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6.4.1 </w:t>
      </w:r>
      <w:r>
        <w:rPr>
          <w:rFonts w:hint="eastAsia"/>
        </w:rPr>
        <w:t>钢筋工程</w:t>
      </w:r>
      <w:r>
        <w:tab/>
      </w:r>
      <w:r>
        <w:fldChar w:fldCharType="begin"/>
      </w:r>
      <w:r>
        <w:instrText xml:space="preserve"> PAGEREF _Toc16505 \h </w:instrText>
      </w:r>
      <w:r>
        <w:fldChar w:fldCharType="separate"/>
      </w:r>
      <w:r>
        <w:t>116</w:t>
      </w:r>
      <w:r>
        <w:fldChar w:fldCharType="end"/>
      </w:r>
      <w:r>
        <w:fldChar w:fldCharType="end"/>
      </w:r>
    </w:p>
    <w:p w14:paraId="37129580">
      <w:pPr>
        <w:pStyle w:val="14"/>
        <w:tabs>
          <w:tab w:val="right" w:leader="dot" w:pos="8844"/>
          <w:tab w:val="clear" w:pos="8834"/>
        </w:tabs>
      </w:pPr>
      <w:r>
        <w:fldChar w:fldCharType="begin"/>
      </w:r>
      <w:r>
        <w:instrText xml:space="preserve"> HYPERLINK \l _Toc19573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6.4.2 </w:t>
      </w:r>
      <w:r>
        <w:rPr>
          <w:rFonts w:hint="eastAsia"/>
        </w:rPr>
        <w:t>模板工程</w:t>
      </w:r>
      <w:r>
        <w:tab/>
      </w:r>
      <w:r>
        <w:fldChar w:fldCharType="begin"/>
      </w:r>
      <w:r>
        <w:instrText xml:space="preserve"> PAGEREF _Toc19573 \h </w:instrText>
      </w:r>
      <w:r>
        <w:fldChar w:fldCharType="separate"/>
      </w:r>
      <w:r>
        <w:t>121</w:t>
      </w:r>
      <w:r>
        <w:fldChar w:fldCharType="end"/>
      </w:r>
      <w:r>
        <w:fldChar w:fldCharType="end"/>
      </w:r>
    </w:p>
    <w:p w14:paraId="345AA2DD">
      <w:pPr>
        <w:pStyle w:val="14"/>
        <w:tabs>
          <w:tab w:val="right" w:leader="dot" w:pos="8844"/>
          <w:tab w:val="clear" w:pos="8834"/>
        </w:tabs>
      </w:pPr>
      <w:r>
        <w:fldChar w:fldCharType="begin"/>
      </w:r>
      <w:r>
        <w:instrText xml:space="preserve"> HYPERLINK \l _Toc20056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6.4.3 </w:t>
      </w:r>
      <w:r>
        <w:rPr>
          <w:rFonts w:hint="eastAsia"/>
        </w:rPr>
        <w:t>高大模板工程</w:t>
      </w:r>
      <w:r>
        <w:tab/>
      </w:r>
      <w:r>
        <w:fldChar w:fldCharType="begin"/>
      </w:r>
      <w:r>
        <w:instrText xml:space="preserve"> PAGEREF _Toc20056 \h </w:instrText>
      </w:r>
      <w:r>
        <w:fldChar w:fldCharType="separate"/>
      </w:r>
      <w:r>
        <w:t>127</w:t>
      </w:r>
      <w:r>
        <w:fldChar w:fldCharType="end"/>
      </w:r>
      <w:r>
        <w:fldChar w:fldCharType="end"/>
      </w:r>
    </w:p>
    <w:p w14:paraId="28779288">
      <w:pPr>
        <w:pStyle w:val="14"/>
        <w:tabs>
          <w:tab w:val="right" w:leader="dot" w:pos="8844"/>
          <w:tab w:val="clear" w:pos="8834"/>
        </w:tabs>
      </w:pPr>
      <w:r>
        <w:fldChar w:fldCharType="begin"/>
      </w:r>
      <w:r>
        <w:instrText xml:space="preserve"> HYPERLINK \l _Toc2073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6.4.4 </w:t>
      </w:r>
      <w:r>
        <w:rPr>
          <w:rFonts w:hint="eastAsia"/>
        </w:rPr>
        <w:t>混凝土工程</w:t>
      </w:r>
      <w:r>
        <w:tab/>
      </w:r>
      <w:r>
        <w:fldChar w:fldCharType="begin"/>
      </w:r>
      <w:r>
        <w:instrText xml:space="preserve"> PAGEREF _Toc2073 \h </w:instrText>
      </w:r>
      <w:r>
        <w:fldChar w:fldCharType="separate"/>
      </w:r>
      <w:r>
        <w:t>147</w:t>
      </w:r>
      <w:r>
        <w:fldChar w:fldCharType="end"/>
      </w:r>
      <w:r>
        <w:fldChar w:fldCharType="end"/>
      </w:r>
    </w:p>
    <w:p w14:paraId="7D152B69">
      <w:pPr>
        <w:pStyle w:val="14"/>
        <w:tabs>
          <w:tab w:val="right" w:leader="dot" w:pos="8844"/>
          <w:tab w:val="clear" w:pos="8834"/>
        </w:tabs>
      </w:pPr>
      <w:r>
        <w:fldChar w:fldCharType="begin"/>
      </w:r>
      <w:r>
        <w:instrText xml:space="preserve"> HYPERLINK \l _Toc18889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6.4.5 </w:t>
      </w:r>
      <w:r>
        <w:rPr>
          <w:rFonts w:hint="eastAsia"/>
        </w:rPr>
        <w:t>砌筑工程</w:t>
      </w:r>
      <w:r>
        <w:tab/>
      </w:r>
      <w:r>
        <w:fldChar w:fldCharType="begin"/>
      </w:r>
      <w:r>
        <w:instrText xml:space="preserve"> PAGEREF _Toc18889 \h </w:instrText>
      </w:r>
      <w:r>
        <w:fldChar w:fldCharType="separate"/>
      </w:r>
      <w:r>
        <w:t>153</w:t>
      </w:r>
      <w:r>
        <w:fldChar w:fldCharType="end"/>
      </w:r>
      <w:r>
        <w:fldChar w:fldCharType="end"/>
      </w:r>
    </w:p>
    <w:p w14:paraId="05725486">
      <w:pPr>
        <w:pStyle w:val="25"/>
        <w:tabs>
          <w:tab w:val="right" w:leader="dot" w:pos="8844"/>
        </w:tabs>
      </w:pPr>
      <w:r>
        <w:fldChar w:fldCharType="begin"/>
      </w:r>
      <w:r>
        <w:instrText xml:space="preserve"> HYPERLINK \l _Toc28751 </w:instrText>
      </w:r>
      <w:r>
        <w:fldChar w:fldCharType="separate"/>
      </w:r>
      <w:r>
        <w:rPr>
          <w:rFonts w:hint="eastAsia" w:ascii="宋体" w:hAnsi="宋体" w:eastAsia="宋体"/>
        </w:rPr>
        <w:t xml:space="preserve">6.5 </w:t>
      </w:r>
      <w:r>
        <w:rPr>
          <w:rFonts w:hint="eastAsia"/>
        </w:rPr>
        <w:t>外脚手架工程</w:t>
      </w:r>
      <w:r>
        <w:tab/>
      </w:r>
      <w:r>
        <w:fldChar w:fldCharType="begin"/>
      </w:r>
      <w:r>
        <w:instrText xml:space="preserve"> PAGEREF _Toc28751 \h </w:instrText>
      </w:r>
      <w:r>
        <w:fldChar w:fldCharType="separate"/>
      </w:r>
      <w:r>
        <w:t>154</w:t>
      </w:r>
      <w:r>
        <w:fldChar w:fldCharType="end"/>
      </w:r>
      <w:r>
        <w:fldChar w:fldCharType="end"/>
      </w:r>
    </w:p>
    <w:p w14:paraId="0A22B34A">
      <w:pPr>
        <w:pStyle w:val="14"/>
        <w:tabs>
          <w:tab w:val="right" w:leader="dot" w:pos="8844"/>
          <w:tab w:val="clear" w:pos="8834"/>
        </w:tabs>
      </w:pPr>
      <w:r>
        <w:fldChar w:fldCharType="begin"/>
      </w:r>
      <w:r>
        <w:instrText xml:space="preserve"> HYPERLINK \l _Toc20653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6.5.1 </w:t>
      </w:r>
      <w:r>
        <w:rPr>
          <w:rFonts w:hint="eastAsia"/>
        </w:rPr>
        <w:t>外脚手架剖面图</w:t>
      </w:r>
      <w:r>
        <w:tab/>
      </w:r>
      <w:r>
        <w:fldChar w:fldCharType="begin"/>
      </w:r>
      <w:r>
        <w:instrText xml:space="preserve"> PAGEREF _Toc20653 \h </w:instrText>
      </w:r>
      <w:r>
        <w:fldChar w:fldCharType="separate"/>
      </w:r>
      <w:r>
        <w:t>155</w:t>
      </w:r>
      <w:r>
        <w:fldChar w:fldCharType="end"/>
      </w:r>
      <w:r>
        <w:fldChar w:fldCharType="end"/>
      </w:r>
    </w:p>
    <w:p w14:paraId="615C06BF">
      <w:pPr>
        <w:pStyle w:val="14"/>
        <w:tabs>
          <w:tab w:val="right" w:leader="dot" w:pos="8844"/>
          <w:tab w:val="clear" w:pos="8834"/>
        </w:tabs>
      </w:pPr>
      <w:r>
        <w:fldChar w:fldCharType="begin"/>
      </w:r>
      <w:r>
        <w:instrText xml:space="preserve"> HYPERLINK \l _Toc12215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6.5.2 </w:t>
      </w:r>
      <w:r>
        <w:rPr>
          <w:rFonts w:hint="eastAsia"/>
        </w:rPr>
        <w:t>落地式脚手架施工方案</w:t>
      </w:r>
      <w:r>
        <w:tab/>
      </w:r>
      <w:r>
        <w:fldChar w:fldCharType="begin"/>
      </w:r>
      <w:r>
        <w:instrText xml:space="preserve"> PAGEREF _Toc12215 \h </w:instrText>
      </w:r>
      <w:r>
        <w:fldChar w:fldCharType="separate"/>
      </w:r>
      <w:r>
        <w:t>156</w:t>
      </w:r>
      <w:r>
        <w:fldChar w:fldCharType="end"/>
      </w:r>
      <w:r>
        <w:fldChar w:fldCharType="end"/>
      </w:r>
    </w:p>
    <w:p w14:paraId="5C1AB3A6">
      <w:pPr>
        <w:pStyle w:val="14"/>
        <w:tabs>
          <w:tab w:val="right" w:leader="dot" w:pos="8844"/>
          <w:tab w:val="clear" w:pos="8834"/>
        </w:tabs>
      </w:pPr>
      <w:r>
        <w:fldChar w:fldCharType="begin"/>
      </w:r>
      <w:r>
        <w:instrText xml:space="preserve"> HYPERLINK \l _Toc24152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6.5.3 </w:t>
      </w:r>
      <w:r>
        <w:rPr>
          <w:rFonts w:hint="eastAsia"/>
        </w:rPr>
        <w:t>悬挑式脚手架施工方案</w:t>
      </w:r>
      <w:r>
        <w:tab/>
      </w:r>
      <w:r>
        <w:fldChar w:fldCharType="begin"/>
      </w:r>
      <w:r>
        <w:instrText xml:space="preserve"> PAGEREF _Toc24152 \h </w:instrText>
      </w:r>
      <w:r>
        <w:fldChar w:fldCharType="separate"/>
      </w:r>
      <w:r>
        <w:t>164</w:t>
      </w:r>
      <w:r>
        <w:fldChar w:fldCharType="end"/>
      </w:r>
      <w:r>
        <w:fldChar w:fldCharType="end"/>
      </w:r>
    </w:p>
    <w:p w14:paraId="65B01E9F">
      <w:pPr>
        <w:pStyle w:val="25"/>
        <w:tabs>
          <w:tab w:val="right" w:leader="dot" w:pos="8844"/>
        </w:tabs>
      </w:pPr>
      <w:r>
        <w:fldChar w:fldCharType="begin"/>
      </w:r>
      <w:r>
        <w:instrText xml:space="preserve"> HYPERLINK \l _Toc19109 </w:instrText>
      </w:r>
      <w:r>
        <w:fldChar w:fldCharType="separate"/>
      </w:r>
      <w:r>
        <w:rPr>
          <w:rFonts w:hint="eastAsia" w:ascii="宋体" w:hAnsi="宋体" w:eastAsia="宋体"/>
        </w:rPr>
        <w:t xml:space="preserve">6.6 </w:t>
      </w:r>
      <w:r>
        <w:rPr>
          <w:rFonts w:hint="eastAsia"/>
        </w:rPr>
        <w:t>装配式工程</w:t>
      </w:r>
      <w:r>
        <w:tab/>
      </w:r>
      <w:r>
        <w:fldChar w:fldCharType="begin"/>
      </w:r>
      <w:r>
        <w:instrText xml:space="preserve"> PAGEREF _Toc19109 \h </w:instrText>
      </w:r>
      <w:r>
        <w:fldChar w:fldCharType="separate"/>
      </w:r>
      <w:r>
        <w:t>170</w:t>
      </w:r>
      <w:r>
        <w:fldChar w:fldCharType="end"/>
      </w:r>
      <w:r>
        <w:fldChar w:fldCharType="end"/>
      </w:r>
    </w:p>
    <w:p w14:paraId="062CCF7F">
      <w:pPr>
        <w:pStyle w:val="14"/>
        <w:tabs>
          <w:tab w:val="right" w:leader="dot" w:pos="8844"/>
          <w:tab w:val="clear" w:pos="8834"/>
        </w:tabs>
      </w:pPr>
      <w:r>
        <w:fldChar w:fldCharType="begin"/>
      </w:r>
      <w:r>
        <w:instrText xml:space="preserve"> HYPERLINK \l _Toc19168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6.6.1 </w:t>
      </w:r>
      <w:r>
        <w:rPr>
          <w:rFonts w:hint="eastAsia"/>
        </w:rPr>
        <w:t>装配式概况</w:t>
      </w:r>
      <w:r>
        <w:tab/>
      </w:r>
      <w:r>
        <w:fldChar w:fldCharType="begin"/>
      </w:r>
      <w:r>
        <w:instrText xml:space="preserve"> PAGEREF _Toc19168 \h </w:instrText>
      </w:r>
      <w:r>
        <w:fldChar w:fldCharType="separate"/>
      </w:r>
      <w:r>
        <w:t>170</w:t>
      </w:r>
      <w:r>
        <w:fldChar w:fldCharType="end"/>
      </w:r>
      <w:r>
        <w:fldChar w:fldCharType="end"/>
      </w:r>
    </w:p>
    <w:p w14:paraId="34E9F7F3">
      <w:pPr>
        <w:pStyle w:val="14"/>
        <w:tabs>
          <w:tab w:val="right" w:leader="dot" w:pos="8844"/>
          <w:tab w:val="clear" w:pos="8834"/>
        </w:tabs>
      </w:pPr>
      <w:r>
        <w:fldChar w:fldCharType="begin"/>
      </w:r>
      <w:r>
        <w:instrText xml:space="preserve"> HYPERLINK \l _Toc12731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6.6.2 </w:t>
      </w:r>
      <w:r>
        <w:rPr>
          <w:rFonts w:hint="eastAsia"/>
        </w:rPr>
        <w:t>材料</w:t>
      </w:r>
      <w:r>
        <w:tab/>
      </w:r>
      <w:r>
        <w:fldChar w:fldCharType="begin"/>
      </w:r>
      <w:r>
        <w:instrText xml:space="preserve"> PAGEREF _Toc12731 \h </w:instrText>
      </w:r>
      <w:r>
        <w:fldChar w:fldCharType="separate"/>
      </w:r>
      <w:r>
        <w:t>170</w:t>
      </w:r>
      <w:r>
        <w:fldChar w:fldCharType="end"/>
      </w:r>
      <w:r>
        <w:fldChar w:fldCharType="end"/>
      </w:r>
    </w:p>
    <w:p w14:paraId="3D26C093">
      <w:pPr>
        <w:pStyle w:val="14"/>
        <w:tabs>
          <w:tab w:val="right" w:leader="dot" w:pos="8844"/>
          <w:tab w:val="clear" w:pos="8834"/>
        </w:tabs>
      </w:pPr>
      <w:r>
        <w:fldChar w:fldCharType="begin"/>
      </w:r>
      <w:r>
        <w:instrText xml:space="preserve"> HYPERLINK \l _Toc25012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6.6.3 </w:t>
      </w:r>
      <w:r>
        <w:rPr>
          <w:rFonts w:hint="eastAsia"/>
        </w:rPr>
        <w:t>本项目预制构件简介</w:t>
      </w:r>
      <w:r>
        <w:tab/>
      </w:r>
      <w:r>
        <w:fldChar w:fldCharType="begin"/>
      </w:r>
      <w:r>
        <w:instrText xml:space="preserve"> PAGEREF _Toc25012 \h </w:instrText>
      </w:r>
      <w:r>
        <w:fldChar w:fldCharType="separate"/>
      </w:r>
      <w:r>
        <w:t>171</w:t>
      </w:r>
      <w:r>
        <w:fldChar w:fldCharType="end"/>
      </w:r>
      <w:r>
        <w:fldChar w:fldCharType="end"/>
      </w:r>
    </w:p>
    <w:p w14:paraId="41AB7BDD">
      <w:pPr>
        <w:pStyle w:val="14"/>
        <w:tabs>
          <w:tab w:val="right" w:leader="dot" w:pos="8844"/>
          <w:tab w:val="clear" w:pos="8834"/>
        </w:tabs>
      </w:pPr>
      <w:r>
        <w:fldChar w:fldCharType="begin"/>
      </w:r>
      <w:r>
        <w:instrText xml:space="preserve"> HYPERLINK \l _Toc4765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6.6.4 </w:t>
      </w:r>
      <w:r>
        <w:rPr>
          <w:rFonts w:hint="eastAsia"/>
        </w:rPr>
        <w:t>装配式机电</w:t>
      </w:r>
      <w:r>
        <w:tab/>
      </w:r>
      <w:r>
        <w:fldChar w:fldCharType="begin"/>
      </w:r>
      <w:r>
        <w:instrText xml:space="preserve"> PAGEREF _Toc4765 \h </w:instrText>
      </w:r>
      <w:r>
        <w:fldChar w:fldCharType="separate"/>
      </w:r>
      <w:r>
        <w:t>173</w:t>
      </w:r>
      <w:r>
        <w:fldChar w:fldCharType="end"/>
      </w:r>
      <w:r>
        <w:fldChar w:fldCharType="end"/>
      </w:r>
    </w:p>
    <w:p w14:paraId="2FBC7C1F">
      <w:pPr>
        <w:pStyle w:val="14"/>
        <w:tabs>
          <w:tab w:val="right" w:leader="dot" w:pos="8844"/>
          <w:tab w:val="clear" w:pos="8834"/>
        </w:tabs>
      </w:pPr>
      <w:r>
        <w:fldChar w:fldCharType="begin"/>
      </w:r>
      <w:r>
        <w:instrText xml:space="preserve"> HYPERLINK \l _Toc12818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6.6.5 </w:t>
      </w:r>
      <w:r>
        <w:rPr>
          <w:rFonts w:hint="eastAsia"/>
        </w:rPr>
        <w:t>隔墙体系</w:t>
      </w:r>
      <w:r>
        <w:tab/>
      </w:r>
      <w:r>
        <w:fldChar w:fldCharType="begin"/>
      </w:r>
      <w:r>
        <w:instrText xml:space="preserve"> PAGEREF _Toc12818 \h </w:instrText>
      </w:r>
      <w:r>
        <w:fldChar w:fldCharType="separate"/>
      </w:r>
      <w:r>
        <w:t>174</w:t>
      </w:r>
      <w:r>
        <w:fldChar w:fldCharType="end"/>
      </w:r>
      <w:r>
        <w:fldChar w:fldCharType="end"/>
      </w:r>
    </w:p>
    <w:p w14:paraId="5E74643A">
      <w:pPr>
        <w:pStyle w:val="14"/>
        <w:tabs>
          <w:tab w:val="right" w:leader="dot" w:pos="8844"/>
          <w:tab w:val="clear" w:pos="8834"/>
        </w:tabs>
      </w:pPr>
      <w:r>
        <w:fldChar w:fldCharType="begin"/>
      </w:r>
      <w:r>
        <w:instrText xml:space="preserve"> HYPERLINK \l _Toc7956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6.6.6 </w:t>
      </w:r>
      <w:r>
        <w:rPr>
          <w:rFonts w:hint="eastAsia"/>
        </w:rPr>
        <w:t>集成卫生间</w:t>
      </w:r>
      <w:r>
        <w:tab/>
      </w:r>
      <w:r>
        <w:fldChar w:fldCharType="begin"/>
      </w:r>
      <w:r>
        <w:instrText xml:space="preserve"> PAGEREF _Toc7956 \h </w:instrText>
      </w:r>
      <w:r>
        <w:fldChar w:fldCharType="separate"/>
      </w:r>
      <w:r>
        <w:t>175</w:t>
      </w:r>
      <w:r>
        <w:fldChar w:fldCharType="end"/>
      </w:r>
      <w:r>
        <w:fldChar w:fldCharType="end"/>
      </w:r>
    </w:p>
    <w:p w14:paraId="76D25295">
      <w:pPr>
        <w:pStyle w:val="25"/>
        <w:tabs>
          <w:tab w:val="right" w:leader="dot" w:pos="8844"/>
        </w:tabs>
      </w:pPr>
      <w:r>
        <w:fldChar w:fldCharType="begin"/>
      </w:r>
      <w:r>
        <w:instrText xml:space="preserve"> HYPERLINK \l _Toc4124 </w:instrText>
      </w:r>
      <w:r>
        <w:fldChar w:fldCharType="separate"/>
      </w:r>
      <w:r>
        <w:rPr>
          <w:rFonts w:hint="eastAsia" w:ascii="宋体" w:hAnsi="宋体" w:eastAsia="宋体"/>
        </w:rPr>
        <w:t xml:space="preserve">6.7 </w:t>
      </w:r>
      <w:r>
        <w:rPr>
          <w:rFonts w:hint="eastAsia"/>
        </w:rPr>
        <w:t>屋面工程</w:t>
      </w:r>
      <w:r>
        <w:tab/>
      </w:r>
      <w:r>
        <w:fldChar w:fldCharType="begin"/>
      </w:r>
      <w:r>
        <w:instrText xml:space="preserve"> PAGEREF _Toc4124 \h </w:instrText>
      </w:r>
      <w:r>
        <w:fldChar w:fldCharType="separate"/>
      </w:r>
      <w:r>
        <w:t>175</w:t>
      </w:r>
      <w:r>
        <w:fldChar w:fldCharType="end"/>
      </w:r>
      <w:r>
        <w:fldChar w:fldCharType="end"/>
      </w:r>
    </w:p>
    <w:p w14:paraId="530E9219">
      <w:pPr>
        <w:pStyle w:val="14"/>
        <w:tabs>
          <w:tab w:val="right" w:leader="dot" w:pos="8844"/>
          <w:tab w:val="clear" w:pos="8834"/>
        </w:tabs>
      </w:pPr>
      <w:r>
        <w:fldChar w:fldCharType="begin"/>
      </w:r>
      <w:r>
        <w:instrText xml:space="preserve"> HYPERLINK \l _Toc1612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6.7.1 </w:t>
      </w:r>
      <w:r>
        <w:rPr>
          <w:rFonts w:hint="eastAsia"/>
        </w:rPr>
        <w:t>屋面做法</w:t>
      </w:r>
      <w:r>
        <w:tab/>
      </w:r>
      <w:r>
        <w:fldChar w:fldCharType="begin"/>
      </w:r>
      <w:r>
        <w:instrText xml:space="preserve"> PAGEREF _Toc1612 \h </w:instrText>
      </w:r>
      <w:r>
        <w:fldChar w:fldCharType="separate"/>
      </w:r>
      <w:r>
        <w:t>175</w:t>
      </w:r>
      <w:r>
        <w:fldChar w:fldCharType="end"/>
      </w:r>
      <w:r>
        <w:fldChar w:fldCharType="end"/>
      </w:r>
    </w:p>
    <w:p w14:paraId="0B73B796">
      <w:pPr>
        <w:pStyle w:val="14"/>
        <w:tabs>
          <w:tab w:val="right" w:leader="dot" w:pos="8844"/>
          <w:tab w:val="clear" w:pos="8834"/>
        </w:tabs>
      </w:pPr>
      <w:r>
        <w:fldChar w:fldCharType="begin"/>
      </w:r>
      <w:r>
        <w:instrText xml:space="preserve"> HYPERLINK \l _Toc13204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6.7.2 </w:t>
      </w:r>
      <w:r>
        <w:rPr>
          <w:rFonts w:hint="eastAsia"/>
        </w:rPr>
        <w:t>屋面施工方法</w:t>
      </w:r>
      <w:r>
        <w:tab/>
      </w:r>
      <w:r>
        <w:fldChar w:fldCharType="begin"/>
      </w:r>
      <w:r>
        <w:instrText xml:space="preserve"> PAGEREF _Toc13204 \h </w:instrText>
      </w:r>
      <w:r>
        <w:fldChar w:fldCharType="separate"/>
      </w:r>
      <w:r>
        <w:t>175</w:t>
      </w:r>
      <w:r>
        <w:fldChar w:fldCharType="end"/>
      </w:r>
      <w:r>
        <w:fldChar w:fldCharType="end"/>
      </w:r>
    </w:p>
    <w:p w14:paraId="7C26F0FA">
      <w:pPr>
        <w:pStyle w:val="25"/>
        <w:tabs>
          <w:tab w:val="right" w:leader="dot" w:pos="8844"/>
        </w:tabs>
      </w:pPr>
      <w:r>
        <w:fldChar w:fldCharType="begin"/>
      </w:r>
      <w:r>
        <w:instrText xml:space="preserve"> HYPERLINK \l _Toc31005 </w:instrText>
      </w:r>
      <w:r>
        <w:fldChar w:fldCharType="separate"/>
      </w:r>
      <w:r>
        <w:rPr>
          <w:rFonts w:hint="eastAsia" w:ascii="宋体" w:hAnsi="宋体" w:eastAsia="宋体"/>
        </w:rPr>
        <w:t xml:space="preserve">6.8 </w:t>
      </w:r>
      <w:r>
        <w:rPr>
          <w:rFonts w:hint="eastAsia"/>
        </w:rPr>
        <w:t>门窗工程</w:t>
      </w:r>
      <w:r>
        <w:tab/>
      </w:r>
      <w:r>
        <w:fldChar w:fldCharType="begin"/>
      </w:r>
      <w:r>
        <w:instrText xml:space="preserve"> PAGEREF _Toc31005 \h </w:instrText>
      </w:r>
      <w:r>
        <w:fldChar w:fldCharType="separate"/>
      </w:r>
      <w:r>
        <w:t>177</w:t>
      </w:r>
      <w:r>
        <w:fldChar w:fldCharType="end"/>
      </w:r>
      <w:r>
        <w:fldChar w:fldCharType="end"/>
      </w:r>
    </w:p>
    <w:p w14:paraId="70E5F838">
      <w:pPr>
        <w:pStyle w:val="14"/>
        <w:tabs>
          <w:tab w:val="right" w:leader="dot" w:pos="8844"/>
          <w:tab w:val="clear" w:pos="8834"/>
        </w:tabs>
      </w:pPr>
      <w:r>
        <w:fldChar w:fldCharType="begin"/>
      </w:r>
      <w:r>
        <w:instrText xml:space="preserve"> HYPERLINK \l _Toc2449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6.8.1 </w:t>
      </w:r>
      <w:r>
        <w:rPr>
          <w:rFonts w:hint="eastAsia"/>
        </w:rPr>
        <w:t>施工工艺流程</w:t>
      </w:r>
      <w:r>
        <w:tab/>
      </w:r>
      <w:r>
        <w:fldChar w:fldCharType="begin"/>
      </w:r>
      <w:r>
        <w:instrText xml:space="preserve"> PAGEREF _Toc2449 \h </w:instrText>
      </w:r>
      <w:r>
        <w:fldChar w:fldCharType="separate"/>
      </w:r>
      <w:r>
        <w:t>177</w:t>
      </w:r>
      <w:r>
        <w:fldChar w:fldCharType="end"/>
      </w:r>
      <w:r>
        <w:fldChar w:fldCharType="end"/>
      </w:r>
    </w:p>
    <w:p w14:paraId="67F89872">
      <w:pPr>
        <w:pStyle w:val="14"/>
        <w:tabs>
          <w:tab w:val="right" w:leader="dot" w:pos="8844"/>
          <w:tab w:val="clear" w:pos="8834"/>
        </w:tabs>
      </w:pPr>
      <w:r>
        <w:fldChar w:fldCharType="begin"/>
      </w:r>
      <w:r>
        <w:instrText xml:space="preserve"> HYPERLINK \l _Toc6522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6.8.2 </w:t>
      </w:r>
      <w:r>
        <w:rPr>
          <w:rFonts w:hint="eastAsia"/>
        </w:rPr>
        <w:t>施工准备</w:t>
      </w:r>
      <w:r>
        <w:tab/>
      </w:r>
      <w:r>
        <w:fldChar w:fldCharType="begin"/>
      </w:r>
      <w:r>
        <w:instrText xml:space="preserve"> PAGEREF _Toc6522 \h </w:instrText>
      </w:r>
      <w:r>
        <w:fldChar w:fldCharType="separate"/>
      </w:r>
      <w:r>
        <w:t>177</w:t>
      </w:r>
      <w:r>
        <w:fldChar w:fldCharType="end"/>
      </w:r>
      <w:r>
        <w:fldChar w:fldCharType="end"/>
      </w:r>
    </w:p>
    <w:p w14:paraId="58A097F2">
      <w:pPr>
        <w:pStyle w:val="14"/>
        <w:tabs>
          <w:tab w:val="right" w:leader="dot" w:pos="8844"/>
          <w:tab w:val="clear" w:pos="8834"/>
        </w:tabs>
      </w:pPr>
      <w:r>
        <w:fldChar w:fldCharType="begin"/>
      </w:r>
      <w:r>
        <w:instrText xml:space="preserve"> HYPERLINK \l _Toc14495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6.8.3 </w:t>
      </w:r>
      <w:r>
        <w:rPr>
          <w:rFonts w:hint="eastAsia"/>
        </w:rPr>
        <w:t>施工工艺</w:t>
      </w:r>
      <w:r>
        <w:tab/>
      </w:r>
      <w:r>
        <w:fldChar w:fldCharType="begin"/>
      </w:r>
      <w:r>
        <w:instrText xml:space="preserve"> PAGEREF _Toc14495 \h </w:instrText>
      </w:r>
      <w:r>
        <w:fldChar w:fldCharType="separate"/>
      </w:r>
      <w:r>
        <w:t>177</w:t>
      </w:r>
      <w:r>
        <w:fldChar w:fldCharType="end"/>
      </w:r>
      <w:r>
        <w:fldChar w:fldCharType="end"/>
      </w:r>
    </w:p>
    <w:p w14:paraId="2EB30251">
      <w:pPr>
        <w:pStyle w:val="14"/>
        <w:tabs>
          <w:tab w:val="right" w:leader="dot" w:pos="8844"/>
          <w:tab w:val="clear" w:pos="8834"/>
        </w:tabs>
      </w:pPr>
      <w:r>
        <w:fldChar w:fldCharType="begin"/>
      </w:r>
      <w:r>
        <w:instrText xml:space="preserve"> HYPERLINK \l _Toc30333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6.8.4 </w:t>
      </w:r>
      <w:r>
        <w:rPr>
          <w:rFonts w:hint="eastAsia"/>
        </w:rPr>
        <w:t>质量标准</w:t>
      </w:r>
      <w:r>
        <w:tab/>
      </w:r>
      <w:r>
        <w:fldChar w:fldCharType="begin"/>
      </w:r>
      <w:r>
        <w:instrText xml:space="preserve"> PAGEREF _Toc30333 \h </w:instrText>
      </w:r>
      <w:r>
        <w:fldChar w:fldCharType="separate"/>
      </w:r>
      <w:r>
        <w:t>178</w:t>
      </w:r>
      <w:r>
        <w:fldChar w:fldCharType="end"/>
      </w:r>
      <w:r>
        <w:fldChar w:fldCharType="end"/>
      </w:r>
    </w:p>
    <w:p w14:paraId="4B6C9190">
      <w:pPr>
        <w:pStyle w:val="25"/>
        <w:tabs>
          <w:tab w:val="right" w:leader="dot" w:pos="8844"/>
        </w:tabs>
      </w:pPr>
      <w:r>
        <w:fldChar w:fldCharType="begin"/>
      </w:r>
      <w:r>
        <w:instrText xml:space="preserve"> HYPERLINK \l _Toc4911 </w:instrText>
      </w:r>
      <w:r>
        <w:fldChar w:fldCharType="separate"/>
      </w:r>
      <w:r>
        <w:rPr>
          <w:rFonts w:hint="eastAsia" w:ascii="宋体" w:hAnsi="宋体" w:eastAsia="宋体"/>
        </w:rPr>
        <w:t xml:space="preserve">6.9 </w:t>
      </w:r>
      <w:r>
        <w:rPr>
          <w:rFonts w:hint="eastAsia"/>
        </w:rPr>
        <w:t>装饰工程</w:t>
      </w:r>
      <w:r>
        <w:tab/>
      </w:r>
      <w:r>
        <w:fldChar w:fldCharType="begin"/>
      </w:r>
      <w:r>
        <w:instrText xml:space="preserve"> PAGEREF _Toc4911 \h </w:instrText>
      </w:r>
      <w:r>
        <w:fldChar w:fldCharType="separate"/>
      </w:r>
      <w:r>
        <w:t>179</w:t>
      </w:r>
      <w:r>
        <w:fldChar w:fldCharType="end"/>
      </w:r>
      <w:r>
        <w:fldChar w:fldCharType="end"/>
      </w:r>
    </w:p>
    <w:p w14:paraId="5D692009">
      <w:pPr>
        <w:pStyle w:val="14"/>
        <w:tabs>
          <w:tab w:val="right" w:leader="dot" w:pos="8844"/>
          <w:tab w:val="clear" w:pos="8834"/>
        </w:tabs>
      </w:pPr>
      <w:r>
        <w:fldChar w:fldCharType="begin"/>
      </w:r>
      <w:r>
        <w:instrText xml:space="preserve"> HYPERLINK \l _Toc422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6.9.1 </w:t>
      </w:r>
      <w:r>
        <w:rPr>
          <w:rFonts w:hint="eastAsia"/>
        </w:rPr>
        <w:t>抹灰工程</w:t>
      </w:r>
      <w:r>
        <w:tab/>
      </w:r>
      <w:r>
        <w:fldChar w:fldCharType="begin"/>
      </w:r>
      <w:r>
        <w:instrText xml:space="preserve"> PAGEREF _Toc422 \h </w:instrText>
      </w:r>
      <w:r>
        <w:fldChar w:fldCharType="separate"/>
      </w:r>
      <w:r>
        <w:t>179</w:t>
      </w:r>
      <w:r>
        <w:fldChar w:fldCharType="end"/>
      </w:r>
      <w:r>
        <w:fldChar w:fldCharType="end"/>
      </w:r>
    </w:p>
    <w:p w14:paraId="229EC397">
      <w:pPr>
        <w:pStyle w:val="14"/>
        <w:tabs>
          <w:tab w:val="right" w:leader="dot" w:pos="8844"/>
          <w:tab w:val="clear" w:pos="8834"/>
        </w:tabs>
      </w:pPr>
      <w:r>
        <w:fldChar w:fldCharType="begin"/>
      </w:r>
      <w:r>
        <w:instrText xml:space="preserve"> HYPERLINK \l _Toc21062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6.9.2 </w:t>
      </w:r>
      <w:r>
        <w:rPr>
          <w:rFonts w:hint="eastAsia"/>
        </w:rPr>
        <w:t>楼面工程</w:t>
      </w:r>
      <w:r>
        <w:tab/>
      </w:r>
      <w:r>
        <w:fldChar w:fldCharType="begin"/>
      </w:r>
      <w:r>
        <w:instrText xml:space="preserve"> PAGEREF _Toc21062 \h </w:instrText>
      </w:r>
      <w:r>
        <w:fldChar w:fldCharType="separate"/>
      </w:r>
      <w:r>
        <w:t>180</w:t>
      </w:r>
      <w:r>
        <w:fldChar w:fldCharType="end"/>
      </w:r>
      <w:r>
        <w:fldChar w:fldCharType="end"/>
      </w:r>
    </w:p>
    <w:p w14:paraId="4AD04A73">
      <w:pPr>
        <w:pStyle w:val="14"/>
        <w:tabs>
          <w:tab w:val="right" w:leader="dot" w:pos="8844"/>
          <w:tab w:val="clear" w:pos="8834"/>
        </w:tabs>
      </w:pPr>
      <w:r>
        <w:fldChar w:fldCharType="begin"/>
      </w:r>
      <w:r>
        <w:instrText xml:space="preserve"> HYPERLINK \l _Toc3916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6.9.3 </w:t>
      </w:r>
      <w:r>
        <w:rPr>
          <w:rFonts w:hint="eastAsia"/>
        </w:rPr>
        <w:t>顶棚及内隔墙</w:t>
      </w:r>
      <w:r>
        <w:tab/>
      </w:r>
      <w:r>
        <w:fldChar w:fldCharType="begin"/>
      </w:r>
      <w:r>
        <w:instrText xml:space="preserve"> PAGEREF _Toc3916 \h </w:instrText>
      </w:r>
      <w:r>
        <w:fldChar w:fldCharType="separate"/>
      </w:r>
      <w:r>
        <w:t>181</w:t>
      </w:r>
      <w:r>
        <w:fldChar w:fldCharType="end"/>
      </w:r>
      <w:r>
        <w:fldChar w:fldCharType="end"/>
      </w:r>
    </w:p>
    <w:p w14:paraId="0DA03388">
      <w:pPr>
        <w:pStyle w:val="25"/>
        <w:tabs>
          <w:tab w:val="right" w:leader="dot" w:pos="8844"/>
        </w:tabs>
      </w:pPr>
      <w:r>
        <w:fldChar w:fldCharType="begin"/>
      </w:r>
      <w:r>
        <w:instrText xml:space="preserve"> HYPERLINK \l _Toc702 </w:instrText>
      </w:r>
      <w:r>
        <w:fldChar w:fldCharType="separate"/>
      </w:r>
      <w:r>
        <w:rPr>
          <w:rFonts w:hint="eastAsia" w:ascii="宋体" w:hAnsi="宋体" w:eastAsia="宋体"/>
        </w:rPr>
        <w:t xml:space="preserve">6.10 </w:t>
      </w:r>
      <w:r>
        <w:rPr>
          <w:rFonts w:hint="eastAsia"/>
        </w:rPr>
        <w:t>设备安装工程</w:t>
      </w:r>
      <w:r>
        <w:tab/>
      </w:r>
      <w:r>
        <w:fldChar w:fldCharType="begin"/>
      </w:r>
      <w:r>
        <w:instrText xml:space="preserve"> PAGEREF _Toc702 \h </w:instrText>
      </w:r>
      <w:r>
        <w:fldChar w:fldCharType="separate"/>
      </w:r>
      <w:r>
        <w:t>182</w:t>
      </w:r>
      <w:r>
        <w:fldChar w:fldCharType="end"/>
      </w:r>
      <w:r>
        <w:fldChar w:fldCharType="end"/>
      </w:r>
    </w:p>
    <w:p w14:paraId="47AEB6B7">
      <w:pPr>
        <w:pStyle w:val="14"/>
        <w:tabs>
          <w:tab w:val="right" w:leader="dot" w:pos="8844"/>
          <w:tab w:val="clear" w:pos="8834"/>
        </w:tabs>
      </w:pPr>
      <w:r>
        <w:fldChar w:fldCharType="begin"/>
      </w:r>
      <w:r>
        <w:instrText xml:space="preserve"> HYPERLINK \l _Toc17226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6.10.1 </w:t>
      </w:r>
      <w:r>
        <w:rPr>
          <w:rFonts w:hint="eastAsia"/>
        </w:rPr>
        <w:t>给排水工程</w:t>
      </w:r>
      <w:r>
        <w:tab/>
      </w:r>
      <w:r>
        <w:fldChar w:fldCharType="begin"/>
      </w:r>
      <w:r>
        <w:instrText xml:space="preserve"> PAGEREF _Toc17226 \h </w:instrText>
      </w:r>
      <w:r>
        <w:fldChar w:fldCharType="separate"/>
      </w:r>
      <w:r>
        <w:t>182</w:t>
      </w:r>
      <w:r>
        <w:fldChar w:fldCharType="end"/>
      </w:r>
      <w:r>
        <w:fldChar w:fldCharType="end"/>
      </w:r>
    </w:p>
    <w:p w14:paraId="5C8ABA95">
      <w:pPr>
        <w:pStyle w:val="14"/>
        <w:tabs>
          <w:tab w:val="right" w:leader="dot" w:pos="8844"/>
          <w:tab w:val="clear" w:pos="8834"/>
        </w:tabs>
      </w:pPr>
      <w:r>
        <w:fldChar w:fldCharType="begin"/>
      </w:r>
      <w:r>
        <w:instrText xml:space="preserve"> HYPERLINK \l _Toc8616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6.10.2 </w:t>
      </w:r>
      <w:r>
        <w:rPr>
          <w:rFonts w:hint="eastAsia"/>
        </w:rPr>
        <w:t>通风空调工程</w:t>
      </w:r>
      <w:r>
        <w:tab/>
      </w:r>
      <w:r>
        <w:fldChar w:fldCharType="begin"/>
      </w:r>
      <w:r>
        <w:instrText xml:space="preserve"> PAGEREF _Toc8616 \h </w:instrText>
      </w:r>
      <w:r>
        <w:fldChar w:fldCharType="separate"/>
      </w:r>
      <w:r>
        <w:t>187</w:t>
      </w:r>
      <w:r>
        <w:fldChar w:fldCharType="end"/>
      </w:r>
      <w:r>
        <w:fldChar w:fldCharType="end"/>
      </w:r>
    </w:p>
    <w:p w14:paraId="7A5EDA60">
      <w:pPr>
        <w:pStyle w:val="14"/>
        <w:tabs>
          <w:tab w:val="right" w:leader="dot" w:pos="8844"/>
          <w:tab w:val="clear" w:pos="8834"/>
        </w:tabs>
      </w:pPr>
      <w:r>
        <w:fldChar w:fldCharType="begin"/>
      </w:r>
      <w:r>
        <w:instrText xml:space="preserve"> HYPERLINK \l _Toc5239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6.10.3 </w:t>
      </w:r>
      <w:r>
        <w:rPr>
          <w:rFonts w:hint="eastAsia"/>
        </w:rPr>
        <w:t>强电工程</w:t>
      </w:r>
      <w:r>
        <w:tab/>
      </w:r>
      <w:r>
        <w:fldChar w:fldCharType="begin"/>
      </w:r>
      <w:r>
        <w:instrText xml:space="preserve"> PAGEREF _Toc5239 \h </w:instrText>
      </w:r>
      <w:r>
        <w:fldChar w:fldCharType="separate"/>
      </w:r>
      <w:r>
        <w:t>192</w:t>
      </w:r>
      <w:r>
        <w:fldChar w:fldCharType="end"/>
      </w:r>
      <w:r>
        <w:fldChar w:fldCharType="end"/>
      </w:r>
    </w:p>
    <w:p w14:paraId="4B52A07F">
      <w:pPr>
        <w:pStyle w:val="14"/>
        <w:tabs>
          <w:tab w:val="right" w:leader="dot" w:pos="8844"/>
          <w:tab w:val="clear" w:pos="8834"/>
        </w:tabs>
      </w:pPr>
      <w:r>
        <w:fldChar w:fldCharType="begin"/>
      </w:r>
      <w:r>
        <w:instrText xml:space="preserve"> HYPERLINK \l _Toc2181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6.10.4 </w:t>
      </w:r>
      <w:r>
        <w:rPr>
          <w:rFonts w:hint="eastAsia"/>
        </w:rPr>
        <w:t>弱电工程</w:t>
      </w:r>
      <w:r>
        <w:tab/>
      </w:r>
      <w:r>
        <w:fldChar w:fldCharType="begin"/>
      </w:r>
      <w:r>
        <w:instrText xml:space="preserve"> PAGEREF _Toc2181 \h </w:instrText>
      </w:r>
      <w:r>
        <w:fldChar w:fldCharType="separate"/>
      </w:r>
      <w:r>
        <w:t>206</w:t>
      </w:r>
      <w:r>
        <w:fldChar w:fldCharType="end"/>
      </w:r>
      <w:r>
        <w:fldChar w:fldCharType="end"/>
      </w:r>
    </w:p>
    <w:p w14:paraId="3A915352">
      <w:pPr>
        <w:pStyle w:val="14"/>
        <w:tabs>
          <w:tab w:val="right" w:leader="dot" w:pos="8844"/>
          <w:tab w:val="clear" w:pos="8834"/>
        </w:tabs>
      </w:pPr>
      <w:r>
        <w:fldChar w:fldCharType="begin"/>
      </w:r>
      <w:r>
        <w:instrText xml:space="preserve"> HYPERLINK \l _Toc9313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6.10.5 </w:t>
      </w:r>
      <w:r>
        <w:rPr>
          <w:rFonts w:hint="eastAsia"/>
        </w:rPr>
        <w:t>消防工程</w:t>
      </w:r>
      <w:r>
        <w:tab/>
      </w:r>
      <w:r>
        <w:fldChar w:fldCharType="begin"/>
      </w:r>
      <w:r>
        <w:instrText xml:space="preserve"> PAGEREF _Toc9313 \h </w:instrText>
      </w:r>
      <w:r>
        <w:fldChar w:fldCharType="separate"/>
      </w:r>
      <w:r>
        <w:t>210</w:t>
      </w:r>
      <w:r>
        <w:fldChar w:fldCharType="end"/>
      </w:r>
      <w:r>
        <w:fldChar w:fldCharType="end"/>
      </w:r>
    </w:p>
    <w:p w14:paraId="5F825F81">
      <w:pPr>
        <w:pStyle w:val="14"/>
        <w:tabs>
          <w:tab w:val="right" w:leader="dot" w:pos="8844"/>
          <w:tab w:val="clear" w:pos="8834"/>
        </w:tabs>
      </w:pPr>
      <w:r>
        <w:fldChar w:fldCharType="begin"/>
      </w:r>
      <w:r>
        <w:instrText xml:space="preserve"> HYPERLINK \l _Toc4202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6.10.6 </w:t>
      </w:r>
      <w:r>
        <w:rPr>
          <w:rFonts w:hint="eastAsia"/>
        </w:rPr>
        <w:t>电梯工程</w:t>
      </w:r>
      <w:r>
        <w:tab/>
      </w:r>
      <w:r>
        <w:fldChar w:fldCharType="begin"/>
      </w:r>
      <w:r>
        <w:instrText xml:space="preserve"> PAGEREF _Toc4202 \h </w:instrText>
      </w:r>
      <w:r>
        <w:fldChar w:fldCharType="separate"/>
      </w:r>
      <w:r>
        <w:t>214</w:t>
      </w:r>
      <w:r>
        <w:fldChar w:fldCharType="end"/>
      </w:r>
      <w:r>
        <w:fldChar w:fldCharType="end"/>
      </w:r>
    </w:p>
    <w:p w14:paraId="023FCBCC">
      <w:pPr>
        <w:pStyle w:val="25"/>
        <w:tabs>
          <w:tab w:val="right" w:leader="dot" w:pos="8844"/>
        </w:tabs>
      </w:pPr>
      <w:r>
        <w:fldChar w:fldCharType="begin"/>
      </w:r>
      <w:r>
        <w:instrText xml:space="preserve"> HYPERLINK \l _Toc22117 </w:instrText>
      </w:r>
      <w:r>
        <w:fldChar w:fldCharType="separate"/>
      </w:r>
      <w:r>
        <w:rPr>
          <w:rFonts w:hint="eastAsia" w:ascii="宋体" w:hAnsi="宋体" w:eastAsia="宋体"/>
        </w:rPr>
        <w:t xml:space="preserve">6.11 </w:t>
      </w:r>
      <w:r>
        <w:rPr>
          <w:rFonts w:hint="eastAsia"/>
        </w:rPr>
        <w:t>外线、道路及</w:t>
      </w:r>
      <w:r>
        <w:rPr>
          <w:rFonts w:hint="eastAsia"/>
          <w:lang w:val="en-US" w:eastAsia="zh-CN"/>
        </w:rPr>
        <w:t>园林</w:t>
      </w:r>
      <w:r>
        <w:rPr>
          <w:rFonts w:hint="eastAsia"/>
        </w:rPr>
        <w:t>工程</w:t>
      </w:r>
      <w:r>
        <w:tab/>
      </w:r>
      <w:r>
        <w:fldChar w:fldCharType="begin"/>
      </w:r>
      <w:r>
        <w:instrText xml:space="preserve"> PAGEREF _Toc22117 \h </w:instrText>
      </w:r>
      <w:r>
        <w:fldChar w:fldCharType="separate"/>
      </w:r>
      <w:r>
        <w:t>219</w:t>
      </w:r>
      <w:r>
        <w:fldChar w:fldCharType="end"/>
      </w:r>
      <w:r>
        <w:fldChar w:fldCharType="end"/>
      </w:r>
    </w:p>
    <w:p w14:paraId="4CDD3434">
      <w:pPr>
        <w:pStyle w:val="14"/>
        <w:tabs>
          <w:tab w:val="right" w:leader="dot" w:pos="8844"/>
          <w:tab w:val="clear" w:pos="8834"/>
        </w:tabs>
      </w:pPr>
      <w:r>
        <w:fldChar w:fldCharType="begin"/>
      </w:r>
      <w:r>
        <w:instrText xml:space="preserve"> HYPERLINK \l _Toc19294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6.11.1 </w:t>
      </w:r>
      <w:r>
        <w:rPr>
          <w:rFonts w:hint="eastAsia"/>
        </w:rPr>
        <w:t>室外管网工程概况</w:t>
      </w:r>
      <w:r>
        <w:tab/>
      </w:r>
      <w:r>
        <w:fldChar w:fldCharType="begin"/>
      </w:r>
      <w:r>
        <w:instrText xml:space="preserve"> PAGEREF _Toc19294 \h </w:instrText>
      </w:r>
      <w:r>
        <w:fldChar w:fldCharType="separate"/>
      </w:r>
      <w:r>
        <w:t>219</w:t>
      </w:r>
      <w:r>
        <w:fldChar w:fldCharType="end"/>
      </w:r>
      <w:r>
        <w:fldChar w:fldCharType="end"/>
      </w:r>
    </w:p>
    <w:p w14:paraId="5C237180">
      <w:pPr>
        <w:pStyle w:val="14"/>
        <w:tabs>
          <w:tab w:val="right" w:leader="dot" w:pos="8844"/>
          <w:tab w:val="clear" w:pos="8834"/>
        </w:tabs>
      </w:pPr>
      <w:r>
        <w:fldChar w:fldCharType="begin"/>
      </w:r>
      <w:r>
        <w:instrText xml:space="preserve"> HYPERLINK \l _Toc10277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6.11.2 </w:t>
      </w:r>
      <w:r>
        <w:rPr>
          <w:rFonts w:hint="eastAsia"/>
        </w:rPr>
        <w:t>施工工艺流程</w:t>
      </w:r>
      <w:r>
        <w:tab/>
      </w:r>
      <w:r>
        <w:fldChar w:fldCharType="begin"/>
      </w:r>
      <w:r>
        <w:instrText xml:space="preserve"> PAGEREF _Toc10277 \h </w:instrText>
      </w:r>
      <w:r>
        <w:fldChar w:fldCharType="separate"/>
      </w:r>
      <w:r>
        <w:t>219</w:t>
      </w:r>
      <w:r>
        <w:fldChar w:fldCharType="end"/>
      </w:r>
      <w:r>
        <w:fldChar w:fldCharType="end"/>
      </w:r>
    </w:p>
    <w:p w14:paraId="4D5EE1E3">
      <w:pPr>
        <w:pStyle w:val="14"/>
        <w:tabs>
          <w:tab w:val="right" w:leader="dot" w:pos="8844"/>
          <w:tab w:val="clear" w:pos="8834"/>
        </w:tabs>
      </w:pPr>
      <w:r>
        <w:fldChar w:fldCharType="begin"/>
      </w:r>
      <w:r>
        <w:instrText xml:space="preserve"> HYPERLINK \l _Toc28005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6.11.3 </w:t>
      </w:r>
      <w:r>
        <w:rPr>
          <w:rFonts w:hint="eastAsia"/>
        </w:rPr>
        <w:t>施工工艺</w:t>
      </w:r>
      <w:r>
        <w:tab/>
      </w:r>
      <w:r>
        <w:fldChar w:fldCharType="begin"/>
      </w:r>
      <w:r>
        <w:instrText xml:space="preserve"> PAGEREF _Toc28005 \h </w:instrText>
      </w:r>
      <w:r>
        <w:fldChar w:fldCharType="separate"/>
      </w:r>
      <w:r>
        <w:t>220</w:t>
      </w:r>
      <w:r>
        <w:fldChar w:fldCharType="end"/>
      </w:r>
      <w:r>
        <w:fldChar w:fldCharType="end"/>
      </w:r>
    </w:p>
    <w:p w14:paraId="7340C893">
      <w:pPr>
        <w:pStyle w:val="14"/>
        <w:tabs>
          <w:tab w:val="right" w:leader="dot" w:pos="8844"/>
          <w:tab w:val="clear" w:pos="8834"/>
        </w:tabs>
      </w:pPr>
      <w:r>
        <w:fldChar w:fldCharType="begin"/>
      </w:r>
      <w:r>
        <w:instrText xml:space="preserve"> HYPERLINK \l _Toc7898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6.11.4 </w:t>
      </w:r>
      <w:r>
        <w:rPr>
          <w:rFonts w:hint="eastAsia"/>
          <w:szCs w:val="24"/>
        </w:rPr>
        <w:t>土建铺装的施工</w:t>
      </w:r>
      <w:r>
        <w:tab/>
      </w:r>
      <w:r>
        <w:fldChar w:fldCharType="begin"/>
      </w:r>
      <w:r>
        <w:instrText xml:space="preserve"> PAGEREF _Toc7898 \h </w:instrText>
      </w:r>
      <w:r>
        <w:fldChar w:fldCharType="separate"/>
      </w:r>
      <w:r>
        <w:t>226</w:t>
      </w:r>
      <w:r>
        <w:fldChar w:fldCharType="end"/>
      </w:r>
      <w:r>
        <w:fldChar w:fldCharType="end"/>
      </w:r>
    </w:p>
    <w:p w14:paraId="4C9A6022">
      <w:pPr>
        <w:pStyle w:val="14"/>
        <w:tabs>
          <w:tab w:val="right" w:leader="dot" w:pos="8844"/>
          <w:tab w:val="clear" w:pos="8834"/>
        </w:tabs>
      </w:pPr>
      <w:r>
        <w:fldChar w:fldCharType="begin"/>
      </w:r>
      <w:r>
        <w:instrText xml:space="preserve"> HYPERLINK \l _Toc2832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6.11.5 </w:t>
      </w:r>
      <w:r>
        <w:rPr>
          <w:rFonts w:hint="eastAsia"/>
        </w:rPr>
        <w:t>苗木种植工程施工</w:t>
      </w:r>
      <w:r>
        <w:tab/>
      </w:r>
      <w:r>
        <w:fldChar w:fldCharType="begin"/>
      </w:r>
      <w:r>
        <w:instrText xml:space="preserve"> PAGEREF _Toc2832 \h </w:instrText>
      </w:r>
      <w:r>
        <w:fldChar w:fldCharType="separate"/>
      </w:r>
      <w:r>
        <w:t>231</w:t>
      </w:r>
      <w:r>
        <w:fldChar w:fldCharType="end"/>
      </w:r>
      <w:r>
        <w:fldChar w:fldCharType="end"/>
      </w:r>
    </w:p>
    <w:p w14:paraId="6E42A023">
      <w:pPr>
        <w:pStyle w:val="25"/>
        <w:tabs>
          <w:tab w:val="right" w:leader="dot" w:pos="8844"/>
        </w:tabs>
      </w:pPr>
      <w:r>
        <w:fldChar w:fldCharType="begin"/>
      </w:r>
      <w:r>
        <w:instrText xml:space="preserve"> HYPERLINK \l _Toc30749 </w:instrText>
      </w:r>
      <w:r>
        <w:fldChar w:fldCharType="separate"/>
      </w:r>
      <w:r>
        <w:rPr>
          <w:rFonts w:hint="eastAsia" w:ascii="宋体" w:hAnsi="宋体" w:eastAsia="宋体"/>
        </w:rPr>
        <w:t xml:space="preserve">6.12 </w:t>
      </w:r>
      <w:r>
        <w:rPr>
          <w:rFonts w:hint="eastAsia"/>
        </w:rPr>
        <w:t>季节性施工</w:t>
      </w:r>
      <w:r>
        <w:tab/>
      </w:r>
      <w:r>
        <w:fldChar w:fldCharType="begin"/>
      </w:r>
      <w:r>
        <w:instrText xml:space="preserve"> PAGEREF _Toc30749 \h </w:instrText>
      </w:r>
      <w:r>
        <w:fldChar w:fldCharType="separate"/>
      </w:r>
      <w:r>
        <w:t>236</w:t>
      </w:r>
      <w:r>
        <w:fldChar w:fldCharType="end"/>
      </w:r>
      <w:r>
        <w:fldChar w:fldCharType="end"/>
      </w:r>
    </w:p>
    <w:p w14:paraId="74A6F307">
      <w:pPr>
        <w:pStyle w:val="14"/>
        <w:tabs>
          <w:tab w:val="right" w:leader="dot" w:pos="8844"/>
          <w:tab w:val="clear" w:pos="8834"/>
        </w:tabs>
      </w:pPr>
      <w:r>
        <w:fldChar w:fldCharType="begin"/>
      </w:r>
      <w:r>
        <w:instrText xml:space="preserve"> HYPERLINK \l _Toc16795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6.12.1 </w:t>
      </w:r>
      <w:r>
        <w:rPr>
          <w:rFonts w:hint="eastAsia"/>
        </w:rPr>
        <w:t>雨季施工措施</w:t>
      </w:r>
      <w:r>
        <w:tab/>
      </w:r>
      <w:r>
        <w:fldChar w:fldCharType="begin"/>
      </w:r>
      <w:r>
        <w:instrText xml:space="preserve"> PAGEREF _Toc16795 \h </w:instrText>
      </w:r>
      <w:r>
        <w:fldChar w:fldCharType="separate"/>
      </w:r>
      <w:r>
        <w:t>236</w:t>
      </w:r>
      <w:r>
        <w:fldChar w:fldCharType="end"/>
      </w:r>
      <w:r>
        <w:fldChar w:fldCharType="end"/>
      </w:r>
    </w:p>
    <w:p w14:paraId="0EA21316">
      <w:pPr>
        <w:pStyle w:val="14"/>
        <w:tabs>
          <w:tab w:val="right" w:leader="dot" w:pos="8844"/>
          <w:tab w:val="clear" w:pos="8834"/>
        </w:tabs>
      </w:pPr>
      <w:r>
        <w:fldChar w:fldCharType="begin"/>
      </w:r>
      <w:r>
        <w:instrText xml:space="preserve"> HYPERLINK \l _Toc540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6.12.2 </w:t>
      </w:r>
      <w:r>
        <w:rPr>
          <w:rFonts w:hint="eastAsia"/>
        </w:rPr>
        <w:t>台风季施工措施</w:t>
      </w:r>
      <w:r>
        <w:tab/>
      </w:r>
      <w:r>
        <w:fldChar w:fldCharType="begin"/>
      </w:r>
      <w:r>
        <w:instrText xml:space="preserve"> PAGEREF _Toc540 \h </w:instrText>
      </w:r>
      <w:r>
        <w:fldChar w:fldCharType="separate"/>
      </w:r>
      <w:r>
        <w:t>239</w:t>
      </w:r>
      <w:r>
        <w:fldChar w:fldCharType="end"/>
      </w:r>
      <w:r>
        <w:fldChar w:fldCharType="end"/>
      </w:r>
    </w:p>
    <w:p w14:paraId="763BDD20">
      <w:pPr>
        <w:pStyle w:val="25"/>
        <w:tabs>
          <w:tab w:val="right" w:leader="dot" w:pos="8844"/>
        </w:tabs>
      </w:pPr>
      <w:r>
        <w:fldChar w:fldCharType="begin"/>
      </w:r>
      <w:r>
        <w:instrText xml:space="preserve"> HYPERLINK \l _Toc15576 </w:instrText>
      </w:r>
      <w:r>
        <w:fldChar w:fldCharType="separate"/>
      </w:r>
      <w:r>
        <w:rPr>
          <w:rFonts w:hint="eastAsia" w:ascii="宋体" w:hAnsi="宋体" w:eastAsia="宋体"/>
        </w:rPr>
        <w:t xml:space="preserve">6.13 </w:t>
      </w:r>
      <w:r>
        <w:rPr>
          <w:rFonts w:hint="eastAsia"/>
        </w:rPr>
        <w:t>“四新”应用</w:t>
      </w:r>
      <w:r>
        <w:tab/>
      </w:r>
      <w:r>
        <w:fldChar w:fldCharType="begin"/>
      </w:r>
      <w:r>
        <w:instrText xml:space="preserve"> PAGEREF _Toc15576 \h </w:instrText>
      </w:r>
      <w:r>
        <w:fldChar w:fldCharType="separate"/>
      </w:r>
      <w:r>
        <w:t>239</w:t>
      </w:r>
      <w:r>
        <w:fldChar w:fldCharType="end"/>
      </w:r>
      <w:r>
        <w:fldChar w:fldCharType="end"/>
      </w:r>
    </w:p>
    <w:p w14:paraId="0E6CC992">
      <w:pPr>
        <w:pStyle w:val="14"/>
        <w:tabs>
          <w:tab w:val="right" w:leader="dot" w:pos="8844"/>
          <w:tab w:val="clear" w:pos="8834"/>
        </w:tabs>
      </w:pPr>
      <w:r>
        <w:fldChar w:fldCharType="begin"/>
      </w:r>
      <w:r>
        <w:instrText xml:space="preserve"> HYPERLINK \l _Toc24151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6.13.1 </w:t>
      </w:r>
      <w:r>
        <w:rPr>
          <w:rFonts w:hint="eastAsia"/>
        </w:rPr>
        <w:t>“四新”技术应用的工作目标</w:t>
      </w:r>
      <w:r>
        <w:tab/>
      </w:r>
      <w:r>
        <w:fldChar w:fldCharType="begin"/>
      </w:r>
      <w:r>
        <w:instrText xml:space="preserve"> PAGEREF _Toc24151 \h </w:instrText>
      </w:r>
      <w:r>
        <w:fldChar w:fldCharType="separate"/>
      </w:r>
      <w:r>
        <w:t>239</w:t>
      </w:r>
      <w:r>
        <w:fldChar w:fldCharType="end"/>
      </w:r>
      <w:r>
        <w:fldChar w:fldCharType="end"/>
      </w:r>
    </w:p>
    <w:p w14:paraId="5A08C610">
      <w:pPr>
        <w:pStyle w:val="14"/>
        <w:tabs>
          <w:tab w:val="right" w:leader="dot" w:pos="8844"/>
          <w:tab w:val="clear" w:pos="8834"/>
        </w:tabs>
      </w:pPr>
      <w:r>
        <w:fldChar w:fldCharType="begin"/>
      </w:r>
      <w:r>
        <w:instrText xml:space="preserve"> HYPERLINK \l _Toc29040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6.13.2 </w:t>
      </w:r>
      <w:r>
        <w:rPr>
          <w:rFonts w:hint="eastAsia"/>
        </w:rPr>
        <w:t>拟在本工程中应用的“建筑业10项新技术”</w:t>
      </w:r>
      <w:r>
        <w:tab/>
      </w:r>
      <w:r>
        <w:fldChar w:fldCharType="begin"/>
      </w:r>
      <w:r>
        <w:instrText xml:space="preserve"> PAGEREF _Toc29040 \h </w:instrText>
      </w:r>
      <w:r>
        <w:fldChar w:fldCharType="separate"/>
      </w:r>
      <w:r>
        <w:t>239</w:t>
      </w:r>
      <w:r>
        <w:fldChar w:fldCharType="end"/>
      </w:r>
      <w:r>
        <w:fldChar w:fldCharType="end"/>
      </w:r>
    </w:p>
    <w:p w14:paraId="079DA056">
      <w:pPr>
        <w:pStyle w:val="25"/>
        <w:tabs>
          <w:tab w:val="right" w:leader="dot" w:pos="8844"/>
        </w:tabs>
      </w:pPr>
      <w:r>
        <w:fldChar w:fldCharType="begin"/>
      </w:r>
      <w:r>
        <w:instrText xml:space="preserve"> HYPERLINK \l _Toc19285 </w:instrText>
      </w:r>
      <w:r>
        <w:fldChar w:fldCharType="separate"/>
      </w:r>
      <w:r>
        <w:rPr>
          <w:rFonts w:hint="eastAsia" w:ascii="宋体" w:hAnsi="宋体" w:eastAsia="宋体"/>
        </w:rPr>
        <w:t xml:space="preserve">6.14 </w:t>
      </w:r>
      <w:r>
        <w:rPr>
          <w:rFonts w:hint="eastAsia"/>
        </w:rPr>
        <w:t>智慧建造</w:t>
      </w:r>
      <w:r>
        <w:tab/>
      </w:r>
      <w:r>
        <w:fldChar w:fldCharType="begin"/>
      </w:r>
      <w:r>
        <w:instrText xml:space="preserve"> PAGEREF _Toc19285 \h </w:instrText>
      </w:r>
      <w:r>
        <w:fldChar w:fldCharType="separate"/>
      </w:r>
      <w:r>
        <w:t>240</w:t>
      </w:r>
      <w:r>
        <w:fldChar w:fldCharType="end"/>
      </w:r>
      <w:r>
        <w:fldChar w:fldCharType="end"/>
      </w:r>
    </w:p>
    <w:p w14:paraId="73368DFC">
      <w:pPr>
        <w:pStyle w:val="14"/>
        <w:tabs>
          <w:tab w:val="right" w:leader="dot" w:pos="8844"/>
          <w:tab w:val="clear" w:pos="8834"/>
        </w:tabs>
      </w:pPr>
      <w:r>
        <w:fldChar w:fldCharType="begin"/>
      </w:r>
      <w:r>
        <w:instrText xml:space="preserve"> HYPERLINK \l _Toc22089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6.14.1 </w:t>
      </w:r>
      <w:r>
        <w:rPr>
          <w:rFonts w:hint="eastAsia"/>
        </w:rPr>
        <w:t>质量管理</w:t>
      </w:r>
      <w:r>
        <w:tab/>
      </w:r>
      <w:r>
        <w:fldChar w:fldCharType="begin"/>
      </w:r>
      <w:r>
        <w:instrText xml:space="preserve"> PAGEREF _Toc22089 \h </w:instrText>
      </w:r>
      <w:r>
        <w:fldChar w:fldCharType="separate"/>
      </w:r>
      <w:r>
        <w:t>240</w:t>
      </w:r>
      <w:r>
        <w:fldChar w:fldCharType="end"/>
      </w:r>
      <w:r>
        <w:fldChar w:fldCharType="end"/>
      </w:r>
    </w:p>
    <w:p w14:paraId="250467D9">
      <w:pPr>
        <w:pStyle w:val="14"/>
        <w:tabs>
          <w:tab w:val="right" w:leader="dot" w:pos="8844"/>
          <w:tab w:val="clear" w:pos="8834"/>
        </w:tabs>
      </w:pPr>
      <w:r>
        <w:fldChar w:fldCharType="begin"/>
      </w:r>
      <w:r>
        <w:instrText xml:space="preserve"> HYPERLINK \l _Toc13555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6.14.2 </w:t>
      </w:r>
      <w:r>
        <w:rPr>
          <w:rFonts w:hint="eastAsia"/>
        </w:rPr>
        <w:t>安全管理</w:t>
      </w:r>
      <w:r>
        <w:tab/>
      </w:r>
      <w:r>
        <w:fldChar w:fldCharType="begin"/>
      </w:r>
      <w:r>
        <w:instrText xml:space="preserve"> PAGEREF _Toc13555 \h </w:instrText>
      </w:r>
      <w:r>
        <w:fldChar w:fldCharType="separate"/>
      </w:r>
      <w:r>
        <w:t>241</w:t>
      </w:r>
      <w:r>
        <w:fldChar w:fldCharType="end"/>
      </w:r>
      <w:r>
        <w:fldChar w:fldCharType="end"/>
      </w:r>
    </w:p>
    <w:p w14:paraId="7623A31E">
      <w:pPr>
        <w:pStyle w:val="14"/>
        <w:tabs>
          <w:tab w:val="right" w:leader="dot" w:pos="8844"/>
          <w:tab w:val="clear" w:pos="8834"/>
        </w:tabs>
      </w:pPr>
      <w:r>
        <w:fldChar w:fldCharType="begin"/>
      </w:r>
      <w:r>
        <w:instrText xml:space="preserve"> HYPERLINK \l _Toc32279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6.14.3 </w:t>
      </w:r>
      <w:r>
        <w:rPr>
          <w:rFonts w:hint="eastAsia"/>
        </w:rPr>
        <w:t>环境管理</w:t>
      </w:r>
      <w:r>
        <w:tab/>
      </w:r>
      <w:r>
        <w:fldChar w:fldCharType="begin"/>
      </w:r>
      <w:r>
        <w:instrText xml:space="preserve"> PAGEREF _Toc32279 \h </w:instrText>
      </w:r>
      <w:r>
        <w:fldChar w:fldCharType="separate"/>
      </w:r>
      <w:r>
        <w:t>242</w:t>
      </w:r>
      <w:r>
        <w:fldChar w:fldCharType="end"/>
      </w:r>
      <w:r>
        <w:fldChar w:fldCharType="end"/>
      </w:r>
    </w:p>
    <w:p w14:paraId="4242A456">
      <w:pPr>
        <w:pStyle w:val="14"/>
        <w:tabs>
          <w:tab w:val="right" w:leader="dot" w:pos="8844"/>
          <w:tab w:val="clear" w:pos="8834"/>
        </w:tabs>
      </w:pPr>
      <w:r>
        <w:fldChar w:fldCharType="begin"/>
      </w:r>
      <w:r>
        <w:instrText xml:space="preserve"> HYPERLINK \l _Toc2105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6.14.4 </w:t>
      </w:r>
      <w:r>
        <w:rPr>
          <w:rFonts w:hint="eastAsia"/>
        </w:rPr>
        <w:t>劳务管理</w:t>
      </w:r>
      <w:r>
        <w:tab/>
      </w:r>
      <w:r>
        <w:fldChar w:fldCharType="begin"/>
      </w:r>
      <w:r>
        <w:instrText xml:space="preserve"> PAGEREF _Toc2105 \h </w:instrText>
      </w:r>
      <w:r>
        <w:fldChar w:fldCharType="separate"/>
      </w:r>
      <w:r>
        <w:t>242</w:t>
      </w:r>
      <w:r>
        <w:fldChar w:fldCharType="end"/>
      </w:r>
      <w:r>
        <w:fldChar w:fldCharType="end"/>
      </w:r>
    </w:p>
    <w:p w14:paraId="09E92A19">
      <w:pPr>
        <w:pStyle w:val="14"/>
        <w:tabs>
          <w:tab w:val="right" w:leader="dot" w:pos="8844"/>
          <w:tab w:val="clear" w:pos="8834"/>
        </w:tabs>
      </w:pPr>
      <w:r>
        <w:fldChar w:fldCharType="begin"/>
      </w:r>
      <w:r>
        <w:instrText xml:space="preserve"> HYPERLINK \l _Toc14935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6.14.5 </w:t>
      </w:r>
      <w:r>
        <w:rPr>
          <w:rFonts w:hint="eastAsia"/>
        </w:rPr>
        <w:t>物资管理</w:t>
      </w:r>
      <w:r>
        <w:tab/>
      </w:r>
      <w:r>
        <w:fldChar w:fldCharType="begin"/>
      </w:r>
      <w:r>
        <w:instrText xml:space="preserve"> PAGEREF _Toc14935 \h </w:instrText>
      </w:r>
      <w:r>
        <w:fldChar w:fldCharType="separate"/>
      </w:r>
      <w:r>
        <w:t>242</w:t>
      </w:r>
      <w:r>
        <w:fldChar w:fldCharType="end"/>
      </w:r>
      <w:r>
        <w:fldChar w:fldCharType="end"/>
      </w:r>
    </w:p>
    <w:p w14:paraId="4928258E">
      <w:pPr>
        <w:pStyle w:val="14"/>
        <w:tabs>
          <w:tab w:val="right" w:leader="dot" w:pos="8844"/>
          <w:tab w:val="clear" w:pos="8834"/>
        </w:tabs>
      </w:pPr>
      <w:r>
        <w:fldChar w:fldCharType="begin"/>
      </w:r>
      <w:r>
        <w:instrText xml:space="preserve"> HYPERLINK \l _Toc28385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6.14.1 </w:t>
      </w:r>
      <w:r>
        <w:rPr>
          <w:rFonts w:hint="eastAsia"/>
        </w:rPr>
        <w:t>设备管理</w:t>
      </w:r>
      <w:r>
        <w:tab/>
      </w:r>
      <w:r>
        <w:fldChar w:fldCharType="begin"/>
      </w:r>
      <w:r>
        <w:instrText xml:space="preserve"> PAGEREF _Toc28385 \h </w:instrText>
      </w:r>
      <w:r>
        <w:fldChar w:fldCharType="separate"/>
      </w:r>
      <w:r>
        <w:t>243</w:t>
      </w:r>
      <w:r>
        <w:fldChar w:fldCharType="end"/>
      </w:r>
      <w:r>
        <w:fldChar w:fldCharType="end"/>
      </w:r>
    </w:p>
    <w:p w14:paraId="12261F77">
      <w:pPr>
        <w:pStyle w:val="25"/>
        <w:tabs>
          <w:tab w:val="right" w:leader="dot" w:pos="8844"/>
        </w:tabs>
      </w:pPr>
      <w:r>
        <w:fldChar w:fldCharType="begin"/>
      </w:r>
      <w:r>
        <w:instrText xml:space="preserve"> HYPERLINK \l _Toc31562 </w:instrText>
      </w:r>
      <w:r>
        <w:fldChar w:fldCharType="separate"/>
      </w:r>
      <w:r>
        <w:rPr>
          <w:rFonts w:hint="eastAsia" w:ascii="宋体" w:hAnsi="宋体" w:eastAsia="宋体"/>
        </w:rPr>
        <w:t xml:space="preserve">6.15 </w:t>
      </w:r>
      <w:r>
        <w:rPr>
          <w:rFonts w:hint="eastAsia"/>
        </w:rPr>
        <w:t>BIM技术</w:t>
      </w:r>
      <w:r>
        <w:tab/>
      </w:r>
      <w:r>
        <w:fldChar w:fldCharType="begin"/>
      </w:r>
      <w:r>
        <w:instrText xml:space="preserve"> PAGEREF _Toc31562 \h </w:instrText>
      </w:r>
      <w:r>
        <w:fldChar w:fldCharType="separate"/>
      </w:r>
      <w:r>
        <w:t>244</w:t>
      </w:r>
      <w:r>
        <w:fldChar w:fldCharType="end"/>
      </w:r>
      <w:r>
        <w:fldChar w:fldCharType="end"/>
      </w:r>
    </w:p>
    <w:p w14:paraId="46199590">
      <w:pPr>
        <w:pStyle w:val="14"/>
        <w:tabs>
          <w:tab w:val="right" w:leader="dot" w:pos="8844"/>
          <w:tab w:val="clear" w:pos="8834"/>
        </w:tabs>
      </w:pPr>
      <w:r>
        <w:fldChar w:fldCharType="begin"/>
      </w:r>
      <w:r>
        <w:instrText xml:space="preserve"> HYPERLINK \l _Toc30696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6.15.1 </w:t>
      </w:r>
      <w:r>
        <w:rPr>
          <w:rFonts w:hint="eastAsia"/>
        </w:rPr>
        <w:t>BIM工作计划</w:t>
      </w:r>
      <w:r>
        <w:tab/>
      </w:r>
      <w:r>
        <w:fldChar w:fldCharType="begin"/>
      </w:r>
      <w:r>
        <w:instrText xml:space="preserve"> PAGEREF _Toc30696 \h </w:instrText>
      </w:r>
      <w:r>
        <w:fldChar w:fldCharType="separate"/>
      </w:r>
      <w:r>
        <w:t>244</w:t>
      </w:r>
      <w:r>
        <w:fldChar w:fldCharType="end"/>
      </w:r>
      <w:r>
        <w:fldChar w:fldCharType="end"/>
      </w:r>
    </w:p>
    <w:p w14:paraId="7E0EC22C">
      <w:pPr>
        <w:pStyle w:val="14"/>
        <w:tabs>
          <w:tab w:val="right" w:leader="dot" w:pos="8844"/>
          <w:tab w:val="clear" w:pos="8834"/>
        </w:tabs>
      </w:pPr>
      <w:r>
        <w:fldChar w:fldCharType="begin"/>
      </w:r>
      <w:r>
        <w:instrText xml:space="preserve"> HYPERLINK \l _Toc31918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6.15.2 </w:t>
      </w:r>
      <w:r>
        <w:rPr>
          <w:rFonts w:hint="eastAsia"/>
        </w:rPr>
        <w:t>BIM技术实施流程</w:t>
      </w:r>
      <w:r>
        <w:tab/>
      </w:r>
      <w:r>
        <w:fldChar w:fldCharType="begin"/>
      </w:r>
      <w:r>
        <w:instrText xml:space="preserve"> PAGEREF _Toc31918 \h </w:instrText>
      </w:r>
      <w:r>
        <w:fldChar w:fldCharType="separate"/>
      </w:r>
      <w:r>
        <w:t>244</w:t>
      </w:r>
      <w:r>
        <w:fldChar w:fldCharType="end"/>
      </w:r>
      <w:r>
        <w:fldChar w:fldCharType="end"/>
      </w:r>
    </w:p>
    <w:p w14:paraId="46B0D7EC">
      <w:pPr>
        <w:pStyle w:val="14"/>
        <w:tabs>
          <w:tab w:val="right" w:leader="dot" w:pos="8844"/>
          <w:tab w:val="clear" w:pos="8834"/>
        </w:tabs>
      </w:pPr>
      <w:r>
        <w:fldChar w:fldCharType="begin"/>
      </w:r>
      <w:r>
        <w:instrText xml:space="preserve"> HYPERLINK \l _Toc7658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6.15.3 </w:t>
      </w:r>
      <w:r>
        <w:rPr>
          <w:rFonts w:hint="eastAsia"/>
        </w:rPr>
        <w:t>软件硬件选择</w:t>
      </w:r>
      <w:r>
        <w:tab/>
      </w:r>
      <w:r>
        <w:fldChar w:fldCharType="begin"/>
      </w:r>
      <w:r>
        <w:instrText xml:space="preserve"> PAGEREF _Toc7658 \h </w:instrText>
      </w:r>
      <w:r>
        <w:fldChar w:fldCharType="separate"/>
      </w:r>
      <w:r>
        <w:t>244</w:t>
      </w:r>
      <w:r>
        <w:fldChar w:fldCharType="end"/>
      </w:r>
      <w:r>
        <w:fldChar w:fldCharType="end"/>
      </w:r>
    </w:p>
    <w:p w14:paraId="4A19851D">
      <w:pPr>
        <w:pStyle w:val="14"/>
        <w:tabs>
          <w:tab w:val="right" w:leader="dot" w:pos="8844"/>
          <w:tab w:val="clear" w:pos="8834"/>
        </w:tabs>
      </w:pPr>
      <w:r>
        <w:fldChar w:fldCharType="begin"/>
      </w:r>
      <w:r>
        <w:instrText xml:space="preserve"> HYPERLINK \l _Toc3390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6.15.4 </w:t>
      </w:r>
      <w:r>
        <w:rPr>
          <w:rFonts w:hint="eastAsia"/>
        </w:rPr>
        <w:t>硬件配置推荐方案</w:t>
      </w:r>
      <w:r>
        <w:tab/>
      </w:r>
      <w:r>
        <w:fldChar w:fldCharType="begin"/>
      </w:r>
      <w:r>
        <w:instrText xml:space="preserve"> PAGEREF _Toc3390 \h </w:instrText>
      </w:r>
      <w:r>
        <w:fldChar w:fldCharType="separate"/>
      </w:r>
      <w:r>
        <w:t>245</w:t>
      </w:r>
      <w:r>
        <w:fldChar w:fldCharType="end"/>
      </w:r>
      <w:r>
        <w:fldChar w:fldCharType="end"/>
      </w:r>
    </w:p>
    <w:p w14:paraId="686798CE">
      <w:pPr>
        <w:pStyle w:val="14"/>
        <w:tabs>
          <w:tab w:val="right" w:leader="dot" w:pos="8844"/>
          <w:tab w:val="clear" w:pos="8834"/>
        </w:tabs>
      </w:pPr>
      <w:r>
        <w:fldChar w:fldCharType="begin"/>
      </w:r>
      <w:r>
        <w:instrText xml:space="preserve"> HYPERLINK \l _Toc24854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6.15.5 </w:t>
      </w:r>
      <w:r>
        <w:rPr>
          <w:rFonts w:hint="eastAsia"/>
        </w:rPr>
        <w:t>建模软件选型</w:t>
      </w:r>
      <w:r>
        <w:tab/>
      </w:r>
      <w:r>
        <w:fldChar w:fldCharType="begin"/>
      </w:r>
      <w:r>
        <w:instrText xml:space="preserve"> PAGEREF _Toc24854 \h </w:instrText>
      </w:r>
      <w:r>
        <w:fldChar w:fldCharType="separate"/>
      </w:r>
      <w:r>
        <w:t>245</w:t>
      </w:r>
      <w:r>
        <w:fldChar w:fldCharType="end"/>
      </w:r>
      <w:r>
        <w:fldChar w:fldCharType="end"/>
      </w:r>
    </w:p>
    <w:p w14:paraId="6B85C12F">
      <w:pPr>
        <w:pStyle w:val="14"/>
        <w:tabs>
          <w:tab w:val="right" w:leader="dot" w:pos="8844"/>
          <w:tab w:val="clear" w:pos="8834"/>
        </w:tabs>
      </w:pPr>
      <w:r>
        <w:fldChar w:fldCharType="begin"/>
      </w:r>
      <w:r>
        <w:instrText xml:space="preserve"> HYPERLINK \l _Toc28488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6.15.6 </w:t>
      </w:r>
      <w:r>
        <w:rPr>
          <w:rFonts w:hint="eastAsia"/>
        </w:rPr>
        <w:t>BIM应用组织架构</w:t>
      </w:r>
      <w:r>
        <w:tab/>
      </w:r>
      <w:r>
        <w:fldChar w:fldCharType="begin"/>
      </w:r>
      <w:r>
        <w:instrText xml:space="preserve"> PAGEREF _Toc28488 \h </w:instrText>
      </w:r>
      <w:r>
        <w:fldChar w:fldCharType="separate"/>
      </w:r>
      <w:r>
        <w:t>245</w:t>
      </w:r>
      <w:r>
        <w:fldChar w:fldCharType="end"/>
      </w:r>
      <w:r>
        <w:fldChar w:fldCharType="end"/>
      </w:r>
    </w:p>
    <w:p w14:paraId="3B0A95BF">
      <w:pPr>
        <w:pStyle w:val="14"/>
        <w:tabs>
          <w:tab w:val="right" w:leader="dot" w:pos="8844"/>
          <w:tab w:val="clear" w:pos="8834"/>
        </w:tabs>
      </w:pPr>
      <w:r>
        <w:fldChar w:fldCharType="begin"/>
      </w:r>
      <w:r>
        <w:instrText xml:space="preserve"> HYPERLINK \l _Toc6645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6.15.7 </w:t>
      </w:r>
      <w:r>
        <w:rPr>
          <w:rFonts w:hint="eastAsia"/>
        </w:rPr>
        <w:t>BIM实施内容</w:t>
      </w:r>
      <w:r>
        <w:tab/>
      </w:r>
      <w:r>
        <w:fldChar w:fldCharType="begin"/>
      </w:r>
      <w:r>
        <w:instrText xml:space="preserve"> PAGEREF _Toc6645 \h </w:instrText>
      </w:r>
      <w:r>
        <w:fldChar w:fldCharType="separate"/>
      </w:r>
      <w:r>
        <w:t>251</w:t>
      </w:r>
      <w:r>
        <w:fldChar w:fldCharType="end"/>
      </w:r>
      <w:r>
        <w:fldChar w:fldCharType="end"/>
      </w:r>
    </w:p>
    <w:p w14:paraId="35F0915F">
      <w:pPr>
        <w:pStyle w:val="25"/>
        <w:tabs>
          <w:tab w:val="right" w:leader="dot" w:pos="8844"/>
        </w:tabs>
      </w:pPr>
      <w:r>
        <w:fldChar w:fldCharType="begin"/>
      </w:r>
      <w:r>
        <w:instrText xml:space="preserve"> HYPERLINK \l _Toc726 </w:instrText>
      </w:r>
      <w:r>
        <w:fldChar w:fldCharType="separate"/>
      </w:r>
      <w:r>
        <w:rPr>
          <w:rFonts w:hint="eastAsia" w:ascii="宋体" w:hAnsi="宋体" w:eastAsia="宋体"/>
          <w:szCs w:val="28"/>
        </w:rPr>
        <w:t xml:space="preserve">6.16 </w:t>
      </w:r>
      <w:r>
        <w:rPr>
          <w:rFonts w:hint="eastAsia"/>
          <w:szCs w:val="28"/>
          <w:lang w:val="en-US" w:eastAsia="zh-CN"/>
        </w:rPr>
        <w:t>绿色施工方案</w:t>
      </w:r>
      <w:r>
        <w:tab/>
      </w:r>
      <w:r>
        <w:fldChar w:fldCharType="begin"/>
      </w:r>
      <w:r>
        <w:instrText xml:space="preserve"> PAGEREF _Toc726 \h </w:instrText>
      </w:r>
      <w:r>
        <w:fldChar w:fldCharType="separate"/>
      </w:r>
      <w:r>
        <w:t>258</w:t>
      </w:r>
      <w:r>
        <w:fldChar w:fldCharType="end"/>
      </w:r>
      <w:r>
        <w:fldChar w:fldCharType="end"/>
      </w:r>
    </w:p>
    <w:p w14:paraId="1E6DEA58">
      <w:pPr>
        <w:pStyle w:val="14"/>
        <w:tabs>
          <w:tab w:val="right" w:leader="dot" w:pos="8844"/>
          <w:tab w:val="clear" w:pos="8834"/>
        </w:tabs>
      </w:pPr>
      <w:r>
        <w:fldChar w:fldCharType="begin"/>
      </w:r>
      <w:r>
        <w:instrText xml:space="preserve"> HYPERLINK \l _Toc4969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6.16.1 </w:t>
      </w:r>
      <w:r>
        <w:rPr>
          <w:rFonts w:hint="eastAsia"/>
          <w:szCs w:val="24"/>
          <w:highlight w:val="none"/>
        </w:rPr>
        <w:t>绿色施工管理</w:t>
      </w:r>
      <w:r>
        <w:tab/>
      </w:r>
      <w:r>
        <w:fldChar w:fldCharType="begin"/>
      </w:r>
      <w:r>
        <w:instrText xml:space="preserve"> PAGEREF _Toc4969 \h </w:instrText>
      </w:r>
      <w:r>
        <w:fldChar w:fldCharType="separate"/>
      </w:r>
      <w:r>
        <w:t>258</w:t>
      </w:r>
      <w:r>
        <w:fldChar w:fldCharType="end"/>
      </w:r>
      <w:r>
        <w:fldChar w:fldCharType="end"/>
      </w:r>
    </w:p>
    <w:p w14:paraId="4110D714">
      <w:pPr>
        <w:pStyle w:val="14"/>
        <w:tabs>
          <w:tab w:val="right" w:leader="dot" w:pos="8844"/>
          <w:tab w:val="clear" w:pos="8834"/>
        </w:tabs>
      </w:pPr>
      <w:r>
        <w:fldChar w:fldCharType="begin"/>
      </w:r>
      <w:r>
        <w:instrText xml:space="preserve"> HYPERLINK \l _Toc11838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6.16.2 </w:t>
      </w:r>
      <w:r>
        <w:rPr>
          <w:rFonts w:hint="eastAsia"/>
          <w:szCs w:val="24"/>
          <w:highlight w:val="none"/>
        </w:rPr>
        <w:t>各施工阶段控制要求</w:t>
      </w:r>
      <w:r>
        <w:tab/>
      </w:r>
      <w:r>
        <w:fldChar w:fldCharType="begin"/>
      </w:r>
      <w:r>
        <w:instrText xml:space="preserve"> PAGEREF _Toc11838 \h </w:instrText>
      </w:r>
      <w:r>
        <w:fldChar w:fldCharType="separate"/>
      </w:r>
      <w:r>
        <w:t>262</w:t>
      </w:r>
      <w:r>
        <w:fldChar w:fldCharType="end"/>
      </w:r>
      <w:r>
        <w:fldChar w:fldCharType="end"/>
      </w:r>
    </w:p>
    <w:p w14:paraId="72994BB7">
      <w:pPr>
        <w:pStyle w:val="14"/>
        <w:tabs>
          <w:tab w:val="right" w:leader="dot" w:pos="8844"/>
          <w:tab w:val="clear" w:pos="8834"/>
        </w:tabs>
      </w:pPr>
      <w:r>
        <w:fldChar w:fldCharType="begin"/>
      </w:r>
      <w:r>
        <w:instrText xml:space="preserve"> HYPERLINK \l _Toc11651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6.16.3 </w:t>
      </w:r>
      <w:r>
        <w:rPr>
          <w:rFonts w:hint="eastAsia"/>
        </w:rPr>
        <w:t>节材与材料资源利用技术要点</w:t>
      </w:r>
      <w:r>
        <w:tab/>
      </w:r>
      <w:r>
        <w:fldChar w:fldCharType="begin"/>
      </w:r>
      <w:r>
        <w:instrText xml:space="preserve"> PAGEREF _Toc11651 \h </w:instrText>
      </w:r>
      <w:r>
        <w:fldChar w:fldCharType="separate"/>
      </w:r>
      <w:r>
        <w:t>266</w:t>
      </w:r>
      <w:r>
        <w:fldChar w:fldCharType="end"/>
      </w:r>
      <w:r>
        <w:fldChar w:fldCharType="end"/>
      </w:r>
    </w:p>
    <w:p w14:paraId="69D88D40">
      <w:pPr>
        <w:pStyle w:val="14"/>
        <w:tabs>
          <w:tab w:val="right" w:leader="dot" w:pos="8844"/>
          <w:tab w:val="clear" w:pos="8834"/>
        </w:tabs>
      </w:pPr>
      <w:r>
        <w:fldChar w:fldCharType="begin"/>
      </w:r>
      <w:r>
        <w:instrText xml:space="preserve"> HYPERLINK \l _Toc24599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6.16.4 </w:t>
      </w:r>
      <w:r>
        <w:rPr>
          <w:rFonts w:hint="eastAsia"/>
          <w:lang w:val="en-US" w:eastAsia="zh-CN"/>
        </w:rPr>
        <w:t>节</w:t>
      </w:r>
      <w:r>
        <w:rPr>
          <w:rFonts w:hint="eastAsia"/>
        </w:rPr>
        <w:t>地与施工用地保护的技术要点</w:t>
      </w:r>
      <w:r>
        <w:tab/>
      </w:r>
      <w:r>
        <w:fldChar w:fldCharType="begin"/>
      </w:r>
      <w:r>
        <w:instrText xml:space="preserve"> PAGEREF _Toc24599 \h </w:instrText>
      </w:r>
      <w:r>
        <w:fldChar w:fldCharType="separate"/>
      </w:r>
      <w:r>
        <w:t>268</w:t>
      </w:r>
      <w:r>
        <w:fldChar w:fldCharType="end"/>
      </w:r>
      <w:r>
        <w:fldChar w:fldCharType="end"/>
      </w:r>
    </w:p>
    <w:p w14:paraId="1780DE5C">
      <w:pPr>
        <w:pStyle w:val="14"/>
        <w:tabs>
          <w:tab w:val="right" w:leader="dot" w:pos="8844"/>
          <w:tab w:val="clear" w:pos="8834"/>
        </w:tabs>
      </w:pPr>
      <w:r>
        <w:fldChar w:fldCharType="begin"/>
      </w:r>
      <w:r>
        <w:instrText xml:space="preserve"> HYPERLINK \l _Toc6178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6.16.5 </w:t>
      </w:r>
      <w:r>
        <w:rPr>
          <w:rFonts w:hint="eastAsia"/>
          <w:szCs w:val="24"/>
          <w:highlight w:val="none"/>
        </w:rPr>
        <w:t>能源节约与利用</w:t>
      </w:r>
      <w:r>
        <w:tab/>
      </w:r>
      <w:r>
        <w:fldChar w:fldCharType="begin"/>
      </w:r>
      <w:r>
        <w:instrText xml:space="preserve"> PAGEREF _Toc6178 \h </w:instrText>
      </w:r>
      <w:r>
        <w:fldChar w:fldCharType="separate"/>
      </w:r>
      <w:r>
        <w:t>269</w:t>
      </w:r>
      <w:r>
        <w:fldChar w:fldCharType="end"/>
      </w:r>
      <w:r>
        <w:fldChar w:fldCharType="end"/>
      </w:r>
    </w:p>
    <w:p w14:paraId="6EE08B9A">
      <w:pPr>
        <w:pStyle w:val="14"/>
        <w:tabs>
          <w:tab w:val="right" w:leader="dot" w:pos="8844"/>
          <w:tab w:val="clear" w:pos="8834"/>
        </w:tabs>
      </w:pPr>
      <w:r>
        <w:fldChar w:fldCharType="begin"/>
      </w:r>
      <w:r>
        <w:instrText xml:space="preserve"> HYPERLINK \l _Toc7646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14:ligatures w14:val="none"/>
          <w14:numForm w14:val="default"/>
          <w14:numSpacing w14:val="default"/>
        </w:rPr>
        <w:t xml:space="preserve">6.16.6 </w:t>
      </w:r>
      <w:r>
        <w:rPr>
          <w:rFonts w:hint="eastAsia"/>
          <w:szCs w:val="24"/>
          <w:highlight w:val="none"/>
        </w:rPr>
        <w:t>水资源利用节约措施</w:t>
      </w:r>
      <w:r>
        <w:tab/>
      </w:r>
      <w:r>
        <w:fldChar w:fldCharType="begin"/>
      </w:r>
      <w:r>
        <w:instrText xml:space="preserve"> PAGEREF _Toc7646 \h </w:instrText>
      </w:r>
      <w:r>
        <w:fldChar w:fldCharType="separate"/>
      </w:r>
      <w:r>
        <w:t>270</w:t>
      </w:r>
      <w:r>
        <w:fldChar w:fldCharType="end"/>
      </w:r>
      <w:r>
        <w:fldChar w:fldCharType="end"/>
      </w:r>
    </w:p>
    <w:p w14:paraId="5F486144">
      <w:pPr>
        <w:pStyle w:val="25"/>
        <w:tabs>
          <w:tab w:val="right" w:leader="dot" w:pos="8844"/>
        </w:tabs>
      </w:pPr>
      <w:r>
        <w:fldChar w:fldCharType="begin"/>
      </w:r>
      <w:r>
        <w:instrText xml:space="preserve"> HYPERLINK \l _Toc27517 </w:instrText>
      </w:r>
      <w:r>
        <w:fldChar w:fldCharType="separate"/>
      </w:r>
      <w:r>
        <w:rPr>
          <w:rFonts w:hint="eastAsia" w:ascii="宋体" w:hAnsi="宋体" w:eastAsia="宋体"/>
          <w:szCs w:val="28"/>
        </w:rPr>
        <w:t xml:space="preserve">6.17 </w:t>
      </w:r>
      <w:r>
        <w:rPr>
          <w:rFonts w:hint="eastAsia"/>
          <w:szCs w:val="28"/>
        </w:rPr>
        <w:t>工程资料管理方案</w:t>
      </w:r>
      <w:r>
        <w:tab/>
      </w:r>
      <w:r>
        <w:fldChar w:fldCharType="begin"/>
      </w:r>
      <w:r>
        <w:instrText xml:space="preserve"> PAGEREF _Toc27517 \h </w:instrText>
      </w:r>
      <w:r>
        <w:fldChar w:fldCharType="separate"/>
      </w:r>
      <w:r>
        <w:t>271</w:t>
      </w:r>
      <w:r>
        <w:fldChar w:fldCharType="end"/>
      </w:r>
      <w:r>
        <w:fldChar w:fldCharType="end"/>
      </w:r>
    </w:p>
    <w:p w14:paraId="74C29B05">
      <w:pPr>
        <w:pStyle w:val="14"/>
        <w:tabs>
          <w:tab w:val="right" w:leader="dot" w:pos="8844"/>
          <w:tab w:val="clear" w:pos="8834"/>
        </w:tabs>
      </w:pPr>
      <w:r>
        <w:fldChar w:fldCharType="begin"/>
      </w:r>
      <w:r>
        <w:instrText xml:space="preserve"> HYPERLINK \l _Toc27868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6.17.1 </w:t>
      </w:r>
      <w:r>
        <w:rPr>
          <w:rFonts w:hint="eastAsia"/>
        </w:rPr>
        <w:t>工程资料管理机构</w:t>
      </w:r>
      <w:r>
        <w:tab/>
      </w:r>
      <w:r>
        <w:fldChar w:fldCharType="begin"/>
      </w:r>
      <w:r>
        <w:instrText xml:space="preserve"> PAGEREF _Toc27868 \h </w:instrText>
      </w:r>
      <w:r>
        <w:fldChar w:fldCharType="separate"/>
      </w:r>
      <w:r>
        <w:t>271</w:t>
      </w:r>
      <w:r>
        <w:fldChar w:fldCharType="end"/>
      </w:r>
      <w:r>
        <w:fldChar w:fldCharType="end"/>
      </w:r>
    </w:p>
    <w:p w14:paraId="28F241DE">
      <w:pPr>
        <w:pStyle w:val="14"/>
        <w:tabs>
          <w:tab w:val="right" w:leader="dot" w:pos="8844"/>
          <w:tab w:val="clear" w:pos="8834"/>
        </w:tabs>
      </w:pPr>
      <w:r>
        <w:fldChar w:fldCharType="begin"/>
      </w:r>
      <w:r>
        <w:instrText xml:space="preserve"> HYPERLINK \l _Toc22016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6.17.2 </w:t>
      </w:r>
      <w:r>
        <w:rPr>
          <w:rFonts w:hint="eastAsia"/>
          <w:lang w:val="en-US" w:eastAsia="zh-CN"/>
        </w:rPr>
        <w:t>工程资料管理要求及流程</w:t>
      </w:r>
      <w:r>
        <w:tab/>
      </w:r>
      <w:r>
        <w:fldChar w:fldCharType="begin"/>
      </w:r>
      <w:r>
        <w:instrText xml:space="preserve"> PAGEREF _Toc22016 \h </w:instrText>
      </w:r>
      <w:r>
        <w:fldChar w:fldCharType="separate"/>
      </w:r>
      <w:r>
        <w:t>272</w:t>
      </w:r>
      <w:r>
        <w:fldChar w:fldCharType="end"/>
      </w:r>
      <w:r>
        <w:fldChar w:fldCharType="end"/>
      </w:r>
    </w:p>
    <w:p w14:paraId="7BE6C495">
      <w:pPr>
        <w:pStyle w:val="14"/>
        <w:tabs>
          <w:tab w:val="right" w:leader="dot" w:pos="8844"/>
          <w:tab w:val="clear" w:pos="8834"/>
        </w:tabs>
      </w:pPr>
      <w:r>
        <w:fldChar w:fldCharType="begin"/>
      </w:r>
      <w:r>
        <w:instrText xml:space="preserve"> HYPERLINK \l _Toc3839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6.17.3 </w:t>
      </w:r>
      <w:r>
        <w:rPr>
          <w:rFonts w:hint="eastAsia"/>
        </w:rPr>
        <w:t>资料的阶段管理</w:t>
      </w:r>
      <w:r>
        <w:tab/>
      </w:r>
      <w:r>
        <w:fldChar w:fldCharType="begin"/>
      </w:r>
      <w:r>
        <w:instrText xml:space="preserve"> PAGEREF _Toc3839 \h </w:instrText>
      </w:r>
      <w:r>
        <w:fldChar w:fldCharType="separate"/>
      </w:r>
      <w:r>
        <w:t>275</w:t>
      </w:r>
      <w:r>
        <w:fldChar w:fldCharType="end"/>
      </w:r>
      <w:r>
        <w:fldChar w:fldCharType="end"/>
      </w:r>
    </w:p>
    <w:p w14:paraId="1CF3C888">
      <w:pPr>
        <w:pStyle w:val="14"/>
        <w:tabs>
          <w:tab w:val="right" w:leader="dot" w:pos="8844"/>
          <w:tab w:val="clear" w:pos="8834"/>
        </w:tabs>
      </w:pPr>
      <w:r>
        <w:fldChar w:fldCharType="begin"/>
      </w:r>
      <w:r>
        <w:instrText xml:space="preserve"> HYPERLINK \l _Toc4655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6.17.4 </w:t>
      </w:r>
      <w:r>
        <w:rPr>
          <w:rFonts w:hint="eastAsia"/>
        </w:rPr>
        <w:t>项目文件管理</w:t>
      </w:r>
      <w:r>
        <w:tab/>
      </w:r>
      <w:r>
        <w:fldChar w:fldCharType="begin"/>
      </w:r>
      <w:r>
        <w:instrText xml:space="preserve"> PAGEREF _Toc4655 \h </w:instrText>
      </w:r>
      <w:r>
        <w:fldChar w:fldCharType="separate"/>
      </w:r>
      <w:r>
        <w:t>276</w:t>
      </w:r>
      <w:r>
        <w:fldChar w:fldCharType="end"/>
      </w:r>
      <w:r>
        <w:fldChar w:fldCharType="end"/>
      </w:r>
    </w:p>
    <w:p w14:paraId="404C6062">
      <w:pPr>
        <w:pStyle w:val="14"/>
        <w:tabs>
          <w:tab w:val="right" w:leader="dot" w:pos="8844"/>
          <w:tab w:val="clear" w:pos="8834"/>
        </w:tabs>
      </w:pPr>
      <w:r>
        <w:fldChar w:fldCharType="begin"/>
      </w:r>
      <w:r>
        <w:instrText xml:space="preserve"> HYPERLINK \l _Toc7114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6.17.5 </w:t>
      </w:r>
      <w:r>
        <w:rPr>
          <w:rFonts w:hint="eastAsia"/>
        </w:rPr>
        <w:t>项目工程影像资料管理</w:t>
      </w:r>
      <w:r>
        <w:tab/>
      </w:r>
      <w:r>
        <w:fldChar w:fldCharType="begin"/>
      </w:r>
      <w:r>
        <w:instrText xml:space="preserve"> PAGEREF _Toc7114 \h </w:instrText>
      </w:r>
      <w:r>
        <w:fldChar w:fldCharType="separate"/>
      </w:r>
      <w:r>
        <w:t>277</w:t>
      </w:r>
      <w:r>
        <w:fldChar w:fldCharType="end"/>
      </w:r>
      <w:r>
        <w:fldChar w:fldCharType="end"/>
      </w:r>
    </w:p>
    <w:p w14:paraId="6C0E26AC">
      <w:pPr>
        <w:pStyle w:val="14"/>
        <w:tabs>
          <w:tab w:val="right" w:leader="dot" w:pos="8844"/>
          <w:tab w:val="clear" w:pos="8834"/>
        </w:tabs>
      </w:pPr>
      <w:r>
        <w:fldChar w:fldCharType="begin"/>
      </w:r>
      <w:r>
        <w:instrText xml:space="preserve"> HYPERLINK \l _Toc11361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6.17.6 </w:t>
      </w:r>
      <w:r>
        <w:rPr>
          <w:rFonts w:hint="eastAsia"/>
        </w:rPr>
        <w:t>施工归档记录的监督检查</w:t>
      </w:r>
      <w:r>
        <w:tab/>
      </w:r>
      <w:r>
        <w:fldChar w:fldCharType="begin"/>
      </w:r>
      <w:r>
        <w:instrText xml:space="preserve"> PAGEREF _Toc11361 \h </w:instrText>
      </w:r>
      <w:r>
        <w:fldChar w:fldCharType="separate"/>
      </w:r>
      <w:r>
        <w:t>277</w:t>
      </w:r>
      <w:r>
        <w:fldChar w:fldCharType="end"/>
      </w:r>
      <w:r>
        <w:fldChar w:fldCharType="end"/>
      </w:r>
    </w:p>
    <w:p w14:paraId="53399A19">
      <w:pPr>
        <w:pStyle w:val="14"/>
        <w:tabs>
          <w:tab w:val="right" w:leader="dot" w:pos="8844"/>
          <w:tab w:val="clear" w:pos="8834"/>
        </w:tabs>
      </w:pPr>
      <w:r>
        <w:fldChar w:fldCharType="begin"/>
      </w:r>
      <w:r>
        <w:instrText xml:space="preserve"> HYPERLINK \l _Toc32145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6.17.7 </w:t>
      </w:r>
      <w:r>
        <w:rPr>
          <w:rFonts w:hint="eastAsia"/>
        </w:rPr>
        <w:t>施工归档记录的验收与管理</w:t>
      </w:r>
      <w:r>
        <w:tab/>
      </w:r>
      <w:r>
        <w:fldChar w:fldCharType="begin"/>
      </w:r>
      <w:r>
        <w:instrText xml:space="preserve"> PAGEREF _Toc32145 \h </w:instrText>
      </w:r>
      <w:r>
        <w:fldChar w:fldCharType="separate"/>
      </w:r>
      <w:r>
        <w:t>278</w:t>
      </w:r>
      <w:r>
        <w:fldChar w:fldCharType="end"/>
      </w:r>
      <w:r>
        <w:fldChar w:fldCharType="end"/>
      </w:r>
    </w:p>
    <w:p w14:paraId="11ED0803">
      <w:pPr>
        <w:pStyle w:val="14"/>
        <w:tabs>
          <w:tab w:val="right" w:leader="dot" w:pos="8844"/>
          <w:tab w:val="clear" w:pos="8834"/>
        </w:tabs>
      </w:pPr>
      <w:r>
        <w:fldChar w:fldCharType="begin"/>
      </w:r>
      <w:r>
        <w:instrText xml:space="preserve"> HYPERLINK \l _Toc8084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6.17.8 </w:t>
      </w:r>
      <w:r>
        <w:rPr>
          <w:rFonts w:hint="eastAsia"/>
        </w:rPr>
        <w:t>工程档案移交</w:t>
      </w:r>
      <w:r>
        <w:tab/>
      </w:r>
      <w:r>
        <w:fldChar w:fldCharType="begin"/>
      </w:r>
      <w:r>
        <w:instrText xml:space="preserve"> PAGEREF _Toc8084 \h </w:instrText>
      </w:r>
      <w:r>
        <w:fldChar w:fldCharType="separate"/>
      </w:r>
      <w:r>
        <w:t>278</w:t>
      </w:r>
      <w:r>
        <w:fldChar w:fldCharType="end"/>
      </w:r>
      <w:r>
        <w:fldChar w:fldCharType="end"/>
      </w:r>
    </w:p>
    <w:p w14:paraId="13264F17">
      <w:pPr>
        <w:pStyle w:val="21"/>
        <w:tabs>
          <w:tab w:val="right" w:leader="dot" w:pos="8844"/>
        </w:tabs>
      </w:pPr>
      <w:r>
        <w:fldChar w:fldCharType="begin"/>
      </w:r>
      <w:r>
        <w:instrText xml:space="preserve"> HYPERLINK \l _Toc23943 </w:instrText>
      </w:r>
      <w:r>
        <w:fldChar w:fldCharType="separate"/>
      </w:r>
      <w:r>
        <w:rPr>
          <w:rFonts w:hint="eastAsia" w:ascii="宋体" w:hAnsi="宋体" w:cs="Times New Roman"/>
          <w:bCs w:val="0"/>
          <w:i w:val="0"/>
          <w:iCs w:val="0"/>
          <w:caps w:val="0"/>
          <w:strike w:val="0"/>
          <w:dstrike w:val="0"/>
          <w:outline w:val="0"/>
          <w:shadow w:val="0"/>
          <w:emboss w:val="0"/>
          <w:imprint w:val="0"/>
          <w:vanish w:val="0"/>
          <w:spacing w:val="0"/>
          <w:position w:val="0"/>
          <w:vertAlign w:val="baseline"/>
        </w:rPr>
        <w:t xml:space="preserve">第7章 </w:t>
      </w:r>
      <w:r>
        <w:rPr>
          <w:rFonts w:hint="eastAsia"/>
        </w:rPr>
        <w:t>各项管理及保证措施</w:t>
      </w:r>
      <w:r>
        <w:tab/>
      </w:r>
      <w:r>
        <w:fldChar w:fldCharType="begin"/>
      </w:r>
      <w:r>
        <w:instrText xml:space="preserve"> PAGEREF _Toc23943 \h </w:instrText>
      </w:r>
      <w:r>
        <w:fldChar w:fldCharType="separate"/>
      </w:r>
      <w:r>
        <w:t>279</w:t>
      </w:r>
      <w:r>
        <w:fldChar w:fldCharType="end"/>
      </w:r>
      <w:r>
        <w:fldChar w:fldCharType="end"/>
      </w:r>
    </w:p>
    <w:p w14:paraId="2CF06D73">
      <w:pPr>
        <w:pStyle w:val="25"/>
        <w:tabs>
          <w:tab w:val="right" w:leader="dot" w:pos="8844"/>
        </w:tabs>
      </w:pPr>
      <w:r>
        <w:fldChar w:fldCharType="begin"/>
      </w:r>
      <w:r>
        <w:instrText xml:space="preserve"> HYPERLINK \l _Toc18859 </w:instrText>
      </w:r>
      <w:r>
        <w:fldChar w:fldCharType="separate"/>
      </w:r>
      <w:r>
        <w:rPr>
          <w:rFonts w:hint="eastAsia" w:ascii="宋体" w:hAnsi="宋体" w:eastAsia="宋体"/>
        </w:rPr>
        <w:t xml:space="preserve">7.1 </w:t>
      </w:r>
      <w:r>
        <w:rPr>
          <w:rFonts w:hint="eastAsia"/>
        </w:rPr>
        <w:t>质量保证措施</w:t>
      </w:r>
      <w:r>
        <w:tab/>
      </w:r>
      <w:r>
        <w:fldChar w:fldCharType="begin"/>
      </w:r>
      <w:r>
        <w:instrText xml:space="preserve"> PAGEREF _Toc18859 \h </w:instrText>
      </w:r>
      <w:r>
        <w:fldChar w:fldCharType="separate"/>
      </w:r>
      <w:r>
        <w:t>279</w:t>
      </w:r>
      <w:r>
        <w:fldChar w:fldCharType="end"/>
      </w:r>
      <w:r>
        <w:fldChar w:fldCharType="end"/>
      </w:r>
    </w:p>
    <w:p w14:paraId="42CAF470">
      <w:pPr>
        <w:pStyle w:val="14"/>
        <w:tabs>
          <w:tab w:val="right" w:leader="dot" w:pos="8844"/>
          <w:tab w:val="clear" w:pos="8834"/>
        </w:tabs>
      </w:pPr>
      <w:r>
        <w:fldChar w:fldCharType="begin"/>
      </w:r>
      <w:r>
        <w:instrText xml:space="preserve"> HYPERLINK \l _Toc7544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7.1.1 </w:t>
      </w:r>
      <w:r>
        <w:rPr>
          <w:rFonts w:hint="eastAsia"/>
        </w:rPr>
        <w:t>项目质量保证体系的组成及其分工</w:t>
      </w:r>
      <w:r>
        <w:tab/>
      </w:r>
      <w:r>
        <w:fldChar w:fldCharType="begin"/>
      </w:r>
      <w:r>
        <w:instrText xml:space="preserve"> PAGEREF _Toc7544 \h </w:instrText>
      </w:r>
      <w:r>
        <w:fldChar w:fldCharType="separate"/>
      </w:r>
      <w:r>
        <w:t>279</w:t>
      </w:r>
      <w:r>
        <w:fldChar w:fldCharType="end"/>
      </w:r>
      <w:r>
        <w:fldChar w:fldCharType="end"/>
      </w:r>
    </w:p>
    <w:p w14:paraId="50784E59">
      <w:pPr>
        <w:pStyle w:val="14"/>
        <w:tabs>
          <w:tab w:val="right" w:leader="dot" w:pos="8844"/>
          <w:tab w:val="clear" w:pos="8834"/>
        </w:tabs>
      </w:pPr>
      <w:r>
        <w:fldChar w:fldCharType="begin"/>
      </w:r>
      <w:r>
        <w:instrText xml:space="preserve"> HYPERLINK \l _Toc31444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7.1.2 </w:t>
      </w:r>
      <w:r>
        <w:rPr>
          <w:rFonts w:hint="eastAsia"/>
        </w:rPr>
        <w:t>质量目标及其分解</w:t>
      </w:r>
      <w:r>
        <w:tab/>
      </w:r>
      <w:r>
        <w:fldChar w:fldCharType="begin"/>
      </w:r>
      <w:r>
        <w:instrText xml:space="preserve"> PAGEREF _Toc31444 \h </w:instrText>
      </w:r>
      <w:r>
        <w:fldChar w:fldCharType="separate"/>
      </w:r>
      <w:r>
        <w:t>281</w:t>
      </w:r>
      <w:r>
        <w:fldChar w:fldCharType="end"/>
      </w:r>
      <w:r>
        <w:fldChar w:fldCharType="end"/>
      </w:r>
    </w:p>
    <w:p w14:paraId="52CDEF6A">
      <w:pPr>
        <w:pStyle w:val="14"/>
        <w:tabs>
          <w:tab w:val="right" w:leader="dot" w:pos="8844"/>
          <w:tab w:val="clear" w:pos="8834"/>
        </w:tabs>
      </w:pPr>
      <w:r>
        <w:fldChar w:fldCharType="begin"/>
      </w:r>
      <w:r>
        <w:instrText xml:space="preserve"> HYPERLINK \l _Toc13351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7.1.3 </w:t>
      </w:r>
      <w:r>
        <w:rPr>
          <w:rFonts w:hint="eastAsia"/>
        </w:rPr>
        <w:t>明确质量标准</w:t>
      </w:r>
      <w:r>
        <w:tab/>
      </w:r>
      <w:r>
        <w:fldChar w:fldCharType="begin"/>
      </w:r>
      <w:r>
        <w:instrText xml:space="preserve"> PAGEREF _Toc13351 \h </w:instrText>
      </w:r>
      <w:r>
        <w:fldChar w:fldCharType="separate"/>
      </w:r>
      <w:r>
        <w:t>283</w:t>
      </w:r>
      <w:r>
        <w:fldChar w:fldCharType="end"/>
      </w:r>
      <w:r>
        <w:fldChar w:fldCharType="end"/>
      </w:r>
    </w:p>
    <w:p w14:paraId="1757B8CC">
      <w:pPr>
        <w:pStyle w:val="14"/>
        <w:tabs>
          <w:tab w:val="right" w:leader="dot" w:pos="8844"/>
          <w:tab w:val="clear" w:pos="8834"/>
        </w:tabs>
      </w:pPr>
      <w:r>
        <w:fldChar w:fldCharType="begin"/>
      </w:r>
      <w:r>
        <w:instrText xml:space="preserve"> HYPERLINK \l _Toc16618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7.1.4 </w:t>
      </w:r>
      <w:r>
        <w:rPr>
          <w:rFonts w:hint="eastAsia"/>
        </w:rPr>
        <w:t>组织保证措施</w:t>
      </w:r>
      <w:r>
        <w:tab/>
      </w:r>
      <w:r>
        <w:fldChar w:fldCharType="begin"/>
      </w:r>
      <w:r>
        <w:instrText xml:space="preserve"> PAGEREF _Toc16618 \h </w:instrText>
      </w:r>
      <w:r>
        <w:fldChar w:fldCharType="separate"/>
      </w:r>
      <w:r>
        <w:t>298</w:t>
      </w:r>
      <w:r>
        <w:fldChar w:fldCharType="end"/>
      </w:r>
      <w:r>
        <w:fldChar w:fldCharType="end"/>
      </w:r>
    </w:p>
    <w:p w14:paraId="2D9DCCFC">
      <w:pPr>
        <w:pStyle w:val="14"/>
        <w:tabs>
          <w:tab w:val="right" w:leader="dot" w:pos="8844"/>
          <w:tab w:val="clear" w:pos="8834"/>
        </w:tabs>
      </w:pPr>
      <w:r>
        <w:fldChar w:fldCharType="begin"/>
      </w:r>
      <w:r>
        <w:instrText xml:space="preserve"> HYPERLINK \l _Toc10651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7.1.5 </w:t>
      </w:r>
      <w:r>
        <w:rPr>
          <w:rFonts w:hint="eastAsia"/>
        </w:rPr>
        <w:t>质量控制方法</w:t>
      </w:r>
      <w:r>
        <w:tab/>
      </w:r>
      <w:r>
        <w:fldChar w:fldCharType="begin"/>
      </w:r>
      <w:r>
        <w:instrText xml:space="preserve"> PAGEREF _Toc10651 \h </w:instrText>
      </w:r>
      <w:r>
        <w:fldChar w:fldCharType="separate"/>
      </w:r>
      <w:r>
        <w:t>299</w:t>
      </w:r>
      <w:r>
        <w:fldChar w:fldCharType="end"/>
      </w:r>
      <w:r>
        <w:fldChar w:fldCharType="end"/>
      </w:r>
    </w:p>
    <w:p w14:paraId="3414E21B">
      <w:pPr>
        <w:pStyle w:val="14"/>
        <w:tabs>
          <w:tab w:val="right" w:leader="dot" w:pos="8844"/>
          <w:tab w:val="clear" w:pos="8834"/>
        </w:tabs>
      </w:pPr>
      <w:r>
        <w:fldChar w:fldCharType="begin"/>
      </w:r>
      <w:r>
        <w:instrText xml:space="preserve"> HYPERLINK \l _Toc22283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7.1.6 </w:t>
      </w:r>
      <w:r>
        <w:rPr>
          <w:rFonts w:hint="eastAsia"/>
        </w:rPr>
        <w:t>施工工序质量的控制</w:t>
      </w:r>
      <w:r>
        <w:tab/>
      </w:r>
      <w:r>
        <w:fldChar w:fldCharType="begin"/>
      </w:r>
      <w:r>
        <w:instrText xml:space="preserve"> PAGEREF _Toc22283 \h </w:instrText>
      </w:r>
      <w:r>
        <w:fldChar w:fldCharType="separate"/>
      </w:r>
      <w:r>
        <w:t>300</w:t>
      </w:r>
      <w:r>
        <w:fldChar w:fldCharType="end"/>
      </w:r>
      <w:r>
        <w:fldChar w:fldCharType="end"/>
      </w:r>
    </w:p>
    <w:p w14:paraId="07B2BCB6">
      <w:pPr>
        <w:pStyle w:val="14"/>
        <w:tabs>
          <w:tab w:val="right" w:leader="dot" w:pos="8844"/>
          <w:tab w:val="clear" w:pos="8834"/>
        </w:tabs>
      </w:pPr>
      <w:r>
        <w:fldChar w:fldCharType="begin"/>
      </w:r>
      <w:r>
        <w:instrText xml:space="preserve"> HYPERLINK \l _Toc6887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7.1.7 </w:t>
      </w:r>
      <w:r>
        <w:rPr>
          <w:rFonts w:hint="eastAsia"/>
        </w:rPr>
        <w:t>材料、成品、半成品的检验、计量、试验控制</w:t>
      </w:r>
      <w:r>
        <w:tab/>
      </w:r>
      <w:r>
        <w:fldChar w:fldCharType="begin"/>
      </w:r>
      <w:r>
        <w:instrText xml:space="preserve"> PAGEREF _Toc6887 \h </w:instrText>
      </w:r>
      <w:r>
        <w:fldChar w:fldCharType="separate"/>
      </w:r>
      <w:r>
        <w:t>382</w:t>
      </w:r>
      <w:r>
        <w:fldChar w:fldCharType="end"/>
      </w:r>
      <w:r>
        <w:fldChar w:fldCharType="end"/>
      </w:r>
    </w:p>
    <w:p w14:paraId="745DAE66">
      <w:pPr>
        <w:pStyle w:val="14"/>
        <w:tabs>
          <w:tab w:val="right" w:leader="dot" w:pos="8844"/>
          <w:tab w:val="clear" w:pos="8834"/>
        </w:tabs>
      </w:pPr>
      <w:r>
        <w:fldChar w:fldCharType="begin"/>
      </w:r>
      <w:r>
        <w:instrText xml:space="preserve"> HYPERLINK \l _Toc8891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7.1.8 </w:t>
      </w:r>
      <w:r>
        <w:rPr>
          <w:rFonts w:hint="eastAsia"/>
        </w:rPr>
        <w:t>采购要素的控制</w:t>
      </w:r>
      <w:r>
        <w:tab/>
      </w:r>
      <w:r>
        <w:fldChar w:fldCharType="begin"/>
      </w:r>
      <w:r>
        <w:instrText xml:space="preserve"> PAGEREF _Toc8891 \h </w:instrText>
      </w:r>
      <w:r>
        <w:fldChar w:fldCharType="separate"/>
      </w:r>
      <w:r>
        <w:t>383</w:t>
      </w:r>
      <w:r>
        <w:fldChar w:fldCharType="end"/>
      </w:r>
      <w:r>
        <w:fldChar w:fldCharType="end"/>
      </w:r>
    </w:p>
    <w:p w14:paraId="47788B08">
      <w:pPr>
        <w:pStyle w:val="14"/>
        <w:tabs>
          <w:tab w:val="right" w:leader="dot" w:pos="8844"/>
          <w:tab w:val="clear" w:pos="8834"/>
        </w:tabs>
      </w:pPr>
      <w:r>
        <w:fldChar w:fldCharType="begin"/>
      </w:r>
      <w:r>
        <w:instrText xml:space="preserve"> HYPERLINK \l _Toc10551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7.1.9 </w:t>
      </w:r>
      <w:r>
        <w:rPr>
          <w:rFonts w:hint="eastAsia"/>
        </w:rPr>
        <w:t>工程质量的过程控制与管理措施</w:t>
      </w:r>
      <w:r>
        <w:tab/>
      </w:r>
      <w:r>
        <w:fldChar w:fldCharType="begin"/>
      </w:r>
      <w:r>
        <w:instrText xml:space="preserve"> PAGEREF _Toc10551 \h </w:instrText>
      </w:r>
      <w:r>
        <w:fldChar w:fldCharType="separate"/>
      </w:r>
      <w:r>
        <w:t>385</w:t>
      </w:r>
      <w:r>
        <w:fldChar w:fldCharType="end"/>
      </w:r>
      <w:r>
        <w:fldChar w:fldCharType="end"/>
      </w:r>
    </w:p>
    <w:p w14:paraId="1D5D15E3">
      <w:pPr>
        <w:pStyle w:val="14"/>
        <w:tabs>
          <w:tab w:val="right" w:leader="dot" w:pos="8844"/>
          <w:tab w:val="clear" w:pos="8834"/>
        </w:tabs>
      </w:pPr>
      <w:r>
        <w:fldChar w:fldCharType="begin"/>
      </w:r>
      <w:r>
        <w:instrText xml:space="preserve"> HYPERLINK \l _Toc13132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7.1.10 </w:t>
      </w:r>
      <w:r>
        <w:rPr>
          <w:rFonts w:hint="eastAsia"/>
        </w:rPr>
        <w:t>成品保护</w:t>
      </w:r>
      <w:r>
        <w:rPr>
          <w:rFonts w:ascii="宋体" w:hAnsi="宋体"/>
          <w:bCs w:val="0"/>
        </w:rPr>
        <w:t>措施</w:t>
      </w:r>
      <w:r>
        <w:tab/>
      </w:r>
      <w:r>
        <w:fldChar w:fldCharType="begin"/>
      </w:r>
      <w:r>
        <w:instrText xml:space="preserve"> PAGEREF _Toc13132 \h </w:instrText>
      </w:r>
      <w:r>
        <w:fldChar w:fldCharType="separate"/>
      </w:r>
      <w:r>
        <w:t>386</w:t>
      </w:r>
      <w:r>
        <w:fldChar w:fldCharType="end"/>
      </w:r>
      <w:r>
        <w:fldChar w:fldCharType="end"/>
      </w:r>
    </w:p>
    <w:p w14:paraId="76EED44C">
      <w:pPr>
        <w:pStyle w:val="25"/>
        <w:tabs>
          <w:tab w:val="right" w:leader="dot" w:pos="8844"/>
        </w:tabs>
      </w:pPr>
      <w:r>
        <w:fldChar w:fldCharType="begin"/>
      </w:r>
      <w:r>
        <w:instrText xml:space="preserve"> HYPERLINK \l _Toc5662 </w:instrText>
      </w:r>
      <w:r>
        <w:fldChar w:fldCharType="separate"/>
      </w:r>
      <w:r>
        <w:rPr>
          <w:rFonts w:hint="eastAsia" w:ascii="宋体" w:hAnsi="宋体" w:eastAsia="宋体"/>
        </w:rPr>
        <w:t xml:space="preserve">7.2 </w:t>
      </w:r>
      <w:r>
        <w:rPr>
          <w:rFonts w:hint="eastAsia"/>
        </w:rPr>
        <w:t>技术保证措施</w:t>
      </w:r>
      <w:r>
        <w:tab/>
      </w:r>
      <w:r>
        <w:fldChar w:fldCharType="begin"/>
      </w:r>
      <w:r>
        <w:instrText xml:space="preserve"> PAGEREF _Toc5662 \h </w:instrText>
      </w:r>
      <w:r>
        <w:fldChar w:fldCharType="separate"/>
      </w:r>
      <w:r>
        <w:t>388</w:t>
      </w:r>
      <w:r>
        <w:fldChar w:fldCharType="end"/>
      </w:r>
      <w:r>
        <w:fldChar w:fldCharType="end"/>
      </w:r>
    </w:p>
    <w:p w14:paraId="50C10B15">
      <w:pPr>
        <w:pStyle w:val="14"/>
        <w:tabs>
          <w:tab w:val="right" w:leader="dot" w:pos="8844"/>
          <w:tab w:val="clear" w:pos="8834"/>
        </w:tabs>
      </w:pPr>
      <w:r>
        <w:fldChar w:fldCharType="begin"/>
      </w:r>
      <w:r>
        <w:instrText xml:space="preserve"> HYPERLINK \l _Toc7528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7.2.1 </w:t>
      </w:r>
      <w:r>
        <w:rPr>
          <w:rFonts w:hint="eastAsia"/>
        </w:rPr>
        <w:t>技术投入</w:t>
      </w:r>
      <w:r>
        <w:tab/>
      </w:r>
      <w:r>
        <w:fldChar w:fldCharType="begin"/>
      </w:r>
      <w:r>
        <w:instrText xml:space="preserve"> PAGEREF _Toc7528 \h </w:instrText>
      </w:r>
      <w:r>
        <w:fldChar w:fldCharType="separate"/>
      </w:r>
      <w:r>
        <w:t>388</w:t>
      </w:r>
      <w:r>
        <w:fldChar w:fldCharType="end"/>
      </w:r>
      <w:r>
        <w:fldChar w:fldCharType="end"/>
      </w:r>
    </w:p>
    <w:p w14:paraId="75A7ADAB">
      <w:pPr>
        <w:pStyle w:val="14"/>
        <w:tabs>
          <w:tab w:val="right" w:leader="dot" w:pos="8844"/>
          <w:tab w:val="clear" w:pos="8834"/>
        </w:tabs>
      </w:pPr>
      <w:r>
        <w:fldChar w:fldCharType="begin"/>
      </w:r>
      <w:r>
        <w:instrText xml:space="preserve"> HYPERLINK \l _Toc8058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7.2.2 </w:t>
      </w:r>
      <w:r>
        <w:rPr>
          <w:rFonts w:hint="eastAsia"/>
        </w:rPr>
        <w:t>技术资料的管理</w:t>
      </w:r>
      <w:r>
        <w:tab/>
      </w:r>
      <w:r>
        <w:fldChar w:fldCharType="begin"/>
      </w:r>
      <w:r>
        <w:instrText xml:space="preserve"> PAGEREF _Toc8058 \h </w:instrText>
      </w:r>
      <w:r>
        <w:fldChar w:fldCharType="separate"/>
      </w:r>
      <w:r>
        <w:t>389</w:t>
      </w:r>
      <w:r>
        <w:fldChar w:fldCharType="end"/>
      </w:r>
      <w:r>
        <w:fldChar w:fldCharType="end"/>
      </w:r>
    </w:p>
    <w:p w14:paraId="29FEAD35">
      <w:pPr>
        <w:pStyle w:val="25"/>
        <w:tabs>
          <w:tab w:val="right" w:leader="dot" w:pos="8844"/>
        </w:tabs>
      </w:pPr>
      <w:r>
        <w:fldChar w:fldCharType="begin"/>
      </w:r>
      <w:r>
        <w:instrText xml:space="preserve"> HYPERLINK \l _Toc7142 </w:instrText>
      </w:r>
      <w:r>
        <w:fldChar w:fldCharType="separate"/>
      </w:r>
      <w:r>
        <w:rPr>
          <w:rFonts w:hint="eastAsia" w:ascii="宋体" w:hAnsi="宋体" w:eastAsia="宋体"/>
        </w:rPr>
        <w:t xml:space="preserve">7.3 </w:t>
      </w:r>
      <w:r>
        <w:rPr>
          <w:rFonts w:hint="eastAsia"/>
        </w:rPr>
        <w:t>工期保证措施</w:t>
      </w:r>
      <w:r>
        <w:tab/>
      </w:r>
      <w:r>
        <w:fldChar w:fldCharType="begin"/>
      </w:r>
      <w:r>
        <w:instrText xml:space="preserve"> PAGEREF _Toc7142 \h </w:instrText>
      </w:r>
      <w:r>
        <w:fldChar w:fldCharType="separate"/>
      </w:r>
      <w:r>
        <w:t>390</w:t>
      </w:r>
      <w:r>
        <w:fldChar w:fldCharType="end"/>
      </w:r>
      <w:r>
        <w:fldChar w:fldCharType="end"/>
      </w:r>
    </w:p>
    <w:p w14:paraId="0A19730F">
      <w:pPr>
        <w:pStyle w:val="14"/>
        <w:tabs>
          <w:tab w:val="right" w:leader="dot" w:pos="8844"/>
          <w:tab w:val="clear" w:pos="8834"/>
        </w:tabs>
      </w:pPr>
      <w:r>
        <w:fldChar w:fldCharType="begin"/>
      </w:r>
      <w:r>
        <w:instrText xml:space="preserve"> HYPERLINK \l _Toc32624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7.3.1 </w:t>
      </w:r>
      <w:r>
        <w:rPr>
          <w:rFonts w:hint="eastAsia"/>
        </w:rPr>
        <w:t>组织措施</w:t>
      </w:r>
      <w:r>
        <w:tab/>
      </w:r>
      <w:r>
        <w:fldChar w:fldCharType="begin"/>
      </w:r>
      <w:r>
        <w:instrText xml:space="preserve"> PAGEREF _Toc32624 \h </w:instrText>
      </w:r>
      <w:r>
        <w:fldChar w:fldCharType="separate"/>
      </w:r>
      <w:r>
        <w:t>390</w:t>
      </w:r>
      <w:r>
        <w:fldChar w:fldCharType="end"/>
      </w:r>
      <w:r>
        <w:fldChar w:fldCharType="end"/>
      </w:r>
    </w:p>
    <w:p w14:paraId="2295D31A">
      <w:pPr>
        <w:pStyle w:val="14"/>
        <w:tabs>
          <w:tab w:val="right" w:leader="dot" w:pos="8844"/>
          <w:tab w:val="clear" w:pos="8834"/>
        </w:tabs>
      </w:pPr>
      <w:r>
        <w:fldChar w:fldCharType="begin"/>
      </w:r>
      <w:r>
        <w:instrText xml:space="preserve"> HYPERLINK \l _Toc26708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7.3.2 </w:t>
      </w:r>
      <w:r>
        <w:rPr>
          <w:rFonts w:hint="eastAsia"/>
        </w:rPr>
        <w:t>管理措施</w:t>
      </w:r>
      <w:r>
        <w:tab/>
      </w:r>
      <w:r>
        <w:fldChar w:fldCharType="begin"/>
      </w:r>
      <w:r>
        <w:instrText xml:space="preserve"> PAGEREF _Toc26708 \h </w:instrText>
      </w:r>
      <w:r>
        <w:fldChar w:fldCharType="separate"/>
      </w:r>
      <w:r>
        <w:t>390</w:t>
      </w:r>
      <w:r>
        <w:fldChar w:fldCharType="end"/>
      </w:r>
      <w:r>
        <w:fldChar w:fldCharType="end"/>
      </w:r>
    </w:p>
    <w:p w14:paraId="5920304A">
      <w:pPr>
        <w:pStyle w:val="14"/>
        <w:tabs>
          <w:tab w:val="right" w:leader="dot" w:pos="8844"/>
          <w:tab w:val="clear" w:pos="8834"/>
        </w:tabs>
      </w:pPr>
      <w:r>
        <w:fldChar w:fldCharType="begin"/>
      </w:r>
      <w:r>
        <w:instrText xml:space="preserve"> HYPERLINK \l _Toc22861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7.3.3 </w:t>
      </w:r>
      <w:r>
        <w:rPr>
          <w:rFonts w:hint="eastAsia"/>
        </w:rPr>
        <w:t>技术措施</w:t>
      </w:r>
      <w:r>
        <w:tab/>
      </w:r>
      <w:r>
        <w:fldChar w:fldCharType="begin"/>
      </w:r>
      <w:r>
        <w:instrText xml:space="preserve"> PAGEREF _Toc22861 \h </w:instrText>
      </w:r>
      <w:r>
        <w:fldChar w:fldCharType="separate"/>
      </w:r>
      <w:r>
        <w:t>390</w:t>
      </w:r>
      <w:r>
        <w:fldChar w:fldCharType="end"/>
      </w:r>
      <w:r>
        <w:fldChar w:fldCharType="end"/>
      </w:r>
    </w:p>
    <w:p w14:paraId="264AB92F">
      <w:pPr>
        <w:pStyle w:val="14"/>
        <w:tabs>
          <w:tab w:val="right" w:leader="dot" w:pos="8844"/>
          <w:tab w:val="clear" w:pos="8834"/>
        </w:tabs>
      </w:pPr>
      <w:r>
        <w:fldChar w:fldCharType="begin"/>
      </w:r>
      <w:r>
        <w:instrText xml:space="preserve"> HYPERLINK \l _Toc4325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7.3.4 </w:t>
      </w:r>
      <w:r>
        <w:rPr>
          <w:rFonts w:hint="eastAsia"/>
        </w:rPr>
        <w:t>控制方法</w:t>
      </w:r>
      <w:r>
        <w:tab/>
      </w:r>
      <w:r>
        <w:fldChar w:fldCharType="begin"/>
      </w:r>
      <w:r>
        <w:instrText xml:space="preserve"> PAGEREF _Toc4325 \h </w:instrText>
      </w:r>
      <w:r>
        <w:fldChar w:fldCharType="separate"/>
      </w:r>
      <w:r>
        <w:t>391</w:t>
      </w:r>
      <w:r>
        <w:fldChar w:fldCharType="end"/>
      </w:r>
      <w:r>
        <w:fldChar w:fldCharType="end"/>
      </w:r>
    </w:p>
    <w:p w14:paraId="2E993886">
      <w:pPr>
        <w:pStyle w:val="14"/>
        <w:tabs>
          <w:tab w:val="right" w:leader="dot" w:pos="8844"/>
          <w:tab w:val="clear" w:pos="8834"/>
        </w:tabs>
      </w:pPr>
      <w:r>
        <w:fldChar w:fldCharType="begin"/>
      </w:r>
      <w:r>
        <w:instrText xml:space="preserve"> HYPERLINK \l _Toc25157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8"/>
          <w:vertAlign w:val="baseline"/>
          <w14:ligatures w14:val="none"/>
          <w14:numForm w14:val="default"/>
          <w14:numSpacing w14:val="default"/>
        </w:rPr>
        <w:t xml:space="preserve">7.3.5 </w:t>
      </w:r>
      <w:r>
        <w:rPr>
          <w:rFonts w:hint="eastAsia" w:ascii="宋体" w:hAnsi="宋体"/>
          <w:szCs w:val="28"/>
          <w:highlight w:val="none"/>
          <w:lang w:val="en-US" w:eastAsia="zh-CN"/>
        </w:rPr>
        <w:t>施工进度计划实施与纠偏</w:t>
      </w:r>
      <w:r>
        <w:tab/>
      </w:r>
      <w:r>
        <w:fldChar w:fldCharType="begin"/>
      </w:r>
      <w:r>
        <w:instrText xml:space="preserve"> PAGEREF _Toc25157 \h </w:instrText>
      </w:r>
      <w:r>
        <w:fldChar w:fldCharType="separate"/>
      </w:r>
      <w:r>
        <w:t>392</w:t>
      </w:r>
      <w:r>
        <w:fldChar w:fldCharType="end"/>
      </w:r>
      <w:r>
        <w:fldChar w:fldCharType="end"/>
      </w:r>
    </w:p>
    <w:p w14:paraId="6FDEE841">
      <w:pPr>
        <w:pStyle w:val="14"/>
        <w:tabs>
          <w:tab w:val="right" w:leader="dot" w:pos="8844"/>
          <w:tab w:val="clear" w:pos="8834"/>
        </w:tabs>
      </w:pPr>
      <w:r>
        <w:fldChar w:fldCharType="begin"/>
      </w:r>
      <w:r>
        <w:instrText xml:space="preserve"> HYPERLINK \l _Toc32410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lang w:eastAsia="zh-CN"/>
          <w14:ligatures w14:val="none"/>
          <w14:numForm w14:val="default"/>
          <w14:numSpacing w14:val="default"/>
        </w:rPr>
        <w:t xml:space="preserve">7.3.6 </w:t>
      </w:r>
      <w:r>
        <w:rPr>
          <w:rFonts w:hint="eastAsia"/>
          <w:szCs w:val="24"/>
          <w:lang w:eastAsia="zh-CN"/>
        </w:rPr>
        <w:t>设备调试进度控制</w:t>
      </w:r>
      <w:r>
        <w:tab/>
      </w:r>
      <w:r>
        <w:fldChar w:fldCharType="begin"/>
      </w:r>
      <w:r>
        <w:instrText xml:space="preserve"> PAGEREF _Toc32410 \h </w:instrText>
      </w:r>
      <w:r>
        <w:fldChar w:fldCharType="separate"/>
      </w:r>
      <w:r>
        <w:t>403</w:t>
      </w:r>
      <w:r>
        <w:fldChar w:fldCharType="end"/>
      </w:r>
      <w:r>
        <w:fldChar w:fldCharType="end"/>
      </w:r>
    </w:p>
    <w:p w14:paraId="181CC6B8">
      <w:pPr>
        <w:pStyle w:val="14"/>
        <w:tabs>
          <w:tab w:val="right" w:leader="dot" w:pos="8844"/>
          <w:tab w:val="clear" w:pos="8834"/>
        </w:tabs>
      </w:pPr>
      <w:r>
        <w:fldChar w:fldCharType="begin"/>
      </w:r>
      <w:r>
        <w:instrText xml:space="preserve"> HYPERLINK \l _Toc19825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8"/>
          <w:vertAlign w:val="baseline"/>
          <w14:ligatures w14:val="none"/>
          <w14:numForm w14:val="default"/>
          <w14:numSpacing w14:val="default"/>
        </w:rPr>
        <w:t xml:space="preserve">7.3.7 </w:t>
      </w:r>
      <w:r>
        <w:rPr>
          <w:rFonts w:hint="eastAsia" w:ascii="宋体" w:hAnsi="宋体"/>
          <w:szCs w:val="28"/>
          <w:highlight w:val="none"/>
          <w:lang w:val="en-US" w:eastAsia="zh-CN"/>
        </w:rPr>
        <w:t>招采阶段工期保证措施</w:t>
      </w:r>
      <w:r>
        <w:tab/>
      </w:r>
      <w:r>
        <w:fldChar w:fldCharType="begin"/>
      </w:r>
      <w:r>
        <w:instrText xml:space="preserve"> PAGEREF _Toc19825 \h </w:instrText>
      </w:r>
      <w:r>
        <w:fldChar w:fldCharType="separate"/>
      </w:r>
      <w:r>
        <w:t>404</w:t>
      </w:r>
      <w:r>
        <w:fldChar w:fldCharType="end"/>
      </w:r>
      <w:r>
        <w:fldChar w:fldCharType="end"/>
      </w:r>
    </w:p>
    <w:p w14:paraId="316CD953">
      <w:pPr>
        <w:pStyle w:val="14"/>
        <w:tabs>
          <w:tab w:val="right" w:leader="dot" w:pos="8844"/>
          <w:tab w:val="clear" w:pos="8834"/>
        </w:tabs>
      </w:pPr>
      <w:r>
        <w:fldChar w:fldCharType="begin"/>
      </w:r>
      <w:r>
        <w:instrText xml:space="preserve"> HYPERLINK \l _Toc13788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lang w:val="en-US" w:eastAsia="zh-CN"/>
          <w14:ligatures w14:val="none"/>
          <w14:numForm w14:val="default"/>
          <w14:numSpacing w14:val="default"/>
        </w:rPr>
        <w:t xml:space="preserve">7.3.8 </w:t>
      </w:r>
      <w:r>
        <w:rPr>
          <w:rFonts w:hint="eastAsia"/>
          <w:lang w:val="en-US" w:eastAsia="zh-CN"/>
        </w:rPr>
        <w:t>各阶段进度计划保证措施</w:t>
      </w:r>
      <w:r>
        <w:tab/>
      </w:r>
      <w:r>
        <w:fldChar w:fldCharType="begin"/>
      </w:r>
      <w:r>
        <w:instrText xml:space="preserve"> PAGEREF _Toc13788 \h </w:instrText>
      </w:r>
      <w:r>
        <w:fldChar w:fldCharType="separate"/>
      </w:r>
      <w:r>
        <w:t>405</w:t>
      </w:r>
      <w:r>
        <w:fldChar w:fldCharType="end"/>
      </w:r>
      <w:r>
        <w:fldChar w:fldCharType="end"/>
      </w:r>
    </w:p>
    <w:p w14:paraId="7D6CF760">
      <w:pPr>
        <w:pStyle w:val="14"/>
        <w:tabs>
          <w:tab w:val="right" w:leader="dot" w:pos="8844"/>
          <w:tab w:val="clear" w:pos="8834"/>
        </w:tabs>
      </w:pPr>
      <w:r>
        <w:fldChar w:fldCharType="begin"/>
      </w:r>
      <w:r>
        <w:instrText xml:space="preserve"> HYPERLINK \l _Toc31865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8"/>
          <w:vertAlign w:val="baseline"/>
          <w14:ligatures w14:val="none"/>
          <w14:numForm w14:val="default"/>
          <w14:numSpacing w14:val="default"/>
        </w:rPr>
        <w:t xml:space="preserve">7.3.9 </w:t>
      </w:r>
      <w:r>
        <w:rPr>
          <w:rFonts w:hint="eastAsia" w:ascii="宋体" w:hAnsi="宋体" w:eastAsia="宋体"/>
          <w:szCs w:val="28"/>
        </w:rPr>
        <w:t>施工进度计划保证措施</w:t>
      </w:r>
      <w:r>
        <w:tab/>
      </w:r>
      <w:r>
        <w:fldChar w:fldCharType="begin"/>
      </w:r>
      <w:r>
        <w:instrText xml:space="preserve"> PAGEREF _Toc31865 \h </w:instrText>
      </w:r>
      <w:r>
        <w:fldChar w:fldCharType="separate"/>
      </w:r>
      <w:r>
        <w:t>409</w:t>
      </w:r>
      <w:r>
        <w:fldChar w:fldCharType="end"/>
      </w:r>
      <w:r>
        <w:fldChar w:fldCharType="end"/>
      </w:r>
    </w:p>
    <w:p w14:paraId="5B644E7F">
      <w:pPr>
        <w:pStyle w:val="14"/>
        <w:tabs>
          <w:tab w:val="right" w:leader="dot" w:pos="8844"/>
          <w:tab w:val="clear" w:pos="8834"/>
        </w:tabs>
      </w:pPr>
      <w:r>
        <w:fldChar w:fldCharType="begin"/>
      </w:r>
      <w:r>
        <w:instrText xml:space="preserve"> HYPERLINK \l _Toc27889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8"/>
          <w:vertAlign w:val="baseline"/>
          <w14:ligatures w14:val="none"/>
          <w14:numForm w14:val="default"/>
          <w14:numSpacing w14:val="default"/>
        </w:rPr>
        <w:t xml:space="preserve">7.3.10 </w:t>
      </w:r>
      <w:r>
        <w:rPr>
          <w:rFonts w:hint="eastAsia" w:ascii="宋体" w:hAnsi="宋体" w:eastAsia="宋体"/>
          <w:szCs w:val="28"/>
          <w:highlight w:val="none"/>
        </w:rPr>
        <w:t>夜间、农忙、节假日施工保障措施</w:t>
      </w:r>
      <w:r>
        <w:tab/>
      </w:r>
      <w:r>
        <w:fldChar w:fldCharType="begin"/>
      </w:r>
      <w:r>
        <w:instrText xml:space="preserve"> PAGEREF _Toc27889 \h </w:instrText>
      </w:r>
      <w:r>
        <w:fldChar w:fldCharType="separate"/>
      </w:r>
      <w:r>
        <w:t>421</w:t>
      </w:r>
      <w:r>
        <w:fldChar w:fldCharType="end"/>
      </w:r>
      <w:r>
        <w:fldChar w:fldCharType="end"/>
      </w:r>
    </w:p>
    <w:p w14:paraId="131CC370">
      <w:pPr>
        <w:pStyle w:val="14"/>
        <w:tabs>
          <w:tab w:val="right" w:leader="dot" w:pos="8844"/>
          <w:tab w:val="clear" w:pos="8834"/>
        </w:tabs>
      </w:pPr>
      <w:r>
        <w:fldChar w:fldCharType="begin"/>
      </w:r>
      <w:r>
        <w:instrText xml:space="preserve"> HYPERLINK \l _Toc17101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8"/>
          <w:vertAlign w:val="baseline"/>
          <w14:ligatures w14:val="none"/>
          <w14:numForm w14:val="default"/>
          <w14:numSpacing w14:val="default"/>
        </w:rPr>
        <w:t xml:space="preserve">7.3.11 </w:t>
      </w:r>
      <w:r>
        <w:rPr>
          <w:rFonts w:hint="eastAsia" w:ascii="宋体" w:hAnsi="宋体" w:eastAsia="宋体"/>
          <w:szCs w:val="28"/>
        </w:rPr>
        <w:t>季节性施工保障措施</w:t>
      </w:r>
      <w:r>
        <w:tab/>
      </w:r>
      <w:r>
        <w:fldChar w:fldCharType="begin"/>
      </w:r>
      <w:r>
        <w:instrText xml:space="preserve"> PAGEREF _Toc17101 \h </w:instrText>
      </w:r>
      <w:r>
        <w:fldChar w:fldCharType="separate"/>
      </w:r>
      <w:r>
        <w:t>422</w:t>
      </w:r>
      <w:r>
        <w:fldChar w:fldCharType="end"/>
      </w:r>
      <w:r>
        <w:fldChar w:fldCharType="end"/>
      </w:r>
    </w:p>
    <w:p w14:paraId="18F6474A">
      <w:pPr>
        <w:pStyle w:val="25"/>
        <w:tabs>
          <w:tab w:val="right" w:leader="dot" w:pos="8844"/>
        </w:tabs>
      </w:pPr>
      <w:r>
        <w:fldChar w:fldCharType="begin"/>
      </w:r>
      <w:r>
        <w:instrText xml:space="preserve"> HYPERLINK \l _Toc12002 </w:instrText>
      </w:r>
      <w:r>
        <w:fldChar w:fldCharType="separate"/>
      </w:r>
      <w:r>
        <w:rPr>
          <w:rFonts w:hint="eastAsia" w:ascii="宋体" w:hAnsi="宋体" w:eastAsia="宋体"/>
          <w:szCs w:val="28"/>
        </w:rPr>
        <w:t xml:space="preserve">7.4 </w:t>
      </w:r>
      <w:r>
        <w:rPr>
          <w:szCs w:val="28"/>
        </w:rPr>
        <w:t>外部环境保障措施</w:t>
      </w:r>
      <w:r>
        <w:tab/>
      </w:r>
      <w:r>
        <w:fldChar w:fldCharType="begin"/>
      </w:r>
      <w:r>
        <w:instrText xml:space="preserve"> PAGEREF _Toc12002 \h </w:instrText>
      </w:r>
      <w:r>
        <w:fldChar w:fldCharType="separate"/>
      </w:r>
      <w:r>
        <w:t>423</w:t>
      </w:r>
      <w:r>
        <w:fldChar w:fldCharType="end"/>
      </w:r>
      <w:r>
        <w:fldChar w:fldCharType="end"/>
      </w:r>
    </w:p>
    <w:p w14:paraId="03F643C1">
      <w:pPr>
        <w:pStyle w:val="25"/>
        <w:tabs>
          <w:tab w:val="right" w:leader="dot" w:pos="8844"/>
        </w:tabs>
      </w:pPr>
      <w:r>
        <w:fldChar w:fldCharType="begin"/>
      </w:r>
      <w:r>
        <w:instrText xml:space="preserve"> HYPERLINK \l _Toc14166 </w:instrText>
      </w:r>
      <w:r>
        <w:fldChar w:fldCharType="separate"/>
      </w:r>
      <w:r>
        <w:rPr>
          <w:rFonts w:hint="eastAsia" w:ascii="宋体" w:hAnsi="宋体" w:eastAsia="宋体"/>
          <w:szCs w:val="28"/>
        </w:rPr>
        <w:t xml:space="preserve">7.5 </w:t>
      </w:r>
      <w:r>
        <w:rPr>
          <w:rFonts w:hint="eastAsia"/>
          <w:szCs w:val="28"/>
        </w:rPr>
        <w:t>材料设备进场计划及保证措施</w:t>
      </w:r>
      <w:r>
        <w:tab/>
      </w:r>
      <w:r>
        <w:fldChar w:fldCharType="begin"/>
      </w:r>
      <w:r>
        <w:instrText xml:space="preserve"> PAGEREF _Toc14166 \h </w:instrText>
      </w:r>
      <w:r>
        <w:fldChar w:fldCharType="separate"/>
      </w:r>
      <w:r>
        <w:t>424</w:t>
      </w:r>
      <w:r>
        <w:fldChar w:fldCharType="end"/>
      </w:r>
      <w:r>
        <w:fldChar w:fldCharType="end"/>
      </w:r>
    </w:p>
    <w:p w14:paraId="40444E53">
      <w:pPr>
        <w:pStyle w:val="14"/>
        <w:tabs>
          <w:tab w:val="right" w:leader="dot" w:pos="8844"/>
          <w:tab w:val="clear" w:pos="8834"/>
        </w:tabs>
      </w:pPr>
      <w:r>
        <w:fldChar w:fldCharType="begin"/>
      </w:r>
      <w:r>
        <w:instrText xml:space="preserve"> HYPERLINK \l _Toc14035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lang w:val="en-US" w:eastAsia="zh-CN"/>
          <w14:ligatures w14:val="none"/>
          <w14:numForm w14:val="default"/>
          <w14:numSpacing w14:val="default"/>
        </w:rPr>
        <w:t xml:space="preserve">7.5.1 </w:t>
      </w:r>
      <w:r>
        <w:rPr>
          <w:szCs w:val="24"/>
          <w:lang w:val="en-US" w:eastAsia="zh-CN"/>
        </w:rPr>
        <w:t>PC</w:t>
      </w:r>
      <w:r>
        <w:rPr>
          <w:szCs w:val="24"/>
          <w:lang w:eastAsia="zh-CN"/>
        </w:rPr>
        <w:t>构件的应用</w:t>
      </w:r>
      <w:r>
        <w:tab/>
      </w:r>
      <w:r>
        <w:fldChar w:fldCharType="begin"/>
      </w:r>
      <w:r>
        <w:instrText xml:space="preserve"> PAGEREF _Toc14035 \h </w:instrText>
      </w:r>
      <w:r>
        <w:fldChar w:fldCharType="separate"/>
      </w:r>
      <w:r>
        <w:t>424</w:t>
      </w:r>
      <w:r>
        <w:fldChar w:fldCharType="end"/>
      </w:r>
      <w:r>
        <w:fldChar w:fldCharType="end"/>
      </w:r>
    </w:p>
    <w:p w14:paraId="49753D54">
      <w:pPr>
        <w:pStyle w:val="14"/>
        <w:tabs>
          <w:tab w:val="right" w:leader="dot" w:pos="8844"/>
          <w:tab w:val="clear" w:pos="8834"/>
        </w:tabs>
      </w:pPr>
      <w:r>
        <w:fldChar w:fldCharType="begin"/>
      </w:r>
      <w:r>
        <w:instrText xml:space="preserve"> HYPERLINK \l _Toc12550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szCs w:val="24"/>
          <w:vertAlign w:val="baseline"/>
          <w:lang w:eastAsia="zh-CN"/>
          <w14:ligatures w14:val="none"/>
          <w14:numForm w14:val="default"/>
          <w14:numSpacing w14:val="default"/>
        </w:rPr>
        <w:t xml:space="preserve">7.5.2 </w:t>
      </w:r>
      <w:r>
        <w:rPr>
          <w:rFonts w:hint="eastAsia"/>
          <w:szCs w:val="24"/>
          <w:lang w:eastAsia="zh-CN"/>
        </w:rPr>
        <w:t>材料供应保障措施</w:t>
      </w:r>
      <w:r>
        <w:tab/>
      </w:r>
      <w:r>
        <w:fldChar w:fldCharType="begin"/>
      </w:r>
      <w:r>
        <w:instrText xml:space="preserve"> PAGEREF _Toc12550 \h </w:instrText>
      </w:r>
      <w:r>
        <w:fldChar w:fldCharType="separate"/>
      </w:r>
      <w:r>
        <w:t>424</w:t>
      </w:r>
      <w:r>
        <w:fldChar w:fldCharType="end"/>
      </w:r>
      <w:r>
        <w:fldChar w:fldCharType="end"/>
      </w:r>
    </w:p>
    <w:p w14:paraId="17E6D67D">
      <w:pPr>
        <w:pStyle w:val="25"/>
        <w:tabs>
          <w:tab w:val="right" w:leader="dot" w:pos="8844"/>
        </w:tabs>
      </w:pPr>
      <w:r>
        <w:fldChar w:fldCharType="begin"/>
      </w:r>
      <w:r>
        <w:instrText xml:space="preserve"> HYPERLINK \l _Toc20187 </w:instrText>
      </w:r>
      <w:r>
        <w:fldChar w:fldCharType="separate"/>
      </w:r>
      <w:r>
        <w:rPr>
          <w:rFonts w:hint="eastAsia" w:ascii="宋体" w:hAnsi="宋体" w:eastAsia="宋体"/>
        </w:rPr>
        <w:t xml:space="preserve">7.6 </w:t>
      </w:r>
      <w:r>
        <w:rPr>
          <w:rFonts w:hint="eastAsia"/>
        </w:rPr>
        <w:t>施工现场环境保护措施</w:t>
      </w:r>
      <w:r>
        <w:tab/>
      </w:r>
      <w:r>
        <w:fldChar w:fldCharType="begin"/>
      </w:r>
      <w:r>
        <w:instrText xml:space="preserve"> PAGEREF _Toc20187 \h </w:instrText>
      </w:r>
      <w:r>
        <w:fldChar w:fldCharType="separate"/>
      </w:r>
      <w:r>
        <w:t>425</w:t>
      </w:r>
      <w:r>
        <w:fldChar w:fldCharType="end"/>
      </w:r>
      <w:r>
        <w:fldChar w:fldCharType="end"/>
      </w:r>
    </w:p>
    <w:p w14:paraId="0CED2E24">
      <w:pPr>
        <w:pStyle w:val="14"/>
        <w:tabs>
          <w:tab w:val="right" w:leader="dot" w:pos="8844"/>
          <w:tab w:val="clear" w:pos="8834"/>
        </w:tabs>
      </w:pPr>
      <w:r>
        <w:fldChar w:fldCharType="begin"/>
      </w:r>
      <w:r>
        <w:instrText xml:space="preserve"> HYPERLINK \l _Toc11455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7.6.1 </w:t>
      </w:r>
      <w:r>
        <w:rPr>
          <w:rFonts w:hint="eastAsia"/>
          <w:lang w:val="en-US" w:eastAsia="zh-CN"/>
        </w:rPr>
        <w:t>环境保护一般要求</w:t>
      </w:r>
      <w:r>
        <w:tab/>
      </w:r>
      <w:r>
        <w:fldChar w:fldCharType="begin"/>
      </w:r>
      <w:r>
        <w:instrText xml:space="preserve"> PAGEREF _Toc11455 \h </w:instrText>
      </w:r>
      <w:r>
        <w:fldChar w:fldCharType="separate"/>
      </w:r>
      <w:r>
        <w:t>425</w:t>
      </w:r>
      <w:r>
        <w:fldChar w:fldCharType="end"/>
      </w:r>
      <w:r>
        <w:fldChar w:fldCharType="end"/>
      </w:r>
    </w:p>
    <w:p w14:paraId="4D41D683">
      <w:pPr>
        <w:pStyle w:val="14"/>
        <w:tabs>
          <w:tab w:val="right" w:leader="dot" w:pos="8844"/>
          <w:tab w:val="clear" w:pos="8834"/>
        </w:tabs>
      </w:pPr>
      <w:r>
        <w:fldChar w:fldCharType="begin"/>
      </w:r>
      <w:r>
        <w:instrText xml:space="preserve"> HYPERLINK \l _Toc5854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7.6.2 </w:t>
      </w:r>
      <w:r>
        <w:rPr>
          <w:rFonts w:hint="eastAsia"/>
          <w:lang w:val="en-US" w:eastAsia="zh-CN"/>
        </w:rPr>
        <w:t>环境保护要点</w:t>
      </w:r>
      <w:r>
        <w:tab/>
      </w:r>
      <w:r>
        <w:fldChar w:fldCharType="begin"/>
      </w:r>
      <w:r>
        <w:instrText xml:space="preserve"> PAGEREF _Toc5854 \h </w:instrText>
      </w:r>
      <w:r>
        <w:fldChar w:fldCharType="separate"/>
      </w:r>
      <w:r>
        <w:t>432</w:t>
      </w:r>
      <w:r>
        <w:fldChar w:fldCharType="end"/>
      </w:r>
      <w:r>
        <w:fldChar w:fldCharType="end"/>
      </w:r>
    </w:p>
    <w:p w14:paraId="2A5E6980">
      <w:pPr>
        <w:pStyle w:val="14"/>
        <w:tabs>
          <w:tab w:val="right" w:leader="dot" w:pos="8844"/>
          <w:tab w:val="clear" w:pos="8834"/>
        </w:tabs>
      </w:pPr>
      <w:r>
        <w:fldChar w:fldCharType="begin"/>
      </w:r>
      <w:r>
        <w:instrText xml:space="preserve"> HYPERLINK \l _Toc3921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lang w:val="en-US"/>
          <w14:ligatures w14:val="none"/>
          <w14:numForm w14:val="default"/>
          <w14:numSpacing w14:val="default"/>
        </w:rPr>
        <w:t xml:space="preserve">7.6.3 </w:t>
      </w:r>
      <w:r>
        <w:rPr>
          <w:rFonts w:hint="eastAsia"/>
          <w:lang w:val="en-US" w:eastAsia="zh-CN"/>
        </w:rPr>
        <w:t>具体管理措施</w:t>
      </w:r>
      <w:r>
        <w:tab/>
      </w:r>
      <w:r>
        <w:fldChar w:fldCharType="begin"/>
      </w:r>
      <w:r>
        <w:instrText xml:space="preserve"> PAGEREF _Toc3921 \h </w:instrText>
      </w:r>
      <w:r>
        <w:fldChar w:fldCharType="separate"/>
      </w:r>
      <w:r>
        <w:t>435</w:t>
      </w:r>
      <w:r>
        <w:fldChar w:fldCharType="end"/>
      </w:r>
      <w:r>
        <w:fldChar w:fldCharType="end"/>
      </w:r>
    </w:p>
    <w:p w14:paraId="63CDEF07">
      <w:pPr>
        <w:pStyle w:val="25"/>
        <w:tabs>
          <w:tab w:val="right" w:leader="dot" w:pos="8844"/>
        </w:tabs>
      </w:pPr>
      <w:r>
        <w:fldChar w:fldCharType="begin"/>
      </w:r>
      <w:r>
        <w:instrText xml:space="preserve"> HYPERLINK \l _Toc31481 </w:instrText>
      </w:r>
      <w:r>
        <w:fldChar w:fldCharType="separate"/>
      </w:r>
      <w:r>
        <w:rPr>
          <w:rFonts w:hint="eastAsia" w:ascii="宋体" w:hAnsi="宋体" w:eastAsia="宋体"/>
        </w:rPr>
        <w:t xml:space="preserve">7.7 </w:t>
      </w:r>
      <w:r>
        <w:rPr>
          <w:rFonts w:hint="eastAsia"/>
        </w:rPr>
        <w:t>安全、消防保证措施</w:t>
      </w:r>
      <w:r>
        <w:tab/>
      </w:r>
      <w:r>
        <w:fldChar w:fldCharType="begin"/>
      </w:r>
      <w:r>
        <w:instrText xml:space="preserve"> PAGEREF _Toc31481 \h </w:instrText>
      </w:r>
      <w:r>
        <w:fldChar w:fldCharType="separate"/>
      </w:r>
      <w:r>
        <w:t>440</w:t>
      </w:r>
      <w:r>
        <w:fldChar w:fldCharType="end"/>
      </w:r>
      <w:r>
        <w:fldChar w:fldCharType="end"/>
      </w:r>
    </w:p>
    <w:p w14:paraId="05580559">
      <w:pPr>
        <w:pStyle w:val="14"/>
        <w:tabs>
          <w:tab w:val="right" w:leader="dot" w:pos="8844"/>
          <w:tab w:val="clear" w:pos="8834"/>
        </w:tabs>
      </w:pPr>
      <w:r>
        <w:fldChar w:fldCharType="begin"/>
      </w:r>
      <w:r>
        <w:instrText xml:space="preserve"> HYPERLINK \l _Toc3245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kern w:val="0"/>
          <w:position w:val="0"/>
          <w:vertAlign w:val="baseline"/>
          <w14:ligatures w14:val="none"/>
          <w14:numForm w14:val="default"/>
          <w14:numSpacing w14:val="default"/>
        </w:rPr>
        <w:t xml:space="preserve">7.7.1 </w:t>
      </w:r>
      <w:r>
        <w:rPr>
          <w:rFonts w:hint="eastAsia"/>
        </w:rPr>
        <w:t>施工总体安全保证</w:t>
      </w:r>
      <w:r>
        <w:tab/>
      </w:r>
      <w:r>
        <w:fldChar w:fldCharType="begin"/>
      </w:r>
      <w:r>
        <w:instrText xml:space="preserve"> PAGEREF _Toc3245 \h </w:instrText>
      </w:r>
      <w:r>
        <w:fldChar w:fldCharType="separate"/>
      </w:r>
      <w:r>
        <w:t>440</w:t>
      </w:r>
      <w:r>
        <w:fldChar w:fldCharType="end"/>
      </w:r>
      <w:r>
        <w:fldChar w:fldCharType="end"/>
      </w:r>
    </w:p>
    <w:p w14:paraId="1A94D772">
      <w:pPr>
        <w:pStyle w:val="14"/>
        <w:tabs>
          <w:tab w:val="right" w:leader="dot" w:pos="8844"/>
          <w:tab w:val="clear" w:pos="8834"/>
        </w:tabs>
      </w:pPr>
      <w:r>
        <w:fldChar w:fldCharType="begin"/>
      </w:r>
      <w:r>
        <w:instrText xml:space="preserve"> HYPERLINK \l _Toc7802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7.7.2 </w:t>
      </w:r>
      <w:r>
        <w:rPr>
          <w:rFonts w:hint="eastAsia"/>
        </w:rPr>
        <w:t>现场生产、生活安全措施</w:t>
      </w:r>
      <w:r>
        <w:tab/>
      </w:r>
      <w:r>
        <w:fldChar w:fldCharType="begin"/>
      </w:r>
      <w:r>
        <w:instrText xml:space="preserve"> PAGEREF _Toc7802 \h </w:instrText>
      </w:r>
      <w:r>
        <w:fldChar w:fldCharType="separate"/>
      </w:r>
      <w:r>
        <w:t>441</w:t>
      </w:r>
      <w:r>
        <w:fldChar w:fldCharType="end"/>
      </w:r>
      <w:r>
        <w:fldChar w:fldCharType="end"/>
      </w:r>
    </w:p>
    <w:p w14:paraId="2AA23AA4">
      <w:pPr>
        <w:pStyle w:val="14"/>
        <w:tabs>
          <w:tab w:val="right" w:leader="dot" w:pos="8844"/>
          <w:tab w:val="clear" w:pos="8834"/>
        </w:tabs>
      </w:pPr>
      <w:r>
        <w:fldChar w:fldCharType="begin"/>
      </w:r>
      <w:r>
        <w:instrText xml:space="preserve"> HYPERLINK \l _Toc1413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7.7.3 </w:t>
      </w:r>
      <w:r>
        <w:rPr>
          <w:rFonts w:hint="eastAsia"/>
        </w:rPr>
        <w:t>现场消防、保卫措施</w:t>
      </w:r>
      <w:r>
        <w:tab/>
      </w:r>
      <w:r>
        <w:fldChar w:fldCharType="begin"/>
      </w:r>
      <w:r>
        <w:instrText xml:space="preserve"> PAGEREF _Toc1413 \h </w:instrText>
      </w:r>
      <w:r>
        <w:fldChar w:fldCharType="separate"/>
      </w:r>
      <w:r>
        <w:t>443</w:t>
      </w:r>
      <w:r>
        <w:fldChar w:fldCharType="end"/>
      </w:r>
      <w:r>
        <w:fldChar w:fldCharType="end"/>
      </w:r>
    </w:p>
    <w:p w14:paraId="399A98F4">
      <w:pPr>
        <w:pStyle w:val="14"/>
        <w:tabs>
          <w:tab w:val="right" w:leader="dot" w:pos="8844"/>
          <w:tab w:val="clear" w:pos="8834"/>
        </w:tabs>
      </w:pPr>
      <w:r>
        <w:fldChar w:fldCharType="begin"/>
      </w:r>
      <w:r>
        <w:instrText xml:space="preserve"> HYPERLINK \l _Toc26498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7.7.4 </w:t>
      </w:r>
      <w:r>
        <w:rPr>
          <w:rFonts w:hint="eastAsia"/>
        </w:rPr>
        <w:t>防火、防坠安全措施</w:t>
      </w:r>
      <w:r>
        <w:tab/>
      </w:r>
      <w:r>
        <w:fldChar w:fldCharType="begin"/>
      </w:r>
      <w:r>
        <w:instrText xml:space="preserve"> PAGEREF _Toc26498 \h </w:instrText>
      </w:r>
      <w:r>
        <w:fldChar w:fldCharType="separate"/>
      </w:r>
      <w:r>
        <w:t>451</w:t>
      </w:r>
      <w:r>
        <w:fldChar w:fldCharType="end"/>
      </w:r>
      <w:r>
        <w:fldChar w:fldCharType="end"/>
      </w:r>
    </w:p>
    <w:p w14:paraId="43CA2714">
      <w:pPr>
        <w:pStyle w:val="14"/>
        <w:tabs>
          <w:tab w:val="right" w:leader="dot" w:pos="8844"/>
          <w:tab w:val="clear" w:pos="8834"/>
        </w:tabs>
      </w:pPr>
      <w:r>
        <w:fldChar w:fldCharType="begin"/>
      </w:r>
      <w:r>
        <w:instrText xml:space="preserve"> HYPERLINK \l _Toc30432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7.7.5 </w:t>
      </w:r>
      <w:r>
        <w:rPr>
          <w:rFonts w:hint="eastAsia"/>
        </w:rPr>
        <w:t>基坑施工安全管理</w:t>
      </w:r>
      <w:r>
        <w:tab/>
      </w:r>
      <w:r>
        <w:fldChar w:fldCharType="begin"/>
      </w:r>
      <w:r>
        <w:instrText xml:space="preserve"> PAGEREF _Toc30432 \h </w:instrText>
      </w:r>
      <w:r>
        <w:fldChar w:fldCharType="separate"/>
      </w:r>
      <w:r>
        <w:t>452</w:t>
      </w:r>
      <w:r>
        <w:fldChar w:fldCharType="end"/>
      </w:r>
      <w:r>
        <w:fldChar w:fldCharType="end"/>
      </w:r>
    </w:p>
    <w:p w14:paraId="6BC46392">
      <w:pPr>
        <w:pStyle w:val="14"/>
        <w:tabs>
          <w:tab w:val="right" w:leader="dot" w:pos="8844"/>
          <w:tab w:val="clear" w:pos="8834"/>
        </w:tabs>
      </w:pPr>
      <w:r>
        <w:fldChar w:fldCharType="begin"/>
      </w:r>
      <w:r>
        <w:instrText xml:space="preserve"> HYPERLINK \l _Toc30908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7.7.6 </w:t>
      </w:r>
      <w:r>
        <w:rPr>
          <w:rFonts w:hint="eastAsia"/>
        </w:rPr>
        <w:t>脚手架安全管理</w:t>
      </w:r>
      <w:r>
        <w:tab/>
      </w:r>
      <w:r>
        <w:fldChar w:fldCharType="begin"/>
      </w:r>
      <w:r>
        <w:instrText xml:space="preserve"> PAGEREF _Toc30908 \h </w:instrText>
      </w:r>
      <w:r>
        <w:fldChar w:fldCharType="separate"/>
      </w:r>
      <w:r>
        <w:t>460</w:t>
      </w:r>
      <w:r>
        <w:fldChar w:fldCharType="end"/>
      </w:r>
      <w:r>
        <w:fldChar w:fldCharType="end"/>
      </w:r>
    </w:p>
    <w:p w14:paraId="0B15B1C7">
      <w:pPr>
        <w:pStyle w:val="14"/>
        <w:tabs>
          <w:tab w:val="right" w:leader="dot" w:pos="8844"/>
          <w:tab w:val="clear" w:pos="8834"/>
        </w:tabs>
      </w:pPr>
      <w:r>
        <w:fldChar w:fldCharType="begin"/>
      </w:r>
      <w:r>
        <w:instrText xml:space="preserve"> HYPERLINK \l _Toc13173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7.7.7 </w:t>
      </w:r>
      <w:r>
        <w:rPr>
          <w:rFonts w:hint="eastAsia"/>
        </w:rPr>
        <w:t>模板工程安全管理</w:t>
      </w:r>
      <w:r>
        <w:tab/>
      </w:r>
      <w:r>
        <w:fldChar w:fldCharType="begin"/>
      </w:r>
      <w:r>
        <w:instrText xml:space="preserve"> PAGEREF _Toc13173 \h </w:instrText>
      </w:r>
      <w:r>
        <w:fldChar w:fldCharType="separate"/>
      </w:r>
      <w:r>
        <w:t>461</w:t>
      </w:r>
      <w:r>
        <w:fldChar w:fldCharType="end"/>
      </w:r>
      <w:r>
        <w:fldChar w:fldCharType="end"/>
      </w:r>
    </w:p>
    <w:p w14:paraId="7579927D">
      <w:pPr>
        <w:pStyle w:val="14"/>
        <w:tabs>
          <w:tab w:val="right" w:leader="dot" w:pos="8844"/>
          <w:tab w:val="clear" w:pos="8834"/>
        </w:tabs>
      </w:pPr>
      <w:r>
        <w:fldChar w:fldCharType="begin"/>
      </w:r>
      <w:r>
        <w:instrText xml:space="preserve"> HYPERLINK \l _Toc4563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7.7.8 </w:t>
      </w:r>
      <w:r>
        <w:rPr>
          <w:rFonts w:hint="eastAsia"/>
        </w:rPr>
        <w:t>混凝土浇筑要求</w:t>
      </w:r>
      <w:r>
        <w:tab/>
      </w:r>
      <w:r>
        <w:fldChar w:fldCharType="begin"/>
      </w:r>
      <w:r>
        <w:instrText xml:space="preserve"> PAGEREF _Toc4563 \h </w:instrText>
      </w:r>
      <w:r>
        <w:fldChar w:fldCharType="separate"/>
      </w:r>
      <w:r>
        <w:t>462</w:t>
      </w:r>
      <w:r>
        <w:fldChar w:fldCharType="end"/>
      </w:r>
      <w:r>
        <w:fldChar w:fldCharType="end"/>
      </w:r>
    </w:p>
    <w:p w14:paraId="3F01DC29">
      <w:pPr>
        <w:pStyle w:val="14"/>
        <w:tabs>
          <w:tab w:val="right" w:leader="dot" w:pos="8844"/>
          <w:tab w:val="clear" w:pos="8834"/>
        </w:tabs>
      </w:pPr>
      <w:r>
        <w:fldChar w:fldCharType="begin"/>
      </w:r>
      <w:r>
        <w:instrText xml:space="preserve"> HYPERLINK \l _Toc7374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7.7.9 </w:t>
      </w:r>
      <w:r>
        <w:rPr>
          <w:rFonts w:hint="eastAsia"/>
        </w:rPr>
        <w:t>装饰装修工程安全管理</w:t>
      </w:r>
      <w:r>
        <w:tab/>
      </w:r>
      <w:r>
        <w:fldChar w:fldCharType="begin"/>
      </w:r>
      <w:r>
        <w:instrText xml:space="preserve"> PAGEREF _Toc7374 \h </w:instrText>
      </w:r>
      <w:r>
        <w:fldChar w:fldCharType="separate"/>
      </w:r>
      <w:r>
        <w:t>464</w:t>
      </w:r>
      <w:r>
        <w:fldChar w:fldCharType="end"/>
      </w:r>
      <w:r>
        <w:fldChar w:fldCharType="end"/>
      </w:r>
    </w:p>
    <w:p w14:paraId="7D03DAF1">
      <w:pPr>
        <w:pStyle w:val="14"/>
        <w:tabs>
          <w:tab w:val="right" w:leader="dot" w:pos="8844"/>
          <w:tab w:val="clear" w:pos="8834"/>
        </w:tabs>
      </w:pPr>
      <w:r>
        <w:fldChar w:fldCharType="begin"/>
      </w:r>
      <w:r>
        <w:instrText xml:space="preserve"> HYPERLINK \l _Toc21642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7.7.10 </w:t>
      </w:r>
      <w:r>
        <w:rPr>
          <w:rFonts w:hint="eastAsia"/>
        </w:rPr>
        <w:t>交叉施工安全管理</w:t>
      </w:r>
      <w:r>
        <w:tab/>
      </w:r>
      <w:r>
        <w:fldChar w:fldCharType="begin"/>
      </w:r>
      <w:r>
        <w:instrText xml:space="preserve"> PAGEREF _Toc21642 \h </w:instrText>
      </w:r>
      <w:r>
        <w:fldChar w:fldCharType="separate"/>
      </w:r>
      <w:r>
        <w:t>468</w:t>
      </w:r>
      <w:r>
        <w:fldChar w:fldCharType="end"/>
      </w:r>
      <w:r>
        <w:fldChar w:fldCharType="end"/>
      </w:r>
    </w:p>
    <w:p w14:paraId="03B8CC12">
      <w:pPr>
        <w:pStyle w:val="14"/>
        <w:tabs>
          <w:tab w:val="right" w:leader="dot" w:pos="8844"/>
          <w:tab w:val="clear" w:pos="8834"/>
        </w:tabs>
      </w:pPr>
      <w:r>
        <w:fldChar w:fldCharType="begin"/>
      </w:r>
      <w:r>
        <w:instrText xml:space="preserve"> HYPERLINK \l _Toc636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7.7.11 </w:t>
      </w:r>
      <w:r>
        <w:rPr>
          <w:rFonts w:hint="eastAsia"/>
        </w:rPr>
        <w:t>高空作业安全管理</w:t>
      </w:r>
      <w:r>
        <w:tab/>
      </w:r>
      <w:r>
        <w:fldChar w:fldCharType="begin"/>
      </w:r>
      <w:r>
        <w:instrText xml:space="preserve"> PAGEREF _Toc636 \h </w:instrText>
      </w:r>
      <w:r>
        <w:fldChar w:fldCharType="separate"/>
      </w:r>
      <w:r>
        <w:t>469</w:t>
      </w:r>
      <w:r>
        <w:fldChar w:fldCharType="end"/>
      </w:r>
      <w:r>
        <w:fldChar w:fldCharType="end"/>
      </w:r>
    </w:p>
    <w:p w14:paraId="3122F67A">
      <w:pPr>
        <w:pStyle w:val="14"/>
        <w:tabs>
          <w:tab w:val="right" w:leader="dot" w:pos="8844"/>
          <w:tab w:val="clear" w:pos="8834"/>
        </w:tabs>
      </w:pPr>
      <w:r>
        <w:fldChar w:fldCharType="begin"/>
      </w:r>
      <w:r>
        <w:instrText xml:space="preserve"> HYPERLINK \l _Toc7077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7.7.12 </w:t>
      </w:r>
      <w:r>
        <w:rPr>
          <w:rFonts w:hint="eastAsia"/>
        </w:rPr>
        <w:t>起重吊装作业安全管理</w:t>
      </w:r>
      <w:r>
        <w:tab/>
      </w:r>
      <w:r>
        <w:fldChar w:fldCharType="begin"/>
      </w:r>
      <w:r>
        <w:instrText xml:space="preserve"> PAGEREF _Toc7077 \h </w:instrText>
      </w:r>
      <w:r>
        <w:fldChar w:fldCharType="separate"/>
      </w:r>
      <w:r>
        <w:t>469</w:t>
      </w:r>
      <w:r>
        <w:fldChar w:fldCharType="end"/>
      </w:r>
      <w:r>
        <w:fldChar w:fldCharType="end"/>
      </w:r>
    </w:p>
    <w:p w14:paraId="6282AC6E">
      <w:pPr>
        <w:pStyle w:val="14"/>
        <w:tabs>
          <w:tab w:val="right" w:leader="dot" w:pos="8844"/>
          <w:tab w:val="clear" w:pos="8834"/>
        </w:tabs>
      </w:pPr>
      <w:r>
        <w:fldChar w:fldCharType="begin"/>
      </w:r>
      <w:r>
        <w:instrText xml:space="preserve"> HYPERLINK \l _Toc16352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7.7.13 </w:t>
      </w:r>
      <w:r>
        <w:rPr>
          <w:rFonts w:hint="eastAsia"/>
        </w:rPr>
        <w:t>设备安全管理</w:t>
      </w:r>
      <w:r>
        <w:tab/>
      </w:r>
      <w:r>
        <w:fldChar w:fldCharType="begin"/>
      </w:r>
      <w:r>
        <w:instrText xml:space="preserve"> PAGEREF _Toc16352 \h </w:instrText>
      </w:r>
      <w:r>
        <w:fldChar w:fldCharType="separate"/>
      </w:r>
      <w:r>
        <w:t>470</w:t>
      </w:r>
      <w:r>
        <w:fldChar w:fldCharType="end"/>
      </w:r>
      <w:r>
        <w:fldChar w:fldCharType="end"/>
      </w:r>
    </w:p>
    <w:p w14:paraId="3707652B">
      <w:pPr>
        <w:pStyle w:val="14"/>
        <w:tabs>
          <w:tab w:val="right" w:leader="dot" w:pos="8844"/>
          <w:tab w:val="clear" w:pos="8834"/>
        </w:tabs>
      </w:pPr>
      <w:r>
        <w:fldChar w:fldCharType="begin"/>
      </w:r>
      <w:r>
        <w:instrText xml:space="preserve"> HYPERLINK \l _Toc14848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7.7.14 </w:t>
      </w:r>
      <w:r>
        <w:rPr>
          <w:rFonts w:hint="eastAsia"/>
          <w:bCs w:val="0"/>
        </w:rPr>
        <w:t>防水施工安全管理</w:t>
      </w:r>
      <w:r>
        <w:tab/>
      </w:r>
      <w:r>
        <w:fldChar w:fldCharType="begin"/>
      </w:r>
      <w:r>
        <w:instrText xml:space="preserve"> PAGEREF _Toc14848 \h </w:instrText>
      </w:r>
      <w:r>
        <w:fldChar w:fldCharType="separate"/>
      </w:r>
      <w:r>
        <w:t>474</w:t>
      </w:r>
      <w:r>
        <w:fldChar w:fldCharType="end"/>
      </w:r>
      <w:r>
        <w:fldChar w:fldCharType="end"/>
      </w:r>
    </w:p>
    <w:p w14:paraId="1A8CCFB4">
      <w:pPr>
        <w:pStyle w:val="14"/>
        <w:tabs>
          <w:tab w:val="right" w:leader="dot" w:pos="8844"/>
          <w:tab w:val="clear" w:pos="8834"/>
        </w:tabs>
      </w:pPr>
      <w:r>
        <w:fldChar w:fldCharType="begin"/>
      </w:r>
      <w:r>
        <w:instrText xml:space="preserve"> HYPERLINK \l _Toc13657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7.7.15 </w:t>
      </w:r>
      <w:r>
        <w:rPr>
          <w:rFonts w:hint="eastAsia"/>
          <w:bCs w:val="0"/>
        </w:rPr>
        <w:t>季节性施工安全措施</w:t>
      </w:r>
      <w:r>
        <w:tab/>
      </w:r>
      <w:r>
        <w:fldChar w:fldCharType="begin"/>
      </w:r>
      <w:r>
        <w:instrText xml:space="preserve"> PAGEREF _Toc13657 \h </w:instrText>
      </w:r>
      <w:r>
        <w:fldChar w:fldCharType="separate"/>
      </w:r>
      <w:r>
        <w:t>476</w:t>
      </w:r>
      <w:r>
        <w:fldChar w:fldCharType="end"/>
      </w:r>
      <w:r>
        <w:fldChar w:fldCharType="end"/>
      </w:r>
    </w:p>
    <w:p w14:paraId="720F7BFC">
      <w:pPr>
        <w:pStyle w:val="14"/>
        <w:tabs>
          <w:tab w:val="right" w:leader="dot" w:pos="8844"/>
          <w:tab w:val="clear" w:pos="8834"/>
        </w:tabs>
      </w:pPr>
      <w:r>
        <w:fldChar w:fldCharType="begin"/>
      </w:r>
      <w:r>
        <w:instrText xml:space="preserve"> HYPERLINK \l _Toc27535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7.7.16 </w:t>
      </w:r>
      <w:r>
        <w:rPr>
          <w:rFonts w:hint="eastAsia"/>
        </w:rPr>
        <w:t>夜间施工安全管理</w:t>
      </w:r>
      <w:r>
        <w:tab/>
      </w:r>
      <w:r>
        <w:fldChar w:fldCharType="begin"/>
      </w:r>
      <w:r>
        <w:instrText xml:space="preserve"> PAGEREF _Toc27535 \h </w:instrText>
      </w:r>
      <w:r>
        <w:fldChar w:fldCharType="separate"/>
      </w:r>
      <w:r>
        <w:t>477</w:t>
      </w:r>
      <w:r>
        <w:fldChar w:fldCharType="end"/>
      </w:r>
      <w:r>
        <w:fldChar w:fldCharType="end"/>
      </w:r>
    </w:p>
    <w:p w14:paraId="3F30428E">
      <w:pPr>
        <w:pStyle w:val="25"/>
        <w:tabs>
          <w:tab w:val="right" w:leader="dot" w:pos="8844"/>
        </w:tabs>
      </w:pPr>
      <w:r>
        <w:fldChar w:fldCharType="begin"/>
      </w:r>
      <w:r>
        <w:instrText xml:space="preserve"> HYPERLINK \l _Toc24541 </w:instrText>
      </w:r>
      <w:r>
        <w:fldChar w:fldCharType="separate"/>
      </w:r>
      <w:r>
        <w:rPr>
          <w:rFonts w:hint="eastAsia" w:ascii="宋体" w:hAnsi="宋体" w:eastAsia="宋体"/>
        </w:rPr>
        <w:t xml:space="preserve">7.8 </w:t>
      </w:r>
      <w:r>
        <w:rPr>
          <w:rFonts w:hint="eastAsia"/>
        </w:rPr>
        <w:t>文明施工与CI</w:t>
      </w:r>
      <w:r>
        <w:tab/>
      </w:r>
      <w:r>
        <w:fldChar w:fldCharType="begin"/>
      </w:r>
      <w:r>
        <w:instrText xml:space="preserve"> PAGEREF _Toc24541 \h </w:instrText>
      </w:r>
      <w:r>
        <w:fldChar w:fldCharType="separate"/>
      </w:r>
      <w:r>
        <w:t>479</w:t>
      </w:r>
      <w:r>
        <w:fldChar w:fldCharType="end"/>
      </w:r>
      <w:r>
        <w:fldChar w:fldCharType="end"/>
      </w:r>
    </w:p>
    <w:p w14:paraId="7EDCDEDF">
      <w:pPr>
        <w:pStyle w:val="14"/>
        <w:tabs>
          <w:tab w:val="right" w:leader="dot" w:pos="8844"/>
          <w:tab w:val="clear" w:pos="8834"/>
        </w:tabs>
      </w:pPr>
      <w:r>
        <w:fldChar w:fldCharType="begin"/>
      </w:r>
      <w:r>
        <w:instrText xml:space="preserve"> HYPERLINK \l _Toc20243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7.8.1 </w:t>
      </w:r>
      <w:r>
        <w:rPr>
          <w:rFonts w:hint="eastAsia"/>
        </w:rPr>
        <w:t>创优管理体系</w:t>
      </w:r>
      <w:r>
        <w:tab/>
      </w:r>
      <w:r>
        <w:fldChar w:fldCharType="begin"/>
      </w:r>
      <w:r>
        <w:instrText xml:space="preserve"> PAGEREF _Toc20243 \h </w:instrText>
      </w:r>
      <w:r>
        <w:fldChar w:fldCharType="separate"/>
      </w:r>
      <w:r>
        <w:t>479</w:t>
      </w:r>
      <w:r>
        <w:fldChar w:fldCharType="end"/>
      </w:r>
      <w:r>
        <w:fldChar w:fldCharType="end"/>
      </w:r>
    </w:p>
    <w:p w14:paraId="4429A622">
      <w:pPr>
        <w:pStyle w:val="14"/>
        <w:tabs>
          <w:tab w:val="right" w:leader="dot" w:pos="8844"/>
          <w:tab w:val="clear" w:pos="8834"/>
        </w:tabs>
      </w:pPr>
      <w:r>
        <w:fldChar w:fldCharType="begin"/>
      </w:r>
      <w:r>
        <w:instrText xml:space="preserve"> HYPERLINK \l _Toc10813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7.8.2 </w:t>
      </w:r>
      <w:r>
        <w:rPr>
          <w:rFonts w:hint="eastAsia"/>
        </w:rPr>
        <w:t>场容场貌文明施工管理创优</w:t>
      </w:r>
      <w:r>
        <w:tab/>
      </w:r>
      <w:r>
        <w:fldChar w:fldCharType="begin"/>
      </w:r>
      <w:r>
        <w:instrText xml:space="preserve"> PAGEREF _Toc10813 \h </w:instrText>
      </w:r>
      <w:r>
        <w:fldChar w:fldCharType="separate"/>
      </w:r>
      <w:r>
        <w:t>479</w:t>
      </w:r>
      <w:r>
        <w:fldChar w:fldCharType="end"/>
      </w:r>
      <w:r>
        <w:fldChar w:fldCharType="end"/>
      </w:r>
    </w:p>
    <w:p w14:paraId="2FBCB423">
      <w:pPr>
        <w:pStyle w:val="14"/>
        <w:tabs>
          <w:tab w:val="right" w:leader="dot" w:pos="8844"/>
          <w:tab w:val="clear" w:pos="8834"/>
        </w:tabs>
      </w:pPr>
      <w:r>
        <w:fldChar w:fldCharType="begin"/>
      </w:r>
      <w:r>
        <w:instrText xml:space="preserve"> HYPERLINK \l _Toc14028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7.8.3 </w:t>
      </w:r>
      <w:r>
        <w:rPr>
          <w:rFonts w:hint="eastAsia"/>
        </w:rPr>
        <w:t>生产、生活区形象文明施工创优</w:t>
      </w:r>
      <w:r>
        <w:tab/>
      </w:r>
      <w:r>
        <w:fldChar w:fldCharType="begin"/>
      </w:r>
      <w:r>
        <w:instrText xml:space="preserve"> PAGEREF _Toc14028 \h </w:instrText>
      </w:r>
      <w:r>
        <w:fldChar w:fldCharType="separate"/>
      </w:r>
      <w:r>
        <w:t>480</w:t>
      </w:r>
      <w:r>
        <w:fldChar w:fldCharType="end"/>
      </w:r>
      <w:r>
        <w:fldChar w:fldCharType="end"/>
      </w:r>
    </w:p>
    <w:p w14:paraId="63E1BC0C">
      <w:pPr>
        <w:pStyle w:val="25"/>
        <w:tabs>
          <w:tab w:val="right" w:leader="dot" w:pos="8844"/>
        </w:tabs>
      </w:pPr>
      <w:r>
        <w:fldChar w:fldCharType="begin"/>
      </w:r>
      <w:r>
        <w:instrText xml:space="preserve"> HYPERLINK \l _Toc11686 </w:instrText>
      </w:r>
      <w:r>
        <w:fldChar w:fldCharType="separate"/>
      </w:r>
      <w:r>
        <w:rPr>
          <w:rFonts w:hint="eastAsia" w:ascii="宋体" w:hAnsi="宋体" w:eastAsia="宋体"/>
        </w:rPr>
        <w:t xml:space="preserve">7.9 </w:t>
      </w:r>
      <w:r>
        <w:rPr>
          <w:rFonts w:hint="eastAsia"/>
        </w:rPr>
        <w:t>降低成本措施</w:t>
      </w:r>
      <w:r>
        <w:tab/>
      </w:r>
      <w:r>
        <w:fldChar w:fldCharType="begin"/>
      </w:r>
      <w:r>
        <w:instrText xml:space="preserve"> PAGEREF _Toc11686 \h </w:instrText>
      </w:r>
      <w:r>
        <w:fldChar w:fldCharType="separate"/>
      </w:r>
      <w:r>
        <w:t>481</w:t>
      </w:r>
      <w:r>
        <w:fldChar w:fldCharType="end"/>
      </w:r>
      <w:r>
        <w:fldChar w:fldCharType="end"/>
      </w:r>
    </w:p>
    <w:p w14:paraId="1C94EBDF">
      <w:pPr>
        <w:pStyle w:val="14"/>
        <w:tabs>
          <w:tab w:val="right" w:leader="dot" w:pos="8844"/>
          <w:tab w:val="clear" w:pos="8834"/>
        </w:tabs>
      </w:pPr>
      <w:r>
        <w:fldChar w:fldCharType="begin"/>
      </w:r>
      <w:r>
        <w:instrText xml:space="preserve"> HYPERLINK \l _Toc20340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7.9.1 </w:t>
      </w:r>
      <w:r>
        <w:rPr>
          <w:rFonts w:hint="eastAsia"/>
        </w:rPr>
        <w:t>节约材料措施</w:t>
      </w:r>
      <w:r>
        <w:tab/>
      </w:r>
      <w:r>
        <w:fldChar w:fldCharType="begin"/>
      </w:r>
      <w:r>
        <w:instrText xml:space="preserve"> PAGEREF _Toc20340 \h </w:instrText>
      </w:r>
      <w:r>
        <w:fldChar w:fldCharType="separate"/>
      </w:r>
      <w:r>
        <w:t>481</w:t>
      </w:r>
      <w:r>
        <w:fldChar w:fldCharType="end"/>
      </w:r>
      <w:r>
        <w:fldChar w:fldCharType="end"/>
      </w:r>
    </w:p>
    <w:p w14:paraId="06745072">
      <w:pPr>
        <w:pStyle w:val="14"/>
        <w:tabs>
          <w:tab w:val="right" w:leader="dot" w:pos="8844"/>
          <w:tab w:val="clear" w:pos="8834"/>
        </w:tabs>
      </w:pPr>
      <w:r>
        <w:fldChar w:fldCharType="begin"/>
      </w:r>
      <w:r>
        <w:instrText xml:space="preserve"> HYPERLINK \l _Toc803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7.9.2 </w:t>
      </w:r>
      <w:r>
        <w:rPr>
          <w:rFonts w:hint="eastAsia"/>
        </w:rPr>
        <w:t>节水与水资源利用的技术要点</w:t>
      </w:r>
      <w:r>
        <w:tab/>
      </w:r>
      <w:r>
        <w:fldChar w:fldCharType="begin"/>
      </w:r>
      <w:r>
        <w:instrText xml:space="preserve"> PAGEREF _Toc803 \h </w:instrText>
      </w:r>
      <w:r>
        <w:fldChar w:fldCharType="separate"/>
      </w:r>
      <w:r>
        <w:t>481</w:t>
      </w:r>
      <w:r>
        <w:fldChar w:fldCharType="end"/>
      </w:r>
      <w:r>
        <w:fldChar w:fldCharType="end"/>
      </w:r>
    </w:p>
    <w:p w14:paraId="733642BA">
      <w:pPr>
        <w:pStyle w:val="14"/>
        <w:tabs>
          <w:tab w:val="right" w:leader="dot" w:pos="8844"/>
          <w:tab w:val="clear" w:pos="8834"/>
        </w:tabs>
      </w:pPr>
      <w:r>
        <w:fldChar w:fldCharType="begin"/>
      </w:r>
      <w:r>
        <w:instrText xml:space="preserve"> HYPERLINK \l _Toc22591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7.9.3 </w:t>
      </w:r>
      <w:r>
        <w:rPr>
          <w:rFonts w:hint="eastAsia"/>
        </w:rPr>
        <w:t>节能与能源利用的技术要点</w:t>
      </w:r>
      <w:r>
        <w:tab/>
      </w:r>
      <w:r>
        <w:fldChar w:fldCharType="begin"/>
      </w:r>
      <w:r>
        <w:instrText xml:space="preserve"> PAGEREF _Toc22591 \h </w:instrText>
      </w:r>
      <w:r>
        <w:fldChar w:fldCharType="separate"/>
      </w:r>
      <w:r>
        <w:t>482</w:t>
      </w:r>
      <w:r>
        <w:fldChar w:fldCharType="end"/>
      </w:r>
      <w:r>
        <w:fldChar w:fldCharType="end"/>
      </w:r>
    </w:p>
    <w:p w14:paraId="4B58C2EA">
      <w:pPr>
        <w:pStyle w:val="14"/>
        <w:tabs>
          <w:tab w:val="right" w:leader="dot" w:pos="8844"/>
          <w:tab w:val="clear" w:pos="8834"/>
        </w:tabs>
      </w:pPr>
      <w:r>
        <w:fldChar w:fldCharType="begin"/>
      </w:r>
      <w:r>
        <w:instrText xml:space="preserve"> HYPERLINK \l _Toc5669 </w:instrText>
      </w:r>
      <w:r>
        <w:fldChar w:fldCharType="separate"/>
      </w:r>
      <w:r>
        <w:rPr>
          <w:rFonts w:hint="eastAsia" w:ascii="宋体" w:hAnsi="宋体" w:eastAsia="宋体" w:cs="Times New Roman"/>
          <w:bCs w:val="0"/>
          <w:i w:val="0"/>
          <w:iCs w:val="0"/>
          <w:caps w:val="0"/>
          <w:smallCaps w:val="0"/>
          <w:strike w:val="0"/>
          <w:dstrike w:val="0"/>
          <w:outline w:val="0"/>
          <w:shadow w:val="0"/>
          <w:emboss w:val="0"/>
          <w:imprint w:val="0"/>
          <w:vanish w:val="0"/>
          <w:spacing w:val="0"/>
          <w:position w:val="0"/>
          <w:vertAlign w:val="baseline"/>
          <w14:ligatures w14:val="none"/>
          <w14:numForm w14:val="default"/>
          <w14:numSpacing w14:val="default"/>
        </w:rPr>
        <w:t xml:space="preserve">7.9.4 </w:t>
      </w:r>
      <w:r>
        <w:rPr>
          <w:rFonts w:hint="eastAsia"/>
        </w:rPr>
        <w:t>节地与施工用地保护的技术要点</w:t>
      </w:r>
      <w:r>
        <w:tab/>
      </w:r>
      <w:r>
        <w:fldChar w:fldCharType="begin"/>
      </w:r>
      <w:r>
        <w:instrText xml:space="preserve"> PAGEREF _Toc5669 \h </w:instrText>
      </w:r>
      <w:r>
        <w:fldChar w:fldCharType="separate"/>
      </w:r>
      <w:r>
        <w:t>483</w:t>
      </w:r>
      <w:r>
        <w:fldChar w:fldCharType="end"/>
      </w:r>
      <w:r>
        <w:fldChar w:fldCharType="end"/>
      </w:r>
    </w:p>
    <w:p w14:paraId="13645EED">
      <w:r>
        <w:br w:type="page"/>
      </w:r>
    </w:p>
    <w:p w14:paraId="711EFE29"/>
    <w:p w14:paraId="652B9568">
      <w:p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361" w:bottom="1440" w:left="1701" w:header="851" w:footer="992" w:gutter="0"/>
          <w:pgNumType w:fmt="numberInDash" w:start="1"/>
          <w:cols w:space="425" w:num="1"/>
          <w:docGrid w:type="lines" w:linePitch="312" w:charSpace="0"/>
        </w:sectPr>
      </w:pPr>
      <w:r>
        <w:fldChar w:fldCharType="end"/>
      </w:r>
    </w:p>
    <w:p w14:paraId="540FAAB2">
      <w:pPr>
        <w:pStyle w:val="3"/>
      </w:pPr>
      <w:bookmarkStart w:id="2" w:name="_Toc531112459"/>
      <w:bookmarkStart w:id="3" w:name="_Toc11513"/>
      <w:r>
        <w:rPr>
          <w:rFonts w:hint="eastAsia"/>
        </w:rPr>
        <w:t>编制依据</w:t>
      </w:r>
      <w:bookmarkEnd w:id="2"/>
      <w:bookmarkEnd w:id="3"/>
    </w:p>
    <w:p w14:paraId="7814486D">
      <w:pPr>
        <w:pStyle w:val="4"/>
        <w:ind w:firstLine="482"/>
      </w:pPr>
      <w:bookmarkStart w:id="4" w:name="_Toc18044"/>
      <w:r>
        <w:rPr>
          <w:rFonts w:hint="eastAsia"/>
        </w:rPr>
        <w:t>合同</w:t>
      </w:r>
      <w:bookmarkEnd w:id="4"/>
    </w:p>
    <w:p w14:paraId="3D2B6EAA">
      <w:r>
        <w:rPr>
          <w:rFonts w:hint="eastAsia"/>
        </w:rPr>
        <w:t>合同名称：《三亚崖州湾科教城公共教学区（一期）项目EPC（设计、采购、施工）工程总承包》</w:t>
      </w:r>
    </w:p>
    <w:p w14:paraId="2254F98A">
      <w:pPr>
        <w:pStyle w:val="4"/>
        <w:ind w:firstLine="482"/>
      </w:pPr>
      <w:bookmarkStart w:id="5" w:name="_Toc24816"/>
      <w:r>
        <w:rPr>
          <w:rFonts w:hint="eastAsia"/>
        </w:rPr>
        <w:t>工程地质勘察报告</w:t>
      </w:r>
      <w:bookmarkEnd w:id="5"/>
    </w:p>
    <w:p w14:paraId="30F5DDBA">
      <w:r>
        <w:rPr>
          <w:rFonts w:hint="eastAsia"/>
          <w:lang w:val="en-US" w:eastAsia="zh-CN"/>
        </w:rPr>
        <w:t>Xx</w:t>
      </w:r>
      <w:r>
        <w:rPr>
          <w:rFonts w:hint="eastAsia"/>
        </w:rPr>
        <w:t>勘察院于出具的《三亚崖州湾科教城公共教学区（一期）项目勘察报告》。</w:t>
      </w:r>
    </w:p>
    <w:p w14:paraId="6348040E">
      <w:pPr>
        <w:pStyle w:val="4"/>
        <w:ind w:firstLine="482"/>
      </w:pPr>
      <w:bookmarkStart w:id="6" w:name="_Toc531112460"/>
      <w:bookmarkStart w:id="7" w:name="_Toc4239"/>
      <w:r>
        <w:rPr>
          <w:rFonts w:hint="eastAsia"/>
        </w:rPr>
        <w:t>经过有关部门审批的有效施工图</w:t>
      </w:r>
      <w:bookmarkEnd w:id="6"/>
      <w:bookmarkEnd w:id="7"/>
    </w:p>
    <w:p w14:paraId="5CD084F8">
      <w:r>
        <w:rPr>
          <w:rFonts w:hint="eastAsia"/>
          <w:lang w:val="en-US" w:eastAsia="zh-CN"/>
        </w:rPr>
        <w:t>Xx</w:t>
      </w:r>
      <w:r>
        <w:rPr>
          <w:rFonts w:hint="eastAsia"/>
        </w:rPr>
        <w:t>设计研究院有限公司/出具的三亚崖州湾科教城公共教学区（一期）EPC项目施工图（施工图的编号：</w:t>
      </w:r>
      <w:r>
        <w:t>/</w:t>
      </w:r>
      <w:r>
        <w:rPr>
          <w:rFonts w:hint="eastAsia"/>
        </w:rPr>
        <w:t>）。</w:t>
      </w:r>
    </w:p>
    <w:p w14:paraId="468A0FE9">
      <w:pPr>
        <w:pStyle w:val="4"/>
        <w:ind w:firstLine="482"/>
      </w:pPr>
      <w:bookmarkStart w:id="8" w:name="_Toc531112461"/>
      <w:bookmarkStart w:id="9" w:name="_Toc10480"/>
      <w:r>
        <w:rPr>
          <w:rFonts w:hint="eastAsia"/>
        </w:rPr>
        <w:t>国家或行业规范、法规、图集</w:t>
      </w:r>
      <w:bookmarkEnd w:id="8"/>
      <w:bookmarkEnd w:id="9"/>
    </w:p>
    <w:p w14:paraId="3991341D">
      <w:pPr>
        <w:pStyle w:val="54"/>
      </w:pPr>
      <w:r>
        <w:rPr>
          <w:rFonts w:hint="eastAsia"/>
        </w:rPr>
        <w:t>主要法律法规</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13"/>
        <w:gridCol w:w="5017"/>
        <w:gridCol w:w="2938"/>
      </w:tblGrid>
      <w:tr w14:paraId="306F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289078B">
            <w:pPr>
              <w:pStyle w:val="45"/>
              <w:rPr>
                <w:rFonts w:hint="eastAsia"/>
              </w:rPr>
            </w:pPr>
            <w:r>
              <w:rPr>
                <w:rFonts w:hint="eastAsia"/>
              </w:rPr>
              <w:t>序号</w:t>
            </w:r>
          </w:p>
        </w:tc>
        <w:tc>
          <w:tcPr>
            <w:tcW w:w="5017" w:type="dxa"/>
            <w:vAlign w:val="center"/>
          </w:tcPr>
          <w:p w14:paraId="2DF30C28">
            <w:pPr>
              <w:pStyle w:val="45"/>
              <w:rPr>
                <w:rFonts w:hint="eastAsia"/>
              </w:rPr>
            </w:pPr>
            <w:r>
              <w:rPr>
                <w:rFonts w:hint="eastAsia"/>
              </w:rPr>
              <w:t>名称</w:t>
            </w:r>
          </w:p>
        </w:tc>
        <w:tc>
          <w:tcPr>
            <w:tcW w:w="2938" w:type="dxa"/>
            <w:vAlign w:val="center"/>
          </w:tcPr>
          <w:p w14:paraId="602617E5">
            <w:pPr>
              <w:pStyle w:val="45"/>
              <w:rPr>
                <w:rFonts w:hint="eastAsia"/>
              </w:rPr>
            </w:pPr>
            <w:r>
              <w:rPr>
                <w:rFonts w:hint="eastAsia"/>
              </w:rPr>
              <w:t>编号或文号</w:t>
            </w:r>
          </w:p>
        </w:tc>
      </w:tr>
      <w:tr w14:paraId="2EF6E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5D9A003">
            <w:pPr>
              <w:pStyle w:val="45"/>
              <w:rPr>
                <w:rFonts w:hint="eastAsia"/>
              </w:rPr>
            </w:pPr>
            <w:r>
              <w:t>1</w:t>
            </w:r>
          </w:p>
        </w:tc>
        <w:tc>
          <w:tcPr>
            <w:tcW w:w="5017" w:type="dxa"/>
            <w:vAlign w:val="center"/>
          </w:tcPr>
          <w:p w14:paraId="48DC6C67">
            <w:pPr>
              <w:pStyle w:val="45"/>
              <w:rPr>
                <w:rFonts w:hint="eastAsia"/>
              </w:rPr>
            </w:pPr>
            <w:r>
              <w:rPr>
                <w:rFonts w:hint="eastAsia"/>
              </w:rPr>
              <w:t>《建设工程安全生产管理条例》</w:t>
            </w:r>
          </w:p>
        </w:tc>
        <w:tc>
          <w:tcPr>
            <w:tcW w:w="2938" w:type="dxa"/>
            <w:vAlign w:val="center"/>
          </w:tcPr>
          <w:p w14:paraId="4B37990A">
            <w:pPr>
              <w:pStyle w:val="45"/>
              <w:rPr>
                <w:rFonts w:hint="eastAsia"/>
              </w:rPr>
            </w:pPr>
            <w:r>
              <w:rPr>
                <w:rFonts w:hint="eastAsia"/>
              </w:rPr>
              <w:t>国务院令第393号</w:t>
            </w:r>
          </w:p>
        </w:tc>
      </w:tr>
      <w:tr w14:paraId="43EF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0A91AD4">
            <w:pPr>
              <w:pStyle w:val="45"/>
              <w:rPr>
                <w:rFonts w:hint="eastAsia"/>
              </w:rPr>
            </w:pPr>
            <w:r>
              <w:t>2</w:t>
            </w:r>
          </w:p>
        </w:tc>
        <w:tc>
          <w:tcPr>
            <w:tcW w:w="5017" w:type="dxa"/>
            <w:vAlign w:val="center"/>
          </w:tcPr>
          <w:p w14:paraId="02771B6C">
            <w:pPr>
              <w:pStyle w:val="45"/>
              <w:rPr>
                <w:rFonts w:hint="eastAsia"/>
              </w:rPr>
            </w:pPr>
            <w:r>
              <w:rPr>
                <w:rFonts w:hint="eastAsia"/>
              </w:rPr>
              <w:t>《安全生产许可证条例》</w:t>
            </w:r>
          </w:p>
        </w:tc>
        <w:tc>
          <w:tcPr>
            <w:tcW w:w="2938" w:type="dxa"/>
            <w:vAlign w:val="center"/>
          </w:tcPr>
          <w:p w14:paraId="2E63C0FF">
            <w:pPr>
              <w:pStyle w:val="45"/>
              <w:rPr>
                <w:rFonts w:hint="eastAsia"/>
              </w:rPr>
            </w:pPr>
            <w:r>
              <w:rPr>
                <w:rFonts w:hint="eastAsia"/>
              </w:rPr>
              <w:t>国务院令第397号</w:t>
            </w:r>
          </w:p>
        </w:tc>
      </w:tr>
      <w:tr w14:paraId="2BDEA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134EB78">
            <w:pPr>
              <w:pStyle w:val="45"/>
              <w:rPr>
                <w:rFonts w:hint="eastAsia"/>
              </w:rPr>
            </w:pPr>
            <w:r>
              <w:rPr>
                <w:rFonts w:hint="eastAsia"/>
              </w:rPr>
              <w:t>3</w:t>
            </w:r>
          </w:p>
        </w:tc>
        <w:tc>
          <w:tcPr>
            <w:tcW w:w="5017" w:type="dxa"/>
            <w:vAlign w:val="center"/>
          </w:tcPr>
          <w:p w14:paraId="463A45D1">
            <w:pPr>
              <w:pStyle w:val="45"/>
              <w:rPr>
                <w:rFonts w:hint="eastAsia"/>
              </w:rPr>
            </w:pPr>
            <w:r>
              <w:rPr>
                <w:rFonts w:hint="eastAsia"/>
              </w:rPr>
              <w:t>《实施工程建设强制性标准监督规定》</w:t>
            </w:r>
          </w:p>
        </w:tc>
        <w:tc>
          <w:tcPr>
            <w:tcW w:w="2938" w:type="dxa"/>
            <w:vAlign w:val="center"/>
          </w:tcPr>
          <w:p w14:paraId="449539FE">
            <w:pPr>
              <w:pStyle w:val="45"/>
              <w:rPr>
                <w:rFonts w:hint="eastAsia"/>
              </w:rPr>
            </w:pPr>
            <w:r>
              <w:rPr>
                <w:rFonts w:hint="eastAsia"/>
              </w:rPr>
              <w:t>住建部令第23号</w:t>
            </w:r>
          </w:p>
        </w:tc>
      </w:tr>
      <w:tr w14:paraId="0E95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6ECA8D0">
            <w:pPr>
              <w:pStyle w:val="45"/>
              <w:rPr>
                <w:rFonts w:hint="eastAsia"/>
              </w:rPr>
            </w:pPr>
            <w:r>
              <w:rPr>
                <w:rFonts w:hint="eastAsia"/>
              </w:rPr>
              <w:t>4</w:t>
            </w:r>
          </w:p>
        </w:tc>
        <w:tc>
          <w:tcPr>
            <w:tcW w:w="5017" w:type="dxa"/>
            <w:vAlign w:val="center"/>
          </w:tcPr>
          <w:p w14:paraId="1014F3EE">
            <w:pPr>
              <w:pStyle w:val="45"/>
              <w:rPr>
                <w:rFonts w:hint="eastAsia"/>
              </w:rPr>
            </w:pPr>
            <w:r>
              <w:rPr>
                <w:rFonts w:hint="eastAsia"/>
              </w:rPr>
              <w:t>《建筑业企业资质管理规定》</w:t>
            </w:r>
          </w:p>
        </w:tc>
        <w:tc>
          <w:tcPr>
            <w:tcW w:w="2938" w:type="dxa"/>
            <w:vAlign w:val="center"/>
          </w:tcPr>
          <w:p w14:paraId="0EDEA610">
            <w:pPr>
              <w:pStyle w:val="45"/>
              <w:rPr>
                <w:rFonts w:hint="eastAsia"/>
              </w:rPr>
            </w:pPr>
            <w:r>
              <w:rPr>
                <w:rFonts w:hint="eastAsia"/>
              </w:rPr>
              <w:t>住建部令第3</w:t>
            </w:r>
            <w:r>
              <w:t>2</w:t>
            </w:r>
            <w:r>
              <w:rPr>
                <w:rFonts w:hint="eastAsia"/>
              </w:rPr>
              <w:t>号</w:t>
            </w:r>
          </w:p>
        </w:tc>
      </w:tr>
      <w:tr w14:paraId="6BB8D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79971AD">
            <w:pPr>
              <w:pStyle w:val="45"/>
              <w:rPr>
                <w:rFonts w:hint="eastAsia"/>
              </w:rPr>
            </w:pPr>
            <w:r>
              <w:rPr>
                <w:rFonts w:hint="eastAsia"/>
              </w:rPr>
              <w:t>5</w:t>
            </w:r>
          </w:p>
        </w:tc>
        <w:tc>
          <w:tcPr>
            <w:tcW w:w="5017" w:type="dxa"/>
            <w:vAlign w:val="center"/>
          </w:tcPr>
          <w:p w14:paraId="74AAA754">
            <w:pPr>
              <w:pStyle w:val="45"/>
              <w:rPr>
                <w:rFonts w:hint="eastAsia"/>
              </w:rPr>
            </w:pPr>
            <w:r>
              <w:rPr>
                <w:rFonts w:hint="eastAsia"/>
              </w:rPr>
              <w:t>《工程建设国家标准管理办法》</w:t>
            </w:r>
          </w:p>
        </w:tc>
        <w:tc>
          <w:tcPr>
            <w:tcW w:w="2938" w:type="dxa"/>
            <w:vAlign w:val="center"/>
          </w:tcPr>
          <w:p w14:paraId="51E2252B">
            <w:pPr>
              <w:pStyle w:val="45"/>
              <w:rPr>
                <w:rFonts w:hint="eastAsia"/>
              </w:rPr>
            </w:pPr>
            <w:r>
              <w:rPr>
                <w:rFonts w:hint="eastAsia"/>
              </w:rPr>
              <w:t>建设部令第2</w:t>
            </w:r>
            <w:r>
              <w:t>4</w:t>
            </w:r>
            <w:r>
              <w:rPr>
                <w:rFonts w:hint="eastAsia"/>
              </w:rPr>
              <w:t>号</w:t>
            </w:r>
          </w:p>
        </w:tc>
      </w:tr>
      <w:tr w14:paraId="60C2D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2C8125BE">
            <w:pPr>
              <w:pStyle w:val="45"/>
              <w:rPr>
                <w:rFonts w:hint="eastAsia"/>
              </w:rPr>
            </w:pPr>
            <w:r>
              <w:rPr>
                <w:rFonts w:hint="eastAsia"/>
              </w:rPr>
              <w:t>6</w:t>
            </w:r>
          </w:p>
        </w:tc>
        <w:tc>
          <w:tcPr>
            <w:tcW w:w="5017" w:type="dxa"/>
            <w:vAlign w:val="center"/>
          </w:tcPr>
          <w:p w14:paraId="7191BADE">
            <w:pPr>
              <w:pStyle w:val="45"/>
              <w:rPr>
                <w:rFonts w:hint="eastAsia"/>
              </w:rPr>
            </w:pPr>
            <w:r>
              <w:rPr>
                <w:rFonts w:hint="eastAsia"/>
              </w:rPr>
              <w:t>《工程建设行业标准管理办法》</w:t>
            </w:r>
          </w:p>
        </w:tc>
        <w:tc>
          <w:tcPr>
            <w:tcW w:w="2938" w:type="dxa"/>
            <w:vAlign w:val="center"/>
          </w:tcPr>
          <w:p w14:paraId="7EBAD679">
            <w:pPr>
              <w:pStyle w:val="45"/>
              <w:rPr>
                <w:rFonts w:hint="eastAsia"/>
              </w:rPr>
            </w:pPr>
            <w:r>
              <w:rPr>
                <w:rFonts w:hint="eastAsia"/>
              </w:rPr>
              <w:t>建设部令第2</w:t>
            </w:r>
            <w:r>
              <w:t>5</w:t>
            </w:r>
            <w:r>
              <w:rPr>
                <w:rFonts w:hint="eastAsia"/>
              </w:rPr>
              <w:t>号</w:t>
            </w:r>
          </w:p>
        </w:tc>
      </w:tr>
      <w:tr w14:paraId="6ED7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2E71DE67">
            <w:pPr>
              <w:pStyle w:val="45"/>
              <w:rPr>
                <w:rFonts w:hint="eastAsia"/>
              </w:rPr>
            </w:pPr>
            <w:r>
              <w:rPr>
                <w:rFonts w:hint="eastAsia"/>
              </w:rPr>
              <w:t>7</w:t>
            </w:r>
          </w:p>
        </w:tc>
        <w:tc>
          <w:tcPr>
            <w:tcW w:w="5017" w:type="dxa"/>
            <w:vAlign w:val="center"/>
          </w:tcPr>
          <w:p w14:paraId="616DE07F">
            <w:pPr>
              <w:pStyle w:val="45"/>
              <w:rPr>
                <w:rFonts w:hint="eastAsia"/>
              </w:rPr>
            </w:pPr>
            <w:r>
              <w:rPr>
                <w:rFonts w:hint="eastAsia"/>
              </w:rPr>
              <w:t>《建设工程勘察质量管理办法》</w:t>
            </w:r>
          </w:p>
        </w:tc>
        <w:tc>
          <w:tcPr>
            <w:tcW w:w="2938" w:type="dxa"/>
            <w:vAlign w:val="center"/>
          </w:tcPr>
          <w:p w14:paraId="4F4A4220">
            <w:pPr>
              <w:pStyle w:val="45"/>
              <w:rPr>
                <w:rFonts w:hint="eastAsia"/>
              </w:rPr>
            </w:pPr>
            <w:r>
              <w:rPr>
                <w:rFonts w:hint="eastAsia"/>
              </w:rPr>
              <w:t>建设部令第1</w:t>
            </w:r>
            <w:r>
              <w:t>15</w:t>
            </w:r>
            <w:r>
              <w:rPr>
                <w:rFonts w:hint="eastAsia"/>
              </w:rPr>
              <w:t>号</w:t>
            </w:r>
          </w:p>
        </w:tc>
      </w:tr>
      <w:tr w14:paraId="1E8D9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1EABFF1">
            <w:pPr>
              <w:pStyle w:val="45"/>
              <w:rPr>
                <w:rFonts w:hint="eastAsia"/>
              </w:rPr>
            </w:pPr>
            <w:r>
              <w:rPr>
                <w:rFonts w:hint="eastAsia"/>
              </w:rPr>
              <w:t>8</w:t>
            </w:r>
          </w:p>
        </w:tc>
        <w:tc>
          <w:tcPr>
            <w:tcW w:w="5017" w:type="dxa"/>
            <w:vAlign w:val="center"/>
          </w:tcPr>
          <w:p w14:paraId="05D275F8">
            <w:pPr>
              <w:pStyle w:val="45"/>
              <w:rPr>
                <w:rFonts w:hint="eastAsia"/>
              </w:rPr>
            </w:pPr>
            <w:r>
              <w:rPr>
                <w:rFonts w:hint="eastAsia"/>
              </w:rPr>
              <w:t>《施工现场安全防护用具及机械设备监督管理规定》</w:t>
            </w:r>
          </w:p>
        </w:tc>
        <w:tc>
          <w:tcPr>
            <w:tcW w:w="2938" w:type="dxa"/>
            <w:vAlign w:val="center"/>
          </w:tcPr>
          <w:p w14:paraId="76045068">
            <w:pPr>
              <w:pStyle w:val="45"/>
              <w:rPr>
                <w:rFonts w:hint="eastAsia"/>
              </w:rPr>
            </w:pPr>
            <w:r>
              <w:rPr>
                <w:rFonts w:hint="eastAsia"/>
              </w:rPr>
              <w:t>建设部[</w:t>
            </w:r>
            <w:r>
              <w:t>1998</w:t>
            </w:r>
            <w:r>
              <w:rPr>
                <w:rFonts w:hint="eastAsia"/>
              </w:rPr>
              <w:t>]164号</w:t>
            </w:r>
          </w:p>
        </w:tc>
      </w:tr>
      <w:tr w14:paraId="3DE3A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38066A3F">
            <w:pPr>
              <w:pStyle w:val="45"/>
              <w:rPr>
                <w:rFonts w:hint="eastAsia"/>
              </w:rPr>
            </w:pPr>
            <w:r>
              <w:rPr>
                <w:rFonts w:hint="eastAsia"/>
              </w:rPr>
              <w:t>9</w:t>
            </w:r>
          </w:p>
        </w:tc>
        <w:tc>
          <w:tcPr>
            <w:tcW w:w="5017" w:type="dxa"/>
            <w:vAlign w:val="center"/>
          </w:tcPr>
          <w:p w14:paraId="6926CDFF">
            <w:pPr>
              <w:pStyle w:val="45"/>
              <w:rPr>
                <w:rFonts w:hint="eastAsia"/>
              </w:rPr>
            </w:pPr>
            <w:r>
              <w:rPr>
                <w:rFonts w:hint="eastAsia"/>
              </w:rPr>
              <w:t>《环境保护行政处罚办法》</w:t>
            </w:r>
          </w:p>
        </w:tc>
        <w:tc>
          <w:tcPr>
            <w:tcW w:w="2938" w:type="dxa"/>
            <w:vAlign w:val="center"/>
          </w:tcPr>
          <w:p w14:paraId="10B9AB0C">
            <w:pPr>
              <w:pStyle w:val="45"/>
              <w:rPr>
                <w:rFonts w:hint="eastAsia"/>
              </w:rPr>
            </w:pPr>
            <w:r>
              <w:rPr>
                <w:rFonts w:hint="eastAsia"/>
              </w:rPr>
              <w:t>环境保护部令第8号</w:t>
            </w:r>
          </w:p>
        </w:tc>
      </w:tr>
      <w:tr w14:paraId="37F6E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13FDEAE">
            <w:pPr>
              <w:pStyle w:val="45"/>
              <w:rPr>
                <w:rFonts w:hint="eastAsia"/>
              </w:rPr>
            </w:pPr>
            <w:r>
              <w:rPr>
                <w:rFonts w:hint="eastAsia"/>
              </w:rPr>
              <w:t>1</w:t>
            </w:r>
            <w:r>
              <w:t>0</w:t>
            </w:r>
          </w:p>
        </w:tc>
        <w:tc>
          <w:tcPr>
            <w:tcW w:w="5017" w:type="dxa"/>
            <w:vAlign w:val="center"/>
          </w:tcPr>
          <w:p w14:paraId="6A4E95D2">
            <w:pPr>
              <w:pStyle w:val="45"/>
              <w:rPr>
                <w:rFonts w:hint="eastAsia"/>
              </w:rPr>
            </w:pPr>
            <w:r>
              <w:rPr>
                <w:rFonts w:hint="eastAsia"/>
              </w:rPr>
              <w:t>《新化学物质环境管理办法》</w:t>
            </w:r>
          </w:p>
        </w:tc>
        <w:tc>
          <w:tcPr>
            <w:tcW w:w="2938" w:type="dxa"/>
            <w:vAlign w:val="center"/>
          </w:tcPr>
          <w:p w14:paraId="63D6869C">
            <w:pPr>
              <w:pStyle w:val="45"/>
              <w:rPr>
                <w:rFonts w:hint="eastAsia"/>
              </w:rPr>
            </w:pPr>
            <w:r>
              <w:rPr>
                <w:rFonts w:hint="eastAsia"/>
              </w:rPr>
              <w:t>环境保护部令第7号</w:t>
            </w:r>
          </w:p>
        </w:tc>
      </w:tr>
      <w:tr w14:paraId="70BA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656DA5C">
            <w:pPr>
              <w:pStyle w:val="45"/>
              <w:rPr>
                <w:rFonts w:hint="eastAsia"/>
              </w:rPr>
            </w:pPr>
            <w:r>
              <w:rPr>
                <w:rFonts w:hint="eastAsia"/>
              </w:rPr>
              <w:t>1</w:t>
            </w:r>
            <w:r>
              <w:t>1</w:t>
            </w:r>
          </w:p>
        </w:tc>
        <w:tc>
          <w:tcPr>
            <w:tcW w:w="5017" w:type="dxa"/>
            <w:vAlign w:val="center"/>
          </w:tcPr>
          <w:p w14:paraId="1D03B7F7">
            <w:pPr>
              <w:pStyle w:val="45"/>
              <w:rPr>
                <w:rFonts w:hint="eastAsia"/>
              </w:rPr>
            </w:pPr>
            <w:r>
              <w:rPr>
                <w:rFonts w:hint="eastAsia"/>
              </w:rPr>
              <w:t>《建设项目环境保护设计规定》</w:t>
            </w:r>
          </w:p>
        </w:tc>
        <w:tc>
          <w:tcPr>
            <w:tcW w:w="2938" w:type="dxa"/>
            <w:vAlign w:val="center"/>
          </w:tcPr>
          <w:p w14:paraId="32B54F94">
            <w:pPr>
              <w:pStyle w:val="45"/>
              <w:rPr>
                <w:rFonts w:hint="eastAsia"/>
              </w:rPr>
            </w:pPr>
            <w:r>
              <w:rPr>
                <w:rFonts w:hint="eastAsia"/>
              </w:rPr>
              <w:t>国环字第002号</w:t>
            </w:r>
          </w:p>
        </w:tc>
      </w:tr>
      <w:tr w14:paraId="3FDD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6873EA1">
            <w:pPr>
              <w:pStyle w:val="45"/>
              <w:rPr>
                <w:rFonts w:hint="eastAsia"/>
              </w:rPr>
            </w:pPr>
            <w:r>
              <w:rPr>
                <w:rFonts w:hint="eastAsia"/>
              </w:rPr>
              <w:t>1</w:t>
            </w:r>
            <w:r>
              <w:t>2</w:t>
            </w:r>
          </w:p>
        </w:tc>
        <w:tc>
          <w:tcPr>
            <w:tcW w:w="5017" w:type="dxa"/>
            <w:vAlign w:val="center"/>
          </w:tcPr>
          <w:p w14:paraId="4D7A6E32">
            <w:pPr>
              <w:pStyle w:val="45"/>
              <w:rPr>
                <w:rFonts w:hint="eastAsia"/>
              </w:rPr>
            </w:pPr>
            <w:r>
              <w:rPr>
                <w:rFonts w:hint="eastAsia"/>
              </w:rPr>
              <w:t>《环境保护法规解释管理办法》</w:t>
            </w:r>
          </w:p>
        </w:tc>
        <w:tc>
          <w:tcPr>
            <w:tcW w:w="2938" w:type="dxa"/>
            <w:vAlign w:val="center"/>
          </w:tcPr>
          <w:p w14:paraId="6CE2477B">
            <w:pPr>
              <w:pStyle w:val="45"/>
              <w:rPr>
                <w:rFonts w:hint="eastAsia"/>
              </w:rPr>
            </w:pPr>
            <w:r>
              <w:rPr>
                <w:rFonts w:hint="eastAsia"/>
              </w:rPr>
              <w:t>环境保护总局令第1号</w:t>
            </w:r>
          </w:p>
        </w:tc>
      </w:tr>
      <w:tr w14:paraId="0A607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24EB8C40">
            <w:pPr>
              <w:pStyle w:val="45"/>
              <w:rPr>
                <w:rFonts w:hint="eastAsia"/>
              </w:rPr>
            </w:pPr>
            <w:r>
              <w:rPr>
                <w:rFonts w:hint="eastAsia"/>
              </w:rPr>
              <w:t>1</w:t>
            </w:r>
            <w:r>
              <w:t>3</w:t>
            </w:r>
          </w:p>
        </w:tc>
        <w:tc>
          <w:tcPr>
            <w:tcW w:w="5017" w:type="dxa"/>
            <w:vAlign w:val="center"/>
          </w:tcPr>
          <w:p w14:paraId="7B7027D9">
            <w:pPr>
              <w:pStyle w:val="45"/>
              <w:rPr>
                <w:rFonts w:hint="eastAsia"/>
              </w:rPr>
            </w:pPr>
            <w:r>
              <w:rPr>
                <w:rFonts w:hint="eastAsia"/>
              </w:rPr>
              <w:t>《消防监督检查规定》</w:t>
            </w:r>
          </w:p>
        </w:tc>
        <w:tc>
          <w:tcPr>
            <w:tcW w:w="2938" w:type="dxa"/>
            <w:vAlign w:val="center"/>
          </w:tcPr>
          <w:p w14:paraId="18B59D4E">
            <w:pPr>
              <w:pStyle w:val="45"/>
              <w:rPr>
                <w:rFonts w:hint="eastAsia"/>
              </w:rPr>
            </w:pPr>
            <w:r>
              <w:rPr>
                <w:rFonts w:hint="eastAsia"/>
              </w:rPr>
              <w:t>公安部令第120号</w:t>
            </w:r>
          </w:p>
        </w:tc>
      </w:tr>
      <w:tr w14:paraId="6CB80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3268E025">
            <w:pPr>
              <w:pStyle w:val="45"/>
              <w:rPr>
                <w:rFonts w:hint="eastAsia"/>
              </w:rPr>
            </w:pPr>
            <w:r>
              <w:rPr>
                <w:rFonts w:hint="eastAsia"/>
              </w:rPr>
              <w:t>1</w:t>
            </w:r>
            <w:r>
              <w:t>4</w:t>
            </w:r>
          </w:p>
        </w:tc>
        <w:tc>
          <w:tcPr>
            <w:tcW w:w="5017" w:type="dxa"/>
            <w:vAlign w:val="center"/>
          </w:tcPr>
          <w:p w14:paraId="7C6BCAF9">
            <w:pPr>
              <w:pStyle w:val="45"/>
              <w:rPr>
                <w:rFonts w:hint="eastAsia"/>
              </w:rPr>
            </w:pPr>
            <w:r>
              <w:rPr>
                <w:rFonts w:hint="eastAsia"/>
              </w:rPr>
              <w:t>《建设工程施工现场管理规定》</w:t>
            </w:r>
          </w:p>
        </w:tc>
        <w:tc>
          <w:tcPr>
            <w:tcW w:w="2938" w:type="dxa"/>
            <w:vAlign w:val="center"/>
          </w:tcPr>
          <w:p w14:paraId="4E56A300">
            <w:pPr>
              <w:pStyle w:val="45"/>
              <w:rPr>
                <w:rFonts w:hint="eastAsia"/>
              </w:rPr>
            </w:pPr>
            <w:r>
              <w:rPr>
                <w:rFonts w:hint="eastAsia"/>
              </w:rPr>
              <w:t>建设部令第15号</w:t>
            </w:r>
          </w:p>
        </w:tc>
      </w:tr>
      <w:tr w14:paraId="3506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B6DE528">
            <w:pPr>
              <w:pStyle w:val="45"/>
              <w:rPr>
                <w:rFonts w:hint="eastAsia"/>
              </w:rPr>
            </w:pPr>
            <w:r>
              <w:rPr>
                <w:rFonts w:hint="eastAsia"/>
              </w:rPr>
              <w:t>1</w:t>
            </w:r>
            <w:r>
              <w:t>5</w:t>
            </w:r>
          </w:p>
        </w:tc>
        <w:tc>
          <w:tcPr>
            <w:tcW w:w="5017" w:type="dxa"/>
            <w:vAlign w:val="center"/>
          </w:tcPr>
          <w:p w14:paraId="71FD1A74">
            <w:pPr>
              <w:pStyle w:val="45"/>
              <w:rPr>
                <w:rFonts w:hint="eastAsia"/>
              </w:rPr>
            </w:pPr>
            <w:r>
              <w:rPr>
                <w:rFonts w:hint="eastAsia"/>
              </w:rPr>
              <w:t>《民用建筑节能管理规定》</w:t>
            </w:r>
          </w:p>
        </w:tc>
        <w:tc>
          <w:tcPr>
            <w:tcW w:w="2938" w:type="dxa"/>
            <w:vAlign w:val="center"/>
          </w:tcPr>
          <w:p w14:paraId="15ECB5C6">
            <w:pPr>
              <w:pStyle w:val="45"/>
              <w:rPr>
                <w:rFonts w:hint="eastAsia"/>
              </w:rPr>
            </w:pPr>
            <w:r>
              <w:rPr>
                <w:rFonts w:hint="eastAsia"/>
              </w:rPr>
              <w:t>建设部令第143号</w:t>
            </w:r>
          </w:p>
        </w:tc>
      </w:tr>
      <w:tr w14:paraId="65036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AFE5A73">
            <w:pPr>
              <w:pStyle w:val="45"/>
              <w:rPr>
                <w:rFonts w:hint="eastAsia"/>
              </w:rPr>
            </w:pPr>
            <w:r>
              <w:rPr>
                <w:rFonts w:hint="eastAsia"/>
              </w:rPr>
              <w:t>1</w:t>
            </w:r>
            <w:r>
              <w:t>6</w:t>
            </w:r>
          </w:p>
        </w:tc>
        <w:tc>
          <w:tcPr>
            <w:tcW w:w="5017" w:type="dxa"/>
            <w:vAlign w:val="center"/>
          </w:tcPr>
          <w:p w14:paraId="1AE0B87C">
            <w:pPr>
              <w:pStyle w:val="45"/>
              <w:rPr>
                <w:rFonts w:hint="eastAsia"/>
              </w:rPr>
            </w:pPr>
            <w:r>
              <w:rPr>
                <w:rFonts w:hint="eastAsia"/>
              </w:rPr>
              <w:t>《房屋建筑工程和市政基础设施工程实行见证取样和送检的规定》</w:t>
            </w:r>
          </w:p>
        </w:tc>
        <w:tc>
          <w:tcPr>
            <w:tcW w:w="2938" w:type="dxa"/>
            <w:vAlign w:val="center"/>
          </w:tcPr>
          <w:p w14:paraId="3A122432">
            <w:pPr>
              <w:pStyle w:val="45"/>
              <w:rPr>
                <w:rFonts w:hint="eastAsia"/>
              </w:rPr>
            </w:pPr>
            <w:r>
              <w:rPr>
                <w:rFonts w:hint="eastAsia"/>
              </w:rPr>
              <w:t>建设部令第211号</w:t>
            </w:r>
          </w:p>
        </w:tc>
      </w:tr>
      <w:tr w14:paraId="6CAD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D8748BA">
            <w:pPr>
              <w:pStyle w:val="45"/>
              <w:rPr>
                <w:rFonts w:hint="eastAsia"/>
              </w:rPr>
            </w:pPr>
            <w:r>
              <w:rPr>
                <w:rFonts w:hint="eastAsia"/>
              </w:rPr>
              <w:t>1</w:t>
            </w:r>
            <w:r>
              <w:t>7</w:t>
            </w:r>
          </w:p>
        </w:tc>
        <w:tc>
          <w:tcPr>
            <w:tcW w:w="5017" w:type="dxa"/>
            <w:vAlign w:val="center"/>
          </w:tcPr>
          <w:p w14:paraId="59FDE827">
            <w:pPr>
              <w:pStyle w:val="45"/>
              <w:rPr>
                <w:rFonts w:hint="eastAsia"/>
              </w:rPr>
            </w:pPr>
            <w:r>
              <w:rPr>
                <w:rFonts w:hint="eastAsia"/>
              </w:rPr>
              <w:t>《工程建筑标准强制性条文》</w:t>
            </w:r>
          </w:p>
        </w:tc>
        <w:tc>
          <w:tcPr>
            <w:tcW w:w="2938" w:type="dxa"/>
            <w:vAlign w:val="center"/>
          </w:tcPr>
          <w:p w14:paraId="7CBFFF2C">
            <w:pPr>
              <w:pStyle w:val="45"/>
              <w:rPr>
                <w:rFonts w:hint="eastAsia"/>
              </w:rPr>
            </w:pPr>
            <w:r>
              <w:rPr>
                <w:rFonts w:hint="eastAsia"/>
              </w:rPr>
              <w:t>建设部令第219号</w:t>
            </w:r>
          </w:p>
        </w:tc>
      </w:tr>
      <w:tr w14:paraId="3B2E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E9BDCF9">
            <w:pPr>
              <w:pStyle w:val="45"/>
              <w:rPr>
                <w:rFonts w:hint="eastAsia"/>
              </w:rPr>
            </w:pPr>
            <w:r>
              <w:rPr>
                <w:rFonts w:hint="eastAsia"/>
              </w:rPr>
              <w:t>1</w:t>
            </w:r>
            <w:r>
              <w:t>8</w:t>
            </w:r>
          </w:p>
        </w:tc>
        <w:tc>
          <w:tcPr>
            <w:tcW w:w="5017" w:type="dxa"/>
            <w:vAlign w:val="center"/>
          </w:tcPr>
          <w:p w14:paraId="4C792B93">
            <w:pPr>
              <w:pStyle w:val="45"/>
              <w:rPr>
                <w:rFonts w:hint="eastAsia"/>
              </w:rPr>
            </w:pPr>
            <w:r>
              <w:rPr>
                <w:rFonts w:hint="eastAsia"/>
              </w:rPr>
              <w:t>《绿色施工导则》</w:t>
            </w:r>
          </w:p>
        </w:tc>
        <w:tc>
          <w:tcPr>
            <w:tcW w:w="2938" w:type="dxa"/>
            <w:vAlign w:val="center"/>
          </w:tcPr>
          <w:p w14:paraId="5F898E8D">
            <w:pPr>
              <w:pStyle w:val="45"/>
              <w:rPr>
                <w:rFonts w:hint="eastAsia"/>
              </w:rPr>
            </w:pPr>
            <w:r>
              <w:rPr>
                <w:rFonts w:hint="eastAsia"/>
              </w:rPr>
              <w:t>建质[2007]223号</w:t>
            </w:r>
          </w:p>
        </w:tc>
      </w:tr>
      <w:tr w14:paraId="36452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074304AD">
            <w:pPr>
              <w:pStyle w:val="45"/>
              <w:rPr>
                <w:rFonts w:hint="eastAsia"/>
              </w:rPr>
            </w:pPr>
            <w:r>
              <w:rPr>
                <w:rFonts w:hint="eastAsia"/>
              </w:rPr>
              <w:t>1</w:t>
            </w:r>
            <w:r>
              <w:t>9</w:t>
            </w:r>
          </w:p>
        </w:tc>
        <w:tc>
          <w:tcPr>
            <w:tcW w:w="5017" w:type="dxa"/>
            <w:vAlign w:val="center"/>
          </w:tcPr>
          <w:p w14:paraId="3117038A">
            <w:pPr>
              <w:pStyle w:val="45"/>
              <w:rPr>
                <w:rFonts w:hint="eastAsia"/>
              </w:rPr>
            </w:pPr>
            <w:r>
              <w:rPr>
                <w:rFonts w:hint="eastAsia"/>
              </w:rPr>
              <w:t>住房城乡建设部办公厅关于实施《危险性较大的分部分项工程安全管理规定》有关问题的通知</w:t>
            </w:r>
          </w:p>
        </w:tc>
        <w:tc>
          <w:tcPr>
            <w:tcW w:w="2938" w:type="dxa"/>
            <w:vAlign w:val="center"/>
          </w:tcPr>
          <w:p w14:paraId="5AEFA2CB">
            <w:pPr>
              <w:pStyle w:val="45"/>
              <w:rPr>
                <w:rFonts w:hint="eastAsia"/>
              </w:rPr>
            </w:pPr>
            <w:r>
              <w:rPr>
                <w:rFonts w:hint="eastAsia"/>
              </w:rPr>
              <w:t>建办质[2018]31号文</w:t>
            </w:r>
          </w:p>
        </w:tc>
      </w:tr>
      <w:tr w14:paraId="388E5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5244BCE">
            <w:pPr>
              <w:pStyle w:val="45"/>
              <w:rPr>
                <w:rFonts w:hint="eastAsia"/>
              </w:rPr>
            </w:pPr>
            <w:r>
              <w:rPr>
                <w:rFonts w:hint="eastAsia"/>
              </w:rPr>
              <w:t>2</w:t>
            </w:r>
            <w:r>
              <w:t>0</w:t>
            </w:r>
          </w:p>
        </w:tc>
        <w:tc>
          <w:tcPr>
            <w:tcW w:w="5017" w:type="dxa"/>
            <w:vAlign w:val="center"/>
          </w:tcPr>
          <w:p w14:paraId="2C7CD8CE">
            <w:pPr>
              <w:pStyle w:val="45"/>
              <w:rPr>
                <w:rFonts w:hint="eastAsia"/>
              </w:rPr>
            </w:pPr>
            <w:r>
              <w:rPr>
                <w:rFonts w:hint="eastAsia"/>
              </w:rPr>
              <w:t>《危险性较大的分部分项工程安全管理规定》</w:t>
            </w:r>
          </w:p>
        </w:tc>
        <w:tc>
          <w:tcPr>
            <w:tcW w:w="2938" w:type="dxa"/>
            <w:vAlign w:val="center"/>
          </w:tcPr>
          <w:p w14:paraId="4C962ECD">
            <w:pPr>
              <w:pStyle w:val="45"/>
              <w:rPr>
                <w:rFonts w:hint="eastAsia"/>
              </w:rPr>
            </w:pPr>
            <w:r>
              <w:rPr>
                <w:rFonts w:hint="eastAsia"/>
              </w:rPr>
              <w:t>住建部[2018]37号令</w:t>
            </w:r>
          </w:p>
        </w:tc>
      </w:tr>
    </w:tbl>
    <w:p w14:paraId="46E32670">
      <w:pPr>
        <w:pStyle w:val="54"/>
      </w:pPr>
      <w:r>
        <w:rPr>
          <w:rFonts w:hint="eastAsia"/>
        </w:rPr>
        <w:t>主要国家标准及规范</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713"/>
        <w:gridCol w:w="5017"/>
        <w:gridCol w:w="2938"/>
      </w:tblGrid>
      <w:tr w14:paraId="4EE49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34681EA">
            <w:pPr>
              <w:pStyle w:val="45"/>
              <w:rPr>
                <w:rFonts w:hint="eastAsia"/>
              </w:rPr>
            </w:pPr>
            <w:r>
              <w:t>1</w:t>
            </w:r>
          </w:p>
        </w:tc>
        <w:tc>
          <w:tcPr>
            <w:tcW w:w="5017" w:type="dxa"/>
            <w:vAlign w:val="center"/>
          </w:tcPr>
          <w:p w14:paraId="12F29EB7">
            <w:pPr>
              <w:pStyle w:val="45"/>
              <w:rPr>
                <w:rFonts w:hint="eastAsia"/>
              </w:rPr>
            </w:pPr>
            <w:r>
              <w:t>《</w:t>
            </w:r>
            <w:r>
              <w:rPr>
                <w:rFonts w:hint="eastAsia"/>
              </w:rPr>
              <w:t>建筑施工场界环境噪声排放标准</w:t>
            </w:r>
            <w:r>
              <w:t>》</w:t>
            </w:r>
          </w:p>
        </w:tc>
        <w:tc>
          <w:tcPr>
            <w:tcW w:w="2938" w:type="dxa"/>
            <w:vAlign w:val="center"/>
          </w:tcPr>
          <w:p w14:paraId="00BF8882">
            <w:pPr>
              <w:pStyle w:val="45"/>
              <w:rPr>
                <w:rFonts w:hint="eastAsia"/>
              </w:rPr>
            </w:pPr>
            <w:r>
              <w:t>GB12523-2011</w:t>
            </w:r>
          </w:p>
        </w:tc>
      </w:tr>
      <w:tr w14:paraId="7C3B1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323FAB86">
            <w:pPr>
              <w:pStyle w:val="45"/>
              <w:rPr>
                <w:rFonts w:hint="eastAsia"/>
              </w:rPr>
            </w:pPr>
            <w:r>
              <w:t>2</w:t>
            </w:r>
          </w:p>
        </w:tc>
        <w:tc>
          <w:tcPr>
            <w:tcW w:w="5017" w:type="dxa"/>
            <w:vAlign w:val="center"/>
          </w:tcPr>
          <w:p w14:paraId="4FA3F3BE">
            <w:pPr>
              <w:pStyle w:val="45"/>
              <w:rPr>
                <w:rFonts w:hint="eastAsia"/>
              </w:rPr>
            </w:pPr>
            <w:r>
              <w:rPr>
                <w:rFonts w:hint="eastAsia"/>
              </w:rPr>
              <w:t>《大气污染物综合排放标准》</w:t>
            </w:r>
          </w:p>
        </w:tc>
        <w:tc>
          <w:tcPr>
            <w:tcW w:w="2938" w:type="dxa"/>
            <w:vAlign w:val="center"/>
          </w:tcPr>
          <w:p w14:paraId="5FCAA57A">
            <w:pPr>
              <w:pStyle w:val="45"/>
              <w:rPr>
                <w:rFonts w:hint="eastAsia"/>
              </w:rPr>
            </w:pPr>
            <w:r>
              <w:t>GB16297-1996</w:t>
            </w:r>
          </w:p>
        </w:tc>
      </w:tr>
      <w:tr w14:paraId="5C0B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0104A173">
            <w:pPr>
              <w:pStyle w:val="45"/>
              <w:rPr>
                <w:rFonts w:hint="eastAsia"/>
              </w:rPr>
            </w:pPr>
            <w:r>
              <w:rPr>
                <w:rFonts w:hint="eastAsia"/>
              </w:rPr>
              <w:t>3</w:t>
            </w:r>
          </w:p>
        </w:tc>
        <w:tc>
          <w:tcPr>
            <w:tcW w:w="5017" w:type="dxa"/>
            <w:vAlign w:val="center"/>
          </w:tcPr>
          <w:p w14:paraId="29B27459">
            <w:pPr>
              <w:pStyle w:val="45"/>
              <w:rPr>
                <w:rFonts w:hint="eastAsia"/>
              </w:rPr>
            </w:pPr>
            <w:r>
              <w:t>《声环境质量标准》</w:t>
            </w:r>
          </w:p>
        </w:tc>
        <w:tc>
          <w:tcPr>
            <w:tcW w:w="2938" w:type="dxa"/>
            <w:vAlign w:val="center"/>
          </w:tcPr>
          <w:p w14:paraId="3E263D52">
            <w:pPr>
              <w:pStyle w:val="45"/>
              <w:rPr>
                <w:rFonts w:hint="eastAsia"/>
              </w:rPr>
            </w:pPr>
            <w:r>
              <w:t>GB3096-2008</w:t>
            </w:r>
          </w:p>
        </w:tc>
      </w:tr>
      <w:tr w14:paraId="67D1C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36BA32F5">
            <w:pPr>
              <w:pStyle w:val="45"/>
              <w:rPr>
                <w:rFonts w:hint="eastAsia"/>
              </w:rPr>
            </w:pPr>
            <w:r>
              <w:rPr>
                <w:rFonts w:hint="eastAsia"/>
              </w:rPr>
              <w:t>4</w:t>
            </w:r>
          </w:p>
        </w:tc>
        <w:tc>
          <w:tcPr>
            <w:tcW w:w="5017" w:type="dxa"/>
            <w:vAlign w:val="center"/>
          </w:tcPr>
          <w:p w14:paraId="2041A0C5">
            <w:pPr>
              <w:pStyle w:val="45"/>
              <w:rPr>
                <w:rFonts w:hint="eastAsia"/>
              </w:rPr>
            </w:pPr>
            <w:r>
              <w:rPr>
                <w:rFonts w:hint="eastAsia"/>
              </w:rPr>
              <w:t>《建筑设计防火规范》</w:t>
            </w:r>
          </w:p>
        </w:tc>
        <w:tc>
          <w:tcPr>
            <w:tcW w:w="2938" w:type="dxa"/>
            <w:vAlign w:val="center"/>
          </w:tcPr>
          <w:p w14:paraId="10C16F26">
            <w:pPr>
              <w:pStyle w:val="45"/>
              <w:rPr>
                <w:rFonts w:hint="eastAsia"/>
              </w:rPr>
            </w:pPr>
            <w:r>
              <w:rPr>
                <w:rFonts w:hint="eastAsia"/>
              </w:rPr>
              <w:t>G</w:t>
            </w:r>
            <w:r>
              <w:t>B50016</w:t>
            </w:r>
            <w:r>
              <w:rPr>
                <w:rFonts w:hint="eastAsia"/>
              </w:rPr>
              <w:t>-</w:t>
            </w:r>
            <w:r>
              <w:t>2014</w:t>
            </w:r>
          </w:p>
        </w:tc>
      </w:tr>
      <w:tr w14:paraId="1C137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75B99B41">
            <w:pPr>
              <w:pStyle w:val="45"/>
              <w:rPr>
                <w:rFonts w:hint="eastAsia"/>
              </w:rPr>
            </w:pPr>
            <w:r>
              <w:rPr>
                <w:rFonts w:hint="eastAsia"/>
              </w:rPr>
              <w:t>5</w:t>
            </w:r>
          </w:p>
        </w:tc>
        <w:tc>
          <w:tcPr>
            <w:tcW w:w="5017" w:type="dxa"/>
            <w:vAlign w:val="center"/>
          </w:tcPr>
          <w:p w14:paraId="6C85FCA1">
            <w:pPr>
              <w:pStyle w:val="45"/>
              <w:rPr>
                <w:rFonts w:hint="eastAsia"/>
              </w:rPr>
            </w:pPr>
            <w:r>
              <w:rPr>
                <w:rFonts w:hint="eastAsia"/>
              </w:rPr>
              <w:t>《工业建筑供暖通风与空气调节设计规范》</w:t>
            </w:r>
          </w:p>
        </w:tc>
        <w:tc>
          <w:tcPr>
            <w:tcW w:w="2938" w:type="dxa"/>
            <w:vAlign w:val="center"/>
          </w:tcPr>
          <w:p w14:paraId="6B399B9B">
            <w:pPr>
              <w:pStyle w:val="45"/>
              <w:rPr>
                <w:rFonts w:hint="eastAsia"/>
              </w:rPr>
            </w:pPr>
            <w:r>
              <w:rPr>
                <w:rFonts w:hint="eastAsia"/>
              </w:rPr>
              <w:t>G</w:t>
            </w:r>
            <w:r>
              <w:t>B50019-2015</w:t>
            </w:r>
          </w:p>
        </w:tc>
      </w:tr>
      <w:tr w14:paraId="5CBA6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30F761B9">
            <w:pPr>
              <w:pStyle w:val="45"/>
              <w:rPr>
                <w:rFonts w:hint="eastAsia"/>
              </w:rPr>
            </w:pPr>
            <w:r>
              <w:rPr>
                <w:rFonts w:hint="eastAsia"/>
              </w:rPr>
              <w:t>6</w:t>
            </w:r>
          </w:p>
        </w:tc>
        <w:tc>
          <w:tcPr>
            <w:tcW w:w="5017" w:type="dxa"/>
            <w:vAlign w:val="center"/>
          </w:tcPr>
          <w:p w14:paraId="1D6CBE97">
            <w:pPr>
              <w:pStyle w:val="45"/>
              <w:rPr>
                <w:rFonts w:hint="eastAsia"/>
              </w:rPr>
            </w:pPr>
            <w:r>
              <w:t>《工程测量规范》</w:t>
            </w:r>
          </w:p>
        </w:tc>
        <w:tc>
          <w:tcPr>
            <w:tcW w:w="2938" w:type="dxa"/>
            <w:vAlign w:val="center"/>
          </w:tcPr>
          <w:p w14:paraId="6FD86C29">
            <w:pPr>
              <w:pStyle w:val="45"/>
              <w:rPr>
                <w:rFonts w:hint="eastAsia"/>
              </w:rPr>
            </w:pPr>
            <w:r>
              <w:t>GB50026-2007</w:t>
            </w:r>
          </w:p>
        </w:tc>
      </w:tr>
      <w:tr w14:paraId="14DB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7545AC96">
            <w:pPr>
              <w:pStyle w:val="45"/>
              <w:rPr>
                <w:rFonts w:hint="eastAsia"/>
              </w:rPr>
            </w:pPr>
            <w:r>
              <w:rPr>
                <w:rFonts w:hint="eastAsia"/>
              </w:rPr>
              <w:t>7</w:t>
            </w:r>
          </w:p>
        </w:tc>
        <w:tc>
          <w:tcPr>
            <w:tcW w:w="5017" w:type="dxa"/>
            <w:vAlign w:val="center"/>
          </w:tcPr>
          <w:p w14:paraId="0CFAF786">
            <w:pPr>
              <w:pStyle w:val="45"/>
              <w:rPr>
                <w:rFonts w:hint="eastAsia"/>
              </w:rPr>
            </w:pPr>
            <w:r>
              <w:t>《建筑物防雷设计规范》</w:t>
            </w:r>
          </w:p>
        </w:tc>
        <w:tc>
          <w:tcPr>
            <w:tcW w:w="2938" w:type="dxa"/>
            <w:vAlign w:val="center"/>
          </w:tcPr>
          <w:p w14:paraId="12F67B11">
            <w:pPr>
              <w:pStyle w:val="45"/>
              <w:rPr>
                <w:rFonts w:hint="eastAsia"/>
              </w:rPr>
            </w:pPr>
            <w:r>
              <w:t>GB50057-2010</w:t>
            </w:r>
          </w:p>
        </w:tc>
      </w:tr>
      <w:tr w14:paraId="35F0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5596316">
            <w:pPr>
              <w:pStyle w:val="45"/>
              <w:rPr>
                <w:rFonts w:hint="eastAsia"/>
              </w:rPr>
            </w:pPr>
            <w:r>
              <w:rPr>
                <w:rFonts w:hint="eastAsia"/>
              </w:rPr>
              <w:t>8</w:t>
            </w:r>
          </w:p>
        </w:tc>
        <w:tc>
          <w:tcPr>
            <w:tcW w:w="5017" w:type="dxa"/>
            <w:vAlign w:val="center"/>
          </w:tcPr>
          <w:p w14:paraId="613B357B">
            <w:pPr>
              <w:pStyle w:val="45"/>
              <w:rPr>
                <w:rFonts w:hint="eastAsia"/>
              </w:rPr>
            </w:pPr>
            <w:r>
              <w:t>《普通混凝土力学性能试验方法标准》</w:t>
            </w:r>
          </w:p>
        </w:tc>
        <w:tc>
          <w:tcPr>
            <w:tcW w:w="2938" w:type="dxa"/>
            <w:vAlign w:val="center"/>
          </w:tcPr>
          <w:p w14:paraId="377F9E81">
            <w:pPr>
              <w:pStyle w:val="45"/>
              <w:rPr>
                <w:rFonts w:hint="eastAsia"/>
              </w:rPr>
            </w:pPr>
            <w:r>
              <w:t>GB/T50081-2019</w:t>
            </w:r>
          </w:p>
        </w:tc>
      </w:tr>
      <w:tr w14:paraId="1659D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77D4678">
            <w:pPr>
              <w:pStyle w:val="45"/>
              <w:rPr>
                <w:rFonts w:hint="eastAsia"/>
              </w:rPr>
            </w:pPr>
            <w:r>
              <w:rPr>
                <w:rFonts w:hint="eastAsia"/>
              </w:rPr>
              <w:t>9</w:t>
            </w:r>
          </w:p>
        </w:tc>
        <w:tc>
          <w:tcPr>
            <w:tcW w:w="5017" w:type="dxa"/>
            <w:vAlign w:val="center"/>
          </w:tcPr>
          <w:p w14:paraId="4C0553FE">
            <w:pPr>
              <w:pStyle w:val="45"/>
              <w:rPr>
                <w:rFonts w:hint="eastAsia"/>
              </w:rPr>
            </w:pPr>
            <w:r>
              <w:t>《普通混凝土长期性能和耐久性能试验方法标准》</w:t>
            </w:r>
          </w:p>
        </w:tc>
        <w:tc>
          <w:tcPr>
            <w:tcW w:w="2938" w:type="dxa"/>
            <w:vAlign w:val="center"/>
          </w:tcPr>
          <w:p w14:paraId="03740E6B">
            <w:pPr>
              <w:pStyle w:val="45"/>
              <w:rPr>
                <w:rFonts w:hint="eastAsia"/>
              </w:rPr>
            </w:pPr>
            <w:r>
              <w:t>GB/T50082-2009</w:t>
            </w:r>
          </w:p>
        </w:tc>
      </w:tr>
      <w:tr w14:paraId="1CB5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0548195">
            <w:pPr>
              <w:pStyle w:val="45"/>
              <w:rPr>
                <w:rFonts w:hint="eastAsia"/>
              </w:rPr>
            </w:pPr>
            <w:r>
              <w:rPr>
                <w:rFonts w:hint="eastAsia"/>
              </w:rPr>
              <w:t>1</w:t>
            </w:r>
            <w:r>
              <w:t>0</w:t>
            </w:r>
          </w:p>
        </w:tc>
        <w:tc>
          <w:tcPr>
            <w:tcW w:w="5017" w:type="dxa"/>
            <w:vAlign w:val="center"/>
          </w:tcPr>
          <w:p w14:paraId="14FBF1DF">
            <w:pPr>
              <w:pStyle w:val="45"/>
              <w:rPr>
                <w:rFonts w:hint="eastAsia"/>
              </w:rPr>
            </w:pPr>
            <w:r>
              <w:t>《地下工程防水技术规范》</w:t>
            </w:r>
          </w:p>
        </w:tc>
        <w:tc>
          <w:tcPr>
            <w:tcW w:w="2938" w:type="dxa"/>
            <w:vAlign w:val="center"/>
          </w:tcPr>
          <w:p w14:paraId="207AA918">
            <w:pPr>
              <w:pStyle w:val="45"/>
              <w:rPr>
                <w:rFonts w:hint="eastAsia"/>
              </w:rPr>
            </w:pPr>
            <w:r>
              <w:t>GB50108-2008</w:t>
            </w:r>
          </w:p>
        </w:tc>
      </w:tr>
      <w:tr w14:paraId="440A3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01363E85">
            <w:pPr>
              <w:pStyle w:val="45"/>
              <w:rPr>
                <w:rFonts w:hint="eastAsia"/>
              </w:rPr>
            </w:pPr>
            <w:r>
              <w:rPr>
                <w:rFonts w:hint="eastAsia"/>
              </w:rPr>
              <w:t>1</w:t>
            </w:r>
            <w:r>
              <w:t>1</w:t>
            </w:r>
          </w:p>
        </w:tc>
        <w:tc>
          <w:tcPr>
            <w:tcW w:w="5017" w:type="dxa"/>
            <w:vAlign w:val="center"/>
          </w:tcPr>
          <w:p w14:paraId="1909368E">
            <w:pPr>
              <w:pStyle w:val="45"/>
              <w:rPr>
                <w:rFonts w:hint="eastAsia"/>
              </w:rPr>
            </w:pPr>
            <w:r>
              <w:t>《混凝土外加剂应用技术规范》</w:t>
            </w:r>
          </w:p>
        </w:tc>
        <w:tc>
          <w:tcPr>
            <w:tcW w:w="2938" w:type="dxa"/>
            <w:vAlign w:val="center"/>
          </w:tcPr>
          <w:p w14:paraId="117EAEF2">
            <w:pPr>
              <w:pStyle w:val="45"/>
              <w:rPr>
                <w:rFonts w:hint="eastAsia"/>
              </w:rPr>
            </w:pPr>
            <w:r>
              <w:t>GB50119-2013</w:t>
            </w:r>
          </w:p>
        </w:tc>
      </w:tr>
      <w:tr w14:paraId="66101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6358EA8">
            <w:pPr>
              <w:pStyle w:val="45"/>
              <w:rPr>
                <w:rFonts w:hint="eastAsia"/>
              </w:rPr>
            </w:pPr>
            <w:r>
              <w:rPr>
                <w:rFonts w:hint="eastAsia"/>
              </w:rPr>
              <w:t>1</w:t>
            </w:r>
            <w:r>
              <w:t>2</w:t>
            </w:r>
          </w:p>
        </w:tc>
        <w:tc>
          <w:tcPr>
            <w:tcW w:w="5017" w:type="dxa"/>
            <w:vAlign w:val="center"/>
          </w:tcPr>
          <w:p w14:paraId="5FAEB260">
            <w:pPr>
              <w:pStyle w:val="45"/>
              <w:rPr>
                <w:rFonts w:hint="eastAsia"/>
              </w:rPr>
            </w:pPr>
            <w:r>
              <w:t>《建设工程施工现场供用电安全规范》</w:t>
            </w:r>
          </w:p>
        </w:tc>
        <w:tc>
          <w:tcPr>
            <w:tcW w:w="2938" w:type="dxa"/>
            <w:vAlign w:val="center"/>
          </w:tcPr>
          <w:p w14:paraId="4BFDE391">
            <w:pPr>
              <w:pStyle w:val="45"/>
              <w:rPr>
                <w:rFonts w:hint="eastAsia"/>
              </w:rPr>
            </w:pPr>
            <w:r>
              <w:t>GB50194-2014</w:t>
            </w:r>
          </w:p>
        </w:tc>
      </w:tr>
      <w:tr w14:paraId="1373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17F6E27">
            <w:pPr>
              <w:pStyle w:val="45"/>
              <w:rPr>
                <w:rFonts w:hint="eastAsia"/>
              </w:rPr>
            </w:pPr>
            <w:r>
              <w:rPr>
                <w:rFonts w:hint="eastAsia"/>
              </w:rPr>
              <w:t>1</w:t>
            </w:r>
            <w:r>
              <w:t>3</w:t>
            </w:r>
          </w:p>
        </w:tc>
        <w:tc>
          <w:tcPr>
            <w:tcW w:w="5017" w:type="dxa"/>
            <w:vAlign w:val="center"/>
          </w:tcPr>
          <w:p w14:paraId="60B18CA8">
            <w:pPr>
              <w:pStyle w:val="45"/>
              <w:rPr>
                <w:rFonts w:hint="eastAsia"/>
              </w:rPr>
            </w:pPr>
            <w:r>
              <w:t>《建筑地基基础工程施工质量验收规范》</w:t>
            </w:r>
          </w:p>
        </w:tc>
        <w:tc>
          <w:tcPr>
            <w:tcW w:w="2938" w:type="dxa"/>
            <w:vAlign w:val="center"/>
          </w:tcPr>
          <w:p w14:paraId="166DF59B">
            <w:pPr>
              <w:pStyle w:val="45"/>
              <w:rPr>
                <w:rFonts w:hint="eastAsia"/>
              </w:rPr>
            </w:pPr>
            <w:r>
              <w:t>GB50202-2018</w:t>
            </w:r>
          </w:p>
        </w:tc>
      </w:tr>
      <w:tr w14:paraId="5A22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2BEB9A1">
            <w:pPr>
              <w:pStyle w:val="45"/>
              <w:rPr>
                <w:rFonts w:hint="eastAsia"/>
              </w:rPr>
            </w:pPr>
            <w:r>
              <w:rPr>
                <w:rFonts w:hint="eastAsia"/>
              </w:rPr>
              <w:t>1</w:t>
            </w:r>
            <w:r>
              <w:t>4</w:t>
            </w:r>
          </w:p>
        </w:tc>
        <w:tc>
          <w:tcPr>
            <w:tcW w:w="5017" w:type="dxa"/>
            <w:vAlign w:val="center"/>
          </w:tcPr>
          <w:p w14:paraId="49E434A6">
            <w:pPr>
              <w:pStyle w:val="45"/>
              <w:rPr>
                <w:rFonts w:hint="eastAsia"/>
              </w:rPr>
            </w:pPr>
            <w:r>
              <w:t>《砌体结构工程施工质量验收规范》</w:t>
            </w:r>
          </w:p>
        </w:tc>
        <w:tc>
          <w:tcPr>
            <w:tcW w:w="2938" w:type="dxa"/>
            <w:vAlign w:val="center"/>
          </w:tcPr>
          <w:p w14:paraId="52C49201">
            <w:pPr>
              <w:pStyle w:val="45"/>
              <w:rPr>
                <w:rFonts w:hint="eastAsia"/>
              </w:rPr>
            </w:pPr>
            <w:r>
              <w:t>GB50203-2011</w:t>
            </w:r>
          </w:p>
        </w:tc>
      </w:tr>
      <w:tr w14:paraId="72F5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90206A3">
            <w:pPr>
              <w:pStyle w:val="45"/>
              <w:rPr>
                <w:rFonts w:hint="eastAsia"/>
              </w:rPr>
            </w:pPr>
            <w:r>
              <w:rPr>
                <w:rFonts w:hint="eastAsia"/>
              </w:rPr>
              <w:t>1</w:t>
            </w:r>
            <w:r>
              <w:t>5</w:t>
            </w:r>
          </w:p>
        </w:tc>
        <w:tc>
          <w:tcPr>
            <w:tcW w:w="5017" w:type="dxa"/>
            <w:vAlign w:val="center"/>
          </w:tcPr>
          <w:p w14:paraId="0DC5797A">
            <w:pPr>
              <w:pStyle w:val="45"/>
              <w:rPr>
                <w:rFonts w:hint="eastAsia"/>
              </w:rPr>
            </w:pPr>
            <w:r>
              <w:t>《混凝土结构工程施工质量验收规范》</w:t>
            </w:r>
          </w:p>
        </w:tc>
        <w:tc>
          <w:tcPr>
            <w:tcW w:w="2938" w:type="dxa"/>
            <w:vAlign w:val="center"/>
          </w:tcPr>
          <w:p w14:paraId="6BD20420">
            <w:pPr>
              <w:pStyle w:val="45"/>
              <w:rPr>
                <w:rFonts w:hint="eastAsia"/>
              </w:rPr>
            </w:pPr>
            <w:r>
              <w:t>GB50204-2015</w:t>
            </w:r>
          </w:p>
        </w:tc>
      </w:tr>
      <w:tr w14:paraId="378B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39BF0D6">
            <w:pPr>
              <w:pStyle w:val="45"/>
              <w:rPr>
                <w:rFonts w:hint="eastAsia"/>
              </w:rPr>
            </w:pPr>
            <w:r>
              <w:rPr>
                <w:rFonts w:hint="eastAsia"/>
              </w:rPr>
              <w:t>1</w:t>
            </w:r>
            <w:r>
              <w:t>6</w:t>
            </w:r>
          </w:p>
        </w:tc>
        <w:tc>
          <w:tcPr>
            <w:tcW w:w="5017" w:type="dxa"/>
            <w:vAlign w:val="center"/>
          </w:tcPr>
          <w:p w14:paraId="507323F9">
            <w:pPr>
              <w:pStyle w:val="45"/>
              <w:rPr>
                <w:rFonts w:hint="eastAsia"/>
              </w:rPr>
            </w:pPr>
            <w:r>
              <w:t>《屋面工程质量验收规范》</w:t>
            </w:r>
          </w:p>
        </w:tc>
        <w:tc>
          <w:tcPr>
            <w:tcW w:w="2938" w:type="dxa"/>
            <w:vAlign w:val="center"/>
          </w:tcPr>
          <w:p w14:paraId="6C37E650">
            <w:pPr>
              <w:pStyle w:val="45"/>
              <w:rPr>
                <w:rFonts w:hint="eastAsia"/>
              </w:rPr>
            </w:pPr>
            <w:r>
              <w:t>GB50207-2012</w:t>
            </w:r>
          </w:p>
        </w:tc>
      </w:tr>
      <w:tr w14:paraId="7A432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7F2B444B">
            <w:pPr>
              <w:pStyle w:val="45"/>
              <w:rPr>
                <w:rFonts w:hint="eastAsia"/>
              </w:rPr>
            </w:pPr>
            <w:r>
              <w:rPr>
                <w:rFonts w:hint="eastAsia"/>
              </w:rPr>
              <w:t>1</w:t>
            </w:r>
            <w:r>
              <w:t>7</w:t>
            </w:r>
          </w:p>
        </w:tc>
        <w:tc>
          <w:tcPr>
            <w:tcW w:w="5017" w:type="dxa"/>
            <w:vAlign w:val="center"/>
          </w:tcPr>
          <w:p w14:paraId="39E7DF8B">
            <w:pPr>
              <w:pStyle w:val="45"/>
              <w:rPr>
                <w:rFonts w:hint="eastAsia"/>
              </w:rPr>
            </w:pPr>
            <w:r>
              <w:t>《地下防水工程质量验收规范》</w:t>
            </w:r>
          </w:p>
        </w:tc>
        <w:tc>
          <w:tcPr>
            <w:tcW w:w="2938" w:type="dxa"/>
            <w:vAlign w:val="center"/>
          </w:tcPr>
          <w:p w14:paraId="0F77995D">
            <w:pPr>
              <w:pStyle w:val="45"/>
              <w:rPr>
                <w:rFonts w:hint="eastAsia"/>
              </w:rPr>
            </w:pPr>
            <w:r>
              <w:t>GB50208-2011</w:t>
            </w:r>
          </w:p>
        </w:tc>
      </w:tr>
      <w:tr w14:paraId="624FF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7DE0EA62">
            <w:pPr>
              <w:pStyle w:val="45"/>
              <w:rPr>
                <w:rFonts w:hint="eastAsia"/>
              </w:rPr>
            </w:pPr>
            <w:r>
              <w:rPr>
                <w:rFonts w:hint="eastAsia"/>
              </w:rPr>
              <w:t>1</w:t>
            </w:r>
            <w:r>
              <w:t>8</w:t>
            </w:r>
          </w:p>
        </w:tc>
        <w:tc>
          <w:tcPr>
            <w:tcW w:w="5017" w:type="dxa"/>
            <w:vAlign w:val="center"/>
          </w:tcPr>
          <w:p w14:paraId="388CA178">
            <w:pPr>
              <w:pStyle w:val="45"/>
              <w:rPr>
                <w:rFonts w:hint="eastAsia"/>
              </w:rPr>
            </w:pPr>
            <w:r>
              <w:t>《建筑地面工程施工质量验收规范》</w:t>
            </w:r>
          </w:p>
        </w:tc>
        <w:tc>
          <w:tcPr>
            <w:tcW w:w="2938" w:type="dxa"/>
            <w:vAlign w:val="center"/>
          </w:tcPr>
          <w:p w14:paraId="061B59C8">
            <w:pPr>
              <w:pStyle w:val="45"/>
              <w:rPr>
                <w:rFonts w:hint="eastAsia"/>
              </w:rPr>
            </w:pPr>
            <w:r>
              <w:t>GB50209-2010</w:t>
            </w:r>
          </w:p>
        </w:tc>
      </w:tr>
      <w:tr w14:paraId="02C86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2FE9C250">
            <w:pPr>
              <w:pStyle w:val="45"/>
              <w:rPr>
                <w:rFonts w:hint="eastAsia"/>
              </w:rPr>
            </w:pPr>
            <w:r>
              <w:rPr>
                <w:rFonts w:hint="eastAsia"/>
              </w:rPr>
              <w:t>1</w:t>
            </w:r>
            <w:r>
              <w:t>9</w:t>
            </w:r>
          </w:p>
        </w:tc>
        <w:tc>
          <w:tcPr>
            <w:tcW w:w="5017" w:type="dxa"/>
            <w:vAlign w:val="center"/>
          </w:tcPr>
          <w:p w14:paraId="35D043A4">
            <w:pPr>
              <w:pStyle w:val="45"/>
              <w:rPr>
                <w:rFonts w:hint="eastAsia"/>
              </w:rPr>
            </w:pPr>
            <w:r>
              <w:rPr>
                <w:rFonts w:hint="eastAsia"/>
              </w:rPr>
              <w:t>《建筑装饰装修工程质量验收标准》</w:t>
            </w:r>
          </w:p>
        </w:tc>
        <w:tc>
          <w:tcPr>
            <w:tcW w:w="2938" w:type="dxa"/>
            <w:vAlign w:val="center"/>
          </w:tcPr>
          <w:p w14:paraId="11BFB67C">
            <w:pPr>
              <w:pStyle w:val="45"/>
              <w:rPr>
                <w:rFonts w:hint="eastAsia"/>
              </w:rPr>
            </w:pPr>
            <w:r>
              <w:t>GB50210-2018</w:t>
            </w:r>
          </w:p>
        </w:tc>
      </w:tr>
      <w:tr w14:paraId="35033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D14D439">
            <w:pPr>
              <w:pStyle w:val="45"/>
              <w:rPr>
                <w:rFonts w:hint="eastAsia"/>
              </w:rPr>
            </w:pPr>
            <w:r>
              <w:t>20</w:t>
            </w:r>
          </w:p>
        </w:tc>
        <w:tc>
          <w:tcPr>
            <w:tcW w:w="5017" w:type="dxa"/>
            <w:vAlign w:val="center"/>
          </w:tcPr>
          <w:p w14:paraId="031E63FB">
            <w:pPr>
              <w:pStyle w:val="45"/>
              <w:rPr>
                <w:rFonts w:hint="eastAsia"/>
              </w:rPr>
            </w:pPr>
            <w:r>
              <w:t>《建筑防腐蚀工程施工规范》</w:t>
            </w:r>
          </w:p>
        </w:tc>
        <w:tc>
          <w:tcPr>
            <w:tcW w:w="2938" w:type="dxa"/>
            <w:vAlign w:val="center"/>
          </w:tcPr>
          <w:p w14:paraId="3FEE536C">
            <w:pPr>
              <w:pStyle w:val="45"/>
              <w:rPr>
                <w:rFonts w:hint="eastAsia"/>
              </w:rPr>
            </w:pPr>
            <w:r>
              <w:t>GB50212-2014</w:t>
            </w:r>
          </w:p>
        </w:tc>
      </w:tr>
      <w:tr w14:paraId="02AD9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8189D67">
            <w:pPr>
              <w:pStyle w:val="45"/>
              <w:rPr>
                <w:rFonts w:hint="eastAsia"/>
              </w:rPr>
            </w:pPr>
            <w:r>
              <w:rPr>
                <w:rFonts w:hint="eastAsia"/>
              </w:rPr>
              <w:t>2</w:t>
            </w:r>
            <w:r>
              <w:t>1</w:t>
            </w:r>
          </w:p>
        </w:tc>
        <w:tc>
          <w:tcPr>
            <w:tcW w:w="5017" w:type="dxa"/>
            <w:vAlign w:val="center"/>
          </w:tcPr>
          <w:p w14:paraId="435B5208">
            <w:pPr>
              <w:pStyle w:val="45"/>
              <w:rPr>
                <w:rFonts w:hint="eastAsia"/>
              </w:rPr>
            </w:pPr>
            <w:r>
              <w:rPr>
                <w:rFonts w:hint="eastAsia"/>
              </w:rPr>
              <w:t>《建筑内部装修设计防火规范》</w:t>
            </w:r>
          </w:p>
        </w:tc>
        <w:tc>
          <w:tcPr>
            <w:tcW w:w="2938" w:type="dxa"/>
            <w:vAlign w:val="center"/>
          </w:tcPr>
          <w:p w14:paraId="2166E00A">
            <w:pPr>
              <w:pStyle w:val="45"/>
              <w:rPr>
                <w:rFonts w:hint="eastAsia"/>
              </w:rPr>
            </w:pPr>
            <w:r>
              <w:t>GB50222-2017</w:t>
            </w:r>
          </w:p>
        </w:tc>
      </w:tr>
      <w:tr w14:paraId="5911E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9BA7648">
            <w:pPr>
              <w:pStyle w:val="45"/>
              <w:rPr>
                <w:rFonts w:hint="eastAsia"/>
              </w:rPr>
            </w:pPr>
            <w:r>
              <w:rPr>
                <w:rFonts w:hint="eastAsia"/>
              </w:rPr>
              <w:t>2</w:t>
            </w:r>
            <w:r>
              <w:t>2</w:t>
            </w:r>
          </w:p>
        </w:tc>
        <w:tc>
          <w:tcPr>
            <w:tcW w:w="5017" w:type="dxa"/>
            <w:vAlign w:val="center"/>
          </w:tcPr>
          <w:p w14:paraId="61587E79">
            <w:pPr>
              <w:pStyle w:val="45"/>
              <w:rPr>
                <w:rFonts w:hint="eastAsia"/>
              </w:rPr>
            </w:pPr>
            <w:r>
              <w:t>《建筑防腐蚀工程施工质量验收规范》</w:t>
            </w:r>
          </w:p>
        </w:tc>
        <w:tc>
          <w:tcPr>
            <w:tcW w:w="2938" w:type="dxa"/>
            <w:vAlign w:val="center"/>
          </w:tcPr>
          <w:p w14:paraId="1AF8E264">
            <w:pPr>
              <w:pStyle w:val="45"/>
              <w:rPr>
                <w:rFonts w:hint="eastAsia"/>
              </w:rPr>
            </w:pPr>
            <w:r>
              <w:t>GB50224-2018</w:t>
            </w:r>
          </w:p>
        </w:tc>
      </w:tr>
      <w:tr w14:paraId="0E64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1F12407D">
            <w:pPr>
              <w:pStyle w:val="45"/>
              <w:rPr>
                <w:rFonts w:hint="eastAsia"/>
              </w:rPr>
            </w:pPr>
            <w:r>
              <w:rPr>
                <w:rFonts w:hint="eastAsia"/>
              </w:rPr>
              <w:t>2</w:t>
            </w:r>
            <w:r>
              <w:t>3</w:t>
            </w:r>
          </w:p>
        </w:tc>
        <w:tc>
          <w:tcPr>
            <w:tcW w:w="5017" w:type="dxa"/>
            <w:vAlign w:val="center"/>
          </w:tcPr>
          <w:p w14:paraId="1A40ACCA">
            <w:pPr>
              <w:pStyle w:val="45"/>
              <w:rPr>
                <w:rFonts w:hint="eastAsia"/>
              </w:rPr>
            </w:pPr>
            <w:r>
              <w:rPr>
                <w:rFonts w:hint="eastAsia"/>
              </w:rPr>
              <w:t>《机械设备安装工程施工及验收通用规范》</w:t>
            </w:r>
          </w:p>
        </w:tc>
        <w:tc>
          <w:tcPr>
            <w:tcW w:w="2938" w:type="dxa"/>
            <w:vAlign w:val="center"/>
          </w:tcPr>
          <w:p w14:paraId="3E318FC2">
            <w:pPr>
              <w:pStyle w:val="45"/>
              <w:rPr>
                <w:rFonts w:hint="eastAsia"/>
              </w:rPr>
            </w:pPr>
            <w:r>
              <w:t>GB50231-2009</w:t>
            </w:r>
          </w:p>
        </w:tc>
      </w:tr>
      <w:tr w14:paraId="13E68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4ED2385B">
            <w:pPr>
              <w:pStyle w:val="45"/>
              <w:rPr>
                <w:rFonts w:hint="eastAsia"/>
              </w:rPr>
            </w:pPr>
            <w:r>
              <w:rPr>
                <w:rFonts w:hint="eastAsia"/>
              </w:rPr>
              <w:t>2</w:t>
            </w:r>
            <w:r>
              <w:t>4</w:t>
            </w:r>
          </w:p>
        </w:tc>
        <w:tc>
          <w:tcPr>
            <w:tcW w:w="5017" w:type="dxa"/>
            <w:vAlign w:val="center"/>
          </w:tcPr>
          <w:p w14:paraId="71C8DCB0">
            <w:pPr>
              <w:pStyle w:val="45"/>
              <w:rPr>
                <w:rFonts w:hint="eastAsia"/>
              </w:rPr>
            </w:pPr>
            <w:r>
              <w:rPr>
                <w:rFonts w:hint="eastAsia"/>
              </w:rPr>
              <w:t>《建筑给水排水及采暖工程施工质量验收规范》</w:t>
            </w:r>
          </w:p>
        </w:tc>
        <w:tc>
          <w:tcPr>
            <w:tcW w:w="2938" w:type="dxa"/>
            <w:vAlign w:val="center"/>
          </w:tcPr>
          <w:p w14:paraId="41C73FC7">
            <w:pPr>
              <w:pStyle w:val="45"/>
              <w:rPr>
                <w:rFonts w:hint="eastAsia"/>
              </w:rPr>
            </w:pPr>
            <w:r>
              <w:t>GB50242-2002</w:t>
            </w:r>
          </w:p>
        </w:tc>
      </w:tr>
      <w:tr w14:paraId="6698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0E0568ED">
            <w:pPr>
              <w:pStyle w:val="45"/>
              <w:rPr>
                <w:rFonts w:hint="eastAsia"/>
              </w:rPr>
            </w:pPr>
            <w:r>
              <w:rPr>
                <w:rFonts w:hint="eastAsia"/>
              </w:rPr>
              <w:t>2</w:t>
            </w:r>
            <w:r>
              <w:t>5</w:t>
            </w:r>
          </w:p>
        </w:tc>
        <w:tc>
          <w:tcPr>
            <w:tcW w:w="5017" w:type="dxa"/>
            <w:vAlign w:val="center"/>
          </w:tcPr>
          <w:p w14:paraId="0096FAA2">
            <w:pPr>
              <w:pStyle w:val="45"/>
              <w:rPr>
                <w:rFonts w:hint="eastAsia"/>
              </w:rPr>
            </w:pPr>
            <w:r>
              <w:rPr>
                <w:rFonts w:hint="eastAsia"/>
              </w:rPr>
              <w:t>《通风与空调工程施工质量验收规范》</w:t>
            </w:r>
          </w:p>
        </w:tc>
        <w:tc>
          <w:tcPr>
            <w:tcW w:w="2938" w:type="dxa"/>
            <w:vAlign w:val="center"/>
          </w:tcPr>
          <w:p w14:paraId="3B19C49C">
            <w:pPr>
              <w:pStyle w:val="45"/>
              <w:rPr>
                <w:rFonts w:hint="eastAsia"/>
              </w:rPr>
            </w:pPr>
            <w:r>
              <w:t>GB50243-2016</w:t>
            </w:r>
          </w:p>
        </w:tc>
      </w:tr>
      <w:tr w14:paraId="12DAD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01476F8F">
            <w:pPr>
              <w:pStyle w:val="45"/>
              <w:rPr>
                <w:rFonts w:hint="eastAsia"/>
              </w:rPr>
            </w:pPr>
            <w:r>
              <w:rPr>
                <w:rFonts w:hint="eastAsia"/>
              </w:rPr>
              <w:t>2</w:t>
            </w:r>
            <w:r>
              <w:t>6</w:t>
            </w:r>
          </w:p>
        </w:tc>
        <w:tc>
          <w:tcPr>
            <w:tcW w:w="5017" w:type="dxa"/>
            <w:vAlign w:val="center"/>
          </w:tcPr>
          <w:p w14:paraId="2C8F6092">
            <w:pPr>
              <w:pStyle w:val="45"/>
              <w:rPr>
                <w:rFonts w:hint="eastAsia"/>
              </w:rPr>
            </w:pPr>
            <w:r>
              <w:rPr>
                <w:rFonts w:hint="eastAsia"/>
              </w:rPr>
              <w:t>《电气装置安装工程低压电器施工及验收规范》</w:t>
            </w:r>
          </w:p>
        </w:tc>
        <w:tc>
          <w:tcPr>
            <w:tcW w:w="2938" w:type="dxa"/>
            <w:vAlign w:val="center"/>
          </w:tcPr>
          <w:p w14:paraId="13788D8C">
            <w:pPr>
              <w:pStyle w:val="45"/>
              <w:rPr>
                <w:rFonts w:hint="eastAsia"/>
              </w:rPr>
            </w:pPr>
            <w:r>
              <w:t>GB50254-2014</w:t>
            </w:r>
          </w:p>
        </w:tc>
      </w:tr>
      <w:tr w14:paraId="7E06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7180E024">
            <w:pPr>
              <w:pStyle w:val="45"/>
              <w:rPr>
                <w:rFonts w:hint="eastAsia"/>
              </w:rPr>
            </w:pPr>
            <w:r>
              <w:rPr>
                <w:rFonts w:hint="eastAsia"/>
              </w:rPr>
              <w:t>2</w:t>
            </w:r>
            <w:r>
              <w:t>7</w:t>
            </w:r>
          </w:p>
        </w:tc>
        <w:tc>
          <w:tcPr>
            <w:tcW w:w="5017" w:type="dxa"/>
            <w:vAlign w:val="center"/>
          </w:tcPr>
          <w:p w14:paraId="7823C41E">
            <w:pPr>
              <w:pStyle w:val="45"/>
              <w:rPr>
                <w:rFonts w:hint="eastAsia"/>
              </w:rPr>
            </w:pPr>
            <w:r>
              <w:rPr>
                <w:rFonts w:hint="eastAsia"/>
              </w:rPr>
              <w:t>《电气装置安装工程电力变流设备施工及验收规范》</w:t>
            </w:r>
          </w:p>
        </w:tc>
        <w:tc>
          <w:tcPr>
            <w:tcW w:w="2938" w:type="dxa"/>
            <w:vAlign w:val="center"/>
          </w:tcPr>
          <w:p w14:paraId="0F279EE0">
            <w:pPr>
              <w:pStyle w:val="45"/>
              <w:rPr>
                <w:rFonts w:hint="eastAsia"/>
              </w:rPr>
            </w:pPr>
            <w:r>
              <w:t>GB50255-2014</w:t>
            </w:r>
          </w:p>
        </w:tc>
      </w:tr>
      <w:tr w14:paraId="0D16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F5F8FAE">
            <w:pPr>
              <w:pStyle w:val="45"/>
              <w:rPr>
                <w:rFonts w:hint="eastAsia"/>
              </w:rPr>
            </w:pPr>
            <w:r>
              <w:rPr>
                <w:rFonts w:hint="eastAsia"/>
              </w:rPr>
              <w:t>2</w:t>
            </w:r>
            <w:r>
              <w:t>8</w:t>
            </w:r>
          </w:p>
        </w:tc>
        <w:tc>
          <w:tcPr>
            <w:tcW w:w="5017" w:type="dxa"/>
            <w:vAlign w:val="center"/>
          </w:tcPr>
          <w:p w14:paraId="7017DE40">
            <w:pPr>
              <w:pStyle w:val="45"/>
              <w:rPr>
                <w:rFonts w:hint="eastAsia"/>
              </w:rPr>
            </w:pPr>
            <w:r>
              <w:t>《建筑工程施工质量验收统一标准》</w:t>
            </w:r>
          </w:p>
        </w:tc>
        <w:tc>
          <w:tcPr>
            <w:tcW w:w="2938" w:type="dxa"/>
            <w:vAlign w:val="center"/>
          </w:tcPr>
          <w:p w14:paraId="5EB6277F">
            <w:pPr>
              <w:pStyle w:val="45"/>
              <w:rPr>
                <w:rFonts w:hint="eastAsia"/>
              </w:rPr>
            </w:pPr>
            <w:r>
              <w:t>GB50300-2013</w:t>
            </w:r>
          </w:p>
        </w:tc>
      </w:tr>
      <w:tr w14:paraId="4A43248C">
        <w:tblPrEx>
          <w:tblCellMar>
            <w:top w:w="28" w:type="dxa"/>
            <w:left w:w="28" w:type="dxa"/>
            <w:bottom w:w="28" w:type="dxa"/>
            <w:right w:w="28" w:type="dxa"/>
          </w:tblCellMar>
        </w:tblPrEx>
        <w:trPr>
          <w:trHeight w:val="454" w:hRule="atLeast"/>
          <w:jc w:val="center"/>
        </w:trPr>
        <w:tc>
          <w:tcPr>
            <w:tcW w:w="713" w:type="dxa"/>
            <w:vAlign w:val="center"/>
          </w:tcPr>
          <w:p w14:paraId="2543FEBB">
            <w:pPr>
              <w:pStyle w:val="45"/>
              <w:rPr>
                <w:rFonts w:hint="eastAsia"/>
              </w:rPr>
            </w:pPr>
            <w:r>
              <w:rPr>
                <w:rFonts w:hint="eastAsia"/>
              </w:rPr>
              <w:t>2</w:t>
            </w:r>
            <w:r>
              <w:t>9</w:t>
            </w:r>
          </w:p>
        </w:tc>
        <w:tc>
          <w:tcPr>
            <w:tcW w:w="5017" w:type="dxa"/>
            <w:vAlign w:val="center"/>
          </w:tcPr>
          <w:p w14:paraId="3C90173D">
            <w:pPr>
              <w:pStyle w:val="45"/>
              <w:rPr>
                <w:rFonts w:hint="eastAsia"/>
              </w:rPr>
            </w:pPr>
            <w:r>
              <w:rPr>
                <w:rFonts w:hint="eastAsia"/>
              </w:rPr>
              <w:t>《建筑电气工程施工质量验收规范》</w:t>
            </w:r>
          </w:p>
        </w:tc>
        <w:tc>
          <w:tcPr>
            <w:tcW w:w="2938" w:type="dxa"/>
            <w:vAlign w:val="center"/>
          </w:tcPr>
          <w:p w14:paraId="7ED847B0">
            <w:pPr>
              <w:pStyle w:val="45"/>
              <w:rPr>
                <w:rFonts w:hint="eastAsia"/>
              </w:rPr>
            </w:pPr>
            <w:r>
              <w:t>GB50303-2015</w:t>
            </w:r>
          </w:p>
        </w:tc>
      </w:tr>
      <w:tr w14:paraId="5A084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0CDDE136">
            <w:pPr>
              <w:pStyle w:val="45"/>
              <w:rPr>
                <w:rFonts w:hint="eastAsia"/>
              </w:rPr>
            </w:pPr>
            <w:r>
              <w:rPr>
                <w:rFonts w:hint="eastAsia"/>
              </w:rPr>
              <w:t>3</w:t>
            </w:r>
            <w:r>
              <w:t>0</w:t>
            </w:r>
          </w:p>
        </w:tc>
        <w:tc>
          <w:tcPr>
            <w:tcW w:w="5017" w:type="dxa"/>
            <w:vAlign w:val="center"/>
          </w:tcPr>
          <w:p w14:paraId="371579A2">
            <w:pPr>
              <w:pStyle w:val="45"/>
              <w:rPr>
                <w:rFonts w:hint="eastAsia"/>
              </w:rPr>
            </w:pPr>
            <w:r>
              <w:rPr>
                <w:rFonts w:hint="eastAsia"/>
              </w:rPr>
              <w:t>《空调通风系统运行管理规范》</w:t>
            </w:r>
          </w:p>
        </w:tc>
        <w:tc>
          <w:tcPr>
            <w:tcW w:w="2938" w:type="dxa"/>
            <w:vAlign w:val="center"/>
          </w:tcPr>
          <w:p w14:paraId="4DE80B5A">
            <w:pPr>
              <w:pStyle w:val="45"/>
              <w:rPr>
                <w:rFonts w:hint="eastAsia"/>
              </w:rPr>
            </w:pPr>
            <w:r>
              <w:t>GB50365-2019</w:t>
            </w:r>
          </w:p>
        </w:tc>
      </w:tr>
      <w:tr w14:paraId="1553F4C8">
        <w:tblPrEx>
          <w:tblCellMar>
            <w:top w:w="28" w:type="dxa"/>
            <w:left w:w="28" w:type="dxa"/>
            <w:bottom w:w="28" w:type="dxa"/>
            <w:right w:w="28" w:type="dxa"/>
          </w:tblCellMar>
        </w:tblPrEx>
        <w:trPr>
          <w:trHeight w:val="454" w:hRule="atLeast"/>
          <w:jc w:val="center"/>
        </w:trPr>
        <w:tc>
          <w:tcPr>
            <w:tcW w:w="713" w:type="dxa"/>
            <w:vAlign w:val="center"/>
          </w:tcPr>
          <w:p w14:paraId="0B2B2CF0">
            <w:pPr>
              <w:pStyle w:val="45"/>
              <w:rPr>
                <w:rFonts w:hint="eastAsia"/>
              </w:rPr>
            </w:pPr>
            <w:r>
              <w:rPr>
                <w:rFonts w:hint="eastAsia"/>
              </w:rPr>
              <w:t>3</w:t>
            </w:r>
            <w:r>
              <w:t>1</w:t>
            </w:r>
          </w:p>
        </w:tc>
        <w:tc>
          <w:tcPr>
            <w:tcW w:w="5017" w:type="dxa"/>
            <w:vAlign w:val="center"/>
          </w:tcPr>
          <w:p w14:paraId="1267B414">
            <w:pPr>
              <w:pStyle w:val="45"/>
              <w:rPr>
                <w:rFonts w:hint="eastAsia"/>
              </w:rPr>
            </w:pPr>
            <w:r>
              <w:t>《建筑工程施工质量评价标准》</w:t>
            </w:r>
          </w:p>
        </w:tc>
        <w:tc>
          <w:tcPr>
            <w:tcW w:w="2938" w:type="dxa"/>
            <w:vAlign w:val="center"/>
          </w:tcPr>
          <w:p w14:paraId="2F742248">
            <w:pPr>
              <w:pStyle w:val="45"/>
              <w:rPr>
                <w:rFonts w:hint="eastAsia"/>
              </w:rPr>
            </w:pPr>
            <w:r>
              <w:t>GB/T50375-2016</w:t>
            </w:r>
          </w:p>
        </w:tc>
      </w:tr>
      <w:tr w14:paraId="4D30C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0E26137">
            <w:pPr>
              <w:pStyle w:val="45"/>
              <w:rPr>
                <w:rFonts w:hint="eastAsia"/>
              </w:rPr>
            </w:pPr>
            <w:r>
              <w:rPr>
                <w:rFonts w:hint="eastAsia"/>
              </w:rPr>
              <w:t>3</w:t>
            </w:r>
            <w:r>
              <w:t>2</w:t>
            </w:r>
          </w:p>
        </w:tc>
        <w:tc>
          <w:tcPr>
            <w:tcW w:w="5017" w:type="dxa"/>
            <w:vAlign w:val="center"/>
          </w:tcPr>
          <w:p w14:paraId="17B85C8A">
            <w:pPr>
              <w:pStyle w:val="45"/>
              <w:rPr>
                <w:rFonts w:hint="eastAsia"/>
              </w:rPr>
            </w:pPr>
            <w:r>
              <w:t>《建筑节能工程施工质量验收规范》</w:t>
            </w:r>
          </w:p>
        </w:tc>
        <w:tc>
          <w:tcPr>
            <w:tcW w:w="2938" w:type="dxa"/>
            <w:vAlign w:val="center"/>
          </w:tcPr>
          <w:p w14:paraId="16C2E0A5">
            <w:pPr>
              <w:pStyle w:val="45"/>
              <w:rPr>
                <w:rFonts w:hint="eastAsia"/>
              </w:rPr>
            </w:pPr>
            <w:r>
              <w:t>GB50411-2019</w:t>
            </w:r>
          </w:p>
        </w:tc>
      </w:tr>
      <w:tr w14:paraId="30314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3D53896">
            <w:pPr>
              <w:pStyle w:val="45"/>
              <w:rPr>
                <w:rFonts w:hint="eastAsia"/>
              </w:rPr>
            </w:pPr>
            <w:r>
              <w:rPr>
                <w:rFonts w:hint="eastAsia"/>
              </w:rPr>
              <w:t>3</w:t>
            </w:r>
            <w:r>
              <w:t>3</w:t>
            </w:r>
          </w:p>
        </w:tc>
        <w:tc>
          <w:tcPr>
            <w:tcW w:w="5017" w:type="dxa"/>
            <w:vAlign w:val="center"/>
          </w:tcPr>
          <w:p w14:paraId="05E8B327">
            <w:pPr>
              <w:pStyle w:val="45"/>
              <w:rPr>
                <w:rFonts w:hint="eastAsia"/>
              </w:rPr>
            </w:pPr>
            <w:r>
              <w:t>《工程建设施工企业质量管理规范》</w:t>
            </w:r>
          </w:p>
        </w:tc>
        <w:tc>
          <w:tcPr>
            <w:tcW w:w="2938" w:type="dxa"/>
            <w:vAlign w:val="center"/>
          </w:tcPr>
          <w:p w14:paraId="4B2D9EC8">
            <w:pPr>
              <w:pStyle w:val="45"/>
              <w:rPr>
                <w:rFonts w:hint="eastAsia"/>
              </w:rPr>
            </w:pPr>
            <w:r>
              <w:t>GB/T50430-2017</w:t>
            </w:r>
          </w:p>
        </w:tc>
      </w:tr>
      <w:tr w14:paraId="501FF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6C8A83B6">
            <w:pPr>
              <w:pStyle w:val="45"/>
              <w:rPr>
                <w:rFonts w:hint="eastAsia"/>
              </w:rPr>
            </w:pPr>
            <w:r>
              <w:rPr>
                <w:rFonts w:hint="eastAsia"/>
              </w:rPr>
              <w:t>3</w:t>
            </w:r>
            <w:r>
              <w:t>4</w:t>
            </w:r>
          </w:p>
        </w:tc>
        <w:tc>
          <w:tcPr>
            <w:tcW w:w="5017" w:type="dxa"/>
            <w:vAlign w:val="center"/>
          </w:tcPr>
          <w:p w14:paraId="18EBC1AC">
            <w:pPr>
              <w:pStyle w:val="45"/>
              <w:rPr>
                <w:rFonts w:hint="eastAsia"/>
              </w:rPr>
            </w:pPr>
            <w:r>
              <w:t>《大体积混凝土施工规范》</w:t>
            </w:r>
          </w:p>
        </w:tc>
        <w:tc>
          <w:tcPr>
            <w:tcW w:w="2938" w:type="dxa"/>
            <w:vAlign w:val="center"/>
          </w:tcPr>
          <w:p w14:paraId="2771B455">
            <w:pPr>
              <w:pStyle w:val="45"/>
              <w:rPr>
                <w:rFonts w:hint="eastAsia"/>
              </w:rPr>
            </w:pPr>
            <w:r>
              <w:t>GB50496-2018</w:t>
            </w:r>
          </w:p>
        </w:tc>
      </w:tr>
      <w:tr w14:paraId="3A2B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75D3D729">
            <w:pPr>
              <w:pStyle w:val="45"/>
              <w:rPr>
                <w:rFonts w:hint="eastAsia"/>
              </w:rPr>
            </w:pPr>
            <w:r>
              <w:rPr>
                <w:rFonts w:hint="eastAsia"/>
              </w:rPr>
              <w:t>3</w:t>
            </w:r>
            <w:r>
              <w:t>5</w:t>
            </w:r>
          </w:p>
        </w:tc>
        <w:tc>
          <w:tcPr>
            <w:tcW w:w="5017" w:type="dxa"/>
            <w:vAlign w:val="center"/>
          </w:tcPr>
          <w:p w14:paraId="5AF22DE3">
            <w:pPr>
              <w:pStyle w:val="45"/>
              <w:rPr>
                <w:rFonts w:hint="eastAsia"/>
              </w:rPr>
            </w:pPr>
            <w:r>
              <w:t>《建筑施工组织设计规范》</w:t>
            </w:r>
          </w:p>
        </w:tc>
        <w:tc>
          <w:tcPr>
            <w:tcW w:w="2938" w:type="dxa"/>
            <w:vAlign w:val="center"/>
          </w:tcPr>
          <w:p w14:paraId="17D7502F">
            <w:pPr>
              <w:pStyle w:val="45"/>
              <w:rPr>
                <w:rFonts w:hint="eastAsia"/>
              </w:rPr>
            </w:pPr>
            <w:r>
              <w:t>GB/T50502-2009</w:t>
            </w:r>
          </w:p>
        </w:tc>
      </w:tr>
      <w:tr w14:paraId="45DA3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3E26E2D1">
            <w:pPr>
              <w:pStyle w:val="45"/>
              <w:rPr>
                <w:rFonts w:hint="eastAsia"/>
              </w:rPr>
            </w:pPr>
            <w:r>
              <w:rPr>
                <w:rFonts w:hint="eastAsia"/>
              </w:rPr>
              <w:t>3</w:t>
            </w:r>
            <w:r>
              <w:t>6</w:t>
            </w:r>
          </w:p>
        </w:tc>
        <w:tc>
          <w:tcPr>
            <w:tcW w:w="5017" w:type="dxa"/>
            <w:vAlign w:val="center"/>
          </w:tcPr>
          <w:p w14:paraId="74D84370">
            <w:pPr>
              <w:pStyle w:val="45"/>
              <w:rPr>
                <w:rFonts w:hint="eastAsia"/>
              </w:rPr>
            </w:pPr>
            <w:r>
              <w:t>《施工企业安全生产管理规范》</w:t>
            </w:r>
          </w:p>
        </w:tc>
        <w:tc>
          <w:tcPr>
            <w:tcW w:w="2938" w:type="dxa"/>
            <w:vAlign w:val="center"/>
          </w:tcPr>
          <w:p w14:paraId="27A025E3">
            <w:pPr>
              <w:pStyle w:val="45"/>
              <w:rPr>
                <w:rFonts w:hint="eastAsia"/>
              </w:rPr>
            </w:pPr>
            <w:r>
              <w:t>GB50656-2011</w:t>
            </w:r>
          </w:p>
        </w:tc>
      </w:tr>
      <w:tr w14:paraId="5B92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jc w:val="center"/>
        </w:trPr>
        <w:tc>
          <w:tcPr>
            <w:tcW w:w="713" w:type="dxa"/>
            <w:vAlign w:val="center"/>
          </w:tcPr>
          <w:p w14:paraId="5F38E203">
            <w:pPr>
              <w:pStyle w:val="45"/>
              <w:rPr>
                <w:rFonts w:hint="eastAsia"/>
              </w:rPr>
            </w:pPr>
            <w:r>
              <w:rPr>
                <w:rFonts w:hint="eastAsia"/>
              </w:rPr>
              <w:t>3</w:t>
            </w:r>
            <w:r>
              <w:t>7</w:t>
            </w:r>
          </w:p>
        </w:tc>
        <w:tc>
          <w:tcPr>
            <w:tcW w:w="5017" w:type="dxa"/>
            <w:vAlign w:val="center"/>
          </w:tcPr>
          <w:p w14:paraId="2443752B">
            <w:pPr>
              <w:pStyle w:val="45"/>
              <w:rPr>
                <w:rFonts w:hint="eastAsia"/>
              </w:rPr>
            </w:pPr>
            <w:r>
              <w:t>《混凝土结构工程施工规范》</w:t>
            </w:r>
          </w:p>
        </w:tc>
        <w:tc>
          <w:tcPr>
            <w:tcW w:w="2938" w:type="dxa"/>
            <w:vAlign w:val="center"/>
          </w:tcPr>
          <w:p w14:paraId="4AF2B18F">
            <w:pPr>
              <w:pStyle w:val="45"/>
              <w:rPr>
                <w:rFonts w:hint="eastAsia"/>
              </w:rPr>
            </w:pPr>
            <w:r>
              <w:t>GB50666-2011</w:t>
            </w:r>
          </w:p>
        </w:tc>
      </w:tr>
      <w:tr w14:paraId="751612D5">
        <w:tblPrEx>
          <w:tblCellMar>
            <w:top w:w="28" w:type="dxa"/>
            <w:left w:w="28" w:type="dxa"/>
            <w:bottom w:w="28" w:type="dxa"/>
            <w:right w:w="28" w:type="dxa"/>
          </w:tblCellMar>
        </w:tblPrEx>
        <w:trPr>
          <w:trHeight w:val="454" w:hRule="atLeast"/>
          <w:jc w:val="center"/>
        </w:trPr>
        <w:tc>
          <w:tcPr>
            <w:tcW w:w="713" w:type="dxa"/>
            <w:vAlign w:val="center"/>
          </w:tcPr>
          <w:p w14:paraId="24B5B4C7">
            <w:pPr>
              <w:pStyle w:val="45"/>
              <w:rPr>
                <w:rFonts w:hint="eastAsia"/>
              </w:rPr>
            </w:pPr>
            <w:r>
              <w:rPr>
                <w:rFonts w:hint="eastAsia"/>
              </w:rPr>
              <w:t>3</w:t>
            </w:r>
            <w:r>
              <w:t>8</w:t>
            </w:r>
          </w:p>
        </w:tc>
        <w:tc>
          <w:tcPr>
            <w:tcW w:w="5017" w:type="dxa"/>
            <w:vAlign w:val="center"/>
          </w:tcPr>
          <w:p w14:paraId="69E4F11C">
            <w:pPr>
              <w:pStyle w:val="45"/>
              <w:rPr>
                <w:rFonts w:hint="eastAsia"/>
              </w:rPr>
            </w:pPr>
            <w:r>
              <w:t>《建设工程施工现场消防安全技术规范》</w:t>
            </w:r>
          </w:p>
        </w:tc>
        <w:tc>
          <w:tcPr>
            <w:tcW w:w="2938" w:type="dxa"/>
            <w:vAlign w:val="center"/>
          </w:tcPr>
          <w:p w14:paraId="0F02AF91">
            <w:pPr>
              <w:pStyle w:val="45"/>
              <w:rPr>
                <w:rFonts w:hint="eastAsia"/>
              </w:rPr>
            </w:pPr>
            <w:r>
              <w:t>GB50720-2011</w:t>
            </w:r>
          </w:p>
        </w:tc>
      </w:tr>
    </w:tbl>
    <w:p w14:paraId="6ADD6851">
      <w:pPr>
        <w:pStyle w:val="4"/>
        <w:ind w:firstLine="482"/>
      </w:pPr>
      <w:bookmarkStart w:id="10" w:name="_Toc15747"/>
      <w:bookmarkStart w:id="11" w:name="_Toc531112462"/>
      <w:r>
        <w:rPr>
          <w:rFonts w:hint="eastAsia"/>
        </w:rPr>
        <w:t>企业ISO9002质量体系标准文件</w:t>
      </w:r>
      <w:bookmarkEnd w:id="10"/>
      <w:bookmarkEnd w:id="11"/>
    </w:p>
    <w:p w14:paraId="4AF7DDD7">
      <w:r>
        <w:rPr>
          <w:rFonts w:hint="eastAsia"/>
        </w:rPr>
        <w:t>ISO9001质量管理体系、ISO14001环境管理体系、GB/T28001-2011职业安全健康管理体系。</w:t>
      </w:r>
    </w:p>
    <w:p w14:paraId="22066908">
      <w:pPr>
        <w:pStyle w:val="54"/>
      </w:pPr>
      <w:r>
        <w:rPr>
          <w:rFonts w:hint="eastAsia"/>
        </w:rPr>
        <w:t>企业质量标准化文件</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4706"/>
        <w:gridCol w:w="2071"/>
        <w:gridCol w:w="1442"/>
      </w:tblGrid>
      <w:tr w14:paraId="63E3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64" w:type="pct"/>
          </w:tcPr>
          <w:p w14:paraId="6AF82F45">
            <w:pPr>
              <w:pStyle w:val="45"/>
              <w:rPr>
                <w:rFonts w:hint="eastAsia"/>
              </w:rPr>
            </w:pPr>
            <w:r>
              <w:rPr>
                <w:rFonts w:hint="eastAsia"/>
              </w:rPr>
              <w:t>序号</w:t>
            </w:r>
          </w:p>
        </w:tc>
        <w:tc>
          <w:tcPr>
            <w:tcW w:w="2597" w:type="pct"/>
          </w:tcPr>
          <w:p w14:paraId="4E3A6253">
            <w:pPr>
              <w:pStyle w:val="45"/>
              <w:rPr>
                <w:rFonts w:hint="eastAsia"/>
              </w:rPr>
            </w:pPr>
            <w:r>
              <w:rPr>
                <w:rFonts w:hint="eastAsia"/>
              </w:rPr>
              <w:t>名称</w:t>
            </w:r>
          </w:p>
        </w:tc>
        <w:tc>
          <w:tcPr>
            <w:tcW w:w="1143" w:type="pct"/>
          </w:tcPr>
          <w:p w14:paraId="30DAF886">
            <w:pPr>
              <w:pStyle w:val="45"/>
              <w:rPr>
                <w:rFonts w:hint="eastAsia"/>
              </w:rPr>
            </w:pPr>
            <w:r>
              <w:rPr>
                <w:rFonts w:hint="eastAsia"/>
              </w:rPr>
              <w:t>编号</w:t>
            </w:r>
          </w:p>
        </w:tc>
        <w:tc>
          <w:tcPr>
            <w:tcW w:w="796" w:type="pct"/>
          </w:tcPr>
          <w:p w14:paraId="5B7CF582">
            <w:pPr>
              <w:pStyle w:val="45"/>
              <w:rPr>
                <w:rFonts w:hint="eastAsia"/>
              </w:rPr>
            </w:pPr>
            <w:r>
              <w:rPr>
                <w:rFonts w:hint="eastAsia"/>
              </w:rPr>
              <w:t>编制日期</w:t>
            </w:r>
          </w:p>
        </w:tc>
      </w:tr>
      <w:tr w14:paraId="6C07582B">
        <w:tblPrEx>
          <w:tblCellMar>
            <w:top w:w="0" w:type="dxa"/>
            <w:left w:w="108" w:type="dxa"/>
            <w:bottom w:w="0" w:type="dxa"/>
            <w:right w:w="108" w:type="dxa"/>
          </w:tblCellMar>
        </w:tblPrEx>
        <w:tc>
          <w:tcPr>
            <w:tcW w:w="464" w:type="pct"/>
          </w:tcPr>
          <w:p w14:paraId="2699F71F">
            <w:pPr>
              <w:pStyle w:val="45"/>
              <w:rPr>
                <w:rFonts w:hint="eastAsia"/>
              </w:rPr>
            </w:pPr>
            <w:r>
              <w:rPr>
                <w:rFonts w:hint="eastAsia"/>
              </w:rPr>
              <w:t>1</w:t>
            </w:r>
          </w:p>
        </w:tc>
        <w:tc>
          <w:tcPr>
            <w:tcW w:w="2597" w:type="pct"/>
            <w:vAlign w:val="center"/>
          </w:tcPr>
          <w:p w14:paraId="7BAA262B">
            <w:pPr>
              <w:pStyle w:val="45"/>
              <w:rPr>
                <w:rFonts w:hint="eastAsia"/>
              </w:rPr>
            </w:pPr>
            <w:r>
              <w:rPr>
                <w:rFonts w:hint="eastAsia"/>
              </w:rPr>
              <w:t>质量管理·</w:t>
            </w:r>
            <w:r>
              <w:t>考核评价</w:t>
            </w:r>
            <w:r>
              <w:rPr>
                <w:rFonts w:hint="eastAsia"/>
              </w:rPr>
              <w:t>·</w:t>
            </w:r>
            <w:r>
              <w:t>标识标准化图册</w:t>
            </w:r>
          </w:p>
        </w:tc>
        <w:tc>
          <w:tcPr>
            <w:tcW w:w="1143" w:type="pct"/>
            <w:vAlign w:val="center"/>
          </w:tcPr>
          <w:p w14:paraId="49872B84">
            <w:pPr>
              <w:pStyle w:val="45"/>
              <w:rPr>
                <w:rFonts w:hint="eastAsia"/>
              </w:rPr>
            </w:pPr>
            <w:r>
              <w:rPr>
                <w:rFonts w:hint="eastAsia"/>
              </w:rPr>
              <w:t>--</w:t>
            </w:r>
          </w:p>
        </w:tc>
        <w:tc>
          <w:tcPr>
            <w:tcW w:w="796" w:type="pct"/>
            <w:vAlign w:val="center"/>
          </w:tcPr>
          <w:p w14:paraId="619D565F">
            <w:pPr>
              <w:pStyle w:val="45"/>
              <w:rPr>
                <w:rFonts w:hint="eastAsia"/>
              </w:rPr>
            </w:pPr>
            <w:r>
              <w:rPr>
                <w:rFonts w:hint="eastAsia"/>
              </w:rPr>
              <w:t>--</w:t>
            </w:r>
          </w:p>
        </w:tc>
      </w:tr>
      <w:tr w14:paraId="4F3532A5">
        <w:tblPrEx>
          <w:tblCellMar>
            <w:top w:w="0" w:type="dxa"/>
            <w:left w:w="108" w:type="dxa"/>
            <w:bottom w:w="0" w:type="dxa"/>
            <w:right w:w="108" w:type="dxa"/>
          </w:tblCellMar>
        </w:tblPrEx>
        <w:trPr>
          <w:trHeight w:val="310" w:hRule="atLeast"/>
        </w:trPr>
        <w:tc>
          <w:tcPr>
            <w:tcW w:w="464" w:type="pct"/>
          </w:tcPr>
          <w:p w14:paraId="70CE6BC5">
            <w:pPr>
              <w:pStyle w:val="45"/>
              <w:rPr>
                <w:rFonts w:hint="eastAsia"/>
              </w:rPr>
            </w:pPr>
            <w:r>
              <w:rPr>
                <w:rFonts w:hint="eastAsia"/>
              </w:rPr>
              <w:t>2</w:t>
            </w:r>
          </w:p>
        </w:tc>
        <w:tc>
          <w:tcPr>
            <w:tcW w:w="2597" w:type="pct"/>
            <w:vAlign w:val="center"/>
          </w:tcPr>
          <w:p w14:paraId="3A09520A">
            <w:pPr>
              <w:pStyle w:val="45"/>
              <w:rPr>
                <w:rFonts w:hint="eastAsia"/>
              </w:rPr>
            </w:pPr>
            <w:r>
              <w:rPr>
                <w:rFonts w:hint="eastAsia"/>
              </w:rPr>
              <w:t>工程创优指导手册</w:t>
            </w:r>
          </w:p>
        </w:tc>
        <w:tc>
          <w:tcPr>
            <w:tcW w:w="1143" w:type="pct"/>
            <w:vAlign w:val="center"/>
          </w:tcPr>
          <w:p w14:paraId="129D0BA6">
            <w:pPr>
              <w:pStyle w:val="45"/>
              <w:rPr>
                <w:rFonts w:hint="eastAsia"/>
              </w:rPr>
            </w:pPr>
            <w:r>
              <w:rPr>
                <w:rFonts w:hint="eastAsia"/>
              </w:rPr>
              <w:t>--</w:t>
            </w:r>
          </w:p>
        </w:tc>
        <w:tc>
          <w:tcPr>
            <w:tcW w:w="796" w:type="pct"/>
            <w:vAlign w:val="center"/>
          </w:tcPr>
          <w:p w14:paraId="2DD493C2">
            <w:pPr>
              <w:pStyle w:val="45"/>
              <w:rPr>
                <w:rFonts w:hint="eastAsia"/>
              </w:rPr>
            </w:pPr>
            <w:r>
              <w:t>--</w:t>
            </w:r>
          </w:p>
        </w:tc>
      </w:tr>
      <w:tr w14:paraId="3ECD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64" w:type="pct"/>
          </w:tcPr>
          <w:p w14:paraId="46E4D47C">
            <w:pPr>
              <w:pStyle w:val="45"/>
              <w:rPr>
                <w:rFonts w:hint="eastAsia"/>
              </w:rPr>
            </w:pPr>
            <w:r>
              <w:rPr>
                <w:rFonts w:hint="eastAsia"/>
              </w:rPr>
              <w:t>3</w:t>
            </w:r>
          </w:p>
        </w:tc>
        <w:tc>
          <w:tcPr>
            <w:tcW w:w="2597" w:type="pct"/>
            <w:vAlign w:val="center"/>
          </w:tcPr>
          <w:p w14:paraId="53B86C24">
            <w:pPr>
              <w:pStyle w:val="45"/>
              <w:rPr>
                <w:rFonts w:hint="eastAsia"/>
              </w:rPr>
            </w:pPr>
            <w:r>
              <w:rPr>
                <w:rFonts w:hint="eastAsia"/>
              </w:rPr>
              <w:t>中建</w:t>
            </w:r>
            <w:r>
              <w:rPr>
                <w:rFonts w:hint="eastAsia"/>
                <w:lang w:val="en-US" w:eastAsia="zh-CN"/>
              </w:rPr>
              <w:t>xx</w:t>
            </w:r>
            <w:r>
              <w:rPr>
                <w:rFonts w:hint="eastAsia"/>
              </w:rPr>
              <w:t>安全防护标准化图册-房屋建筑篇</w:t>
            </w:r>
          </w:p>
        </w:tc>
        <w:tc>
          <w:tcPr>
            <w:tcW w:w="1143" w:type="pct"/>
            <w:vAlign w:val="center"/>
          </w:tcPr>
          <w:p w14:paraId="65198BC6">
            <w:pPr>
              <w:pStyle w:val="45"/>
              <w:rPr>
                <w:rFonts w:hint="eastAsia"/>
              </w:rPr>
            </w:pPr>
            <w:r>
              <w:rPr>
                <w:rFonts w:hint="eastAsia"/>
              </w:rPr>
              <w:t>2017版本</w:t>
            </w:r>
          </w:p>
        </w:tc>
        <w:tc>
          <w:tcPr>
            <w:tcW w:w="796" w:type="pct"/>
            <w:vAlign w:val="center"/>
          </w:tcPr>
          <w:p w14:paraId="20141DF2">
            <w:pPr>
              <w:pStyle w:val="45"/>
              <w:rPr>
                <w:rFonts w:hint="eastAsia"/>
              </w:rPr>
            </w:pPr>
          </w:p>
        </w:tc>
      </w:tr>
      <w:tr w14:paraId="133CC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64" w:type="pct"/>
          </w:tcPr>
          <w:p w14:paraId="7177B7CF">
            <w:pPr>
              <w:pStyle w:val="45"/>
              <w:rPr>
                <w:rFonts w:hint="eastAsia"/>
              </w:rPr>
            </w:pPr>
            <w:r>
              <w:rPr>
                <w:rFonts w:hint="eastAsia"/>
              </w:rPr>
              <w:t>4</w:t>
            </w:r>
          </w:p>
        </w:tc>
        <w:tc>
          <w:tcPr>
            <w:tcW w:w="2597" w:type="pct"/>
            <w:vAlign w:val="center"/>
          </w:tcPr>
          <w:p w14:paraId="18D37F94">
            <w:pPr>
              <w:pStyle w:val="45"/>
              <w:rPr>
                <w:rFonts w:hint="eastAsia"/>
              </w:rPr>
            </w:pPr>
            <w:r>
              <w:rPr>
                <w:rFonts w:hint="eastAsia"/>
              </w:rPr>
              <w:t>中建</w:t>
            </w:r>
            <w:r>
              <w:rPr>
                <w:rFonts w:hint="eastAsia"/>
                <w:lang w:val="en-US" w:eastAsia="zh-CN"/>
              </w:rPr>
              <w:t>xx</w:t>
            </w:r>
            <w:r>
              <w:rPr>
                <w:rFonts w:hint="eastAsia"/>
              </w:rPr>
              <w:t>施工现场安全管理创新工作图册</w:t>
            </w:r>
          </w:p>
        </w:tc>
        <w:tc>
          <w:tcPr>
            <w:tcW w:w="1143" w:type="pct"/>
            <w:vAlign w:val="center"/>
          </w:tcPr>
          <w:p w14:paraId="04D22284">
            <w:pPr>
              <w:pStyle w:val="45"/>
              <w:rPr>
                <w:rFonts w:hint="eastAsia"/>
              </w:rPr>
            </w:pPr>
            <w:r>
              <w:rPr>
                <w:rFonts w:hint="eastAsia"/>
              </w:rPr>
              <w:t>2015年版</w:t>
            </w:r>
          </w:p>
        </w:tc>
        <w:tc>
          <w:tcPr>
            <w:tcW w:w="796" w:type="pct"/>
            <w:vAlign w:val="center"/>
          </w:tcPr>
          <w:p w14:paraId="0C82DBF3">
            <w:pPr>
              <w:pStyle w:val="45"/>
              <w:rPr>
                <w:rFonts w:hint="eastAsia"/>
              </w:rPr>
            </w:pPr>
          </w:p>
        </w:tc>
      </w:tr>
      <w:tr w14:paraId="103C4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464" w:type="pct"/>
          </w:tcPr>
          <w:p w14:paraId="1D2052BB">
            <w:pPr>
              <w:pStyle w:val="45"/>
              <w:rPr>
                <w:rFonts w:hint="eastAsia"/>
              </w:rPr>
            </w:pPr>
            <w:r>
              <w:rPr>
                <w:rFonts w:hint="eastAsia"/>
              </w:rPr>
              <w:t>5</w:t>
            </w:r>
          </w:p>
        </w:tc>
        <w:tc>
          <w:tcPr>
            <w:tcW w:w="2597" w:type="pct"/>
            <w:vAlign w:val="center"/>
          </w:tcPr>
          <w:p w14:paraId="7C129863">
            <w:pPr>
              <w:pStyle w:val="45"/>
              <w:rPr>
                <w:rFonts w:hint="eastAsia"/>
              </w:rPr>
            </w:pPr>
            <w:r>
              <w:rPr>
                <w:rFonts w:hint="eastAsia"/>
              </w:rPr>
              <w:t>中建</w:t>
            </w:r>
            <w:r>
              <w:rPr>
                <w:rFonts w:hint="eastAsia"/>
                <w:lang w:val="en-US" w:eastAsia="zh-CN"/>
              </w:rPr>
              <w:t>xx</w:t>
            </w:r>
            <w:r>
              <w:rPr>
                <w:rFonts w:hint="eastAsia"/>
              </w:rPr>
              <w:t>环境管理节能减排标准化图册</w:t>
            </w:r>
          </w:p>
        </w:tc>
        <w:tc>
          <w:tcPr>
            <w:tcW w:w="1143" w:type="pct"/>
            <w:vAlign w:val="center"/>
          </w:tcPr>
          <w:p w14:paraId="706D009A">
            <w:pPr>
              <w:pStyle w:val="45"/>
              <w:rPr>
                <w:rFonts w:hint="eastAsia"/>
              </w:rPr>
            </w:pPr>
            <w:r>
              <w:rPr>
                <w:rFonts w:hint="eastAsia"/>
              </w:rPr>
              <w:t>2017版本</w:t>
            </w:r>
          </w:p>
        </w:tc>
        <w:tc>
          <w:tcPr>
            <w:tcW w:w="796" w:type="pct"/>
            <w:vAlign w:val="center"/>
          </w:tcPr>
          <w:p w14:paraId="20BD10DA">
            <w:pPr>
              <w:pStyle w:val="45"/>
              <w:rPr>
                <w:rFonts w:hint="eastAsia"/>
              </w:rPr>
            </w:pPr>
          </w:p>
        </w:tc>
      </w:tr>
    </w:tbl>
    <w:p w14:paraId="746C1963"/>
    <w:p w14:paraId="7216F14F">
      <w:pPr>
        <w:sectPr>
          <w:headerReference r:id="rId17" w:type="default"/>
          <w:footerReference r:id="rId18" w:type="default"/>
          <w:pgSz w:w="11906" w:h="16838"/>
          <w:pgMar w:top="1440" w:right="1361" w:bottom="1440" w:left="1701" w:header="851" w:footer="992" w:gutter="0"/>
          <w:pgNumType w:start="1"/>
          <w:cols w:space="425" w:num="1"/>
          <w:docGrid w:type="lines" w:linePitch="312" w:charSpace="0"/>
        </w:sectPr>
      </w:pPr>
    </w:p>
    <w:p w14:paraId="753457C3">
      <w:pPr>
        <w:pStyle w:val="3"/>
      </w:pPr>
      <w:bookmarkStart w:id="12" w:name="_Toc531112463"/>
      <w:bookmarkStart w:id="13" w:name="_Toc11352"/>
      <w:r>
        <w:rPr>
          <w:rFonts w:hint="eastAsia"/>
        </w:rPr>
        <w:t>工程概况</w:t>
      </w:r>
      <w:bookmarkEnd w:id="12"/>
      <w:bookmarkEnd w:id="13"/>
    </w:p>
    <w:p w14:paraId="7417BB9D">
      <w:pPr>
        <w:pStyle w:val="4"/>
        <w:ind w:firstLine="482"/>
        <w:rPr>
          <w:color w:val="auto"/>
        </w:rPr>
      </w:pPr>
      <w:bookmarkStart w:id="14" w:name="_Toc18717"/>
      <w:bookmarkStart w:id="15" w:name="_Toc531112464"/>
      <w:r>
        <w:rPr>
          <w:rFonts w:hint="eastAsia"/>
          <w:color w:val="auto"/>
        </w:rPr>
        <w:t>工程建设概况</w:t>
      </w:r>
      <w:bookmarkEnd w:id="14"/>
      <w:bookmarkEnd w:id="15"/>
    </w:p>
    <w:p w14:paraId="4D8565E7">
      <w:pPr>
        <w:pStyle w:val="54"/>
        <w:rPr>
          <w:color w:val="auto"/>
        </w:rPr>
      </w:pPr>
      <w:bookmarkStart w:id="16" w:name="_Hlk35353104"/>
      <w:r>
        <w:rPr>
          <w:rFonts w:hint="eastAsia"/>
          <w:color w:val="auto"/>
        </w:rPr>
        <w:t>工程建设概况一览表</w:t>
      </w:r>
    </w:p>
    <w:bookmarkEnd w:id="16"/>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0"/>
        <w:gridCol w:w="3053"/>
        <w:gridCol w:w="1306"/>
        <w:gridCol w:w="3251"/>
      </w:tblGrid>
      <w:tr w14:paraId="5EC11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pct"/>
            <w:vAlign w:val="center"/>
          </w:tcPr>
          <w:p w14:paraId="11A3301A">
            <w:pPr>
              <w:pStyle w:val="45"/>
              <w:rPr>
                <w:rFonts w:hint="eastAsia"/>
                <w:color w:val="auto"/>
              </w:rPr>
            </w:pPr>
            <w:r>
              <w:rPr>
                <w:rFonts w:hint="eastAsia"/>
                <w:color w:val="auto"/>
              </w:rPr>
              <w:t>工程名称</w:t>
            </w:r>
          </w:p>
        </w:tc>
        <w:tc>
          <w:tcPr>
            <w:tcW w:w="1685" w:type="pct"/>
            <w:vAlign w:val="center"/>
          </w:tcPr>
          <w:p w14:paraId="3C791F7A">
            <w:pPr>
              <w:pStyle w:val="45"/>
              <w:rPr>
                <w:rFonts w:hint="eastAsia"/>
                <w:color w:val="auto"/>
              </w:rPr>
            </w:pPr>
            <w:r>
              <w:rPr>
                <w:rFonts w:hint="eastAsia"/>
                <w:color w:val="auto"/>
              </w:rPr>
              <w:t>三亚崖州湾科教城公共教学区（一期）项目EPC（设计、采购、施工）工程总承包</w:t>
            </w:r>
          </w:p>
        </w:tc>
        <w:tc>
          <w:tcPr>
            <w:tcW w:w="721" w:type="pct"/>
            <w:vAlign w:val="center"/>
          </w:tcPr>
          <w:p w14:paraId="0DB9507C">
            <w:pPr>
              <w:pStyle w:val="45"/>
              <w:rPr>
                <w:rFonts w:hint="eastAsia"/>
                <w:color w:val="auto"/>
              </w:rPr>
            </w:pPr>
            <w:r>
              <w:rPr>
                <w:rFonts w:hint="eastAsia"/>
                <w:color w:val="auto"/>
              </w:rPr>
              <w:t>工程地址</w:t>
            </w:r>
          </w:p>
        </w:tc>
        <w:tc>
          <w:tcPr>
            <w:tcW w:w="1794" w:type="pct"/>
            <w:vAlign w:val="center"/>
          </w:tcPr>
          <w:p w14:paraId="19514B43">
            <w:pPr>
              <w:pStyle w:val="45"/>
              <w:rPr>
                <w:rFonts w:hint="eastAsia"/>
                <w:color w:val="auto"/>
              </w:rPr>
            </w:pPr>
            <w:r>
              <w:rPr>
                <w:rFonts w:hint="eastAsia"/>
                <w:color w:val="auto"/>
              </w:rPr>
              <w:t>三亚崖州湾科技城片区</w:t>
            </w:r>
          </w:p>
        </w:tc>
      </w:tr>
      <w:tr w14:paraId="68F6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pct"/>
            <w:vAlign w:val="center"/>
          </w:tcPr>
          <w:p w14:paraId="3058C570">
            <w:pPr>
              <w:pStyle w:val="45"/>
              <w:rPr>
                <w:rFonts w:hint="eastAsia"/>
                <w:color w:val="auto"/>
              </w:rPr>
            </w:pPr>
            <w:r>
              <w:rPr>
                <w:rFonts w:hint="eastAsia"/>
                <w:color w:val="auto"/>
              </w:rPr>
              <w:t>建设单位</w:t>
            </w:r>
          </w:p>
        </w:tc>
        <w:tc>
          <w:tcPr>
            <w:tcW w:w="1685" w:type="pct"/>
            <w:vAlign w:val="center"/>
          </w:tcPr>
          <w:p w14:paraId="589B3254">
            <w:pPr>
              <w:pStyle w:val="45"/>
              <w:rPr>
                <w:rFonts w:hint="eastAsia"/>
                <w:color w:val="auto"/>
              </w:rPr>
            </w:pPr>
            <w:r>
              <w:rPr>
                <w:rFonts w:hint="eastAsia"/>
                <w:color w:val="auto"/>
                <w:lang w:val="en-US" w:eastAsia="zh-CN"/>
              </w:rPr>
              <w:t>Xx</w:t>
            </w:r>
            <w:r>
              <w:rPr>
                <w:rFonts w:hint="eastAsia"/>
                <w:color w:val="auto"/>
              </w:rPr>
              <w:t>有限公司</w:t>
            </w:r>
          </w:p>
        </w:tc>
        <w:tc>
          <w:tcPr>
            <w:tcW w:w="721" w:type="pct"/>
            <w:vAlign w:val="center"/>
          </w:tcPr>
          <w:p w14:paraId="54E695C8">
            <w:pPr>
              <w:pStyle w:val="45"/>
              <w:rPr>
                <w:rFonts w:hint="eastAsia"/>
                <w:color w:val="auto"/>
              </w:rPr>
            </w:pPr>
            <w:r>
              <w:rPr>
                <w:rFonts w:hint="eastAsia"/>
                <w:color w:val="auto"/>
              </w:rPr>
              <w:t>勘察单位</w:t>
            </w:r>
          </w:p>
        </w:tc>
        <w:tc>
          <w:tcPr>
            <w:tcW w:w="1794" w:type="pct"/>
            <w:vAlign w:val="center"/>
          </w:tcPr>
          <w:p w14:paraId="2D0D0E9F">
            <w:pPr>
              <w:widowControl/>
              <w:spacing w:line="240" w:lineRule="auto"/>
              <w:ind w:firstLine="0" w:firstLineChars="0"/>
              <w:jc w:val="center"/>
              <w:rPr>
                <w:color w:val="auto"/>
              </w:rPr>
            </w:pPr>
            <w:r>
              <w:rPr>
                <w:rFonts w:hint="eastAsia" w:ascii="宋体" w:hAnsi="宋体"/>
                <w:color w:val="auto"/>
                <w:sz w:val="21"/>
                <w:lang w:val="en-US" w:eastAsia="zh-CN"/>
              </w:rPr>
              <w:t>Xx</w:t>
            </w:r>
            <w:r>
              <w:rPr>
                <w:rFonts w:hint="eastAsia" w:ascii="宋体" w:hAnsi="宋体"/>
                <w:color w:val="auto"/>
                <w:sz w:val="21"/>
              </w:rPr>
              <w:t>勘察院</w:t>
            </w:r>
          </w:p>
        </w:tc>
      </w:tr>
      <w:tr w14:paraId="5840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pct"/>
            <w:vAlign w:val="center"/>
          </w:tcPr>
          <w:p w14:paraId="5B173B02">
            <w:pPr>
              <w:pStyle w:val="45"/>
              <w:rPr>
                <w:rFonts w:hint="eastAsia"/>
                <w:color w:val="auto"/>
              </w:rPr>
            </w:pPr>
            <w:r>
              <w:rPr>
                <w:rFonts w:hint="eastAsia"/>
                <w:color w:val="auto"/>
              </w:rPr>
              <w:t>设计单位</w:t>
            </w:r>
          </w:p>
        </w:tc>
        <w:tc>
          <w:tcPr>
            <w:tcW w:w="1685" w:type="pct"/>
            <w:vAlign w:val="center"/>
          </w:tcPr>
          <w:p w14:paraId="253F9E7C">
            <w:pPr>
              <w:pStyle w:val="45"/>
              <w:rPr>
                <w:rFonts w:hint="eastAsia"/>
                <w:color w:val="auto"/>
              </w:rPr>
            </w:pPr>
            <w:r>
              <w:rPr>
                <w:rFonts w:hint="eastAsia"/>
                <w:color w:val="auto"/>
                <w:lang w:val="en-US" w:eastAsia="zh-CN"/>
              </w:rPr>
              <w:t>Xx</w:t>
            </w:r>
            <w:r>
              <w:rPr>
                <w:rFonts w:hint="eastAsia"/>
                <w:color w:val="auto"/>
              </w:rPr>
              <w:t>设计研究院有限公司</w:t>
            </w:r>
          </w:p>
        </w:tc>
        <w:tc>
          <w:tcPr>
            <w:tcW w:w="721" w:type="pct"/>
            <w:vAlign w:val="center"/>
          </w:tcPr>
          <w:p w14:paraId="14AFBDF6">
            <w:pPr>
              <w:pStyle w:val="45"/>
              <w:rPr>
                <w:rFonts w:hint="eastAsia"/>
                <w:color w:val="auto"/>
              </w:rPr>
            </w:pPr>
            <w:r>
              <w:rPr>
                <w:rFonts w:hint="eastAsia"/>
                <w:color w:val="auto"/>
              </w:rPr>
              <w:t>监理单位</w:t>
            </w:r>
          </w:p>
        </w:tc>
        <w:tc>
          <w:tcPr>
            <w:tcW w:w="1794" w:type="pct"/>
            <w:vAlign w:val="center"/>
          </w:tcPr>
          <w:p w14:paraId="351741B6">
            <w:pPr>
              <w:pStyle w:val="45"/>
              <w:rPr>
                <w:rFonts w:hint="eastAsia"/>
                <w:color w:val="auto"/>
              </w:rPr>
            </w:pPr>
            <w:r>
              <w:rPr>
                <w:rFonts w:hint="eastAsia"/>
                <w:color w:val="auto"/>
                <w:lang w:val="en-US" w:eastAsia="zh-CN"/>
              </w:rPr>
              <w:t>Xx</w:t>
            </w:r>
            <w:r>
              <w:rPr>
                <w:rFonts w:hint="eastAsia"/>
                <w:color w:val="auto"/>
              </w:rPr>
              <w:t>有限公司</w:t>
            </w:r>
          </w:p>
        </w:tc>
      </w:tr>
      <w:tr w14:paraId="62D1F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pct"/>
            <w:vAlign w:val="center"/>
          </w:tcPr>
          <w:p w14:paraId="45CEDDFD">
            <w:pPr>
              <w:pStyle w:val="45"/>
              <w:rPr>
                <w:rFonts w:hint="eastAsia"/>
                <w:color w:val="auto"/>
              </w:rPr>
            </w:pPr>
            <w:r>
              <w:rPr>
                <w:rFonts w:hint="eastAsia"/>
                <w:color w:val="auto"/>
              </w:rPr>
              <w:t>咨询单位</w:t>
            </w:r>
          </w:p>
        </w:tc>
        <w:tc>
          <w:tcPr>
            <w:tcW w:w="1685" w:type="pct"/>
            <w:vAlign w:val="center"/>
          </w:tcPr>
          <w:p w14:paraId="2C27021C">
            <w:pPr>
              <w:pStyle w:val="45"/>
              <w:rPr>
                <w:rFonts w:hint="eastAsia"/>
                <w:color w:val="auto"/>
              </w:rPr>
            </w:pPr>
            <w:r>
              <w:rPr>
                <w:rFonts w:hint="eastAsia"/>
                <w:color w:val="auto"/>
              </w:rPr>
              <w:t>/</w:t>
            </w:r>
          </w:p>
        </w:tc>
        <w:tc>
          <w:tcPr>
            <w:tcW w:w="721" w:type="pct"/>
            <w:vAlign w:val="center"/>
          </w:tcPr>
          <w:p w14:paraId="6F88C5C9">
            <w:pPr>
              <w:pStyle w:val="45"/>
              <w:rPr>
                <w:rFonts w:hint="eastAsia"/>
                <w:color w:val="auto"/>
              </w:rPr>
            </w:pPr>
            <w:r>
              <w:rPr>
                <w:rFonts w:hint="eastAsia"/>
                <w:color w:val="auto"/>
              </w:rPr>
              <w:t>总包单位</w:t>
            </w:r>
          </w:p>
        </w:tc>
        <w:tc>
          <w:tcPr>
            <w:tcW w:w="1794" w:type="pct"/>
            <w:vAlign w:val="center"/>
          </w:tcPr>
          <w:p w14:paraId="6D189326">
            <w:pPr>
              <w:pStyle w:val="45"/>
              <w:rPr>
                <w:rFonts w:hint="eastAsia"/>
                <w:color w:val="auto"/>
              </w:rPr>
            </w:pPr>
            <w:r>
              <w:rPr>
                <w:rFonts w:hint="eastAsia"/>
                <w:color w:val="auto"/>
                <w:lang w:val="en-US" w:eastAsia="zh-CN"/>
              </w:rPr>
              <w:t>Xx</w:t>
            </w:r>
            <w:r>
              <w:rPr>
                <w:rFonts w:hint="eastAsia"/>
                <w:color w:val="auto"/>
              </w:rPr>
              <w:t>限公司</w:t>
            </w:r>
          </w:p>
        </w:tc>
      </w:tr>
      <w:tr w14:paraId="1F9B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pct"/>
            <w:vAlign w:val="center"/>
          </w:tcPr>
          <w:p w14:paraId="2D2260FF">
            <w:pPr>
              <w:pStyle w:val="45"/>
              <w:rPr>
                <w:rFonts w:hint="eastAsia"/>
                <w:color w:val="auto"/>
              </w:rPr>
            </w:pPr>
            <w:r>
              <w:rPr>
                <w:rFonts w:hint="eastAsia"/>
                <w:color w:val="auto"/>
              </w:rPr>
              <w:t>占地面积</w:t>
            </w:r>
          </w:p>
        </w:tc>
        <w:tc>
          <w:tcPr>
            <w:tcW w:w="1685" w:type="pct"/>
            <w:vAlign w:val="center"/>
          </w:tcPr>
          <w:p w14:paraId="1AEFEFCE">
            <w:pPr>
              <w:pStyle w:val="45"/>
              <w:rPr>
                <w:rFonts w:hint="eastAsia"/>
                <w:color w:val="auto"/>
              </w:rPr>
            </w:pPr>
            <w:r>
              <w:rPr>
                <w:color w:val="auto"/>
              </w:rPr>
              <w:t>31964</w:t>
            </w:r>
            <w:r>
              <w:rPr>
                <w:rFonts w:hint="eastAsia"/>
                <w:color w:val="auto"/>
              </w:rPr>
              <w:t>㎡</w:t>
            </w:r>
          </w:p>
        </w:tc>
        <w:tc>
          <w:tcPr>
            <w:tcW w:w="721" w:type="pct"/>
            <w:vAlign w:val="center"/>
          </w:tcPr>
          <w:p w14:paraId="01CF6B29">
            <w:pPr>
              <w:pStyle w:val="45"/>
              <w:rPr>
                <w:rFonts w:hint="eastAsia"/>
                <w:color w:val="auto"/>
              </w:rPr>
            </w:pPr>
            <w:r>
              <w:rPr>
                <w:rFonts w:hint="eastAsia"/>
                <w:color w:val="auto"/>
              </w:rPr>
              <w:t>总建筑面积</w:t>
            </w:r>
          </w:p>
        </w:tc>
        <w:tc>
          <w:tcPr>
            <w:tcW w:w="1794" w:type="pct"/>
            <w:vAlign w:val="center"/>
          </w:tcPr>
          <w:p w14:paraId="0D4EB5A6">
            <w:pPr>
              <w:pStyle w:val="45"/>
              <w:rPr>
                <w:rFonts w:hint="eastAsia"/>
                <w:color w:val="auto"/>
              </w:rPr>
            </w:pPr>
            <w:r>
              <w:rPr>
                <w:rFonts w:hint="eastAsia"/>
                <w:color w:val="auto"/>
              </w:rPr>
              <w:t>121678.02㎡</w:t>
            </w:r>
          </w:p>
        </w:tc>
      </w:tr>
      <w:tr w14:paraId="3974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00" w:type="pct"/>
            <w:vAlign w:val="center"/>
          </w:tcPr>
          <w:p w14:paraId="28913CF9">
            <w:pPr>
              <w:pStyle w:val="45"/>
              <w:rPr>
                <w:rFonts w:hint="eastAsia"/>
                <w:color w:val="auto"/>
              </w:rPr>
            </w:pPr>
            <w:r>
              <w:rPr>
                <w:rFonts w:hint="eastAsia"/>
                <w:color w:val="auto"/>
              </w:rPr>
              <w:t>合同工期</w:t>
            </w:r>
          </w:p>
        </w:tc>
        <w:tc>
          <w:tcPr>
            <w:tcW w:w="1685" w:type="pct"/>
            <w:vAlign w:val="center"/>
          </w:tcPr>
          <w:p w14:paraId="66DCF01D">
            <w:pPr>
              <w:pStyle w:val="45"/>
              <w:rPr>
                <w:rFonts w:hint="eastAsia"/>
                <w:color w:val="auto"/>
              </w:rPr>
            </w:pPr>
            <w:r>
              <w:rPr>
                <w:color w:val="auto"/>
              </w:rPr>
              <w:t>600</w:t>
            </w:r>
            <w:r>
              <w:rPr>
                <w:rFonts w:hint="eastAsia"/>
                <w:color w:val="auto"/>
              </w:rPr>
              <w:t>日历天</w:t>
            </w:r>
          </w:p>
        </w:tc>
        <w:tc>
          <w:tcPr>
            <w:tcW w:w="721" w:type="pct"/>
            <w:vAlign w:val="center"/>
          </w:tcPr>
          <w:p w14:paraId="44F46DF3">
            <w:pPr>
              <w:pStyle w:val="45"/>
              <w:rPr>
                <w:rFonts w:hint="eastAsia"/>
                <w:color w:val="auto"/>
              </w:rPr>
            </w:pPr>
            <w:r>
              <w:rPr>
                <w:rFonts w:hint="eastAsia"/>
                <w:color w:val="auto"/>
              </w:rPr>
              <w:t>合同工程投资额</w:t>
            </w:r>
          </w:p>
        </w:tc>
        <w:tc>
          <w:tcPr>
            <w:tcW w:w="1794" w:type="pct"/>
            <w:vAlign w:val="center"/>
          </w:tcPr>
          <w:p w14:paraId="702AEA87">
            <w:pPr>
              <w:pStyle w:val="45"/>
              <w:rPr>
                <w:rFonts w:hint="eastAsia"/>
                <w:color w:val="auto"/>
              </w:rPr>
            </w:pPr>
            <w:r>
              <w:rPr>
                <w:color w:val="auto"/>
              </w:rPr>
              <w:t>/</w:t>
            </w:r>
          </w:p>
        </w:tc>
      </w:tr>
      <w:tr w14:paraId="05C6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00" w:type="pct"/>
            <w:vAlign w:val="center"/>
          </w:tcPr>
          <w:p w14:paraId="375959EF">
            <w:pPr>
              <w:pStyle w:val="45"/>
              <w:rPr>
                <w:rFonts w:hint="eastAsia"/>
                <w:color w:val="auto"/>
              </w:rPr>
            </w:pPr>
            <w:r>
              <w:rPr>
                <w:rFonts w:hint="eastAsia"/>
                <w:color w:val="auto"/>
              </w:rPr>
              <w:t>工程主要功能或用途</w:t>
            </w:r>
          </w:p>
        </w:tc>
        <w:tc>
          <w:tcPr>
            <w:tcW w:w="4200" w:type="pct"/>
            <w:gridSpan w:val="3"/>
            <w:vAlign w:val="center"/>
          </w:tcPr>
          <w:p w14:paraId="79DBF159">
            <w:pPr>
              <w:pStyle w:val="45"/>
              <w:rPr>
                <w:rFonts w:hint="eastAsia"/>
                <w:color w:val="auto"/>
              </w:rPr>
            </w:pPr>
            <w:r>
              <w:rPr>
                <w:rFonts w:hint="eastAsia"/>
                <w:color w:val="auto"/>
              </w:rPr>
              <w:t>多功能的复合型教学区，主要建设教学主楼、会议中心、综合服务楼、地下室</w:t>
            </w:r>
          </w:p>
        </w:tc>
      </w:tr>
    </w:tbl>
    <w:p w14:paraId="3A9DCA4F">
      <w:pPr>
        <w:pStyle w:val="4"/>
        <w:ind w:firstLine="482"/>
        <w:rPr>
          <w:color w:val="auto"/>
        </w:rPr>
      </w:pPr>
      <w:bookmarkStart w:id="17" w:name="_Toc531112465"/>
      <w:bookmarkStart w:id="18" w:name="_Toc10803"/>
      <w:r>
        <w:rPr>
          <w:rFonts w:hint="eastAsia"/>
          <w:color w:val="auto"/>
        </w:rPr>
        <w:t>工程建筑设计概况</w:t>
      </w:r>
      <w:bookmarkEnd w:id="17"/>
      <w:bookmarkEnd w:id="18"/>
    </w:p>
    <w:p w14:paraId="52671310">
      <w:pPr>
        <w:pStyle w:val="54"/>
        <w:rPr>
          <w:color w:val="auto"/>
        </w:rPr>
      </w:pPr>
      <w:r>
        <w:rPr>
          <w:rFonts w:hint="eastAsia"/>
          <w:color w:val="auto"/>
        </w:rPr>
        <w:t>建筑设计概况一览表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902"/>
        <w:gridCol w:w="1355"/>
        <w:gridCol w:w="602"/>
        <w:gridCol w:w="573"/>
        <w:gridCol w:w="482"/>
        <w:gridCol w:w="1506"/>
        <w:gridCol w:w="542"/>
        <w:gridCol w:w="964"/>
        <w:gridCol w:w="1567"/>
      </w:tblGrid>
      <w:tr w14:paraId="05E7C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restart"/>
            <w:vAlign w:val="center"/>
          </w:tcPr>
          <w:p w14:paraId="575328E6">
            <w:pPr>
              <w:pStyle w:val="45"/>
              <w:rPr>
                <w:rFonts w:hint="eastAsia"/>
                <w:color w:val="auto"/>
              </w:rPr>
            </w:pPr>
            <w:r>
              <w:rPr>
                <w:rFonts w:hint="eastAsia"/>
                <w:color w:val="auto"/>
              </w:rPr>
              <w:t>层数</w:t>
            </w:r>
          </w:p>
        </w:tc>
        <w:tc>
          <w:tcPr>
            <w:tcW w:w="498" w:type="pct"/>
            <w:vAlign w:val="center"/>
          </w:tcPr>
          <w:p w14:paraId="2C54E276">
            <w:pPr>
              <w:pStyle w:val="45"/>
              <w:rPr>
                <w:rFonts w:hint="eastAsia"/>
                <w:color w:val="auto"/>
              </w:rPr>
            </w:pPr>
            <w:r>
              <w:rPr>
                <w:rFonts w:hint="eastAsia"/>
                <w:color w:val="auto"/>
              </w:rPr>
              <w:t>地上</w:t>
            </w:r>
          </w:p>
        </w:tc>
        <w:tc>
          <w:tcPr>
            <w:tcW w:w="748" w:type="pct"/>
            <w:vAlign w:val="center"/>
          </w:tcPr>
          <w:p w14:paraId="4F8099B7">
            <w:pPr>
              <w:pStyle w:val="45"/>
              <w:rPr>
                <w:rFonts w:hint="eastAsia"/>
                <w:color w:val="auto"/>
              </w:rPr>
            </w:pPr>
            <w:r>
              <w:rPr>
                <w:color w:val="auto"/>
              </w:rPr>
              <w:t>4</w:t>
            </w:r>
            <w:r>
              <w:rPr>
                <w:rFonts w:hint="eastAsia"/>
                <w:color w:val="auto"/>
              </w:rPr>
              <w:t>/</w:t>
            </w:r>
            <w:r>
              <w:rPr>
                <w:color w:val="auto"/>
              </w:rPr>
              <w:t>11</w:t>
            </w:r>
          </w:p>
        </w:tc>
        <w:tc>
          <w:tcPr>
            <w:tcW w:w="332" w:type="pct"/>
            <w:vMerge w:val="restart"/>
            <w:vAlign w:val="center"/>
          </w:tcPr>
          <w:p w14:paraId="1395DAF3">
            <w:pPr>
              <w:pStyle w:val="45"/>
              <w:rPr>
                <w:rFonts w:hint="eastAsia"/>
                <w:color w:val="auto"/>
              </w:rPr>
            </w:pPr>
            <w:r>
              <w:rPr>
                <w:rFonts w:hint="eastAsia"/>
                <w:color w:val="auto"/>
              </w:rPr>
              <w:t>层高</w:t>
            </w:r>
          </w:p>
        </w:tc>
        <w:tc>
          <w:tcPr>
            <w:tcW w:w="582" w:type="pct"/>
            <w:gridSpan w:val="2"/>
            <w:vAlign w:val="center"/>
          </w:tcPr>
          <w:p w14:paraId="76FD4B1B">
            <w:pPr>
              <w:pStyle w:val="45"/>
              <w:rPr>
                <w:rFonts w:hint="eastAsia"/>
                <w:color w:val="auto"/>
              </w:rPr>
            </w:pPr>
            <w:r>
              <w:rPr>
                <w:rFonts w:hint="eastAsia"/>
                <w:color w:val="auto"/>
              </w:rPr>
              <w:t>首层</w:t>
            </w:r>
          </w:p>
        </w:tc>
        <w:tc>
          <w:tcPr>
            <w:tcW w:w="831" w:type="pct"/>
            <w:vAlign w:val="center"/>
          </w:tcPr>
          <w:p w14:paraId="6E3738CD">
            <w:pPr>
              <w:pStyle w:val="45"/>
              <w:rPr>
                <w:rFonts w:hint="eastAsia"/>
                <w:color w:val="auto"/>
              </w:rPr>
            </w:pPr>
            <w:r>
              <w:rPr>
                <w:color w:val="auto"/>
              </w:rPr>
              <w:t>5.9m</w:t>
            </w:r>
          </w:p>
        </w:tc>
        <w:tc>
          <w:tcPr>
            <w:tcW w:w="831" w:type="pct"/>
            <w:gridSpan w:val="2"/>
            <w:vAlign w:val="center"/>
          </w:tcPr>
          <w:p w14:paraId="578B0330">
            <w:pPr>
              <w:pStyle w:val="45"/>
              <w:rPr>
                <w:rFonts w:hint="eastAsia"/>
                <w:color w:val="auto"/>
              </w:rPr>
            </w:pPr>
          </w:p>
        </w:tc>
        <w:tc>
          <w:tcPr>
            <w:tcW w:w="865" w:type="pct"/>
            <w:vAlign w:val="center"/>
          </w:tcPr>
          <w:p w14:paraId="0B0625E0">
            <w:pPr>
              <w:pStyle w:val="45"/>
              <w:rPr>
                <w:rFonts w:hint="eastAsia"/>
                <w:color w:val="auto"/>
              </w:rPr>
            </w:pPr>
          </w:p>
        </w:tc>
      </w:tr>
      <w:tr w14:paraId="2CC5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2820BC60">
            <w:pPr>
              <w:pStyle w:val="45"/>
              <w:rPr>
                <w:rFonts w:hint="eastAsia"/>
                <w:color w:val="auto"/>
              </w:rPr>
            </w:pPr>
          </w:p>
        </w:tc>
        <w:tc>
          <w:tcPr>
            <w:tcW w:w="498" w:type="pct"/>
            <w:vAlign w:val="center"/>
          </w:tcPr>
          <w:p w14:paraId="0AE768B9">
            <w:pPr>
              <w:pStyle w:val="45"/>
              <w:rPr>
                <w:rFonts w:hint="eastAsia"/>
                <w:color w:val="auto"/>
              </w:rPr>
            </w:pPr>
            <w:r>
              <w:rPr>
                <w:rFonts w:hint="eastAsia"/>
                <w:color w:val="auto"/>
              </w:rPr>
              <w:t>地下</w:t>
            </w:r>
          </w:p>
        </w:tc>
        <w:tc>
          <w:tcPr>
            <w:tcW w:w="748" w:type="pct"/>
            <w:vAlign w:val="center"/>
          </w:tcPr>
          <w:p w14:paraId="6AA93D5F">
            <w:pPr>
              <w:pStyle w:val="45"/>
              <w:rPr>
                <w:rFonts w:hint="eastAsia"/>
                <w:color w:val="auto"/>
              </w:rPr>
            </w:pPr>
            <w:r>
              <w:rPr>
                <w:color w:val="auto"/>
              </w:rPr>
              <w:t>1</w:t>
            </w:r>
          </w:p>
        </w:tc>
        <w:tc>
          <w:tcPr>
            <w:tcW w:w="332" w:type="pct"/>
            <w:vMerge w:val="continue"/>
            <w:vAlign w:val="center"/>
          </w:tcPr>
          <w:p w14:paraId="79A4603E">
            <w:pPr>
              <w:pStyle w:val="45"/>
              <w:rPr>
                <w:rFonts w:hint="eastAsia"/>
                <w:color w:val="auto"/>
              </w:rPr>
            </w:pPr>
          </w:p>
        </w:tc>
        <w:tc>
          <w:tcPr>
            <w:tcW w:w="582" w:type="pct"/>
            <w:gridSpan w:val="2"/>
            <w:vAlign w:val="center"/>
          </w:tcPr>
          <w:p w14:paraId="320D1898">
            <w:pPr>
              <w:pStyle w:val="45"/>
              <w:rPr>
                <w:rFonts w:hint="eastAsia"/>
                <w:color w:val="auto"/>
              </w:rPr>
            </w:pPr>
            <w:r>
              <w:rPr>
                <w:rFonts w:hint="eastAsia"/>
                <w:color w:val="auto"/>
              </w:rPr>
              <w:t>标准层</w:t>
            </w:r>
          </w:p>
        </w:tc>
        <w:tc>
          <w:tcPr>
            <w:tcW w:w="831" w:type="pct"/>
            <w:vAlign w:val="center"/>
          </w:tcPr>
          <w:p w14:paraId="3B75529D">
            <w:pPr>
              <w:pStyle w:val="45"/>
              <w:rPr>
                <w:rFonts w:hint="eastAsia"/>
                <w:color w:val="auto"/>
              </w:rPr>
            </w:pPr>
            <w:r>
              <w:rPr>
                <w:color w:val="auto"/>
              </w:rPr>
              <w:t>4.7m</w:t>
            </w:r>
          </w:p>
        </w:tc>
        <w:tc>
          <w:tcPr>
            <w:tcW w:w="831" w:type="pct"/>
            <w:gridSpan w:val="2"/>
            <w:vAlign w:val="center"/>
          </w:tcPr>
          <w:p w14:paraId="1EEF313F">
            <w:pPr>
              <w:pStyle w:val="45"/>
              <w:rPr>
                <w:rFonts w:hint="eastAsia"/>
                <w:color w:val="auto"/>
              </w:rPr>
            </w:pPr>
            <w:r>
              <w:rPr>
                <w:rFonts w:hint="eastAsia"/>
                <w:color w:val="auto"/>
              </w:rPr>
              <w:t>地上面积</w:t>
            </w:r>
          </w:p>
        </w:tc>
        <w:tc>
          <w:tcPr>
            <w:tcW w:w="865" w:type="pct"/>
            <w:vAlign w:val="center"/>
          </w:tcPr>
          <w:p w14:paraId="5940FA0E">
            <w:pPr>
              <w:pStyle w:val="45"/>
              <w:rPr>
                <w:rFonts w:hint="eastAsia"/>
                <w:color w:val="auto"/>
              </w:rPr>
            </w:pPr>
            <w:r>
              <w:rPr>
                <w:rFonts w:hint="eastAsia"/>
                <w:color w:val="auto"/>
              </w:rPr>
              <w:t>95214.03㎡</w:t>
            </w:r>
          </w:p>
        </w:tc>
      </w:tr>
      <w:tr w14:paraId="2ADDE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394EB336">
            <w:pPr>
              <w:pStyle w:val="45"/>
              <w:rPr>
                <w:rFonts w:hint="eastAsia"/>
                <w:color w:val="auto"/>
              </w:rPr>
            </w:pPr>
          </w:p>
        </w:tc>
        <w:tc>
          <w:tcPr>
            <w:tcW w:w="498" w:type="pct"/>
            <w:vAlign w:val="center"/>
          </w:tcPr>
          <w:p w14:paraId="1B3DF1F1">
            <w:pPr>
              <w:pStyle w:val="45"/>
              <w:rPr>
                <w:rFonts w:hint="eastAsia"/>
                <w:color w:val="auto"/>
              </w:rPr>
            </w:pPr>
          </w:p>
        </w:tc>
        <w:tc>
          <w:tcPr>
            <w:tcW w:w="748" w:type="pct"/>
            <w:vAlign w:val="center"/>
          </w:tcPr>
          <w:p w14:paraId="32775D6E">
            <w:pPr>
              <w:pStyle w:val="45"/>
              <w:rPr>
                <w:rFonts w:hint="eastAsia"/>
                <w:color w:val="auto"/>
              </w:rPr>
            </w:pPr>
          </w:p>
        </w:tc>
        <w:tc>
          <w:tcPr>
            <w:tcW w:w="332" w:type="pct"/>
            <w:vMerge w:val="continue"/>
            <w:vAlign w:val="center"/>
          </w:tcPr>
          <w:p w14:paraId="28480540">
            <w:pPr>
              <w:pStyle w:val="45"/>
              <w:rPr>
                <w:rFonts w:hint="eastAsia"/>
                <w:color w:val="auto"/>
              </w:rPr>
            </w:pPr>
          </w:p>
        </w:tc>
        <w:tc>
          <w:tcPr>
            <w:tcW w:w="582" w:type="pct"/>
            <w:gridSpan w:val="2"/>
            <w:vAlign w:val="center"/>
          </w:tcPr>
          <w:p w14:paraId="6DFE3C3E">
            <w:pPr>
              <w:pStyle w:val="45"/>
              <w:rPr>
                <w:rFonts w:hint="eastAsia"/>
                <w:color w:val="auto"/>
              </w:rPr>
            </w:pPr>
            <w:r>
              <w:rPr>
                <w:rFonts w:hint="eastAsia"/>
                <w:color w:val="auto"/>
              </w:rPr>
              <w:t>地下</w:t>
            </w:r>
          </w:p>
        </w:tc>
        <w:tc>
          <w:tcPr>
            <w:tcW w:w="831" w:type="pct"/>
            <w:vAlign w:val="center"/>
          </w:tcPr>
          <w:p w14:paraId="4D5A081D">
            <w:pPr>
              <w:pStyle w:val="45"/>
              <w:rPr>
                <w:rFonts w:hint="eastAsia"/>
                <w:color w:val="auto"/>
              </w:rPr>
            </w:pPr>
            <w:r>
              <w:rPr>
                <w:color w:val="auto"/>
              </w:rPr>
              <w:t>6.05m</w:t>
            </w:r>
          </w:p>
        </w:tc>
        <w:tc>
          <w:tcPr>
            <w:tcW w:w="831" w:type="pct"/>
            <w:gridSpan w:val="2"/>
            <w:vAlign w:val="center"/>
          </w:tcPr>
          <w:p w14:paraId="11F62877">
            <w:pPr>
              <w:pStyle w:val="45"/>
              <w:rPr>
                <w:rFonts w:hint="eastAsia"/>
                <w:color w:val="auto"/>
              </w:rPr>
            </w:pPr>
            <w:r>
              <w:rPr>
                <w:rFonts w:hint="eastAsia"/>
                <w:color w:val="auto"/>
              </w:rPr>
              <w:t>地下面积</w:t>
            </w:r>
          </w:p>
        </w:tc>
        <w:tc>
          <w:tcPr>
            <w:tcW w:w="865" w:type="pct"/>
            <w:vAlign w:val="center"/>
          </w:tcPr>
          <w:p w14:paraId="2B7B0E3C">
            <w:pPr>
              <w:pStyle w:val="45"/>
              <w:rPr>
                <w:rFonts w:hint="eastAsia"/>
                <w:color w:val="auto"/>
              </w:rPr>
            </w:pPr>
            <w:r>
              <w:rPr>
                <w:rFonts w:hint="eastAsia"/>
                <w:color w:val="auto"/>
              </w:rPr>
              <w:t>26463.99㎡</w:t>
            </w:r>
          </w:p>
        </w:tc>
      </w:tr>
      <w:tr w14:paraId="0FAB1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restart"/>
            <w:vAlign w:val="center"/>
          </w:tcPr>
          <w:p w14:paraId="1DC1A599">
            <w:pPr>
              <w:pStyle w:val="45"/>
              <w:rPr>
                <w:rFonts w:hint="eastAsia"/>
                <w:color w:val="auto"/>
              </w:rPr>
            </w:pPr>
            <w:r>
              <w:rPr>
                <w:rFonts w:hint="eastAsia"/>
                <w:color w:val="auto"/>
              </w:rPr>
              <w:t>装</w:t>
            </w:r>
          </w:p>
          <w:p w14:paraId="28FAA072">
            <w:pPr>
              <w:pStyle w:val="45"/>
              <w:rPr>
                <w:rFonts w:hint="eastAsia"/>
                <w:color w:val="auto"/>
              </w:rPr>
            </w:pPr>
          </w:p>
          <w:p w14:paraId="31EA024B">
            <w:pPr>
              <w:pStyle w:val="45"/>
              <w:rPr>
                <w:rFonts w:hint="eastAsia"/>
                <w:color w:val="auto"/>
              </w:rPr>
            </w:pPr>
            <w:r>
              <w:rPr>
                <w:rFonts w:hint="eastAsia"/>
                <w:color w:val="auto"/>
              </w:rPr>
              <w:t>饰</w:t>
            </w:r>
          </w:p>
        </w:tc>
        <w:tc>
          <w:tcPr>
            <w:tcW w:w="498" w:type="pct"/>
            <w:vAlign w:val="center"/>
          </w:tcPr>
          <w:p w14:paraId="7966B8A8">
            <w:pPr>
              <w:pStyle w:val="45"/>
              <w:rPr>
                <w:rFonts w:hint="eastAsia"/>
                <w:color w:val="auto"/>
              </w:rPr>
            </w:pPr>
            <w:r>
              <w:rPr>
                <w:rFonts w:hint="eastAsia"/>
                <w:color w:val="auto"/>
              </w:rPr>
              <w:t>外檐</w:t>
            </w:r>
          </w:p>
        </w:tc>
        <w:tc>
          <w:tcPr>
            <w:tcW w:w="4189" w:type="pct"/>
            <w:gridSpan w:val="8"/>
            <w:vAlign w:val="center"/>
          </w:tcPr>
          <w:p w14:paraId="74C6F4D2">
            <w:pPr>
              <w:pStyle w:val="45"/>
              <w:rPr>
                <w:rFonts w:hint="eastAsia"/>
                <w:color w:val="auto"/>
              </w:rPr>
            </w:pPr>
            <w:r>
              <w:rPr>
                <w:rFonts w:hint="eastAsia"/>
                <w:color w:val="auto"/>
              </w:rPr>
              <w:t>幕墙、深灰色外墙涂料、米白色外墙涂料</w:t>
            </w:r>
          </w:p>
        </w:tc>
      </w:tr>
      <w:tr w14:paraId="000CF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327C5F01">
            <w:pPr>
              <w:pStyle w:val="45"/>
              <w:rPr>
                <w:rFonts w:hint="eastAsia"/>
                <w:color w:val="auto"/>
              </w:rPr>
            </w:pPr>
          </w:p>
        </w:tc>
        <w:tc>
          <w:tcPr>
            <w:tcW w:w="498" w:type="pct"/>
            <w:vAlign w:val="center"/>
          </w:tcPr>
          <w:p w14:paraId="6855793C">
            <w:pPr>
              <w:pStyle w:val="45"/>
              <w:rPr>
                <w:rFonts w:hint="eastAsia"/>
                <w:color w:val="auto"/>
              </w:rPr>
            </w:pPr>
            <w:r>
              <w:rPr>
                <w:rFonts w:hint="eastAsia"/>
                <w:color w:val="auto"/>
              </w:rPr>
              <w:t>楼地面</w:t>
            </w:r>
          </w:p>
        </w:tc>
        <w:tc>
          <w:tcPr>
            <w:tcW w:w="4189" w:type="pct"/>
            <w:gridSpan w:val="8"/>
            <w:vAlign w:val="center"/>
          </w:tcPr>
          <w:p w14:paraId="3218E4C4">
            <w:pPr>
              <w:pStyle w:val="45"/>
              <w:rPr>
                <w:rFonts w:hint="eastAsia"/>
                <w:color w:val="auto"/>
              </w:rPr>
            </w:pPr>
            <w:r>
              <w:rPr>
                <w:rFonts w:hint="eastAsia"/>
                <w:color w:val="auto"/>
              </w:rPr>
              <w:t>防滑地砖、防静电架空地板、PVC卷材、硬木地板、舞台专用木地板、环氧树脂自流平、水泥砂浆地面</w:t>
            </w:r>
          </w:p>
        </w:tc>
      </w:tr>
      <w:tr w14:paraId="010F2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0B8FC0A7">
            <w:pPr>
              <w:pStyle w:val="45"/>
              <w:rPr>
                <w:rFonts w:hint="eastAsia"/>
                <w:color w:val="auto"/>
              </w:rPr>
            </w:pPr>
          </w:p>
        </w:tc>
        <w:tc>
          <w:tcPr>
            <w:tcW w:w="498" w:type="pct"/>
            <w:vAlign w:val="center"/>
          </w:tcPr>
          <w:p w14:paraId="24DE7414">
            <w:pPr>
              <w:pStyle w:val="45"/>
              <w:rPr>
                <w:rFonts w:hint="eastAsia"/>
                <w:color w:val="auto"/>
              </w:rPr>
            </w:pPr>
            <w:r>
              <w:rPr>
                <w:rFonts w:hint="eastAsia"/>
                <w:color w:val="auto"/>
              </w:rPr>
              <w:t>墙面</w:t>
            </w:r>
          </w:p>
        </w:tc>
        <w:tc>
          <w:tcPr>
            <w:tcW w:w="4189" w:type="pct"/>
            <w:gridSpan w:val="8"/>
            <w:vAlign w:val="center"/>
          </w:tcPr>
          <w:p w14:paraId="0517E740">
            <w:pPr>
              <w:pStyle w:val="45"/>
              <w:rPr>
                <w:rFonts w:hint="eastAsia"/>
                <w:color w:val="auto"/>
              </w:rPr>
            </w:pPr>
            <w:r>
              <w:rPr>
                <w:rFonts w:hint="eastAsia"/>
                <w:color w:val="auto"/>
              </w:rPr>
              <w:t>涂料、面砖、穿孔纤维水泥板、</w:t>
            </w:r>
          </w:p>
        </w:tc>
      </w:tr>
      <w:tr w14:paraId="134FF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3CEC5081">
            <w:pPr>
              <w:pStyle w:val="45"/>
              <w:rPr>
                <w:rFonts w:hint="eastAsia"/>
                <w:color w:val="auto"/>
              </w:rPr>
            </w:pPr>
          </w:p>
        </w:tc>
        <w:tc>
          <w:tcPr>
            <w:tcW w:w="498" w:type="pct"/>
            <w:vAlign w:val="center"/>
          </w:tcPr>
          <w:p w14:paraId="50D94380">
            <w:pPr>
              <w:pStyle w:val="45"/>
              <w:rPr>
                <w:rFonts w:hint="eastAsia"/>
                <w:color w:val="auto"/>
              </w:rPr>
            </w:pPr>
            <w:r>
              <w:rPr>
                <w:rFonts w:hint="eastAsia"/>
                <w:color w:val="auto"/>
              </w:rPr>
              <w:t>顶棚</w:t>
            </w:r>
          </w:p>
        </w:tc>
        <w:tc>
          <w:tcPr>
            <w:tcW w:w="4189" w:type="pct"/>
            <w:gridSpan w:val="8"/>
            <w:vAlign w:val="center"/>
          </w:tcPr>
          <w:p w14:paraId="39FF5440">
            <w:pPr>
              <w:pStyle w:val="45"/>
              <w:rPr>
                <w:rFonts w:hint="eastAsia"/>
                <w:color w:val="auto"/>
              </w:rPr>
            </w:pPr>
            <w:r>
              <w:rPr>
                <w:rFonts w:hint="eastAsia"/>
                <w:color w:val="auto"/>
              </w:rPr>
              <w:t>穿孔吸音复合板、涂料、石膏板、铝格栅吊顶</w:t>
            </w:r>
          </w:p>
        </w:tc>
      </w:tr>
      <w:tr w14:paraId="21CE6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7CED6B5C">
            <w:pPr>
              <w:pStyle w:val="45"/>
              <w:rPr>
                <w:rFonts w:hint="eastAsia"/>
                <w:color w:val="auto"/>
              </w:rPr>
            </w:pPr>
          </w:p>
        </w:tc>
        <w:tc>
          <w:tcPr>
            <w:tcW w:w="498" w:type="pct"/>
            <w:vAlign w:val="center"/>
          </w:tcPr>
          <w:p w14:paraId="3B3CB24A">
            <w:pPr>
              <w:pStyle w:val="45"/>
              <w:rPr>
                <w:rFonts w:hint="eastAsia"/>
                <w:color w:val="auto"/>
              </w:rPr>
            </w:pPr>
            <w:r>
              <w:rPr>
                <w:rFonts w:hint="eastAsia"/>
                <w:color w:val="auto"/>
              </w:rPr>
              <w:t>楼梯</w:t>
            </w:r>
          </w:p>
        </w:tc>
        <w:tc>
          <w:tcPr>
            <w:tcW w:w="4189" w:type="pct"/>
            <w:gridSpan w:val="8"/>
            <w:vAlign w:val="center"/>
          </w:tcPr>
          <w:p w14:paraId="2290A31E">
            <w:pPr>
              <w:pStyle w:val="45"/>
              <w:rPr>
                <w:rFonts w:hint="eastAsia"/>
                <w:color w:val="auto"/>
              </w:rPr>
            </w:pPr>
            <w:r>
              <w:rPr>
                <w:rFonts w:hint="eastAsia"/>
                <w:color w:val="auto"/>
              </w:rPr>
              <w:t>防滑地砖</w:t>
            </w:r>
          </w:p>
        </w:tc>
      </w:tr>
      <w:tr w14:paraId="23ED5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076DF0E3">
            <w:pPr>
              <w:pStyle w:val="45"/>
              <w:rPr>
                <w:rFonts w:hint="eastAsia"/>
                <w:color w:val="auto"/>
              </w:rPr>
            </w:pPr>
          </w:p>
        </w:tc>
        <w:tc>
          <w:tcPr>
            <w:tcW w:w="498" w:type="pct"/>
            <w:vAlign w:val="center"/>
          </w:tcPr>
          <w:p w14:paraId="1FBEDFED">
            <w:pPr>
              <w:pStyle w:val="45"/>
              <w:rPr>
                <w:rFonts w:hint="eastAsia"/>
                <w:color w:val="auto"/>
              </w:rPr>
            </w:pPr>
            <w:r>
              <w:rPr>
                <w:rFonts w:hint="eastAsia"/>
                <w:color w:val="auto"/>
              </w:rPr>
              <w:t>电梯厅</w:t>
            </w:r>
          </w:p>
        </w:tc>
        <w:tc>
          <w:tcPr>
            <w:tcW w:w="1396" w:type="pct"/>
            <w:gridSpan w:val="3"/>
            <w:vAlign w:val="center"/>
          </w:tcPr>
          <w:p w14:paraId="78A1480F">
            <w:pPr>
              <w:pStyle w:val="45"/>
              <w:rPr>
                <w:rFonts w:hint="eastAsia"/>
                <w:color w:val="auto"/>
              </w:rPr>
            </w:pPr>
            <w:r>
              <w:rPr>
                <w:rFonts w:hint="eastAsia"/>
                <w:color w:val="auto"/>
              </w:rPr>
              <w:t>地面：防滑地砖</w:t>
            </w:r>
          </w:p>
        </w:tc>
        <w:tc>
          <w:tcPr>
            <w:tcW w:w="1396" w:type="pct"/>
            <w:gridSpan w:val="3"/>
            <w:vAlign w:val="center"/>
          </w:tcPr>
          <w:p w14:paraId="5E5653CB">
            <w:pPr>
              <w:pStyle w:val="45"/>
              <w:rPr>
                <w:rFonts w:hint="eastAsia"/>
                <w:color w:val="auto"/>
              </w:rPr>
            </w:pPr>
            <w:r>
              <w:rPr>
                <w:rFonts w:hint="eastAsia"/>
                <w:color w:val="auto"/>
              </w:rPr>
              <w:t>墙面：涂料</w:t>
            </w:r>
          </w:p>
        </w:tc>
        <w:tc>
          <w:tcPr>
            <w:tcW w:w="1397" w:type="pct"/>
            <w:gridSpan w:val="2"/>
            <w:vAlign w:val="center"/>
          </w:tcPr>
          <w:p w14:paraId="30D985C3">
            <w:pPr>
              <w:pStyle w:val="45"/>
              <w:rPr>
                <w:rFonts w:hint="eastAsia"/>
                <w:color w:val="auto"/>
              </w:rPr>
            </w:pPr>
            <w:r>
              <w:rPr>
                <w:rFonts w:hint="eastAsia"/>
                <w:color w:val="auto"/>
              </w:rPr>
              <w:t>顶棚：涂料</w:t>
            </w:r>
          </w:p>
        </w:tc>
      </w:tr>
      <w:tr w14:paraId="115F6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restart"/>
            <w:vAlign w:val="center"/>
          </w:tcPr>
          <w:p w14:paraId="640A87E9">
            <w:pPr>
              <w:pStyle w:val="45"/>
              <w:rPr>
                <w:rFonts w:hint="eastAsia"/>
                <w:color w:val="auto"/>
              </w:rPr>
            </w:pPr>
            <w:r>
              <w:rPr>
                <w:rFonts w:hint="eastAsia"/>
                <w:color w:val="auto"/>
              </w:rPr>
              <w:t>防</w:t>
            </w:r>
          </w:p>
          <w:p w14:paraId="030CCEAA">
            <w:pPr>
              <w:pStyle w:val="45"/>
              <w:rPr>
                <w:rFonts w:hint="eastAsia"/>
                <w:color w:val="auto"/>
              </w:rPr>
            </w:pPr>
          </w:p>
          <w:p w14:paraId="1D60FB25">
            <w:pPr>
              <w:pStyle w:val="45"/>
              <w:rPr>
                <w:rFonts w:hint="eastAsia"/>
                <w:color w:val="auto"/>
              </w:rPr>
            </w:pPr>
            <w:r>
              <w:rPr>
                <w:rFonts w:hint="eastAsia"/>
                <w:color w:val="auto"/>
              </w:rPr>
              <w:t>水</w:t>
            </w:r>
          </w:p>
        </w:tc>
        <w:tc>
          <w:tcPr>
            <w:tcW w:w="498" w:type="pct"/>
            <w:vAlign w:val="center"/>
          </w:tcPr>
          <w:p w14:paraId="2C8F7471">
            <w:pPr>
              <w:pStyle w:val="45"/>
              <w:rPr>
                <w:rFonts w:hint="eastAsia"/>
                <w:color w:val="auto"/>
              </w:rPr>
            </w:pPr>
            <w:r>
              <w:rPr>
                <w:rFonts w:hint="eastAsia"/>
                <w:color w:val="auto"/>
              </w:rPr>
              <w:t>地下</w:t>
            </w:r>
          </w:p>
        </w:tc>
        <w:tc>
          <w:tcPr>
            <w:tcW w:w="4189" w:type="pct"/>
            <w:gridSpan w:val="8"/>
            <w:vAlign w:val="center"/>
          </w:tcPr>
          <w:p w14:paraId="1672CDCC">
            <w:pPr>
              <w:ind w:firstLine="0" w:firstLineChars="0"/>
              <w:rPr>
                <w:rFonts w:hint="eastAsia" w:ascii="宋体" w:hAnsi="宋体"/>
                <w:color w:val="auto"/>
              </w:rPr>
            </w:pPr>
            <w:r>
              <w:rPr>
                <w:rFonts w:hint="eastAsia" w:ascii="宋体" w:hAnsi="宋体"/>
                <w:color w:val="auto"/>
              </w:rPr>
              <w:t>底板：</w:t>
            </w:r>
          </w:p>
          <w:p w14:paraId="4D4DCE2B">
            <w:pPr>
              <w:ind w:firstLine="420"/>
              <w:rPr>
                <w:rFonts w:hint="eastAsia" w:ascii="宋体" w:hAnsi="宋体"/>
                <w:color w:val="auto"/>
                <w:sz w:val="21"/>
              </w:rPr>
            </w:pPr>
            <w:r>
              <w:rPr>
                <w:rFonts w:hint="eastAsia" w:ascii="宋体" w:hAnsi="宋体"/>
                <w:color w:val="auto"/>
                <w:sz w:val="21"/>
              </w:rPr>
              <w:t>1、钢筋混凝土底板结构自防水</w:t>
            </w:r>
          </w:p>
          <w:p w14:paraId="3CEB3744">
            <w:pPr>
              <w:ind w:firstLine="420"/>
              <w:rPr>
                <w:rFonts w:hint="eastAsia" w:ascii="宋体" w:hAnsi="宋体"/>
                <w:color w:val="auto"/>
                <w:sz w:val="21"/>
              </w:rPr>
            </w:pPr>
            <w:r>
              <w:rPr>
                <w:rFonts w:ascii="宋体" w:hAnsi="宋体"/>
                <w:color w:val="auto"/>
                <w:sz w:val="21"/>
              </w:rPr>
              <w:t>2</w:t>
            </w:r>
            <w:r>
              <w:rPr>
                <w:rFonts w:hint="eastAsia" w:ascii="宋体" w:hAnsi="宋体"/>
                <w:color w:val="auto"/>
                <w:sz w:val="21"/>
              </w:rPr>
              <w:t>、1</w:t>
            </w:r>
            <w:r>
              <w:rPr>
                <w:rFonts w:ascii="宋体" w:hAnsi="宋体"/>
                <w:color w:val="auto"/>
                <w:sz w:val="21"/>
              </w:rPr>
              <w:t>.5厚预铺式丁基自粘高分子防水卷材（TPO）</w:t>
            </w:r>
          </w:p>
          <w:p w14:paraId="26B3F7E8">
            <w:pPr>
              <w:ind w:firstLine="420"/>
              <w:rPr>
                <w:rFonts w:hint="eastAsia" w:ascii="宋体" w:hAnsi="宋体"/>
                <w:color w:val="auto"/>
                <w:sz w:val="21"/>
              </w:rPr>
            </w:pPr>
            <w:r>
              <w:rPr>
                <w:rFonts w:ascii="宋体" w:hAnsi="宋体"/>
                <w:color w:val="auto"/>
                <w:sz w:val="21"/>
              </w:rPr>
              <w:t>3</w:t>
            </w:r>
            <w:r>
              <w:rPr>
                <w:rFonts w:hint="eastAsia" w:ascii="宋体" w:hAnsi="宋体"/>
                <w:color w:val="auto"/>
                <w:sz w:val="21"/>
              </w:rPr>
              <w:t>、C</w:t>
            </w:r>
            <w:r>
              <w:rPr>
                <w:rFonts w:ascii="宋体" w:hAnsi="宋体"/>
                <w:color w:val="auto"/>
                <w:sz w:val="21"/>
              </w:rPr>
              <w:t>20</w:t>
            </w:r>
            <w:r>
              <w:rPr>
                <w:rFonts w:hint="eastAsia" w:ascii="宋体" w:hAnsi="宋体"/>
                <w:color w:val="auto"/>
                <w:sz w:val="21"/>
              </w:rPr>
              <w:t>素混凝土垫层随抹随光</w:t>
            </w:r>
          </w:p>
          <w:p w14:paraId="613A4EB4">
            <w:pPr>
              <w:pStyle w:val="47"/>
              <w:ind w:firstLine="420"/>
              <w:rPr>
                <w:rFonts w:hint="eastAsia" w:ascii="宋体" w:hAnsi="宋体"/>
                <w:color w:val="auto"/>
              </w:rPr>
            </w:pPr>
            <w:r>
              <w:rPr>
                <w:rFonts w:hint="eastAsia" w:ascii="宋体" w:hAnsi="宋体"/>
                <w:color w:val="auto"/>
              </w:rPr>
              <w:t>4、素土夯实</w:t>
            </w:r>
          </w:p>
          <w:p w14:paraId="14EA3DEA">
            <w:pPr>
              <w:ind w:firstLine="0" w:firstLineChars="0"/>
              <w:jc w:val="left"/>
              <w:rPr>
                <w:rFonts w:hint="eastAsia" w:ascii="宋体" w:hAnsi="宋体"/>
                <w:color w:val="auto"/>
              </w:rPr>
            </w:pPr>
            <w:r>
              <w:rPr>
                <w:rFonts w:hint="eastAsia" w:ascii="宋体" w:hAnsi="宋体"/>
                <w:color w:val="auto"/>
              </w:rPr>
              <w:t>外墙：</w:t>
            </w:r>
          </w:p>
          <w:p w14:paraId="7955EA69">
            <w:pPr>
              <w:ind w:firstLine="459"/>
              <w:jc w:val="left"/>
              <w:rPr>
                <w:rFonts w:hint="eastAsia" w:ascii="宋体" w:hAnsi="宋体"/>
                <w:color w:val="auto"/>
                <w:w w:val="110"/>
                <w:sz w:val="21"/>
              </w:rPr>
            </w:pPr>
            <w:r>
              <w:rPr>
                <w:rFonts w:hint="eastAsia" w:ascii="宋体" w:hAnsi="宋体"/>
                <w:color w:val="auto"/>
                <w:w w:val="110"/>
                <w:sz w:val="21"/>
              </w:rPr>
              <w:t>1、回填土</w:t>
            </w:r>
          </w:p>
          <w:p w14:paraId="700EA505">
            <w:pPr>
              <w:ind w:firstLine="459"/>
              <w:jc w:val="left"/>
              <w:rPr>
                <w:rFonts w:hint="eastAsia" w:ascii="宋体" w:hAnsi="宋体"/>
                <w:color w:val="auto"/>
                <w:sz w:val="21"/>
              </w:rPr>
            </w:pPr>
            <w:r>
              <w:rPr>
                <w:rFonts w:ascii="宋体" w:hAnsi="宋体"/>
                <w:color w:val="auto"/>
                <w:w w:val="110"/>
                <w:sz w:val="21"/>
              </w:rPr>
              <w:t>2</w:t>
            </w:r>
            <w:r>
              <w:rPr>
                <w:rFonts w:hint="eastAsia" w:ascii="宋体" w:hAnsi="宋体"/>
                <w:color w:val="auto"/>
                <w:w w:val="110"/>
                <w:sz w:val="21"/>
              </w:rPr>
              <w:t>、</w:t>
            </w:r>
            <w:r>
              <w:rPr>
                <w:rFonts w:ascii="宋体" w:hAnsi="宋体"/>
                <w:color w:val="auto"/>
                <w:w w:val="110"/>
                <w:sz w:val="21"/>
              </w:rPr>
              <w:t>50 厚阻燃型硬质挤塑聚苯板</w:t>
            </w:r>
          </w:p>
          <w:p w14:paraId="7CDD99CA">
            <w:pPr>
              <w:ind w:firstLine="428"/>
              <w:jc w:val="left"/>
              <w:rPr>
                <w:rFonts w:hint="eastAsia" w:ascii="宋体" w:hAnsi="宋体"/>
                <w:color w:val="auto"/>
                <w:spacing w:val="-3"/>
                <w:w w:val="105"/>
                <w:sz w:val="21"/>
              </w:rPr>
            </w:pPr>
            <w:r>
              <w:rPr>
                <w:rFonts w:ascii="宋体" w:hAnsi="宋体"/>
                <w:color w:val="auto"/>
                <w:spacing w:val="-3"/>
                <w:w w:val="105"/>
                <w:sz w:val="21"/>
              </w:rPr>
              <w:t>3</w:t>
            </w:r>
            <w:r>
              <w:rPr>
                <w:rFonts w:hint="eastAsia" w:ascii="宋体" w:hAnsi="宋体"/>
                <w:color w:val="auto"/>
                <w:spacing w:val="-3"/>
                <w:w w:val="105"/>
                <w:sz w:val="21"/>
              </w:rPr>
              <w:t>、</w:t>
            </w:r>
            <w:r>
              <w:rPr>
                <w:rFonts w:ascii="宋体" w:hAnsi="宋体"/>
                <w:color w:val="auto"/>
                <w:spacing w:val="-3"/>
                <w:w w:val="105"/>
                <w:sz w:val="21"/>
              </w:rPr>
              <w:t>1.5厚</w:t>
            </w:r>
            <w:r>
              <w:rPr>
                <w:rFonts w:hint="eastAsia" w:ascii="宋体" w:hAnsi="宋体"/>
                <w:color w:val="auto"/>
                <w:spacing w:val="-3"/>
                <w:w w:val="105"/>
                <w:sz w:val="21"/>
              </w:rPr>
              <w:t>强力交叉莫自粘高分子防水卷材</w:t>
            </w:r>
          </w:p>
          <w:p w14:paraId="5C61C6A7">
            <w:pPr>
              <w:ind w:firstLine="428"/>
              <w:jc w:val="left"/>
              <w:rPr>
                <w:rFonts w:hint="eastAsia" w:ascii="宋体" w:hAnsi="宋体"/>
                <w:color w:val="auto"/>
                <w:spacing w:val="-3"/>
                <w:w w:val="105"/>
                <w:sz w:val="21"/>
              </w:rPr>
            </w:pPr>
            <w:r>
              <w:rPr>
                <w:rFonts w:ascii="宋体" w:hAnsi="宋体"/>
                <w:color w:val="auto"/>
                <w:spacing w:val="-3"/>
                <w:w w:val="105"/>
                <w:sz w:val="21"/>
              </w:rPr>
              <w:t>4</w:t>
            </w:r>
            <w:r>
              <w:rPr>
                <w:rFonts w:hint="eastAsia" w:ascii="宋体" w:hAnsi="宋体"/>
                <w:color w:val="auto"/>
                <w:spacing w:val="-3"/>
                <w:w w:val="105"/>
                <w:sz w:val="21"/>
              </w:rPr>
              <w:t>、</w:t>
            </w:r>
            <w:r>
              <w:rPr>
                <w:rFonts w:ascii="宋体" w:hAnsi="宋体"/>
                <w:color w:val="auto"/>
                <w:spacing w:val="-3"/>
                <w:w w:val="105"/>
                <w:sz w:val="21"/>
              </w:rPr>
              <w:t>2.0 厚</w:t>
            </w:r>
            <w:r>
              <w:rPr>
                <w:rFonts w:hint="eastAsia" w:ascii="宋体" w:hAnsi="宋体"/>
                <w:color w:val="auto"/>
                <w:spacing w:val="-3"/>
                <w:w w:val="105"/>
                <w:sz w:val="21"/>
              </w:rPr>
              <w:t>非固化橡胶</w:t>
            </w:r>
            <w:r>
              <w:rPr>
                <w:rFonts w:ascii="宋体" w:hAnsi="宋体"/>
                <w:color w:val="auto"/>
                <w:spacing w:val="-3"/>
                <w:w w:val="105"/>
                <w:sz w:val="21"/>
              </w:rPr>
              <w:t>沥青防水涂料</w:t>
            </w:r>
            <w:r>
              <w:rPr>
                <w:rFonts w:hint="eastAsia" w:ascii="宋体" w:hAnsi="宋体"/>
                <w:color w:val="auto"/>
                <w:spacing w:val="-3"/>
                <w:w w:val="105"/>
                <w:sz w:val="21"/>
              </w:rPr>
              <w:t>（抗滑移）</w:t>
            </w:r>
          </w:p>
          <w:p w14:paraId="2E0EE0A4">
            <w:pPr>
              <w:spacing w:line="240" w:lineRule="auto"/>
              <w:ind w:firstLine="428"/>
              <w:rPr>
                <w:rFonts w:hint="eastAsia" w:ascii="宋体" w:hAnsi="宋体"/>
                <w:color w:val="auto"/>
                <w:w w:val="105"/>
                <w:sz w:val="21"/>
              </w:rPr>
            </w:pPr>
            <w:r>
              <w:rPr>
                <w:rFonts w:hint="eastAsia" w:ascii="宋体" w:hAnsi="宋体"/>
                <w:color w:val="auto"/>
                <w:spacing w:val="-3"/>
                <w:w w:val="105"/>
                <w:sz w:val="21"/>
              </w:rPr>
              <w:t>5、</w:t>
            </w:r>
            <w:r>
              <w:rPr>
                <w:rFonts w:ascii="宋体" w:hAnsi="宋体"/>
                <w:color w:val="auto"/>
                <w:spacing w:val="-3"/>
                <w:w w:val="105"/>
                <w:sz w:val="21"/>
              </w:rPr>
              <w:t>钢</w:t>
            </w:r>
            <w:r>
              <w:rPr>
                <w:rFonts w:ascii="宋体" w:hAnsi="宋体"/>
                <w:color w:val="auto"/>
                <w:spacing w:val="-2"/>
                <w:w w:val="105"/>
                <w:sz w:val="21"/>
              </w:rPr>
              <w:t>筋混凝</w:t>
            </w:r>
            <w:r>
              <w:rPr>
                <w:rFonts w:ascii="宋体" w:hAnsi="宋体"/>
                <w:color w:val="auto"/>
                <w:spacing w:val="-7"/>
                <w:w w:val="105"/>
                <w:sz w:val="21"/>
              </w:rPr>
              <w:t>士</w:t>
            </w:r>
            <w:r>
              <w:rPr>
                <w:rFonts w:ascii="宋体" w:hAnsi="宋体"/>
                <w:color w:val="auto"/>
                <w:spacing w:val="-11"/>
                <w:w w:val="105"/>
                <w:sz w:val="21"/>
              </w:rPr>
              <w:t>侧壁</w:t>
            </w:r>
            <w:r>
              <w:rPr>
                <w:rFonts w:ascii="宋体" w:hAnsi="宋体"/>
                <w:color w:val="auto"/>
                <w:spacing w:val="-13"/>
                <w:w w:val="105"/>
                <w:sz w:val="21"/>
              </w:rPr>
              <w:t>自</w:t>
            </w:r>
            <w:r>
              <w:rPr>
                <w:rFonts w:ascii="宋体" w:hAnsi="宋体"/>
                <w:color w:val="auto"/>
                <w:spacing w:val="-6"/>
                <w:w w:val="105"/>
                <w:sz w:val="21"/>
              </w:rPr>
              <w:t>防</w:t>
            </w:r>
            <w:r>
              <w:rPr>
                <w:rFonts w:ascii="宋体" w:hAnsi="宋体"/>
                <w:color w:val="auto"/>
                <w:w w:val="105"/>
                <w:sz w:val="21"/>
              </w:rPr>
              <w:t>水</w:t>
            </w:r>
            <w:r>
              <w:rPr>
                <w:rFonts w:ascii="宋体" w:hAnsi="宋体"/>
                <w:color w:val="auto"/>
                <w:spacing w:val="-148"/>
                <w:w w:val="105"/>
                <w:sz w:val="21"/>
              </w:rPr>
              <w:t>（</w:t>
            </w:r>
            <w:r>
              <w:rPr>
                <w:rFonts w:ascii="宋体" w:hAnsi="宋体"/>
                <w:color w:val="auto"/>
                <w:spacing w:val="-2"/>
                <w:w w:val="105"/>
                <w:sz w:val="21"/>
              </w:rPr>
              <w:t>表面</w:t>
            </w:r>
            <w:r>
              <w:rPr>
                <w:rFonts w:ascii="宋体" w:hAnsi="宋体"/>
                <w:color w:val="auto"/>
                <w:w w:val="105"/>
                <w:sz w:val="21"/>
              </w:rPr>
              <w:t>批</w:t>
            </w:r>
            <w:r>
              <w:rPr>
                <w:rFonts w:ascii="宋体" w:hAnsi="宋体"/>
                <w:color w:val="auto"/>
                <w:spacing w:val="-9"/>
                <w:w w:val="105"/>
                <w:sz w:val="21"/>
              </w:rPr>
              <w:t>嵌修</w:t>
            </w:r>
            <w:r>
              <w:rPr>
                <w:rFonts w:ascii="宋体" w:hAnsi="宋体"/>
                <w:color w:val="auto"/>
                <w:spacing w:val="-4"/>
                <w:w w:val="105"/>
                <w:sz w:val="21"/>
              </w:rPr>
              <w:t>补</w:t>
            </w:r>
            <w:r>
              <w:rPr>
                <w:rFonts w:ascii="宋体" w:hAnsi="宋体"/>
                <w:color w:val="auto"/>
                <w:spacing w:val="-10"/>
                <w:w w:val="105"/>
                <w:sz w:val="21"/>
              </w:rPr>
              <w:t>平整</w:t>
            </w:r>
            <w:r>
              <w:rPr>
                <w:rFonts w:ascii="宋体" w:hAnsi="宋体"/>
                <w:color w:val="auto"/>
                <w:w w:val="105"/>
                <w:sz w:val="21"/>
              </w:rPr>
              <w:t>）</w:t>
            </w:r>
          </w:p>
          <w:p w14:paraId="0BCCC39B">
            <w:pPr>
              <w:spacing w:line="240" w:lineRule="auto"/>
              <w:ind w:firstLine="0" w:firstLineChars="0"/>
              <w:rPr>
                <w:color w:val="auto"/>
              </w:rPr>
            </w:pPr>
            <w:r>
              <w:rPr>
                <w:rFonts w:hint="eastAsia"/>
                <w:color w:val="auto"/>
              </w:rPr>
              <w:t>顶板（广场/道路）：</w:t>
            </w:r>
          </w:p>
          <w:p w14:paraId="4978C47C">
            <w:pPr>
              <w:ind w:firstLine="420"/>
              <w:rPr>
                <w:rFonts w:hint="eastAsia" w:ascii="宋体" w:hAnsi="宋体"/>
                <w:color w:val="auto"/>
                <w:sz w:val="21"/>
              </w:rPr>
            </w:pPr>
            <w:r>
              <w:rPr>
                <w:rFonts w:hint="eastAsia" w:ascii="宋体" w:hAnsi="宋体"/>
                <w:color w:val="auto"/>
                <w:sz w:val="21"/>
              </w:rPr>
              <w:t>1、</w:t>
            </w:r>
            <w:r>
              <w:rPr>
                <w:rFonts w:ascii="宋体" w:hAnsi="宋体"/>
                <w:color w:val="auto"/>
                <w:sz w:val="21"/>
              </w:rPr>
              <w:t>广场或道路做法详景观设计</w:t>
            </w:r>
          </w:p>
          <w:p w14:paraId="3916A536">
            <w:pPr>
              <w:ind w:firstLine="420"/>
              <w:rPr>
                <w:rFonts w:hint="eastAsia" w:ascii="宋体" w:hAnsi="宋体"/>
                <w:color w:val="auto"/>
                <w:sz w:val="21"/>
              </w:rPr>
            </w:pPr>
            <w:r>
              <w:rPr>
                <w:rFonts w:ascii="宋体" w:hAnsi="宋体"/>
                <w:color w:val="auto"/>
                <w:sz w:val="21"/>
              </w:rPr>
              <w:t>2</w:t>
            </w:r>
            <w:r>
              <w:rPr>
                <w:rFonts w:hint="eastAsia" w:ascii="宋体" w:hAnsi="宋体"/>
                <w:color w:val="auto"/>
                <w:sz w:val="21"/>
              </w:rPr>
              <w:t>、</w:t>
            </w:r>
            <w:r>
              <w:rPr>
                <w:rFonts w:ascii="宋体" w:hAnsi="宋体"/>
                <w:color w:val="auto"/>
                <w:sz w:val="21"/>
              </w:rPr>
              <w:t>70 厚 C20 细石混凝土配Ф6@200 双向，按轴线对位关系设置 分仓缝间距≤6m，缝内嵌填防水密封胶</w:t>
            </w:r>
          </w:p>
          <w:p w14:paraId="34CCCC21">
            <w:pPr>
              <w:ind w:firstLine="420"/>
              <w:rPr>
                <w:rFonts w:hint="eastAsia" w:ascii="宋体" w:hAnsi="宋体"/>
                <w:color w:val="auto"/>
                <w:sz w:val="21"/>
              </w:rPr>
            </w:pPr>
            <w:r>
              <w:rPr>
                <w:rFonts w:ascii="宋体" w:hAnsi="宋体"/>
                <w:color w:val="auto"/>
                <w:sz w:val="21"/>
              </w:rPr>
              <w:t>3</w:t>
            </w:r>
            <w:r>
              <w:rPr>
                <w:rFonts w:hint="eastAsia" w:ascii="宋体" w:hAnsi="宋体"/>
                <w:color w:val="auto"/>
                <w:sz w:val="21"/>
              </w:rPr>
              <w:t>、</w:t>
            </w:r>
            <w:r>
              <w:rPr>
                <w:rFonts w:ascii="宋体" w:hAnsi="宋体"/>
                <w:color w:val="auto"/>
                <w:sz w:val="21"/>
              </w:rPr>
              <w:t>0. 4mm 厚聚乙烯膜隔离层</w:t>
            </w:r>
          </w:p>
          <w:p w14:paraId="2FBFDAB7">
            <w:pPr>
              <w:ind w:firstLine="420"/>
              <w:rPr>
                <w:rFonts w:hint="eastAsia" w:ascii="宋体" w:hAnsi="宋体"/>
                <w:color w:val="auto"/>
                <w:sz w:val="21"/>
              </w:rPr>
            </w:pPr>
            <w:r>
              <w:rPr>
                <w:rFonts w:ascii="宋体" w:hAnsi="宋体"/>
                <w:color w:val="auto"/>
                <w:sz w:val="21"/>
              </w:rPr>
              <w:t>4</w:t>
            </w:r>
            <w:r>
              <w:rPr>
                <w:rFonts w:hint="eastAsia" w:ascii="宋体" w:hAnsi="宋体"/>
                <w:color w:val="auto"/>
                <w:sz w:val="21"/>
              </w:rPr>
              <w:t>、</w:t>
            </w:r>
            <w:r>
              <w:rPr>
                <w:rFonts w:ascii="宋体" w:hAnsi="宋体"/>
                <w:color w:val="auto"/>
                <w:sz w:val="21"/>
              </w:rPr>
              <w:t>40</w:t>
            </w:r>
            <w:r>
              <w:rPr>
                <w:rFonts w:hint="eastAsia" w:ascii="宋体" w:hAnsi="宋体"/>
                <w:color w:val="auto"/>
                <w:sz w:val="21"/>
              </w:rPr>
              <w:t>厚阻燃型硬质挤塑苯板（节能计算取值3</w:t>
            </w:r>
            <w:r>
              <w:rPr>
                <w:rFonts w:ascii="宋体" w:hAnsi="宋体"/>
                <w:color w:val="auto"/>
                <w:sz w:val="21"/>
              </w:rPr>
              <w:t>0</w:t>
            </w:r>
            <w:r>
              <w:rPr>
                <w:rFonts w:hint="eastAsia" w:ascii="宋体" w:hAnsi="宋体"/>
                <w:color w:val="auto"/>
                <w:sz w:val="21"/>
              </w:rPr>
              <w:t>mm，仅用于顶板下部有空调的房间）</w:t>
            </w:r>
          </w:p>
          <w:p w14:paraId="6E367851">
            <w:pPr>
              <w:ind w:firstLine="420"/>
              <w:rPr>
                <w:rFonts w:hint="eastAsia" w:ascii="宋体" w:hAnsi="宋体"/>
                <w:color w:val="auto"/>
                <w:sz w:val="21"/>
              </w:rPr>
            </w:pPr>
            <w:r>
              <w:rPr>
                <w:rFonts w:ascii="宋体" w:hAnsi="宋体"/>
                <w:color w:val="auto"/>
                <w:sz w:val="21"/>
              </w:rPr>
              <w:t>5</w:t>
            </w:r>
            <w:r>
              <w:rPr>
                <w:rFonts w:hint="eastAsia" w:ascii="宋体" w:hAnsi="宋体"/>
                <w:color w:val="auto"/>
                <w:sz w:val="21"/>
              </w:rPr>
              <w:t>、</w:t>
            </w:r>
            <w:r>
              <w:rPr>
                <w:rFonts w:ascii="宋体" w:hAnsi="宋体"/>
                <w:color w:val="auto"/>
                <w:sz w:val="21"/>
              </w:rPr>
              <w:t>4</w:t>
            </w:r>
            <w:r>
              <w:rPr>
                <w:rFonts w:hint="eastAsia" w:ascii="宋体" w:hAnsi="宋体"/>
                <w:color w:val="auto"/>
                <w:sz w:val="21"/>
              </w:rPr>
              <w:t>厚S</w:t>
            </w:r>
            <w:r>
              <w:rPr>
                <w:rFonts w:ascii="宋体" w:hAnsi="宋体"/>
                <w:color w:val="auto"/>
                <w:sz w:val="21"/>
              </w:rPr>
              <w:t>BS</w:t>
            </w:r>
            <w:r>
              <w:rPr>
                <w:rFonts w:hint="eastAsia" w:ascii="宋体" w:hAnsi="宋体"/>
                <w:color w:val="auto"/>
                <w:sz w:val="21"/>
              </w:rPr>
              <w:t>改性沥青防水卷材</w:t>
            </w:r>
          </w:p>
          <w:p w14:paraId="3AB2B376">
            <w:pPr>
              <w:ind w:firstLine="420"/>
              <w:rPr>
                <w:rFonts w:hint="eastAsia" w:ascii="宋体" w:hAnsi="宋体"/>
                <w:color w:val="auto"/>
                <w:sz w:val="21"/>
              </w:rPr>
            </w:pPr>
            <w:r>
              <w:rPr>
                <w:rFonts w:ascii="宋体" w:hAnsi="宋体"/>
                <w:color w:val="auto"/>
                <w:sz w:val="21"/>
              </w:rPr>
              <w:t>6</w:t>
            </w:r>
            <w:r>
              <w:rPr>
                <w:rFonts w:hint="eastAsia" w:ascii="宋体" w:hAnsi="宋体"/>
                <w:color w:val="auto"/>
                <w:sz w:val="21"/>
              </w:rPr>
              <w:t>、2厚非固化橡胶沥青防水涂料</w:t>
            </w:r>
          </w:p>
          <w:p w14:paraId="749B8F67">
            <w:pPr>
              <w:spacing w:line="240" w:lineRule="auto"/>
              <w:ind w:firstLine="420"/>
              <w:rPr>
                <w:rFonts w:hint="eastAsia" w:ascii="宋体" w:hAnsi="宋体"/>
                <w:color w:val="auto"/>
                <w:sz w:val="21"/>
              </w:rPr>
            </w:pPr>
            <w:r>
              <w:rPr>
                <w:rFonts w:hint="eastAsia" w:ascii="宋体" w:hAnsi="宋体"/>
                <w:color w:val="auto"/>
                <w:sz w:val="21"/>
              </w:rPr>
              <w:t>7、钢筋混凝土防水顶板</w:t>
            </w:r>
          </w:p>
          <w:p w14:paraId="0ED964F2">
            <w:pPr>
              <w:spacing w:line="240" w:lineRule="auto"/>
              <w:ind w:firstLine="0" w:firstLineChars="0"/>
              <w:rPr>
                <w:color w:val="auto"/>
              </w:rPr>
            </w:pPr>
            <w:r>
              <w:rPr>
                <w:rFonts w:hint="eastAsia"/>
                <w:color w:val="auto"/>
              </w:rPr>
              <w:t>顶板（种植区）：</w:t>
            </w:r>
          </w:p>
          <w:p w14:paraId="45025B93">
            <w:pPr>
              <w:ind w:firstLine="420"/>
              <w:rPr>
                <w:rFonts w:hint="eastAsia" w:ascii="宋体" w:hAnsi="宋体"/>
                <w:color w:val="auto"/>
                <w:sz w:val="21"/>
              </w:rPr>
            </w:pPr>
            <w:r>
              <w:rPr>
                <w:rFonts w:hint="eastAsia" w:ascii="宋体" w:hAnsi="宋体"/>
                <w:color w:val="auto"/>
                <w:sz w:val="21"/>
              </w:rPr>
              <w:t>1、轻质营养土</w:t>
            </w:r>
          </w:p>
          <w:p w14:paraId="067FF112">
            <w:pPr>
              <w:ind w:firstLine="420"/>
              <w:rPr>
                <w:rFonts w:hint="eastAsia" w:ascii="宋体" w:hAnsi="宋体"/>
                <w:color w:val="auto"/>
                <w:sz w:val="21"/>
              </w:rPr>
            </w:pPr>
            <w:r>
              <w:rPr>
                <w:rFonts w:hint="eastAsia" w:ascii="宋体" w:hAnsi="宋体"/>
                <w:color w:val="auto"/>
                <w:sz w:val="21"/>
              </w:rPr>
              <w:t>2、土工布隔离层</w:t>
            </w:r>
          </w:p>
          <w:p w14:paraId="754FEAC5">
            <w:pPr>
              <w:ind w:firstLine="420"/>
              <w:rPr>
                <w:rFonts w:hint="eastAsia" w:ascii="宋体" w:hAnsi="宋体"/>
                <w:color w:val="auto"/>
                <w:sz w:val="21"/>
              </w:rPr>
            </w:pPr>
            <w:r>
              <w:rPr>
                <w:rFonts w:hint="eastAsia" w:ascii="宋体" w:hAnsi="宋体"/>
                <w:color w:val="auto"/>
                <w:sz w:val="21"/>
              </w:rPr>
              <w:t>3、支点型夹层塑料板滤水层</w:t>
            </w:r>
          </w:p>
          <w:p w14:paraId="15EE805B">
            <w:pPr>
              <w:ind w:firstLine="420"/>
              <w:rPr>
                <w:rFonts w:hint="eastAsia" w:ascii="宋体" w:hAnsi="宋体"/>
                <w:color w:val="auto"/>
                <w:sz w:val="21"/>
              </w:rPr>
            </w:pPr>
            <w:r>
              <w:rPr>
                <w:rFonts w:hint="eastAsia" w:ascii="宋体" w:hAnsi="宋体"/>
                <w:color w:val="auto"/>
                <w:sz w:val="21"/>
              </w:rPr>
              <w:t>4、保护层：</w:t>
            </w:r>
            <w:r>
              <w:rPr>
                <w:rFonts w:ascii="宋体" w:hAnsi="宋体"/>
                <w:color w:val="auto"/>
                <w:sz w:val="21"/>
              </w:rPr>
              <w:t>70厚C20细石混凝土配Ф6@200双向,按轴线对位关系设置分仓 缝间距≤6m，缝内嵌填防水密封胶</w:t>
            </w:r>
          </w:p>
          <w:p w14:paraId="79BECF0A">
            <w:pPr>
              <w:ind w:firstLine="420"/>
              <w:rPr>
                <w:rFonts w:hint="eastAsia" w:ascii="宋体" w:hAnsi="宋体"/>
                <w:color w:val="auto"/>
                <w:sz w:val="21"/>
              </w:rPr>
            </w:pPr>
            <w:r>
              <w:rPr>
                <w:rFonts w:ascii="宋体" w:hAnsi="宋体"/>
                <w:color w:val="auto"/>
                <w:sz w:val="21"/>
              </w:rPr>
              <w:t>5</w:t>
            </w:r>
            <w:r>
              <w:rPr>
                <w:rFonts w:hint="eastAsia" w:ascii="宋体" w:hAnsi="宋体"/>
                <w:color w:val="auto"/>
                <w:sz w:val="21"/>
              </w:rPr>
              <w:t>、</w:t>
            </w:r>
            <w:r>
              <w:rPr>
                <w:rFonts w:ascii="宋体" w:hAnsi="宋体"/>
                <w:color w:val="auto"/>
                <w:sz w:val="21"/>
              </w:rPr>
              <w:t>0.4mm 厚聚乙烯膜隔离层</w:t>
            </w:r>
          </w:p>
          <w:p w14:paraId="2819A460">
            <w:pPr>
              <w:ind w:firstLine="420"/>
              <w:rPr>
                <w:rFonts w:hint="eastAsia" w:ascii="宋体" w:hAnsi="宋体"/>
                <w:color w:val="auto"/>
                <w:sz w:val="21"/>
              </w:rPr>
            </w:pPr>
            <w:r>
              <w:rPr>
                <w:rFonts w:ascii="宋体" w:hAnsi="宋体"/>
                <w:color w:val="auto"/>
                <w:sz w:val="21"/>
              </w:rPr>
              <w:t>6</w:t>
            </w:r>
            <w:r>
              <w:rPr>
                <w:rFonts w:hint="eastAsia" w:ascii="宋体" w:hAnsi="宋体"/>
                <w:color w:val="auto"/>
                <w:sz w:val="21"/>
              </w:rPr>
              <w:t>、</w:t>
            </w:r>
            <w:r>
              <w:rPr>
                <w:rFonts w:ascii="宋体" w:hAnsi="宋体"/>
                <w:color w:val="auto"/>
                <w:sz w:val="21"/>
              </w:rPr>
              <w:t>4</w:t>
            </w:r>
            <w:r>
              <w:rPr>
                <w:rFonts w:hint="eastAsia" w:ascii="宋体" w:hAnsi="宋体"/>
                <w:color w:val="auto"/>
                <w:sz w:val="21"/>
              </w:rPr>
              <w:t>厚S</w:t>
            </w:r>
            <w:r>
              <w:rPr>
                <w:rFonts w:ascii="宋体" w:hAnsi="宋体"/>
                <w:color w:val="auto"/>
                <w:sz w:val="21"/>
              </w:rPr>
              <w:t>BS</w:t>
            </w:r>
            <w:r>
              <w:rPr>
                <w:rFonts w:hint="eastAsia" w:ascii="宋体" w:hAnsi="宋体"/>
                <w:color w:val="auto"/>
                <w:sz w:val="21"/>
              </w:rPr>
              <w:t>改性沥青耐根穿刺防水卷材</w:t>
            </w:r>
          </w:p>
          <w:p w14:paraId="7AC3C685">
            <w:pPr>
              <w:ind w:firstLine="420"/>
              <w:rPr>
                <w:rFonts w:hint="eastAsia" w:ascii="宋体" w:hAnsi="宋体"/>
                <w:color w:val="auto"/>
                <w:sz w:val="21"/>
              </w:rPr>
            </w:pPr>
            <w:r>
              <w:rPr>
                <w:rFonts w:ascii="宋体" w:hAnsi="宋体"/>
                <w:color w:val="auto"/>
                <w:sz w:val="21"/>
              </w:rPr>
              <w:t>7</w:t>
            </w:r>
            <w:r>
              <w:rPr>
                <w:rFonts w:hint="eastAsia" w:ascii="宋体" w:hAnsi="宋体"/>
                <w:color w:val="auto"/>
                <w:sz w:val="21"/>
              </w:rPr>
              <w:t>、2厚非固化橡胶沥青防水涂料</w:t>
            </w:r>
          </w:p>
          <w:p w14:paraId="43A3DFBE">
            <w:pPr>
              <w:ind w:firstLine="420"/>
              <w:rPr>
                <w:rFonts w:hint="eastAsia" w:ascii="宋体" w:hAnsi="宋体"/>
                <w:color w:val="auto"/>
                <w:sz w:val="21"/>
              </w:rPr>
            </w:pPr>
            <w:r>
              <w:rPr>
                <w:rFonts w:hint="eastAsia" w:ascii="宋体" w:hAnsi="宋体"/>
                <w:color w:val="auto"/>
                <w:sz w:val="21"/>
              </w:rPr>
              <w:t>8、</w:t>
            </w:r>
            <w:r>
              <w:rPr>
                <w:rFonts w:ascii="宋体" w:hAnsi="宋体"/>
                <w:color w:val="auto"/>
                <w:sz w:val="21"/>
              </w:rPr>
              <w:t>最薄处 30 厚轻骨料混凝土找坡找平（LC7.5,容重≤1200kg/m3）</w:t>
            </w:r>
          </w:p>
          <w:p w14:paraId="00CB4695">
            <w:pPr>
              <w:spacing w:line="240" w:lineRule="auto"/>
              <w:ind w:firstLine="420"/>
              <w:rPr>
                <w:color w:val="auto"/>
              </w:rPr>
            </w:pPr>
            <w:r>
              <w:rPr>
                <w:rFonts w:hint="eastAsia" w:ascii="宋体" w:hAnsi="宋体"/>
                <w:color w:val="auto"/>
                <w:sz w:val="21"/>
              </w:rPr>
              <w:t>9、钢筋混凝土防水顶板</w:t>
            </w:r>
          </w:p>
        </w:tc>
      </w:tr>
      <w:tr w14:paraId="5399E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14A5BEB4">
            <w:pPr>
              <w:pStyle w:val="45"/>
              <w:rPr>
                <w:rFonts w:hint="eastAsia"/>
                <w:color w:val="auto"/>
              </w:rPr>
            </w:pPr>
          </w:p>
        </w:tc>
        <w:tc>
          <w:tcPr>
            <w:tcW w:w="498" w:type="pct"/>
            <w:vAlign w:val="center"/>
          </w:tcPr>
          <w:p w14:paraId="3591B30E">
            <w:pPr>
              <w:pStyle w:val="45"/>
              <w:rPr>
                <w:rFonts w:hint="eastAsia"/>
                <w:color w:val="auto"/>
              </w:rPr>
            </w:pPr>
            <w:r>
              <w:rPr>
                <w:rFonts w:hint="eastAsia"/>
                <w:color w:val="auto"/>
              </w:rPr>
              <w:t>屋面</w:t>
            </w:r>
          </w:p>
        </w:tc>
        <w:tc>
          <w:tcPr>
            <w:tcW w:w="4189" w:type="pct"/>
            <w:gridSpan w:val="8"/>
            <w:vAlign w:val="center"/>
          </w:tcPr>
          <w:p w14:paraId="318EF000">
            <w:pPr>
              <w:pStyle w:val="47"/>
              <w:ind w:firstLine="420"/>
              <w:rPr>
                <w:color w:val="auto"/>
              </w:rPr>
            </w:pPr>
            <w:r>
              <w:rPr>
                <w:rFonts w:hint="eastAsia"/>
                <w:color w:val="auto"/>
              </w:rPr>
              <w:t>50mm 厚C20 细石防水混凝土整浇、10厚低强度等级砂浆隔离层、50厚挤塑聚苯乙烯泡沫塑料、1.5厚合成高分子防水卷材一道、1.5厚双面高分子自粘膜防水卷材</w:t>
            </w:r>
          </w:p>
        </w:tc>
      </w:tr>
      <w:tr w14:paraId="54BC2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52FD6261">
            <w:pPr>
              <w:pStyle w:val="45"/>
              <w:rPr>
                <w:rFonts w:hint="eastAsia"/>
                <w:color w:val="auto"/>
              </w:rPr>
            </w:pPr>
          </w:p>
        </w:tc>
        <w:tc>
          <w:tcPr>
            <w:tcW w:w="498" w:type="pct"/>
            <w:vAlign w:val="center"/>
          </w:tcPr>
          <w:p w14:paraId="5DB3F74E">
            <w:pPr>
              <w:pStyle w:val="45"/>
              <w:rPr>
                <w:rFonts w:hint="eastAsia"/>
                <w:color w:val="auto"/>
              </w:rPr>
            </w:pPr>
            <w:r>
              <w:rPr>
                <w:rFonts w:hint="eastAsia"/>
                <w:color w:val="auto"/>
              </w:rPr>
              <w:t>厕浴间</w:t>
            </w:r>
          </w:p>
        </w:tc>
        <w:tc>
          <w:tcPr>
            <w:tcW w:w="4189" w:type="pct"/>
            <w:gridSpan w:val="8"/>
            <w:vAlign w:val="center"/>
          </w:tcPr>
          <w:p w14:paraId="5C2363E5">
            <w:pPr>
              <w:pStyle w:val="47"/>
              <w:ind w:firstLine="420"/>
              <w:rPr>
                <w:color w:val="auto"/>
              </w:rPr>
            </w:pPr>
            <w:r>
              <w:rPr>
                <w:rFonts w:hint="eastAsia"/>
                <w:color w:val="auto"/>
              </w:rPr>
              <w:t>10厚防滑地砖、25厚DS20干硬性水泥砂浆结合层、1.5厚聚氨酯防水层两道</w:t>
            </w:r>
          </w:p>
        </w:tc>
      </w:tr>
      <w:tr w14:paraId="762D3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51F0AD61">
            <w:pPr>
              <w:pStyle w:val="45"/>
              <w:rPr>
                <w:rFonts w:hint="eastAsia"/>
                <w:color w:val="auto"/>
              </w:rPr>
            </w:pPr>
          </w:p>
        </w:tc>
        <w:tc>
          <w:tcPr>
            <w:tcW w:w="498" w:type="pct"/>
            <w:vAlign w:val="center"/>
          </w:tcPr>
          <w:p w14:paraId="1938309E">
            <w:pPr>
              <w:pStyle w:val="45"/>
              <w:rPr>
                <w:rFonts w:hint="eastAsia"/>
                <w:color w:val="auto"/>
              </w:rPr>
            </w:pPr>
            <w:r>
              <w:rPr>
                <w:rFonts w:hint="eastAsia"/>
                <w:color w:val="auto"/>
              </w:rPr>
              <w:t>阳台</w:t>
            </w:r>
          </w:p>
        </w:tc>
        <w:tc>
          <w:tcPr>
            <w:tcW w:w="4189" w:type="pct"/>
            <w:gridSpan w:val="8"/>
            <w:vAlign w:val="center"/>
          </w:tcPr>
          <w:p w14:paraId="1BADD0BA">
            <w:pPr>
              <w:pStyle w:val="47"/>
              <w:ind w:firstLine="420"/>
              <w:rPr>
                <w:color w:val="auto"/>
              </w:rPr>
            </w:pPr>
            <w:r>
              <w:rPr>
                <w:rFonts w:hint="eastAsia"/>
                <w:color w:val="auto"/>
              </w:rPr>
              <w:t>10厚防滑地砖、25厚DS20干硬性水泥砂浆结合层、1.5厚聚氨酯防水层两道</w:t>
            </w:r>
          </w:p>
        </w:tc>
      </w:tr>
      <w:tr w14:paraId="5864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313" w:type="pct"/>
            <w:vMerge w:val="continue"/>
            <w:vAlign w:val="center"/>
          </w:tcPr>
          <w:p w14:paraId="3F1618F8">
            <w:pPr>
              <w:pStyle w:val="45"/>
              <w:rPr>
                <w:rFonts w:hint="eastAsia"/>
                <w:color w:val="auto"/>
              </w:rPr>
            </w:pPr>
          </w:p>
        </w:tc>
        <w:tc>
          <w:tcPr>
            <w:tcW w:w="498" w:type="pct"/>
            <w:vAlign w:val="center"/>
          </w:tcPr>
          <w:p w14:paraId="4DC8AFA5">
            <w:pPr>
              <w:pStyle w:val="45"/>
              <w:rPr>
                <w:rFonts w:hint="eastAsia"/>
                <w:color w:val="auto"/>
              </w:rPr>
            </w:pPr>
            <w:r>
              <w:rPr>
                <w:rFonts w:hint="eastAsia"/>
                <w:color w:val="auto"/>
              </w:rPr>
              <w:t>雨蓬</w:t>
            </w:r>
          </w:p>
        </w:tc>
        <w:tc>
          <w:tcPr>
            <w:tcW w:w="4189" w:type="pct"/>
            <w:gridSpan w:val="8"/>
            <w:vAlign w:val="center"/>
          </w:tcPr>
          <w:p w14:paraId="270726B5">
            <w:pPr>
              <w:pStyle w:val="47"/>
              <w:ind w:firstLine="420"/>
              <w:rPr>
                <w:color w:val="auto"/>
              </w:rPr>
            </w:pPr>
            <w:r>
              <w:rPr>
                <w:rFonts w:hint="eastAsia"/>
                <w:color w:val="auto"/>
              </w:rPr>
              <w:t>钢筋混凝土自防水</w:t>
            </w:r>
          </w:p>
        </w:tc>
      </w:tr>
      <w:tr w14:paraId="5424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gridSpan w:val="2"/>
            <w:vAlign w:val="center"/>
          </w:tcPr>
          <w:p w14:paraId="2B053E04">
            <w:pPr>
              <w:pStyle w:val="45"/>
              <w:rPr>
                <w:rFonts w:hint="eastAsia"/>
                <w:color w:val="auto"/>
              </w:rPr>
            </w:pPr>
            <w:r>
              <w:rPr>
                <w:rFonts w:hint="eastAsia"/>
                <w:color w:val="auto"/>
              </w:rPr>
              <w:t>保温节能</w:t>
            </w:r>
          </w:p>
        </w:tc>
        <w:tc>
          <w:tcPr>
            <w:tcW w:w="4189" w:type="pct"/>
            <w:gridSpan w:val="8"/>
            <w:vAlign w:val="center"/>
          </w:tcPr>
          <w:p w14:paraId="0328ED4F">
            <w:pPr>
              <w:pStyle w:val="47"/>
              <w:ind w:firstLine="420"/>
              <w:rPr>
                <w:color w:val="auto"/>
              </w:rPr>
            </w:pPr>
            <w:r>
              <w:rPr>
                <w:rFonts w:hint="eastAsia"/>
                <w:color w:val="auto"/>
              </w:rPr>
              <w:t>屋面采用挤塑板、外墙采用无机保温砂浆跟反射隔热涂料、架空或外挑楼板采用无机保温砂浆、外窗采用普通铝合金L</w:t>
            </w:r>
            <w:r>
              <w:rPr>
                <w:color w:val="auto"/>
              </w:rPr>
              <w:t>OW-E</w:t>
            </w:r>
            <w:r>
              <w:rPr>
                <w:rFonts w:hint="eastAsia"/>
                <w:color w:val="auto"/>
              </w:rPr>
              <w:t>中空玻璃</w:t>
            </w:r>
          </w:p>
        </w:tc>
      </w:tr>
      <w:tr w14:paraId="66E0D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gridSpan w:val="2"/>
            <w:vAlign w:val="center"/>
          </w:tcPr>
          <w:p w14:paraId="1AFF7942">
            <w:pPr>
              <w:pStyle w:val="45"/>
              <w:rPr>
                <w:rFonts w:hint="eastAsia"/>
                <w:color w:val="auto"/>
              </w:rPr>
            </w:pPr>
            <w:r>
              <w:rPr>
                <w:rFonts w:hint="eastAsia"/>
                <w:color w:val="auto"/>
              </w:rPr>
              <w:t>绿化</w:t>
            </w:r>
          </w:p>
        </w:tc>
        <w:tc>
          <w:tcPr>
            <w:tcW w:w="4189" w:type="pct"/>
            <w:gridSpan w:val="8"/>
            <w:vAlign w:val="center"/>
          </w:tcPr>
          <w:p w14:paraId="55DBA8A0">
            <w:pPr>
              <w:pStyle w:val="47"/>
              <w:ind w:firstLine="420"/>
              <w:rPr>
                <w:color w:val="auto"/>
              </w:rPr>
            </w:pPr>
            <w:r>
              <w:rPr>
                <w:rFonts w:hint="eastAsia"/>
                <w:color w:val="auto"/>
              </w:rPr>
              <w:t>绿化覆盖率</w:t>
            </w:r>
            <w:r>
              <w:rPr>
                <w:color w:val="auto"/>
              </w:rPr>
              <w:t>40</w:t>
            </w:r>
            <w:r>
              <w:rPr>
                <w:rFonts w:hint="eastAsia"/>
                <w:color w:val="auto"/>
              </w:rPr>
              <w:t>%</w:t>
            </w:r>
          </w:p>
        </w:tc>
      </w:tr>
      <w:tr w14:paraId="72D0F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11" w:type="pct"/>
            <w:gridSpan w:val="2"/>
            <w:vAlign w:val="center"/>
          </w:tcPr>
          <w:p w14:paraId="5BDEFED7">
            <w:pPr>
              <w:pStyle w:val="45"/>
              <w:rPr>
                <w:rFonts w:hint="eastAsia"/>
                <w:color w:val="auto"/>
              </w:rPr>
            </w:pPr>
            <w:r>
              <w:rPr>
                <w:rFonts w:hint="eastAsia"/>
                <w:color w:val="auto"/>
              </w:rPr>
              <w:t>环境保护</w:t>
            </w:r>
          </w:p>
        </w:tc>
        <w:tc>
          <w:tcPr>
            <w:tcW w:w="4189" w:type="pct"/>
            <w:gridSpan w:val="8"/>
            <w:vAlign w:val="center"/>
          </w:tcPr>
          <w:p w14:paraId="14E3661C">
            <w:pPr>
              <w:pStyle w:val="47"/>
              <w:ind w:firstLine="420"/>
              <w:rPr>
                <w:color w:val="auto"/>
              </w:rPr>
            </w:pPr>
            <w:r>
              <w:rPr>
                <w:rFonts w:hint="eastAsia"/>
                <w:color w:val="auto"/>
              </w:rPr>
              <w:t>本工程废弃物排放需满足国家及三亚市相关法律法规，室内环境污染物控制满足设计要求。</w:t>
            </w:r>
          </w:p>
        </w:tc>
      </w:tr>
      <w:tr w14:paraId="1F20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10"/>
            <w:vAlign w:val="center"/>
          </w:tcPr>
          <w:p w14:paraId="55CC7137">
            <w:pPr>
              <w:pStyle w:val="47"/>
              <w:ind w:firstLine="420"/>
              <w:rPr>
                <w:color w:val="auto"/>
              </w:rPr>
            </w:pPr>
            <w:r>
              <w:rPr>
                <w:rFonts w:hint="eastAsia"/>
                <w:color w:val="auto"/>
              </w:rPr>
              <w:t>其他它需说明的事项：无</w:t>
            </w:r>
          </w:p>
        </w:tc>
      </w:tr>
    </w:tbl>
    <w:p w14:paraId="325639C0">
      <w:pPr>
        <w:pStyle w:val="4"/>
        <w:ind w:firstLine="482"/>
        <w:rPr>
          <w:color w:val="auto"/>
        </w:rPr>
      </w:pPr>
      <w:bookmarkStart w:id="19" w:name="_Toc18220"/>
      <w:r>
        <w:rPr>
          <w:rFonts w:hint="eastAsia"/>
          <w:color w:val="auto"/>
        </w:rPr>
        <w:t>工程结构设计概况</w:t>
      </w:r>
      <w:bookmarkEnd w:id="19"/>
    </w:p>
    <w:p w14:paraId="30F25125">
      <w:pPr>
        <w:pStyle w:val="54"/>
        <w:rPr>
          <w:color w:val="auto"/>
        </w:rPr>
      </w:pPr>
      <w:r>
        <w:rPr>
          <w:rFonts w:hint="eastAsia"/>
          <w:color w:val="auto"/>
        </w:rPr>
        <w:t>工程结构设计概况表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5"/>
        <w:gridCol w:w="600"/>
        <w:gridCol w:w="152"/>
        <w:gridCol w:w="901"/>
        <w:gridCol w:w="1093"/>
        <w:gridCol w:w="1258"/>
        <w:gridCol w:w="337"/>
        <w:gridCol w:w="199"/>
        <w:gridCol w:w="1149"/>
        <w:gridCol w:w="118"/>
        <w:gridCol w:w="313"/>
        <w:gridCol w:w="652"/>
        <w:gridCol w:w="429"/>
        <w:gridCol w:w="1314"/>
      </w:tblGrid>
      <w:tr w14:paraId="6870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1" w:type="pct"/>
            <w:vMerge w:val="restart"/>
            <w:vAlign w:val="center"/>
          </w:tcPr>
          <w:p w14:paraId="5B1FBC7A">
            <w:pPr>
              <w:pStyle w:val="45"/>
              <w:rPr>
                <w:rFonts w:hint="eastAsia"/>
                <w:color w:val="auto"/>
              </w:rPr>
            </w:pPr>
            <w:bookmarkStart w:id="20" w:name="_Hlk37749010"/>
            <w:r>
              <w:rPr>
                <w:rFonts w:hint="eastAsia"/>
                <w:color w:val="auto"/>
              </w:rPr>
              <w:t>基础结构形式</w:t>
            </w:r>
          </w:p>
        </w:tc>
        <w:tc>
          <w:tcPr>
            <w:tcW w:w="415" w:type="pct"/>
            <w:gridSpan w:val="2"/>
            <w:vAlign w:val="center"/>
          </w:tcPr>
          <w:p w14:paraId="6B8E6B76">
            <w:pPr>
              <w:pStyle w:val="45"/>
              <w:rPr>
                <w:rFonts w:hint="eastAsia"/>
                <w:color w:val="auto"/>
              </w:rPr>
            </w:pPr>
            <w:r>
              <w:rPr>
                <w:rFonts w:hint="eastAsia"/>
                <w:color w:val="auto"/>
              </w:rPr>
              <w:t>埋深</w:t>
            </w:r>
          </w:p>
        </w:tc>
        <w:tc>
          <w:tcPr>
            <w:tcW w:w="1100" w:type="pct"/>
            <w:gridSpan w:val="2"/>
            <w:vAlign w:val="center"/>
          </w:tcPr>
          <w:p w14:paraId="51BD7139">
            <w:pPr>
              <w:pStyle w:val="45"/>
              <w:rPr>
                <w:rFonts w:hint="eastAsia"/>
                <w:color w:val="auto"/>
              </w:rPr>
            </w:pPr>
            <w:r>
              <w:rPr>
                <w:rFonts w:hint="eastAsia"/>
                <w:color w:val="auto"/>
              </w:rPr>
              <w:t>≥</w:t>
            </w:r>
            <w:r>
              <w:rPr>
                <w:color w:val="auto"/>
              </w:rPr>
              <w:t>5m</w:t>
            </w:r>
          </w:p>
        </w:tc>
        <w:tc>
          <w:tcPr>
            <w:tcW w:w="694" w:type="pct"/>
            <w:vAlign w:val="center"/>
          </w:tcPr>
          <w:p w14:paraId="6BAD6C26">
            <w:pPr>
              <w:pStyle w:val="45"/>
              <w:rPr>
                <w:rFonts w:hint="eastAsia"/>
                <w:color w:val="auto"/>
              </w:rPr>
            </w:pPr>
            <w:r>
              <w:rPr>
                <w:rFonts w:hint="eastAsia"/>
                <w:color w:val="auto"/>
              </w:rPr>
              <w:t>持力层</w:t>
            </w:r>
          </w:p>
        </w:tc>
        <w:tc>
          <w:tcPr>
            <w:tcW w:w="995" w:type="pct"/>
            <w:gridSpan w:val="4"/>
            <w:vAlign w:val="center"/>
          </w:tcPr>
          <w:p w14:paraId="771AE2D7">
            <w:pPr>
              <w:pStyle w:val="45"/>
              <w:rPr>
                <w:rFonts w:hint="eastAsia"/>
                <w:color w:val="auto"/>
              </w:rPr>
            </w:pPr>
            <w:r>
              <w:rPr>
                <w:rFonts w:hint="eastAsia"/>
                <w:color w:val="auto"/>
              </w:rPr>
              <w:t>砾砂层及粉质黏土层</w:t>
            </w:r>
          </w:p>
        </w:tc>
        <w:tc>
          <w:tcPr>
            <w:tcW w:w="533" w:type="pct"/>
            <w:gridSpan w:val="2"/>
            <w:vAlign w:val="center"/>
          </w:tcPr>
          <w:p w14:paraId="5D7D47D1">
            <w:pPr>
              <w:pStyle w:val="45"/>
              <w:rPr>
                <w:rFonts w:hint="eastAsia"/>
                <w:color w:val="auto"/>
              </w:rPr>
            </w:pPr>
            <w:r>
              <w:rPr>
                <w:rFonts w:hint="eastAsia"/>
                <w:color w:val="auto"/>
              </w:rPr>
              <w:t>承载力特征值</w:t>
            </w:r>
          </w:p>
        </w:tc>
        <w:tc>
          <w:tcPr>
            <w:tcW w:w="963" w:type="pct"/>
            <w:gridSpan w:val="2"/>
            <w:vAlign w:val="center"/>
          </w:tcPr>
          <w:p w14:paraId="2A39048E">
            <w:pPr>
              <w:pStyle w:val="45"/>
              <w:rPr>
                <w:rFonts w:hint="eastAsia"/>
                <w:color w:val="auto"/>
              </w:rPr>
            </w:pPr>
            <w:r>
              <w:rPr>
                <w:rFonts w:hint="eastAsia"/>
                <w:color w:val="auto"/>
              </w:rPr>
              <w:t>2500KN（抗压）</w:t>
            </w:r>
            <w:r>
              <w:rPr>
                <w:color w:val="auto"/>
              </w:rPr>
              <w:t>360</w:t>
            </w:r>
            <w:r>
              <w:rPr>
                <w:rFonts w:hint="eastAsia"/>
                <w:color w:val="auto"/>
              </w:rPr>
              <w:t>KN（抗拔）</w:t>
            </w:r>
          </w:p>
        </w:tc>
      </w:tr>
      <w:tr w14:paraId="35DA2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1" w:type="pct"/>
            <w:vMerge w:val="continue"/>
            <w:vAlign w:val="center"/>
          </w:tcPr>
          <w:p w14:paraId="3D951CA6">
            <w:pPr>
              <w:pStyle w:val="45"/>
              <w:rPr>
                <w:rFonts w:hint="eastAsia"/>
                <w:color w:val="auto"/>
              </w:rPr>
            </w:pPr>
          </w:p>
        </w:tc>
        <w:tc>
          <w:tcPr>
            <w:tcW w:w="415" w:type="pct"/>
            <w:gridSpan w:val="2"/>
            <w:vAlign w:val="center"/>
          </w:tcPr>
          <w:p w14:paraId="1C78D2BD">
            <w:pPr>
              <w:pStyle w:val="45"/>
              <w:rPr>
                <w:rFonts w:hint="eastAsia"/>
                <w:color w:val="auto"/>
              </w:rPr>
            </w:pPr>
            <w:r>
              <w:rPr>
                <w:rFonts w:hint="eastAsia"/>
                <w:color w:val="auto"/>
              </w:rPr>
              <w:t>桩基</w:t>
            </w:r>
          </w:p>
        </w:tc>
        <w:tc>
          <w:tcPr>
            <w:tcW w:w="1100" w:type="pct"/>
            <w:gridSpan w:val="2"/>
            <w:vAlign w:val="center"/>
          </w:tcPr>
          <w:p w14:paraId="62396C9B">
            <w:pPr>
              <w:pStyle w:val="45"/>
              <w:rPr>
                <w:rFonts w:hint="eastAsia"/>
                <w:color w:val="auto"/>
              </w:rPr>
            </w:pPr>
            <w:r>
              <w:rPr>
                <w:rFonts w:hint="eastAsia"/>
                <w:color w:val="auto"/>
              </w:rPr>
              <w:t>预应力混凝土（P</w:t>
            </w:r>
            <w:r>
              <w:rPr>
                <w:color w:val="auto"/>
              </w:rPr>
              <w:t>HC</w:t>
            </w:r>
            <w:r>
              <w:rPr>
                <w:rFonts w:hint="eastAsia"/>
                <w:color w:val="auto"/>
              </w:rPr>
              <w:t>）管桩</w:t>
            </w:r>
          </w:p>
        </w:tc>
        <w:tc>
          <w:tcPr>
            <w:tcW w:w="694" w:type="pct"/>
            <w:vAlign w:val="center"/>
          </w:tcPr>
          <w:p w14:paraId="50086F3E">
            <w:pPr>
              <w:pStyle w:val="45"/>
              <w:rPr>
                <w:rFonts w:hint="eastAsia"/>
                <w:color w:val="auto"/>
              </w:rPr>
            </w:pPr>
            <w:r>
              <w:rPr>
                <w:rFonts w:hint="eastAsia"/>
                <w:color w:val="auto"/>
              </w:rPr>
              <w:t>桩径（mm）</w:t>
            </w:r>
          </w:p>
        </w:tc>
        <w:tc>
          <w:tcPr>
            <w:tcW w:w="995" w:type="pct"/>
            <w:gridSpan w:val="4"/>
            <w:vAlign w:val="center"/>
          </w:tcPr>
          <w:p w14:paraId="6EA07DCE">
            <w:pPr>
              <w:pStyle w:val="45"/>
              <w:rPr>
                <w:rFonts w:hint="eastAsia"/>
                <w:color w:val="auto"/>
              </w:rPr>
            </w:pPr>
            <w:r>
              <w:rPr>
                <w:color w:val="auto"/>
              </w:rPr>
              <w:t>500</w:t>
            </w:r>
            <w:r>
              <w:rPr>
                <w:rFonts w:hint="eastAsia"/>
                <w:color w:val="auto"/>
              </w:rPr>
              <w:t>、6</w:t>
            </w:r>
            <w:r>
              <w:rPr>
                <w:color w:val="auto"/>
              </w:rPr>
              <w:t>00</w:t>
            </w:r>
          </w:p>
        </w:tc>
        <w:tc>
          <w:tcPr>
            <w:tcW w:w="533" w:type="pct"/>
            <w:gridSpan w:val="2"/>
            <w:vAlign w:val="center"/>
          </w:tcPr>
          <w:p w14:paraId="1E073156">
            <w:pPr>
              <w:pStyle w:val="45"/>
              <w:rPr>
                <w:rFonts w:hint="eastAsia"/>
                <w:color w:val="auto"/>
              </w:rPr>
            </w:pPr>
            <w:r>
              <w:rPr>
                <w:rFonts w:hint="eastAsia"/>
                <w:color w:val="auto"/>
              </w:rPr>
              <w:t>桩长</w:t>
            </w:r>
          </w:p>
        </w:tc>
        <w:tc>
          <w:tcPr>
            <w:tcW w:w="963" w:type="pct"/>
            <w:gridSpan w:val="2"/>
            <w:vAlign w:val="center"/>
          </w:tcPr>
          <w:p w14:paraId="14FC807E">
            <w:pPr>
              <w:pStyle w:val="45"/>
              <w:rPr>
                <w:rFonts w:hint="eastAsia"/>
                <w:color w:val="auto"/>
              </w:rPr>
            </w:pPr>
            <w:r>
              <w:rPr>
                <w:rFonts w:hint="eastAsia"/>
                <w:color w:val="auto"/>
              </w:rPr>
              <w:t>15、17、18、37</w:t>
            </w:r>
            <w:r>
              <w:rPr>
                <w:color w:val="auto"/>
              </w:rPr>
              <w:t>m</w:t>
            </w:r>
          </w:p>
        </w:tc>
      </w:tr>
      <w:tr w14:paraId="3CB3C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1" w:type="pct"/>
            <w:vMerge w:val="continue"/>
            <w:vAlign w:val="center"/>
          </w:tcPr>
          <w:p w14:paraId="0D84865C">
            <w:pPr>
              <w:pStyle w:val="45"/>
              <w:rPr>
                <w:rFonts w:hint="eastAsia"/>
                <w:color w:val="auto"/>
              </w:rPr>
            </w:pPr>
          </w:p>
        </w:tc>
        <w:tc>
          <w:tcPr>
            <w:tcW w:w="415" w:type="pct"/>
            <w:gridSpan w:val="2"/>
            <w:vAlign w:val="center"/>
          </w:tcPr>
          <w:p w14:paraId="30233C0F">
            <w:pPr>
              <w:pStyle w:val="45"/>
              <w:rPr>
                <w:rFonts w:hint="eastAsia"/>
                <w:color w:val="auto"/>
              </w:rPr>
            </w:pPr>
            <w:r>
              <w:rPr>
                <w:rFonts w:hint="eastAsia"/>
                <w:color w:val="auto"/>
              </w:rPr>
              <w:t>筏板</w:t>
            </w:r>
          </w:p>
        </w:tc>
        <w:tc>
          <w:tcPr>
            <w:tcW w:w="4285" w:type="pct"/>
            <w:gridSpan w:val="11"/>
            <w:vAlign w:val="center"/>
          </w:tcPr>
          <w:p w14:paraId="52C3CD9C">
            <w:pPr>
              <w:pStyle w:val="45"/>
              <w:rPr>
                <w:rFonts w:hint="eastAsia"/>
                <w:color w:val="auto"/>
              </w:rPr>
            </w:pPr>
            <w:r>
              <w:rPr>
                <w:rFonts w:hint="eastAsia"/>
                <w:color w:val="auto"/>
              </w:rPr>
              <w:t>0</w:t>
            </w:r>
            <w:r>
              <w:rPr>
                <w:color w:val="auto"/>
              </w:rPr>
              <w:t>.5m</w:t>
            </w:r>
          </w:p>
        </w:tc>
      </w:tr>
      <w:tr w14:paraId="1D2A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1" w:type="pct"/>
            <w:vMerge w:val="restart"/>
            <w:vAlign w:val="center"/>
          </w:tcPr>
          <w:p w14:paraId="57368086">
            <w:pPr>
              <w:pStyle w:val="45"/>
              <w:rPr>
                <w:rFonts w:hint="eastAsia"/>
                <w:color w:val="auto"/>
              </w:rPr>
            </w:pPr>
            <w:r>
              <w:rPr>
                <w:rFonts w:hint="eastAsia"/>
                <w:color w:val="auto"/>
              </w:rPr>
              <w:t>主体结构</w:t>
            </w:r>
          </w:p>
        </w:tc>
        <w:tc>
          <w:tcPr>
            <w:tcW w:w="912" w:type="pct"/>
            <w:gridSpan w:val="3"/>
            <w:vAlign w:val="center"/>
          </w:tcPr>
          <w:p w14:paraId="60ED85F8">
            <w:pPr>
              <w:pStyle w:val="45"/>
              <w:rPr>
                <w:rFonts w:hint="eastAsia"/>
                <w:color w:val="auto"/>
              </w:rPr>
            </w:pPr>
            <w:r>
              <w:rPr>
                <w:rFonts w:hint="eastAsia"/>
                <w:color w:val="auto"/>
              </w:rPr>
              <w:t>结构形式</w:t>
            </w:r>
          </w:p>
        </w:tc>
        <w:tc>
          <w:tcPr>
            <w:tcW w:w="3788" w:type="pct"/>
            <w:gridSpan w:val="10"/>
          </w:tcPr>
          <w:p w14:paraId="13396D83">
            <w:pPr>
              <w:pStyle w:val="45"/>
              <w:rPr>
                <w:rFonts w:hint="eastAsia"/>
                <w:color w:val="auto"/>
              </w:rPr>
            </w:pPr>
            <w:r>
              <w:rPr>
                <w:rFonts w:hint="eastAsia"/>
                <w:color w:val="auto"/>
              </w:rPr>
              <w:t>框架结构</w:t>
            </w:r>
          </w:p>
        </w:tc>
      </w:tr>
      <w:tr w14:paraId="7493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01" w:type="pct"/>
            <w:vMerge w:val="continue"/>
            <w:vAlign w:val="center"/>
          </w:tcPr>
          <w:p w14:paraId="15155BAB">
            <w:pPr>
              <w:pStyle w:val="45"/>
              <w:rPr>
                <w:rFonts w:hint="eastAsia"/>
                <w:color w:val="auto"/>
              </w:rPr>
            </w:pPr>
          </w:p>
        </w:tc>
        <w:tc>
          <w:tcPr>
            <w:tcW w:w="912" w:type="pct"/>
            <w:gridSpan w:val="3"/>
            <w:vAlign w:val="center"/>
          </w:tcPr>
          <w:p w14:paraId="6F6A5EC6">
            <w:pPr>
              <w:pStyle w:val="45"/>
              <w:rPr>
                <w:rFonts w:hint="eastAsia"/>
                <w:color w:val="auto"/>
              </w:rPr>
            </w:pPr>
            <w:r>
              <w:rPr>
                <w:rFonts w:hint="eastAsia"/>
                <w:color w:val="auto"/>
              </w:rPr>
              <w:t>主要结构尺寸</w:t>
            </w:r>
          </w:p>
        </w:tc>
        <w:tc>
          <w:tcPr>
            <w:tcW w:w="1483" w:type="pct"/>
            <w:gridSpan w:val="3"/>
          </w:tcPr>
          <w:p w14:paraId="5EC2BFD9">
            <w:pPr>
              <w:pStyle w:val="47"/>
              <w:wordWrap w:val="0"/>
              <w:ind w:firstLine="0" w:firstLineChars="0"/>
              <w:rPr>
                <w:rFonts w:hint="eastAsia" w:ascii="宋体" w:hAnsi="宋体"/>
                <w:color w:val="auto"/>
              </w:rPr>
            </w:pPr>
            <w:r>
              <w:rPr>
                <w:rFonts w:hint="eastAsia" w:ascii="宋体" w:hAnsi="宋体"/>
                <w:color w:val="auto"/>
              </w:rPr>
              <w:t>梁：</w:t>
            </w:r>
          </w:p>
          <w:p w14:paraId="7046D3A7">
            <w:pPr>
              <w:pStyle w:val="47"/>
              <w:wordWrap w:val="0"/>
              <w:ind w:firstLine="420"/>
              <w:rPr>
                <w:rFonts w:hint="eastAsia" w:ascii="宋体" w:hAnsi="宋体"/>
                <w:color w:val="auto"/>
              </w:rPr>
            </w:pPr>
            <w:r>
              <w:rPr>
                <w:rFonts w:hint="eastAsia" w:ascii="宋体" w:hAnsi="宋体"/>
                <w:color w:val="auto"/>
              </w:rPr>
              <w:t>2</w:t>
            </w:r>
            <w:r>
              <w:rPr>
                <w:rFonts w:ascii="宋体" w:hAnsi="宋体"/>
                <w:color w:val="auto"/>
              </w:rPr>
              <w:t>00×400/500/600</w:t>
            </w:r>
          </w:p>
          <w:p w14:paraId="6832961E">
            <w:pPr>
              <w:pStyle w:val="47"/>
              <w:wordWrap w:val="0"/>
              <w:ind w:firstLine="420"/>
              <w:rPr>
                <w:rFonts w:hint="eastAsia" w:ascii="宋体" w:hAnsi="宋体"/>
                <w:color w:val="auto"/>
              </w:rPr>
            </w:pPr>
            <w:r>
              <w:rPr>
                <w:rFonts w:ascii="宋体" w:hAnsi="宋体"/>
                <w:color w:val="auto"/>
              </w:rPr>
              <w:t>300×600/700/750/800/1000</w:t>
            </w:r>
          </w:p>
          <w:p w14:paraId="77B5DED4">
            <w:pPr>
              <w:pStyle w:val="47"/>
              <w:wordWrap w:val="0"/>
              <w:ind w:firstLine="420"/>
              <w:rPr>
                <w:rFonts w:hint="eastAsia" w:ascii="宋体" w:hAnsi="宋体"/>
                <w:color w:val="auto"/>
              </w:rPr>
            </w:pPr>
            <w:r>
              <w:rPr>
                <w:rFonts w:hint="eastAsia" w:ascii="宋体" w:hAnsi="宋体"/>
                <w:color w:val="auto"/>
              </w:rPr>
              <w:t>4</w:t>
            </w:r>
            <w:r>
              <w:rPr>
                <w:rFonts w:ascii="宋体" w:hAnsi="宋体"/>
                <w:color w:val="auto"/>
              </w:rPr>
              <w:t>00×600/700/750/800/900/1000/1200</w:t>
            </w:r>
          </w:p>
          <w:p w14:paraId="1732545E">
            <w:pPr>
              <w:pStyle w:val="47"/>
              <w:wordWrap w:val="0"/>
              <w:ind w:firstLine="420"/>
              <w:rPr>
                <w:rFonts w:hint="eastAsia" w:ascii="宋体" w:hAnsi="宋体"/>
                <w:color w:val="auto"/>
              </w:rPr>
            </w:pPr>
            <w:r>
              <w:rPr>
                <w:rFonts w:hint="eastAsia" w:ascii="宋体" w:hAnsi="宋体"/>
                <w:color w:val="auto"/>
              </w:rPr>
              <w:t>5</w:t>
            </w:r>
            <w:r>
              <w:rPr>
                <w:rFonts w:ascii="宋体" w:hAnsi="宋体"/>
                <w:color w:val="auto"/>
              </w:rPr>
              <w:t>00</w:t>
            </w:r>
            <w:r>
              <w:rPr>
                <w:rFonts w:hint="eastAsia" w:ascii="宋体" w:hAnsi="宋体"/>
                <w:color w:val="auto"/>
              </w:rPr>
              <w:t>×</w:t>
            </w:r>
            <w:r>
              <w:rPr>
                <w:rFonts w:ascii="宋体" w:hAnsi="宋体"/>
                <w:color w:val="auto"/>
              </w:rPr>
              <w:t>800/900/1000</w:t>
            </w:r>
          </w:p>
          <w:p w14:paraId="00DB5C9D">
            <w:pPr>
              <w:pStyle w:val="47"/>
              <w:wordWrap w:val="0"/>
              <w:ind w:firstLine="420"/>
              <w:rPr>
                <w:rFonts w:hint="eastAsia" w:ascii="宋体" w:hAnsi="宋体"/>
                <w:color w:val="auto"/>
              </w:rPr>
            </w:pPr>
            <w:r>
              <w:rPr>
                <w:rFonts w:ascii="宋体" w:hAnsi="宋体"/>
                <w:color w:val="auto"/>
              </w:rPr>
              <w:t>600×900/1000/1500</w:t>
            </w:r>
          </w:p>
          <w:p w14:paraId="7A7CAAEE">
            <w:pPr>
              <w:pStyle w:val="47"/>
              <w:wordWrap w:val="0"/>
              <w:ind w:firstLine="420"/>
              <w:rPr>
                <w:rFonts w:hint="eastAsia" w:ascii="宋体" w:hAnsi="宋体"/>
                <w:color w:val="auto"/>
              </w:rPr>
            </w:pPr>
            <w:r>
              <w:rPr>
                <w:rFonts w:ascii="宋体" w:hAnsi="宋体"/>
                <w:color w:val="auto"/>
              </w:rPr>
              <w:t>700×900/1000</w:t>
            </w:r>
            <w:r>
              <w:rPr>
                <w:rFonts w:hint="eastAsia" w:ascii="宋体" w:hAnsi="宋体"/>
                <w:color w:val="auto"/>
              </w:rPr>
              <w:t>等</w:t>
            </w:r>
          </w:p>
        </w:tc>
        <w:tc>
          <w:tcPr>
            <w:tcW w:w="744" w:type="pct"/>
            <w:gridSpan w:val="2"/>
          </w:tcPr>
          <w:p w14:paraId="1BB659A3">
            <w:pPr>
              <w:pStyle w:val="45"/>
              <w:jc w:val="left"/>
              <w:rPr>
                <w:rFonts w:hint="eastAsia"/>
                <w:color w:val="auto"/>
              </w:rPr>
            </w:pPr>
            <w:r>
              <w:rPr>
                <w:rFonts w:hint="eastAsia"/>
                <w:color w:val="auto"/>
              </w:rPr>
              <w:t>板：</w:t>
            </w:r>
          </w:p>
          <w:p w14:paraId="3D9973E5">
            <w:pPr>
              <w:pStyle w:val="45"/>
              <w:rPr>
                <w:rFonts w:hint="eastAsia"/>
                <w:color w:val="auto"/>
              </w:rPr>
            </w:pPr>
            <w:r>
              <w:rPr>
                <w:color w:val="auto"/>
              </w:rPr>
              <w:t>150mm</w:t>
            </w:r>
          </w:p>
          <w:p w14:paraId="42FFDC14">
            <w:pPr>
              <w:pStyle w:val="45"/>
              <w:rPr>
                <w:rFonts w:hint="eastAsia"/>
                <w:color w:val="auto"/>
              </w:rPr>
            </w:pPr>
            <w:r>
              <w:rPr>
                <w:rFonts w:hint="eastAsia"/>
                <w:color w:val="auto"/>
              </w:rPr>
              <w:t>1</w:t>
            </w:r>
            <w:r>
              <w:rPr>
                <w:color w:val="auto"/>
              </w:rPr>
              <w:t>80mm</w:t>
            </w:r>
          </w:p>
          <w:p w14:paraId="6CAAB478">
            <w:pPr>
              <w:pStyle w:val="45"/>
              <w:rPr>
                <w:rFonts w:hint="eastAsia"/>
                <w:color w:val="auto"/>
              </w:rPr>
            </w:pPr>
            <w:r>
              <w:rPr>
                <w:rFonts w:hint="eastAsia"/>
                <w:color w:val="auto"/>
              </w:rPr>
              <w:t>2</w:t>
            </w:r>
            <w:r>
              <w:rPr>
                <w:color w:val="auto"/>
              </w:rPr>
              <w:t>00mm</w:t>
            </w:r>
          </w:p>
          <w:p w14:paraId="6BDA4B30">
            <w:pPr>
              <w:pStyle w:val="45"/>
              <w:rPr>
                <w:rFonts w:hint="eastAsia"/>
                <w:color w:val="auto"/>
              </w:rPr>
            </w:pPr>
            <w:r>
              <w:rPr>
                <w:rFonts w:hint="eastAsia"/>
                <w:color w:val="auto"/>
              </w:rPr>
              <w:t>2</w:t>
            </w:r>
            <w:r>
              <w:rPr>
                <w:color w:val="auto"/>
              </w:rPr>
              <w:t>50mm</w:t>
            </w:r>
          </w:p>
          <w:p w14:paraId="30836A59">
            <w:pPr>
              <w:pStyle w:val="45"/>
              <w:rPr>
                <w:rFonts w:hint="eastAsia"/>
                <w:color w:val="auto"/>
              </w:rPr>
            </w:pPr>
            <w:r>
              <w:rPr>
                <w:rFonts w:hint="eastAsia"/>
                <w:color w:val="auto"/>
              </w:rPr>
              <w:t>3</w:t>
            </w:r>
            <w:r>
              <w:rPr>
                <w:color w:val="auto"/>
              </w:rPr>
              <w:t>50mm</w:t>
            </w:r>
          </w:p>
          <w:p w14:paraId="3C93A030">
            <w:pPr>
              <w:pStyle w:val="45"/>
              <w:rPr>
                <w:rFonts w:hint="eastAsia"/>
                <w:color w:val="auto"/>
              </w:rPr>
            </w:pPr>
            <w:r>
              <w:rPr>
                <w:rFonts w:hint="eastAsia"/>
                <w:color w:val="auto"/>
              </w:rPr>
              <w:t>4</w:t>
            </w:r>
            <w:r>
              <w:rPr>
                <w:color w:val="auto"/>
              </w:rPr>
              <w:t>50mm</w:t>
            </w:r>
          </w:p>
          <w:p w14:paraId="067532B3">
            <w:pPr>
              <w:pStyle w:val="45"/>
              <w:rPr>
                <w:rFonts w:hint="eastAsia"/>
                <w:color w:val="auto"/>
              </w:rPr>
            </w:pPr>
          </w:p>
        </w:tc>
        <w:tc>
          <w:tcPr>
            <w:tcW w:w="835" w:type="pct"/>
            <w:gridSpan w:val="4"/>
          </w:tcPr>
          <w:p w14:paraId="5926A7A9">
            <w:pPr>
              <w:pStyle w:val="45"/>
              <w:jc w:val="left"/>
              <w:rPr>
                <w:rFonts w:hint="eastAsia"/>
                <w:color w:val="auto"/>
              </w:rPr>
            </w:pPr>
            <w:r>
              <w:rPr>
                <w:rFonts w:hint="eastAsia"/>
                <w:color w:val="auto"/>
              </w:rPr>
              <w:t>柱：</w:t>
            </w:r>
          </w:p>
          <w:p w14:paraId="3AFAE5CC">
            <w:pPr>
              <w:pStyle w:val="45"/>
              <w:rPr>
                <w:rFonts w:hint="eastAsia"/>
                <w:color w:val="auto"/>
              </w:rPr>
            </w:pPr>
            <w:r>
              <w:rPr>
                <w:color w:val="auto"/>
              </w:rPr>
              <w:t>300</w:t>
            </w:r>
            <w:r>
              <w:rPr>
                <w:rFonts w:hint="eastAsia"/>
                <w:color w:val="auto"/>
              </w:rPr>
              <w:t>×</w:t>
            </w:r>
            <w:r>
              <w:rPr>
                <w:color w:val="auto"/>
              </w:rPr>
              <w:t>300</w:t>
            </w:r>
          </w:p>
          <w:p w14:paraId="464E9010">
            <w:pPr>
              <w:pStyle w:val="45"/>
              <w:rPr>
                <w:rFonts w:hint="eastAsia"/>
                <w:color w:val="auto"/>
              </w:rPr>
            </w:pPr>
            <w:r>
              <w:rPr>
                <w:color w:val="auto"/>
              </w:rPr>
              <w:t>400</w:t>
            </w:r>
            <w:r>
              <w:rPr>
                <w:rFonts w:hint="eastAsia"/>
                <w:color w:val="auto"/>
              </w:rPr>
              <w:t>×</w:t>
            </w:r>
            <w:r>
              <w:rPr>
                <w:color w:val="auto"/>
              </w:rPr>
              <w:t>400</w:t>
            </w:r>
          </w:p>
          <w:p w14:paraId="4EF97E31">
            <w:pPr>
              <w:pStyle w:val="45"/>
              <w:rPr>
                <w:rFonts w:hint="eastAsia"/>
                <w:color w:val="auto"/>
              </w:rPr>
            </w:pPr>
            <w:r>
              <w:rPr>
                <w:rFonts w:hint="eastAsia"/>
                <w:color w:val="auto"/>
              </w:rPr>
              <w:t>5</w:t>
            </w:r>
            <w:r>
              <w:rPr>
                <w:color w:val="auto"/>
              </w:rPr>
              <w:t>00</w:t>
            </w:r>
            <w:r>
              <w:rPr>
                <w:rFonts w:hint="eastAsia"/>
                <w:color w:val="auto"/>
              </w:rPr>
              <w:t>×5</w:t>
            </w:r>
            <w:r>
              <w:rPr>
                <w:color w:val="auto"/>
              </w:rPr>
              <w:t>00</w:t>
            </w:r>
          </w:p>
          <w:p w14:paraId="546B0979">
            <w:pPr>
              <w:pStyle w:val="45"/>
              <w:rPr>
                <w:rFonts w:hint="eastAsia"/>
                <w:color w:val="auto"/>
              </w:rPr>
            </w:pPr>
            <w:r>
              <w:rPr>
                <w:color w:val="auto"/>
              </w:rPr>
              <w:t>600</w:t>
            </w:r>
            <w:r>
              <w:rPr>
                <w:rFonts w:hint="eastAsia"/>
                <w:color w:val="auto"/>
              </w:rPr>
              <w:t>×6</w:t>
            </w:r>
            <w:r>
              <w:rPr>
                <w:color w:val="auto"/>
              </w:rPr>
              <w:t>00</w:t>
            </w:r>
          </w:p>
          <w:p w14:paraId="29574179">
            <w:pPr>
              <w:pStyle w:val="45"/>
              <w:rPr>
                <w:rFonts w:hint="eastAsia"/>
                <w:color w:val="auto"/>
              </w:rPr>
            </w:pPr>
            <w:r>
              <w:rPr>
                <w:color w:val="auto"/>
              </w:rPr>
              <w:t>700</w:t>
            </w:r>
            <w:r>
              <w:rPr>
                <w:rFonts w:hint="eastAsia"/>
                <w:color w:val="auto"/>
              </w:rPr>
              <w:t>×</w:t>
            </w:r>
            <w:r>
              <w:rPr>
                <w:color w:val="auto"/>
              </w:rPr>
              <w:t>700</w:t>
            </w:r>
          </w:p>
          <w:p w14:paraId="1377829F">
            <w:pPr>
              <w:pStyle w:val="45"/>
              <w:rPr>
                <w:rFonts w:hint="eastAsia"/>
                <w:color w:val="auto"/>
              </w:rPr>
            </w:pPr>
            <w:r>
              <w:rPr>
                <w:color w:val="auto"/>
              </w:rPr>
              <w:t>800</w:t>
            </w:r>
            <w:r>
              <w:rPr>
                <w:rFonts w:hint="eastAsia"/>
                <w:color w:val="auto"/>
              </w:rPr>
              <w:t>×6</w:t>
            </w:r>
            <w:r>
              <w:rPr>
                <w:color w:val="auto"/>
              </w:rPr>
              <w:t>00</w:t>
            </w:r>
          </w:p>
          <w:p w14:paraId="6ADAC20F">
            <w:pPr>
              <w:pStyle w:val="45"/>
              <w:rPr>
                <w:rFonts w:hint="eastAsia"/>
                <w:color w:val="auto"/>
              </w:rPr>
            </w:pPr>
            <w:r>
              <w:rPr>
                <w:color w:val="auto"/>
              </w:rPr>
              <w:t>800</w:t>
            </w:r>
            <w:r>
              <w:rPr>
                <w:rFonts w:hint="eastAsia"/>
                <w:color w:val="auto"/>
              </w:rPr>
              <w:t>×8</w:t>
            </w:r>
            <w:r>
              <w:rPr>
                <w:color w:val="auto"/>
              </w:rPr>
              <w:t>00</w:t>
            </w:r>
          </w:p>
          <w:p w14:paraId="6553B168">
            <w:pPr>
              <w:pStyle w:val="45"/>
              <w:rPr>
                <w:rFonts w:hint="eastAsia"/>
                <w:color w:val="auto"/>
              </w:rPr>
            </w:pPr>
            <w:r>
              <w:rPr>
                <w:color w:val="auto"/>
              </w:rPr>
              <w:t>900</w:t>
            </w:r>
            <w:r>
              <w:rPr>
                <w:rFonts w:hint="eastAsia"/>
                <w:color w:val="auto"/>
              </w:rPr>
              <w:t>×</w:t>
            </w:r>
            <w:r>
              <w:rPr>
                <w:color w:val="auto"/>
              </w:rPr>
              <w:t>900</w:t>
            </w:r>
          </w:p>
          <w:p w14:paraId="56C9DBA4">
            <w:pPr>
              <w:pStyle w:val="45"/>
              <w:rPr>
                <w:rFonts w:hint="eastAsia"/>
                <w:color w:val="auto"/>
              </w:rPr>
            </w:pPr>
            <w:r>
              <w:rPr>
                <w:color w:val="auto"/>
              </w:rPr>
              <w:t>1000</w:t>
            </w:r>
            <w:r>
              <w:rPr>
                <w:rFonts w:hint="eastAsia"/>
                <w:color w:val="auto"/>
              </w:rPr>
              <w:t>×</w:t>
            </w:r>
            <w:r>
              <w:rPr>
                <w:color w:val="auto"/>
              </w:rPr>
              <w:t>1000</w:t>
            </w:r>
          </w:p>
          <w:p w14:paraId="18FBFBE5">
            <w:pPr>
              <w:pStyle w:val="45"/>
              <w:rPr>
                <w:rFonts w:hint="eastAsia"/>
                <w:color w:val="auto"/>
              </w:rPr>
            </w:pPr>
            <w:r>
              <w:rPr>
                <w:color w:val="auto"/>
              </w:rPr>
              <w:t>1100</w:t>
            </w:r>
            <w:r>
              <w:rPr>
                <w:rFonts w:hint="eastAsia"/>
                <w:color w:val="auto"/>
              </w:rPr>
              <w:t>×</w:t>
            </w:r>
            <w:r>
              <w:rPr>
                <w:color w:val="auto"/>
              </w:rPr>
              <w:t>110</w:t>
            </w:r>
            <w:r>
              <w:rPr>
                <w:rFonts w:hint="eastAsia"/>
                <w:color w:val="auto"/>
              </w:rPr>
              <w:t>0</w:t>
            </w:r>
          </w:p>
        </w:tc>
        <w:tc>
          <w:tcPr>
            <w:tcW w:w="725" w:type="pct"/>
          </w:tcPr>
          <w:p w14:paraId="15FB4773">
            <w:pPr>
              <w:pStyle w:val="45"/>
              <w:jc w:val="both"/>
              <w:rPr>
                <w:rFonts w:hint="eastAsia"/>
                <w:color w:val="auto"/>
              </w:rPr>
            </w:pPr>
            <w:r>
              <w:rPr>
                <w:rFonts w:hint="eastAsia"/>
                <w:color w:val="auto"/>
              </w:rPr>
              <w:t>墙：</w:t>
            </w:r>
          </w:p>
          <w:p w14:paraId="63F0D6A6">
            <w:pPr>
              <w:spacing w:line="240" w:lineRule="auto"/>
              <w:ind w:firstLine="210" w:firstLineChars="100"/>
              <w:rPr>
                <w:rFonts w:hint="eastAsia" w:ascii="宋体" w:hAnsi="宋体"/>
                <w:color w:val="auto"/>
                <w:sz w:val="21"/>
              </w:rPr>
            </w:pPr>
            <w:r>
              <w:rPr>
                <w:rFonts w:hint="eastAsia" w:ascii="宋体" w:hAnsi="宋体"/>
                <w:color w:val="auto"/>
                <w:sz w:val="21"/>
              </w:rPr>
              <w:t>2</w:t>
            </w:r>
            <w:r>
              <w:rPr>
                <w:rFonts w:ascii="宋体" w:hAnsi="宋体"/>
                <w:color w:val="auto"/>
                <w:sz w:val="21"/>
              </w:rPr>
              <w:t>00</w:t>
            </w:r>
            <w:r>
              <w:rPr>
                <w:rFonts w:hint="eastAsia" w:ascii="宋体" w:hAnsi="宋体"/>
                <w:color w:val="auto"/>
                <w:sz w:val="21"/>
              </w:rPr>
              <w:t>mm</w:t>
            </w:r>
          </w:p>
          <w:p w14:paraId="29679046">
            <w:pPr>
              <w:spacing w:line="240" w:lineRule="auto"/>
              <w:ind w:firstLine="210" w:firstLineChars="100"/>
              <w:rPr>
                <w:rFonts w:hint="eastAsia" w:ascii="宋体" w:hAnsi="宋体"/>
                <w:color w:val="auto"/>
                <w:sz w:val="21"/>
              </w:rPr>
            </w:pPr>
            <w:r>
              <w:rPr>
                <w:rFonts w:ascii="宋体" w:hAnsi="宋体"/>
                <w:color w:val="auto"/>
                <w:sz w:val="21"/>
              </w:rPr>
              <w:t>3</w:t>
            </w:r>
            <w:r>
              <w:rPr>
                <w:rFonts w:hint="eastAsia" w:ascii="宋体" w:hAnsi="宋体"/>
                <w:color w:val="auto"/>
                <w:sz w:val="21"/>
              </w:rPr>
              <w:t>00</w:t>
            </w:r>
            <w:r>
              <w:rPr>
                <w:rFonts w:ascii="宋体" w:hAnsi="宋体"/>
                <w:color w:val="auto"/>
                <w:sz w:val="21"/>
              </w:rPr>
              <w:t>mm</w:t>
            </w:r>
          </w:p>
          <w:p w14:paraId="05168B79">
            <w:pPr>
              <w:pStyle w:val="45"/>
              <w:ind w:firstLine="210" w:firstLineChars="100"/>
              <w:jc w:val="left"/>
              <w:rPr>
                <w:rFonts w:hint="eastAsia"/>
                <w:color w:val="auto"/>
              </w:rPr>
            </w:pPr>
            <w:r>
              <w:rPr>
                <w:color w:val="auto"/>
              </w:rPr>
              <w:t>400mm</w:t>
            </w:r>
          </w:p>
          <w:p w14:paraId="4CF163B8">
            <w:pPr>
              <w:ind w:firstLine="210" w:firstLineChars="100"/>
              <w:rPr>
                <w:rFonts w:hint="eastAsia" w:ascii="宋体" w:hAnsi="宋体"/>
                <w:color w:val="auto"/>
                <w:sz w:val="21"/>
              </w:rPr>
            </w:pPr>
            <w:r>
              <w:rPr>
                <w:rFonts w:hint="eastAsia" w:ascii="宋体" w:hAnsi="宋体"/>
                <w:color w:val="auto"/>
                <w:sz w:val="21"/>
              </w:rPr>
              <w:t>6</w:t>
            </w:r>
            <w:r>
              <w:rPr>
                <w:rFonts w:ascii="宋体" w:hAnsi="宋体"/>
                <w:color w:val="auto"/>
                <w:sz w:val="21"/>
              </w:rPr>
              <w:t>00mm</w:t>
            </w:r>
          </w:p>
          <w:p w14:paraId="638B5D9D">
            <w:pPr>
              <w:pStyle w:val="45"/>
              <w:rPr>
                <w:rFonts w:hint="eastAsia"/>
                <w:color w:val="auto"/>
              </w:rPr>
            </w:pPr>
          </w:p>
        </w:tc>
      </w:tr>
      <w:tr w14:paraId="71CD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Align w:val="center"/>
          </w:tcPr>
          <w:p w14:paraId="4D278322">
            <w:pPr>
              <w:pStyle w:val="45"/>
              <w:rPr>
                <w:rFonts w:hint="eastAsia"/>
                <w:color w:val="auto"/>
              </w:rPr>
            </w:pPr>
            <w:r>
              <w:rPr>
                <w:rFonts w:hint="eastAsia"/>
                <w:color w:val="auto"/>
              </w:rPr>
              <w:t>抗震设防等级</w:t>
            </w:r>
          </w:p>
        </w:tc>
        <w:tc>
          <w:tcPr>
            <w:tcW w:w="2174" w:type="pct"/>
            <w:gridSpan w:val="6"/>
            <w:vAlign w:val="center"/>
          </w:tcPr>
          <w:p w14:paraId="7FDE8597">
            <w:pPr>
              <w:pStyle w:val="45"/>
              <w:rPr>
                <w:rFonts w:hint="eastAsia"/>
                <w:color w:val="auto"/>
              </w:rPr>
            </w:pPr>
            <w:r>
              <w:rPr>
                <w:rFonts w:hint="eastAsia"/>
                <w:color w:val="auto"/>
              </w:rPr>
              <w:t>框架：三级</w:t>
            </w:r>
          </w:p>
        </w:tc>
        <w:tc>
          <w:tcPr>
            <w:tcW w:w="634" w:type="pct"/>
            <w:vAlign w:val="center"/>
          </w:tcPr>
          <w:p w14:paraId="16B7F4AF">
            <w:pPr>
              <w:pStyle w:val="45"/>
              <w:rPr>
                <w:rFonts w:hint="eastAsia"/>
                <w:color w:val="auto"/>
              </w:rPr>
            </w:pPr>
            <w:r>
              <w:rPr>
                <w:rFonts w:hint="eastAsia"/>
                <w:color w:val="auto"/>
              </w:rPr>
              <w:t>人防等级</w:t>
            </w:r>
          </w:p>
        </w:tc>
        <w:tc>
          <w:tcPr>
            <w:tcW w:w="1560" w:type="pct"/>
            <w:gridSpan w:val="5"/>
            <w:vAlign w:val="center"/>
          </w:tcPr>
          <w:p w14:paraId="2A3296BF">
            <w:pPr>
              <w:pStyle w:val="45"/>
              <w:rPr>
                <w:rFonts w:hint="eastAsia"/>
                <w:color w:val="auto"/>
              </w:rPr>
            </w:pPr>
            <w:r>
              <w:rPr>
                <w:rFonts w:hint="eastAsia"/>
                <w:color w:val="auto"/>
              </w:rPr>
              <w:t>6级</w:t>
            </w:r>
          </w:p>
        </w:tc>
      </w:tr>
      <w:tr w14:paraId="14124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Merge w:val="restart"/>
            <w:vAlign w:val="center"/>
          </w:tcPr>
          <w:p w14:paraId="033978C6">
            <w:pPr>
              <w:pStyle w:val="45"/>
              <w:rPr>
                <w:rFonts w:hint="eastAsia"/>
                <w:color w:val="auto"/>
              </w:rPr>
            </w:pPr>
            <w:r>
              <w:rPr>
                <w:rFonts w:hint="eastAsia"/>
                <w:color w:val="auto"/>
              </w:rPr>
              <w:t>混凝土强度等级及抗渗要求</w:t>
            </w:r>
          </w:p>
        </w:tc>
        <w:tc>
          <w:tcPr>
            <w:tcW w:w="581" w:type="pct"/>
            <w:gridSpan w:val="2"/>
            <w:vAlign w:val="center"/>
          </w:tcPr>
          <w:p w14:paraId="4EDB0857">
            <w:pPr>
              <w:pStyle w:val="45"/>
              <w:rPr>
                <w:rFonts w:hint="eastAsia"/>
                <w:color w:val="auto"/>
              </w:rPr>
            </w:pPr>
            <w:r>
              <w:rPr>
                <w:rFonts w:hint="eastAsia"/>
                <w:color w:val="auto"/>
              </w:rPr>
              <w:t>基础垫层</w:t>
            </w:r>
          </w:p>
        </w:tc>
        <w:tc>
          <w:tcPr>
            <w:tcW w:w="603" w:type="pct"/>
            <w:vAlign w:val="center"/>
          </w:tcPr>
          <w:p w14:paraId="43DBC53A">
            <w:pPr>
              <w:pStyle w:val="45"/>
              <w:rPr>
                <w:rFonts w:hint="eastAsia"/>
                <w:color w:val="auto"/>
              </w:rPr>
            </w:pPr>
            <w:r>
              <w:rPr>
                <w:rFonts w:hint="eastAsia"/>
                <w:color w:val="auto"/>
              </w:rPr>
              <w:t>C</w:t>
            </w:r>
            <w:r>
              <w:rPr>
                <w:color w:val="auto"/>
              </w:rPr>
              <w:t>20</w:t>
            </w:r>
          </w:p>
        </w:tc>
        <w:tc>
          <w:tcPr>
            <w:tcW w:w="1862" w:type="pct"/>
            <w:gridSpan w:val="6"/>
            <w:vAlign w:val="center"/>
          </w:tcPr>
          <w:p w14:paraId="612A27D2">
            <w:pPr>
              <w:pStyle w:val="45"/>
              <w:rPr>
                <w:rFonts w:hint="eastAsia"/>
                <w:color w:val="auto"/>
              </w:rPr>
            </w:pPr>
            <w:r>
              <w:rPr>
                <w:rFonts w:hint="eastAsia"/>
                <w:color w:val="auto"/>
              </w:rPr>
              <w:t>桩</w:t>
            </w:r>
          </w:p>
        </w:tc>
        <w:tc>
          <w:tcPr>
            <w:tcW w:w="1323" w:type="pct"/>
            <w:gridSpan w:val="3"/>
            <w:vAlign w:val="center"/>
          </w:tcPr>
          <w:p w14:paraId="294696C1">
            <w:pPr>
              <w:pStyle w:val="45"/>
              <w:rPr>
                <w:rFonts w:hint="eastAsia"/>
                <w:color w:val="auto"/>
              </w:rPr>
            </w:pPr>
            <w:r>
              <w:rPr>
                <w:rFonts w:hint="eastAsia"/>
                <w:color w:val="auto"/>
              </w:rPr>
              <w:t>C</w:t>
            </w:r>
            <w:r>
              <w:rPr>
                <w:color w:val="auto"/>
              </w:rPr>
              <w:t xml:space="preserve">80 </w:t>
            </w:r>
          </w:p>
        </w:tc>
      </w:tr>
      <w:tr w14:paraId="1DC6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Merge w:val="continue"/>
            <w:vAlign w:val="center"/>
          </w:tcPr>
          <w:p w14:paraId="1B3E9F65">
            <w:pPr>
              <w:pStyle w:val="45"/>
              <w:rPr>
                <w:rFonts w:hint="eastAsia"/>
                <w:color w:val="auto"/>
              </w:rPr>
            </w:pPr>
          </w:p>
        </w:tc>
        <w:tc>
          <w:tcPr>
            <w:tcW w:w="581" w:type="pct"/>
            <w:gridSpan w:val="2"/>
            <w:vAlign w:val="center"/>
          </w:tcPr>
          <w:p w14:paraId="4C759A97">
            <w:pPr>
              <w:pStyle w:val="45"/>
              <w:rPr>
                <w:rFonts w:hint="eastAsia"/>
                <w:color w:val="auto"/>
              </w:rPr>
            </w:pPr>
            <w:r>
              <w:rPr>
                <w:rFonts w:hint="eastAsia"/>
                <w:color w:val="auto"/>
              </w:rPr>
              <w:t>地下室</w:t>
            </w:r>
            <w:r>
              <w:rPr>
                <w:color w:val="auto"/>
              </w:rPr>
              <w:t>基础</w:t>
            </w:r>
            <w:r>
              <w:rPr>
                <w:rFonts w:hint="eastAsia"/>
                <w:color w:val="auto"/>
              </w:rPr>
              <w:t>、</w:t>
            </w:r>
            <w:r>
              <w:rPr>
                <w:color w:val="auto"/>
              </w:rPr>
              <w:t>底板</w:t>
            </w:r>
          </w:p>
        </w:tc>
        <w:tc>
          <w:tcPr>
            <w:tcW w:w="603" w:type="pct"/>
            <w:vAlign w:val="center"/>
          </w:tcPr>
          <w:p w14:paraId="56B875D6">
            <w:pPr>
              <w:pStyle w:val="45"/>
              <w:rPr>
                <w:rFonts w:hint="eastAsia"/>
                <w:color w:val="auto"/>
              </w:rPr>
            </w:pPr>
            <w:r>
              <w:rPr>
                <w:rFonts w:hint="eastAsia"/>
                <w:color w:val="auto"/>
              </w:rPr>
              <w:t>C</w:t>
            </w:r>
            <w:r>
              <w:rPr>
                <w:color w:val="auto"/>
              </w:rPr>
              <w:t>35（</w:t>
            </w:r>
            <w:r>
              <w:rPr>
                <w:rFonts w:hint="eastAsia"/>
                <w:color w:val="auto"/>
              </w:rPr>
              <w:t>P</w:t>
            </w:r>
            <w:r>
              <w:rPr>
                <w:color w:val="auto"/>
              </w:rPr>
              <w:t>6）</w:t>
            </w:r>
          </w:p>
        </w:tc>
        <w:tc>
          <w:tcPr>
            <w:tcW w:w="1862" w:type="pct"/>
            <w:gridSpan w:val="6"/>
            <w:vAlign w:val="center"/>
          </w:tcPr>
          <w:p w14:paraId="7D8D6A8E">
            <w:pPr>
              <w:pStyle w:val="45"/>
              <w:rPr>
                <w:rFonts w:hint="eastAsia"/>
                <w:color w:val="auto"/>
              </w:rPr>
            </w:pPr>
            <w:r>
              <w:rPr>
                <w:rFonts w:hint="eastAsia"/>
                <w:color w:val="auto"/>
              </w:rPr>
              <w:t>承台</w:t>
            </w:r>
            <w:r>
              <w:rPr>
                <w:color w:val="auto"/>
              </w:rPr>
              <w:t>、筏板</w:t>
            </w:r>
          </w:p>
        </w:tc>
        <w:tc>
          <w:tcPr>
            <w:tcW w:w="1323" w:type="pct"/>
            <w:gridSpan w:val="3"/>
            <w:vAlign w:val="center"/>
          </w:tcPr>
          <w:p w14:paraId="353DC54B">
            <w:pPr>
              <w:pStyle w:val="45"/>
              <w:rPr>
                <w:rFonts w:hint="eastAsia"/>
                <w:color w:val="auto"/>
              </w:rPr>
            </w:pPr>
            <w:r>
              <w:rPr>
                <w:rFonts w:hint="eastAsia"/>
                <w:color w:val="auto"/>
              </w:rPr>
              <w:t>C</w:t>
            </w:r>
            <w:r>
              <w:rPr>
                <w:color w:val="auto"/>
              </w:rPr>
              <w:t>35(P6</w:t>
            </w:r>
            <w:r>
              <w:rPr>
                <w:rFonts w:hint="eastAsia"/>
                <w:color w:val="auto"/>
              </w:rPr>
              <w:t>)/C4</w:t>
            </w:r>
            <w:r>
              <w:rPr>
                <w:color w:val="auto"/>
              </w:rPr>
              <w:t>5（</w:t>
            </w:r>
            <w:r>
              <w:rPr>
                <w:rFonts w:hint="eastAsia"/>
                <w:color w:val="auto"/>
              </w:rPr>
              <w:t>P</w:t>
            </w:r>
            <w:r>
              <w:rPr>
                <w:color w:val="auto"/>
              </w:rPr>
              <w:t>6）</w:t>
            </w:r>
          </w:p>
        </w:tc>
      </w:tr>
      <w:tr w14:paraId="6BB2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Merge w:val="continue"/>
            <w:vAlign w:val="center"/>
          </w:tcPr>
          <w:p w14:paraId="688A2CE7">
            <w:pPr>
              <w:pStyle w:val="45"/>
              <w:rPr>
                <w:rFonts w:hint="eastAsia"/>
                <w:color w:val="auto"/>
              </w:rPr>
            </w:pPr>
          </w:p>
        </w:tc>
        <w:tc>
          <w:tcPr>
            <w:tcW w:w="581" w:type="pct"/>
            <w:gridSpan w:val="2"/>
            <w:vAlign w:val="center"/>
          </w:tcPr>
          <w:p w14:paraId="17E99A46">
            <w:pPr>
              <w:pStyle w:val="45"/>
              <w:rPr>
                <w:rFonts w:hint="eastAsia"/>
                <w:color w:val="auto"/>
              </w:rPr>
            </w:pPr>
            <w:r>
              <w:rPr>
                <w:rFonts w:hint="eastAsia"/>
                <w:color w:val="auto"/>
              </w:rPr>
              <w:t>楼梯</w:t>
            </w:r>
          </w:p>
        </w:tc>
        <w:tc>
          <w:tcPr>
            <w:tcW w:w="603" w:type="pct"/>
            <w:vAlign w:val="center"/>
          </w:tcPr>
          <w:p w14:paraId="77D028AC">
            <w:pPr>
              <w:pStyle w:val="45"/>
              <w:rPr>
                <w:rFonts w:hint="eastAsia"/>
                <w:color w:val="auto"/>
              </w:rPr>
            </w:pPr>
            <w:r>
              <w:rPr>
                <w:rFonts w:hint="eastAsia"/>
                <w:color w:val="auto"/>
              </w:rPr>
              <w:t>C</w:t>
            </w:r>
            <w:r>
              <w:rPr>
                <w:color w:val="auto"/>
              </w:rPr>
              <w:t>30</w:t>
            </w:r>
          </w:p>
        </w:tc>
        <w:tc>
          <w:tcPr>
            <w:tcW w:w="1862" w:type="pct"/>
            <w:gridSpan w:val="6"/>
            <w:vAlign w:val="center"/>
          </w:tcPr>
          <w:p w14:paraId="07B54600">
            <w:pPr>
              <w:pStyle w:val="45"/>
              <w:rPr>
                <w:rFonts w:hint="eastAsia"/>
                <w:color w:val="auto"/>
              </w:rPr>
            </w:pPr>
            <w:r>
              <w:rPr>
                <w:rFonts w:hint="eastAsia"/>
                <w:color w:val="auto"/>
              </w:rPr>
              <w:t>地下室外墙</w:t>
            </w:r>
          </w:p>
        </w:tc>
        <w:tc>
          <w:tcPr>
            <w:tcW w:w="1323" w:type="pct"/>
            <w:gridSpan w:val="3"/>
            <w:vAlign w:val="center"/>
          </w:tcPr>
          <w:p w14:paraId="504B16AF">
            <w:pPr>
              <w:pStyle w:val="45"/>
              <w:rPr>
                <w:rFonts w:hint="eastAsia"/>
                <w:color w:val="auto"/>
              </w:rPr>
            </w:pPr>
            <w:r>
              <w:rPr>
                <w:rFonts w:hint="eastAsia"/>
                <w:color w:val="auto"/>
              </w:rPr>
              <w:t>C35</w:t>
            </w:r>
            <w:r>
              <w:rPr>
                <w:color w:val="auto"/>
              </w:rPr>
              <w:t>（</w:t>
            </w:r>
            <w:r>
              <w:rPr>
                <w:rFonts w:hint="eastAsia"/>
                <w:color w:val="auto"/>
              </w:rPr>
              <w:t>P</w:t>
            </w:r>
            <w:r>
              <w:rPr>
                <w:color w:val="auto"/>
              </w:rPr>
              <w:t>6）</w:t>
            </w:r>
          </w:p>
        </w:tc>
      </w:tr>
      <w:tr w14:paraId="343E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Merge w:val="continue"/>
            <w:vAlign w:val="center"/>
          </w:tcPr>
          <w:p w14:paraId="2CF35769">
            <w:pPr>
              <w:pStyle w:val="45"/>
              <w:rPr>
                <w:rFonts w:hint="eastAsia"/>
                <w:color w:val="auto"/>
              </w:rPr>
            </w:pPr>
          </w:p>
        </w:tc>
        <w:tc>
          <w:tcPr>
            <w:tcW w:w="581" w:type="pct"/>
            <w:gridSpan w:val="2"/>
            <w:vAlign w:val="center"/>
          </w:tcPr>
          <w:p w14:paraId="0E6D15DD">
            <w:pPr>
              <w:pStyle w:val="45"/>
              <w:rPr>
                <w:rFonts w:hint="eastAsia"/>
                <w:color w:val="auto"/>
              </w:rPr>
            </w:pPr>
            <w:r>
              <w:rPr>
                <w:rFonts w:hint="eastAsia"/>
                <w:color w:val="auto"/>
              </w:rPr>
              <w:t>墙、柱</w:t>
            </w:r>
          </w:p>
        </w:tc>
        <w:tc>
          <w:tcPr>
            <w:tcW w:w="603" w:type="pct"/>
            <w:vAlign w:val="center"/>
          </w:tcPr>
          <w:p w14:paraId="09EC740A">
            <w:pPr>
              <w:pStyle w:val="45"/>
              <w:rPr>
                <w:rFonts w:hint="eastAsia"/>
                <w:color w:val="auto"/>
              </w:rPr>
            </w:pPr>
            <w:r>
              <w:rPr>
                <w:rFonts w:hint="eastAsia"/>
                <w:color w:val="auto"/>
              </w:rPr>
              <w:t>C35</w:t>
            </w:r>
            <w:r>
              <w:rPr>
                <w:color w:val="auto"/>
              </w:rPr>
              <w:t>-C50</w:t>
            </w:r>
          </w:p>
        </w:tc>
        <w:tc>
          <w:tcPr>
            <w:tcW w:w="1862" w:type="pct"/>
            <w:gridSpan w:val="6"/>
            <w:vAlign w:val="center"/>
          </w:tcPr>
          <w:p w14:paraId="4F2C5250">
            <w:pPr>
              <w:pStyle w:val="45"/>
              <w:rPr>
                <w:rFonts w:hint="eastAsia"/>
                <w:color w:val="auto"/>
              </w:rPr>
            </w:pPr>
            <w:r>
              <w:rPr>
                <w:rFonts w:hint="eastAsia"/>
                <w:color w:val="auto"/>
              </w:rPr>
              <w:t>梁、板</w:t>
            </w:r>
          </w:p>
        </w:tc>
        <w:tc>
          <w:tcPr>
            <w:tcW w:w="1323" w:type="pct"/>
            <w:gridSpan w:val="3"/>
            <w:vAlign w:val="center"/>
          </w:tcPr>
          <w:p w14:paraId="725EA71E">
            <w:pPr>
              <w:pStyle w:val="45"/>
              <w:rPr>
                <w:rFonts w:hint="eastAsia"/>
                <w:color w:val="auto"/>
              </w:rPr>
            </w:pPr>
            <w:r>
              <w:rPr>
                <w:rFonts w:hint="eastAsia"/>
                <w:color w:val="auto"/>
              </w:rPr>
              <w:t>C30-C35</w:t>
            </w:r>
          </w:p>
        </w:tc>
      </w:tr>
      <w:tr w14:paraId="0055F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Merge w:val="continue"/>
            <w:vAlign w:val="center"/>
          </w:tcPr>
          <w:p w14:paraId="4F18C23F">
            <w:pPr>
              <w:pStyle w:val="45"/>
              <w:rPr>
                <w:rFonts w:hint="eastAsia"/>
                <w:color w:val="auto"/>
              </w:rPr>
            </w:pPr>
          </w:p>
        </w:tc>
        <w:tc>
          <w:tcPr>
            <w:tcW w:w="581" w:type="pct"/>
            <w:gridSpan w:val="2"/>
            <w:vAlign w:val="center"/>
          </w:tcPr>
          <w:p w14:paraId="03E0B8D1">
            <w:pPr>
              <w:pStyle w:val="45"/>
              <w:rPr>
                <w:rFonts w:hint="eastAsia"/>
                <w:color w:val="auto"/>
              </w:rPr>
            </w:pPr>
            <w:r>
              <w:rPr>
                <w:rFonts w:hint="eastAsia"/>
                <w:color w:val="auto"/>
              </w:rPr>
              <w:t>地下室消防</w:t>
            </w:r>
            <w:r>
              <w:rPr>
                <w:color w:val="auto"/>
              </w:rPr>
              <w:t>水池</w:t>
            </w:r>
          </w:p>
        </w:tc>
        <w:tc>
          <w:tcPr>
            <w:tcW w:w="603" w:type="pct"/>
            <w:vAlign w:val="center"/>
          </w:tcPr>
          <w:p w14:paraId="5F1ED9CE">
            <w:pPr>
              <w:pStyle w:val="45"/>
              <w:rPr>
                <w:rFonts w:hint="eastAsia"/>
                <w:color w:val="auto"/>
              </w:rPr>
            </w:pPr>
            <w:r>
              <w:rPr>
                <w:rFonts w:hint="eastAsia"/>
                <w:color w:val="auto"/>
              </w:rPr>
              <w:t>C3</w:t>
            </w:r>
            <w:r>
              <w:rPr>
                <w:color w:val="auto"/>
              </w:rPr>
              <w:t>5</w:t>
            </w:r>
            <w:r>
              <w:rPr>
                <w:rFonts w:hint="eastAsia"/>
                <w:color w:val="auto"/>
              </w:rPr>
              <w:t>（P</w:t>
            </w:r>
            <w:r>
              <w:rPr>
                <w:color w:val="auto"/>
              </w:rPr>
              <w:t>6</w:t>
            </w:r>
            <w:r>
              <w:rPr>
                <w:rFonts w:hint="eastAsia"/>
                <w:color w:val="auto"/>
              </w:rPr>
              <w:t>）</w:t>
            </w:r>
          </w:p>
        </w:tc>
        <w:tc>
          <w:tcPr>
            <w:tcW w:w="1862" w:type="pct"/>
            <w:gridSpan w:val="6"/>
            <w:vAlign w:val="center"/>
          </w:tcPr>
          <w:p w14:paraId="3D96904C">
            <w:pPr>
              <w:pStyle w:val="45"/>
              <w:rPr>
                <w:rFonts w:hint="eastAsia"/>
                <w:color w:val="auto"/>
              </w:rPr>
            </w:pPr>
            <w:r>
              <w:rPr>
                <w:rFonts w:hint="eastAsia"/>
                <w:color w:val="auto"/>
              </w:rPr>
              <w:t>圈梁</w:t>
            </w:r>
            <w:r>
              <w:rPr>
                <w:color w:val="auto"/>
              </w:rPr>
              <w:t>、构造柱、过梁</w:t>
            </w:r>
          </w:p>
        </w:tc>
        <w:tc>
          <w:tcPr>
            <w:tcW w:w="1323" w:type="pct"/>
            <w:gridSpan w:val="3"/>
            <w:vAlign w:val="center"/>
          </w:tcPr>
          <w:p w14:paraId="542A92FE">
            <w:pPr>
              <w:pStyle w:val="45"/>
              <w:rPr>
                <w:rFonts w:hint="eastAsia"/>
                <w:color w:val="auto"/>
              </w:rPr>
            </w:pPr>
            <w:r>
              <w:rPr>
                <w:rFonts w:hint="eastAsia"/>
                <w:color w:val="auto"/>
              </w:rPr>
              <w:t>C</w:t>
            </w:r>
            <w:r>
              <w:rPr>
                <w:color w:val="auto"/>
              </w:rPr>
              <w:t>2</w:t>
            </w:r>
            <w:r>
              <w:rPr>
                <w:rFonts w:hint="eastAsia"/>
                <w:color w:val="auto"/>
              </w:rPr>
              <w:t>5</w:t>
            </w:r>
          </w:p>
        </w:tc>
      </w:tr>
      <w:tr w14:paraId="10595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632" w:type="pct"/>
            <w:gridSpan w:val="2"/>
            <w:vAlign w:val="center"/>
          </w:tcPr>
          <w:p w14:paraId="7DD31F13">
            <w:pPr>
              <w:pStyle w:val="45"/>
              <w:rPr>
                <w:rFonts w:hint="eastAsia"/>
                <w:color w:val="auto"/>
              </w:rPr>
            </w:pPr>
            <w:r>
              <w:rPr>
                <w:rFonts w:hint="eastAsia"/>
                <w:color w:val="auto"/>
              </w:rPr>
              <w:t>特殊结构</w:t>
            </w:r>
          </w:p>
        </w:tc>
        <w:tc>
          <w:tcPr>
            <w:tcW w:w="4368" w:type="pct"/>
            <w:gridSpan w:val="12"/>
            <w:vAlign w:val="center"/>
          </w:tcPr>
          <w:p w14:paraId="275C05DB">
            <w:pPr>
              <w:pStyle w:val="45"/>
              <w:rPr>
                <w:rFonts w:hint="eastAsia"/>
                <w:color w:val="auto"/>
              </w:rPr>
            </w:pPr>
          </w:p>
        </w:tc>
      </w:tr>
      <w:bookmarkEnd w:id="20"/>
    </w:tbl>
    <w:p w14:paraId="4F829AB7">
      <w:pPr>
        <w:pStyle w:val="4"/>
        <w:ind w:firstLine="482"/>
        <w:rPr>
          <w:color w:val="auto"/>
        </w:rPr>
      </w:pPr>
      <w:bookmarkStart w:id="21" w:name="_Toc15423"/>
      <w:r>
        <w:rPr>
          <w:rFonts w:hint="eastAsia"/>
          <w:color w:val="auto"/>
        </w:rPr>
        <w:t>建筑安装概况</w:t>
      </w:r>
      <w:bookmarkEnd w:id="21"/>
    </w:p>
    <w:p w14:paraId="60763EE9">
      <w:pPr>
        <w:pStyle w:val="5"/>
        <w:rPr>
          <w:color w:val="auto"/>
        </w:rPr>
      </w:pPr>
      <w:bookmarkStart w:id="22" w:name="_Toc4862"/>
      <w:r>
        <w:rPr>
          <w:rFonts w:hint="eastAsia"/>
          <w:color w:val="auto"/>
        </w:rPr>
        <w:t>暖通</w:t>
      </w:r>
      <w:bookmarkEnd w:id="22"/>
    </w:p>
    <w:p w14:paraId="33586815">
      <w:pPr>
        <w:pStyle w:val="6"/>
        <w:ind w:firstLine="480"/>
        <w:rPr>
          <w:color w:val="auto"/>
        </w:rPr>
      </w:pPr>
      <w:r>
        <w:rPr>
          <w:color w:val="auto"/>
        </w:rPr>
        <w:t>空调冷热源系统</w:t>
      </w:r>
    </w:p>
    <w:p w14:paraId="619DB5A2">
      <w:pPr>
        <w:rPr>
          <w:color w:val="auto"/>
        </w:rPr>
      </w:pPr>
      <w:r>
        <w:rPr>
          <w:rFonts w:hint="eastAsia"/>
          <w:color w:val="auto"/>
        </w:rPr>
        <w:t>1、空调冷源</w:t>
      </w:r>
    </w:p>
    <w:p w14:paraId="7A4DF70B">
      <w:pPr>
        <w:rPr>
          <w:color w:val="auto"/>
        </w:rPr>
      </w:pPr>
      <w:r>
        <w:rPr>
          <w:rFonts w:hint="eastAsia"/>
          <w:color w:val="auto"/>
        </w:rPr>
        <w:t>（1）采用市政冷水作为冷源</w:t>
      </w:r>
      <w:r>
        <w:rPr>
          <w:color w:val="auto"/>
        </w:rPr>
        <w:t>。</w:t>
      </w:r>
      <w:r>
        <w:rPr>
          <w:rFonts w:hint="eastAsia"/>
          <w:color w:val="auto"/>
        </w:rPr>
        <w:t>热交换机房位于</w:t>
      </w:r>
      <w:r>
        <w:rPr>
          <w:color w:val="auto"/>
        </w:rPr>
        <w:t>地下</w:t>
      </w:r>
      <w:r>
        <w:rPr>
          <w:rFonts w:hint="eastAsia"/>
          <w:color w:val="auto"/>
        </w:rPr>
        <w:t>一层</w:t>
      </w:r>
      <w:r>
        <w:rPr>
          <w:color w:val="auto"/>
        </w:rPr>
        <w:t>，</w:t>
      </w:r>
      <w:r>
        <w:rPr>
          <w:rFonts w:hint="eastAsia"/>
          <w:color w:val="auto"/>
        </w:rPr>
        <w:t>综合</w:t>
      </w:r>
      <w:r>
        <w:rPr>
          <w:color w:val="auto"/>
        </w:rPr>
        <w:t>经济性与</w:t>
      </w:r>
      <w:r>
        <w:rPr>
          <w:rFonts w:hint="eastAsia"/>
          <w:color w:val="auto"/>
        </w:rPr>
        <w:t>运行</w:t>
      </w:r>
      <w:r>
        <w:rPr>
          <w:color w:val="auto"/>
        </w:rPr>
        <w:t>管理方面因素，选用</w:t>
      </w:r>
      <w:r>
        <w:rPr>
          <w:rFonts w:hint="eastAsia"/>
          <w:color w:val="auto"/>
        </w:rPr>
        <w:t>3台47</w:t>
      </w:r>
      <w:bookmarkStart w:id="443" w:name="_GoBack"/>
      <w:bookmarkEnd w:id="443"/>
      <w:r>
        <w:rPr>
          <w:rFonts w:hint="eastAsia"/>
          <w:color w:val="auto"/>
        </w:rPr>
        <w:t>00kW的冷水板式热交换器和相应的4台空调冷水泵作为空调冷源。当其中一台板式换热器停止工作时，其余换热器的冷量不低于总冷量的70%。</w:t>
      </w:r>
    </w:p>
    <w:p w14:paraId="1C0B501E">
      <w:pPr>
        <w:rPr>
          <w:color w:val="auto"/>
        </w:rPr>
      </w:pPr>
      <w:r>
        <w:rPr>
          <w:color w:val="auto"/>
        </w:rPr>
        <w:t>（</w:t>
      </w:r>
      <w:r>
        <w:rPr>
          <w:rFonts w:hint="eastAsia"/>
          <w:color w:val="auto"/>
        </w:rPr>
        <w:t>2</w:t>
      </w:r>
      <w:r>
        <w:rPr>
          <w:color w:val="auto"/>
        </w:rPr>
        <w:t>）对于</w:t>
      </w:r>
      <w:r>
        <w:rPr>
          <w:rFonts w:hint="eastAsia"/>
          <w:color w:val="auto"/>
        </w:rPr>
        <w:t>消防控制中心、值班室物业管理用房、变电所、通信中心机房</w:t>
      </w:r>
      <w:r>
        <w:rPr>
          <w:color w:val="auto"/>
        </w:rPr>
        <w:t>等</w:t>
      </w:r>
      <w:r>
        <w:rPr>
          <w:rFonts w:hint="eastAsia"/>
          <w:color w:val="auto"/>
        </w:rPr>
        <w:t>运行时间特殊</w:t>
      </w:r>
      <w:r>
        <w:rPr>
          <w:color w:val="auto"/>
        </w:rPr>
        <w:t>的房间，冷源选用</w:t>
      </w:r>
      <w:r>
        <w:rPr>
          <w:rFonts w:hint="eastAsia"/>
          <w:color w:val="auto"/>
        </w:rPr>
        <w:t>单冷</w:t>
      </w:r>
      <w:r>
        <w:rPr>
          <w:color w:val="auto"/>
        </w:rPr>
        <w:t>型分体空调</w:t>
      </w:r>
      <w:r>
        <w:rPr>
          <w:rFonts w:hint="eastAsia"/>
          <w:color w:val="auto"/>
        </w:rPr>
        <w:t>或多联式</w:t>
      </w:r>
      <w:r>
        <w:rPr>
          <w:color w:val="auto"/>
        </w:rPr>
        <w:t>空调机组。</w:t>
      </w:r>
    </w:p>
    <w:p w14:paraId="790D50C2">
      <w:pPr>
        <w:rPr>
          <w:color w:val="auto"/>
        </w:rPr>
      </w:pPr>
      <w:r>
        <w:rPr>
          <w:rFonts w:hint="eastAsia"/>
          <w:color w:val="auto"/>
        </w:rPr>
        <w:t>（3）实验室按舒适性空调预留冷冻水管，有特殊需求的房间须由专业工艺单位进行深化。</w:t>
      </w:r>
    </w:p>
    <w:p w14:paraId="0EE015B8">
      <w:pPr>
        <w:rPr>
          <w:color w:val="auto"/>
        </w:rPr>
      </w:pPr>
      <w:r>
        <w:rPr>
          <w:rFonts w:hint="eastAsia"/>
          <w:color w:val="auto"/>
        </w:rPr>
        <w:t>2、空调水系统</w:t>
      </w:r>
    </w:p>
    <w:p w14:paraId="45ADF568">
      <w:pPr>
        <w:rPr>
          <w:color w:val="auto"/>
        </w:rPr>
      </w:pPr>
      <w:r>
        <w:rPr>
          <w:color w:val="auto"/>
        </w:rPr>
        <w:t>（</w:t>
      </w:r>
      <w:r>
        <w:rPr>
          <w:rFonts w:hint="eastAsia"/>
          <w:color w:val="auto"/>
        </w:rPr>
        <w:t>1</w:t>
      </w:r>
      <w:r>
        <w:rPr>
          <w:color w:val="auto"/>
        </w:rPr>
        <w:t>）系统采用一级泵变流量运行系统。水系统采用</w:t>
      </w:r>
      <w:r>
        <w:rPr>
          <w:rFonts w:hint="eastAsia"/>
          <w:color w:val="auto"/>
        </w:rPr>
        <w:t>两</w:t>
      </w:r>
      <w:r>
        <w:rPr>
          <w:color w:val="auto"/>
        </w:rPr>
        <w:t>管制闭式循环系统。</w:t>
      </w:r>
      <w:r>
        <w:rPr>
          <w:rFonts w:hint="eastAsia"/>
          <w:color w:val="auto"/>
        </w:rPr>
        <w:t>水系统采用两管制异程闭式循环系统。根据空调冷系统的末端压差调节冷冻水泵转速，变频运行，达到节能目的。</w:t>
      </w:r>
    </w:p>
    <w:p w14:paraId="3DAC6E26">
      <w:pPr>
        <w:rPr>
          <w:color w:val="auto"/>
        </w:rPr>
      </w:pPr>
      <w:r>
        <w:rPr>
          <w:rFonts w:hint="eastAsia"/>
          <w:color w:val="auto"/>
        </w:rPr>
        <w:t>（2）一次侧冷冻水水温度为：3℃/12℃，经板式换热器换热后二次侧冷冻水温度为：7℃/14℃。</w:t>
      </w:r>
    </w:p>
    <w:p w14:paraId="1B0A79B4">
      <w:pPr>
        <w:rPr>
          <w:color w:val="auto"/>
        </w:rPr>
      </w:pPr>
      <w:r>
        <w:rPr>
          <w:rFonts w:hint="eastAsia"/>
          <w:color w:val="auto"/>
        </w:rPr>
        <w:t>（3）冷水系统采用平衡阀平衡系统水量：末端空调箱设置动态压差平衡电动二通调节阀平衡系统水流量，末端盘管等末端支路设置静态平衡阀加压差平衡阀。末端盘管末端设置电动二通双位阀。</w:t>
      </w:r>
    </w:p>
    <w:p w14:paraId="7BEBB652">
      <w:pPr>
        <w:rPr>
          <w:color w:val="auto"/>
        </w:rPr>
      </w:pPr>
      <w:r>
        <w:rPr>
          <w:rFonts w:hint="eastAsia"/>
          <w:color w:val="auto"/>
        </w:rPr>
        <w:t>（4）采用真空脱气装置的闭式膨胀罐对数据中心空调系统进行定压补水和去除水系统中的空气，采用开式膨胀水箱对平时空调系统进行定压补水，并设置化学加药水处理设施以达到阻垢、缓蚀和杀灭细菌的目的。</w:t>
      </w:r>
    </w:p>
    <w:p w14:paraId="1CBE5004">
      <w:pPr>
        <w:pStyle w:val="6"/>
        <w:ind w:firstLine="480"/>
        <w:rPr>
          <w:color w:val="auto"/>
        </w:rPr>
      </w:pPr>
      <w:r>
        <w:rPr>
          <w:rFonts w:hint="eastAsia"/>
          <w:color w:val="auto"/>
        </w:rPr>
        <w:t>通风</w:t>
      </w:r>
    </w:p>
    <w:p w14:paraId="4C107667">
      <w:pPr>
        <w:rPr>
          <w:color w:val="auto"/>
        </w:rPr>
      </w:pPr>
      <w:r>
        <w:rPr>
          <w:rFonts w:hint="eastAsia"/>
          <w:color w:val="auto"/>
        </w:rPr>
        <w:t>1、空调风系统</w:t>
      </w:r>
    </w:p>
    <w:p w14:paraId="2E9B3C2A">
      <w:pPr>
        <w:rPr>
          <w:color w:val="auto"/>
        </w:rPr>
      </w:pPr>
      <w:r>
        <w:rPr>
          <w:rFonts w:hint="eastAsia"/>
          <w:color w:val="auto"/>
        </w:rPr>
        <w:t>（1）公共大堂、报告厅、展厅、食堂</w:t>
      </w:r>
      <w:r>
        <w:rPr>
          <w:color w:val="auto"/>
        </w:rPr>
        <w:t>等</w:t>
      </w:r>
      <w:r>
        <w:rPr>
          <w:rFonts w:hint="eastAsia"/>
          <w:color w:val="auto"/>
        </w:rPr>
        <w:t>大空间</w:t>
      </w:r>
      <w:r>
        <w:rPr>
          <w:color w:val="auto"/>
        </w:rPr>
        <w:t>采用全空气低速空调系统</w:t>
      </w:r>
      <w:r>
        <w:rPr>
          <w:rFonts w:hint="eastAsia"/>
          <w:color w:val="auto"/>
        </w:rPr>
        <w:t>，新风量根据二氧化碳浓度进行变新风调节，全空气系统过渡季节加大新风量运行，最大新风比不低于50%</w:t>
      </w:r>
      <w:r>
        <w:rPr>
          <w:color w:val="auto"/>
        </w:rPr>
        <w:t>。空调箱装设</w:t>
      </w:r>
      <w:r>
        <w:rPr>
          <w:rFonts w:hint="eastAsia"/>
          <w:color w:val="auto"/>
        </w:rPr>
        <w:t>混合段</w:t>
      </w:r>
      <w:r>
        <w:rPr>
          <w:color w:val="auto"/>
        </w:rPr>
        <w:t>、粗/中效空气过滤器、冷水盘管、光触媒净化杀菌</w:t>
      </w:r>
      <w:r>
        <w:rPr>
          <w:rFonts w:hint="eastAsia"/>
          <w:color w:val="auto"/>
        </w:rPr>
        <w:t>段、</w:t>
      </w:r>
      <w:r>
        <w:rPr>
          <w:color w:val="auto"/>
        </w:rPr>
        <w:t>送风机</w:t>
      </w:r>
      <w:r>
        <w:rPr>
          <w:rFonts w:hint="eastAsia"/>
          <w:color w:val="auto"/>
        </w:rPr>
        <w:t>段</w:t>
      </w:r>
      <w:r>
        <w:rPr>
          <w:color w:val="auto"/>
        </w:rPr>
        <w:t>等。</w:t>
      </w:r>
      <w:r>
        <w:rPr>
          <w:rFonts w:hint="eastAsia"/>
          <w:color w:val="auto"/>
        </w:rPr>
        <w:t>同时送</w:t>
      </w:r>
      <w:r>
        <w:rPr>
          <w:color w:val="auto"/>
        </w:rPr>
        <w:t>风机设变频</w:t>
      </w:r>
      <w:r>
        <w:rPr>
          <w:rFonts w:hint="eastAsia"/>
          <w:color w:val="auto"/>
        </w:rPr>
        <w:t>装置</w:t>
      </w:r>
      <w:r>
        <w:rPr>
          <w:color w:val="auto"/>
        </w:rPr>
        <w:t>对系统进行</w:t>
      </w:r>
      <w:r>
        <w:rPr>
          <w:rFonts w:hint="eastAsia"/>
          <w:color w:val="auto"/>
        </w:rPr>
        <w:t>粗</w:t>
      </w:r>
      <w:r>
        <w:rPr>
          <w:color w:val="auto"/>
        </w:rPr>
        <w:t>调节及负荷调节。</w:t>
      </w:r>
      <w:r>
        <w:rPr>
          <w:rFonts w:hint="eastAsia"/>
          <w:color w:val="auto"/>
        </w:rPr>
        <w:t>过滤</w:t>
      </w:r>
      <w:r>
        <w:rPr>
          <w:color w:val="auto"/>
        </w:rPr>
        <w:t>等级</w:t>
      </w:r>
      <w:r>
        <w:rPr>
          <w:rFonts w:hint="eastAsia"/>
          <w:color w:val="auto"/>
        </w:rPr>
        <w:t>为</w:t>
      </w:r>
      <w:r>
        <w:rPr>
          <w:color w:val="auto"/>
        </w:rPr>
        <w:t>G4+F7。</w:t>
      </w:r>
    </w:p>
    <w:p w14:paraId="145FDC92">
      <w:pPr>
        <w:rPr>
          <w:color w:val="auto"/>
        </w:rPr>
      </w:pPr>
      <w:r>
        <w:rPr>
          <w:rFonts w:hint="eastAsia"/>
          <w:color w:val="auto"/>
        </w:rPr>
        <w:t>（2）办公</w:t>
      </w:r>
      <w:r>
        <w:rPr>
          <w:color w:val="auto"/>
        </w:rPr>
        <w:t>、</w:t>
      </w:r>
      <w:r>
        <w:rPr>
          <w:rFonts w:hint="eastAsia"/>
          <w:color w:val="auto"/>
        </w:rPr>
        <w:t>会议、教室等</w:t>
      </w:r>
      <w:r>
        <w:rPr>
          <w:color w:val="auto"/>
        </w:rPr>
        <w:t>房</w:t>
      </w:r>
      <w:r>
        <w:rPr>
          <w:rFonts w:hint="eastAsia"/>
          <w:color w:val="auto"/>
        </w:rPr>
        <w:t>间</w:t>
      </w:r>
      <w:r>
        <w:rPr>
          <w:color w:val="auto"/>
        </w:rPr>
        <w:t>采用风机盘管</w:t>
      </w:r>
      <w:r>
        <w:rPr>
          <w:rFonts w:hint="eastAsia"/>
          <w:color w:val="auto"/>
        </w:rPr>
        <w:t>加新风</w:t>
      </w:r>
      <w:r>
        <w:rPr>
          <w:color w:val="auto"/>
        </w:rPr>
        <w:t>系统。新风机组包括送风机、</w:t>
      </w:r>
      <w:r>
        <w:rPr>
          <w:rFonts w:hint="eastAsia"/>
          <w:color w:val="auto"/>
        </w:rPr>
        <w:t>排风机、</w:t>
      </w:r>
      <w:r>
        <w:rPr>
          <w:color w:val="auto"/>
        </w:rPr>
        <w:t>粗/中效空气过滤器、</w:t>
      </w:r>
      <w:r>
        <w:rPr>
          <w:rFonts w:hint="eastAsia"/>
          <w:color w:val="auto"/>
        </w:rPr>
        <w:t>热管热回收装置、</w:t>
      </w:r>
      <w:r>
        <w:rPr>
          <w:color w:val="auto"/>
        </w:rPr>
        <w:t>冷水盘管</w:t>
      </w:r>
      <w:r>
        <w:rPr>
          <w:rFonts w:hint="eastAsia"/>
          <w:color w:val="auto"/>
        </w:rPr>
        <w:t>、</w:t>
      </w:r>
      <w:r>
        <w:rPr>
          <w:color w:val="auto"/>
        </w:rPr>
        <w:t>光触媒净化杀菌装置等。</w:t>
      </w:r>
      <w:r>
        <w:rPr>
          <w:rFonts w:hint="eastAsia"/>
          <w:color w:val="auto"/>
        </w:rPr>
        <w:t>教室新风量根据教室使用情况进行变新风调节。空调系统可分室控制，外区办公、会议、教室等在过渡季节可利用可开启外窗实现自然通风。</w:t>
      </w:r>
    </w:p>
    <w:p w14:paraId="3C9D8131">
      <w:pPr>
        <w:rPr>
          <w:color w:val="auto"/>
        </w:rPr>
      </w:pPr>
      <w:r>
        <w:rPr>
          <w:rFonts w:hint="eastAsia"/>
          <w:color w:val="auto"/>
        </w:rPr>
        <w:t>（3）无特殊工艺要求的实验室区域采用风机盘管加独立变频新风系统。实验室通风柜或生物安全通风柜系统运行时所需的实验室补风，拟采用各独立新风系统对实验室所需补风的冷、热处理。通风柜排风与新风空调箱联动控制，保证实验室区域处于负压。有特殊工艺需求的房间空调由专业设计团队进行深化</w:t>
      </w:r>
      <w:r>
        <w:rPr>
          <w:color w:val="auto"/>
        </w:rPr>
        <w:t>。</w:t>
      </w:r>
    </w:p>
    <w:p w14:paraId="0171F877">
      <w:pPr>
        <w:rPr>
          <w:color w:val="auto"/>
        </w:rPr>
      </w:pPr>
      <w:r>
        <w:rPr>
          <w:rFonts w:hint="eastAsia"/>
          <w:color w:val="auto"/>
        </w:rPr>
        <w:t>（4）散发有毒、</w:t>
      </w:r>
      <w:r>
        <w:rPr>
          <w:color w:val="auto"/>
        </w:rPr>
        <w:t>有害、有异味区域</w:t>
      </w:r>
      <w:r>
        <w:rPr>
          <w:rFonts w:hint="eastAsia"/>
          <w:color w:val="auto"/>
        </w:rPr>
        <w:t>，以及有洁净要求的区域的空调系统均</w:t>
      </w:r>
      <w:r>
        <w:rPr>
          <w:color w:val="auto"/>
        </w:rPr>
        <w:t>独立设置</w:t>
      </w:r>
      <w:r>
        <w:rPr>
          <w:rFonts w:hint="eastAsia"/>
          <w:color w:val="auto"/>
        </w:rPr>
        <w:t>。预留实验室、有毒、有害气体排放土建井道，并由专业设计团队进行深化设计</w:t>
      </w:r>
      <w:r>
        <w:rPr>
          <w:color w:val="auto"/>
        </w:rPr>
        <w:t>。</w:t>
      </w:r>
    </w:p>
    <w:p w14:paraId="0C55A189">
      <w:pPr>
        <w:rPr>
          <w:color w:val="auto"/>
        </w:rPr>
      </w:pPr>
      <w:r>
        <w:rPr>
          <w:color w:val="auto"/>
        </w:rPr>
        <w:t>（</w:t>
      </w:r>
      <w:r>
        <w:rPr>
          <w:rFonts w:hint="eastAsia"/>
          <w:color w:val="auto"/>
        </w:rPr>
        <w:t>5</w:t>
      </w:r>
      <w:r>
        <w:rPr>
          <w:color w:val="auto"/>
        </w:rPr>
        <w:t>）物业管理用房</w:t>
      </w:r>
      <w:r>
        <w:rPr>
          <w:rFonts w:hint="eastAsia"/>
          <w:color w:val="auto"/>
        </w:rPr>
        <w:t>、安保机房、消控中心、考试监控等运行时间特殊的房间</w:t>
      </w:r>
      <w:r>
        <w:rPr>
          <w:color w:val="auto"/>
        </w:rPr>
        <w:t>采用</w:t>
      </w:r>
      <w:r>
        <w:rPr>
          <w:rFonts w:hint="eastAsia"/>
          <w:color w:val="auto"/>
        </w:rPr>
        <w:t>分体空调或</w:t>
      </w:r>
      <w:r>
        <w:rPr>
          <w:color w:val="auto"/>
        </w:rPr>
        <w:t>多联机系统。</w:t>
      </w:r>
      <w:r>
        <w:rPr>
          <w:rFonts w:hint="eastAsia"/>
          <w:color w:val="auto"/>
        </w:rPr>
        <w:t>新风</w:t>
      </w:r>
      <w:r>
        <w:rPr>
          <w:color w:val="auto"/>
        </w:rPr>
        <w:t>经过全热交换器处理后送至室内</w:t>
      </w:r>
      <w:r>
        <w:rPr>
          <w:rFonts w:hint="eastAsia"/>
          <w:color w:val="auto"/>
        </w:rPr>
        <w:t>。</w:t>
      </w:r>
    </w:p>
    <w:p w14:paraId="4C22B001">
      <w:pPr>
        <w:rPr>
          <w:color w:val="auto"/>
        </w:rPr>
      </w:pPr>
      <w:r>
        <w:rPr>
          <w:color w:val="auto"/>
        </w:rPr>
        <w:t>（</w:t>
      </w:r>
      <w:r>
        <w:rPr>
          <w:rFonts w:hint="eastAsia"/>
          <w:color w:val="auto"/>
        </w:rPr>
        <w:t>6</w:t>
      </w:r>
      <w:r>
        <w:rPr>
          <w:color w:val="auto"/>
        </w:rPr>
        <w:t>）垃圾间</w:t>
      </w:r>
      <w:r>
        <w:rPr>
          <w:rFonts w:hint="eastAsia"/>
          <w:color w:val="auto"/>
        </w:rPr>
        <w:t>、汇聚机房、通信中心机房、有线电视机房、广播电视机房、弱电间、多媒体控制机房</w:t>
      </w:r>
      <w:r>
        <w:rPr>
          <w:color w:val="auto"/>
        </w:rPr>
        <w:t>采用分体空调器</w:t>
      </w:r>
      <w:r>
        <w:rPr>
          <w:rFonts w:hint="eastAsia"/>
          <w:color w:val="auto"/>
        </w:rPr>
        <w:t>或多联机空调系统</w:t>
      </w:r>
      <w:r>
        <w:rPr>
          <w:color w:val="auto"/>
        </w:rPr>
        <w:t>供冷</w:t>
      </w:r>
      <w:r>
        <w:rPr>
          <w:rFonts w:hint="eastAsia"/>
          <w:color w:val="auto"/>
        </w:rPr>
        <w:t>。</w:t>
      </w:r>
    </w:p>
    <w:p w14:paraId="69C6F449">
      <w:pPr>
        <w:rPr>
          <w:color w:val="auto"/>
        </w:rPr>
      </w:pPr>
      <w:r>
        <w:rPr>
          <w:rFonts w:hint="eastAsia"/>
          <w:color w:val="auto"/>
        </w:rPr>
        <w:t>（7）计算机网络中心机房采用机房专用恒温恒湿空调，空调系统由专业供应单位进行深化设计，本次设计仅预留电气条件及室外机安装位置。</w:t>
      </w:r>
    </w:p>
    <w:p w14:paraId="1096757B">
      <w:pPr>
        <w:rPr>
          <w:color w:val="auto"/>
        </w:rPr>
      </w:pPr>
      <w:r>
        <w:rPr>
          <w:rFonts w:hint="eastAsia"/>
          <w:color w:val="auto"/>
        </w:rPr>
        <w:t>2、通风系统</w:t>
      </w:r>
    </w:p>
    <w:p w14:paraId="7725A4CE">
      <w:pPr>
        <w:rPr>
          <w:color w:val="auto"/>
        </w:rPr>
      </w:pPr>
      <w:r>
        <w:rPr>
          <w:color w:val="auto"/>
        </w:rPr>
        <w:t>（</w:t>
      </w:r>
      <w:r>
        <w:rPr>
          <w:rFonts w:hint="eastAsia"/>
          <w:color w:val="auto"/>
        </w:rPr>
        <w:t>1</w:t>
      </w:r>
      <w:r>
        <w:rPr>
          <w:color w:val="auto"/>
        </w:rPr>
        <w:t>）厨房设置机械排油烟系统，厨房油烟经具有除异味功能的油烟净化器处理后排至室外，排</w:t>
      </w:r>
      <w:r>
        <w:rPr>
          <w:rFonts w:hint="eastAsia"/>
          <w:color w:val="auto"/>
        </w:rPr>
        <w:t>油烟</w:t>
      </w:r>
      <w:r>
        <w:rPr>
          <w:color w:val="auto"/>
        </w:rPr>
        <w:t>量按60</w:t>
      </w:r>
      <w:r>
        <w:rPr>
          <w:rFonts w:hint="eastAsia"/>
          <w:color w:val="auto"/>
        </w:rPr>
        <w:t>次/h</w:t>
      </w:r>
      <w:r>
        <w:rPr>
          <w:color w:val="auto"/>
        </w:rPr>
        <w:t>计算。同时设机械补风系统，补风量为排油烟量的</w:t>
      </w:r>
      <w:r>
        <w:rPr>
          <w:rFonts w:hint="eastAsia"/>
          <w:color w:val="auto"/>
        </w:rPr>
        <w:t>85</w:t>
      </w:r>
      <w:r>
        <w:rPr>
          <w:color w:val="auto"/>
        </w:rPr>
        <w:t>%，其中补风量的</w:t>
      </w:r>
      <w:r>
        <w:rPr>
          <w:rFonts w:hint="eastAsia"/>
          <w:color w:val="auto"/>
        </w:rPr>
        <w:t>35</w:t>
      </w:r>
      <w:r>
        <w:rPr>
          <w:color w:val="auto"/>
        </w:rPr>
        <w:t>%经过预冷处理。另设厨房平时兼事故排风系统，平时</w:t>
      </w:r>
      <w:r>
        <w:rPr>
          <w:rFonts w:hint="eastAsia"/>
          <w:color w:val="auto"/>
        </w:rPr>
        <w:t>兼</w:t>
      </w:r>
      <w:r>
        <w:rPr>
          <w:color w:val="auto"/>
        </w:rPr>
        <w:t>事故工况的排风量按12</w:t>
      </w:r>
      <w:r>
        <w:rPr>
          <w:rFonts w:hint="eastAsia"/>
          <w:color w:val="auto"/>
        </w:rPr>
        <w:t>次/h</w:t>
      </w:r>
      <w:r>
        <w:rPr>
          <w:color w:val="auto"/>
        </w:rPr>
        <w:t>计算。</w:t>
      </w:r>
      <w:r>
        <w:rPr>
          <w:rFonts w:hint="eastAsia"/>
          <w:color w:val="auto"/>
        </w:rPr>
        <w:t>厨房排油烟系统预留管道入户，补风系统预留补风管道。油烟气经排烟罩过滤后，经过油烟静电净化装置和纳米光子除异味处理后，屋面高空排放。厨房油烟排放浓度不大于2</w:t>
      </w:r>
      <w:r>
        <w:rPr>
          <w:color w:val="auto"/>
        </w:rPr>
        <w:t>.0mg/m</w:t>
      </w:r>
      <w:r>
        <w:rPr>
          <w:color w:val="auto"/>
          <w:vertAlign w:val="superscript"/>
        </w:rPr>
        <w:t>3</w:t>
      </w:r>
      <w:r>
        <w:rPr>
          <w:rFonts w:hint="eastAsia"/>
          <w:color w:val="auto"/>
        </w:rPr>
        <w:t>（标况）。</w:t>
      </w:r>
    </w:p>
    <w:p w14:paraId="7A306AB8">
      <w:pPr>
        <w:rPr>
          <w:color w:val="auto"/>
        </w:rPr>
      </w:pPr>
      <w:r>
        <w:rPr>
          <w:rFonts w:hint="eastAsia"/>
          <w:color w:val="auto"/>
        </w:rPr>
        <w:t>（2）变压器室，变电所、各通讯网络机房等气体消防防护区域的事故通风为气体灭火后防护通风，换气次数不小于 5次/h；各防护区的通风主管上均设电动开关阀，火灾时均关闭，气体灭火后打开灭火区域的主管上的阀门并联锁打开所连接的风机进行通风，事故通风采用下排风口。</w:t>
      </w:r>
    </w:p>
    <w:p w14:paraId="2E7B06A9">
      <w:pPr>
        <w:rPr>
          <w:color w:val="auto"/>
        </w:rPr>
      </w:pPr>
      <w:r>
        <w:rPr>
          <w:rFonts w:hint="eastAsia"/>
          <w:color w:val="auto"/>
        </w:rPr>
        <w:t>（3）预留冷冻机房平时排风量按6次/h，事故排风按12次/h,平时排风口上下分别设置，事故排风采用下排风口。</w:t>
      </w:r>
    </w:p>
    <w:p w14:paraId="40BB57F0">
      <w:pPr>
        <w:rPr>
          <w:color w:val="auto"/>
        </w:rPr>
      </w:pPr>
      <w:r>
        <w:rPr>
          <w:rFonts w:hint="eastAsia"/>
          <w:color w:val="auto"/>
        </w:rPr>
        <w:t>（4）实验室区域内通风系统独立设置，后续由专项顾问提资确定。</w:t>
      </w:r>
    </w:p>
    <w:p w14:paraId="6E296428">
      <w:pPr>
        <w:rPr>
          <w:color w:val="auto"/>
        </w:rPr>
      </w:pPr>
      <w:r>
        <w:rPr>
          <w:color w:val="auto"/>
        </w:rPr>
        <w:t>事故通风应根据放散物的种类，设置相应的检测报警及控制系统。事故通风的手动控制装置应在室内外便于操作的地点分别设置</w:t>
      </w:r>
      <w:r>
        <w:rPr>
          <w:rFonts w:hint="eastAsia"/>
          <w:color w:val="auto"/>
        </w:rPr>
        <w:t>。</w:t>
      </w:r>
    </w:p>
    <w:p w14:paraId="44F447CB">
      <w:pPr>
        <w:pStyle w:val="6"/>
        <w:ind w:firstLine="480"/>
        <w:rPr>
          <w:color w:val="auto"/>
        </w:rPr>
      </w:pPr>
      <w:r>
        <w:rPr>
          <w:rFonts w:hint="eastAsia"/>
          <w:color w:val="auto"/>
        </w:rPr>
        <w:t>防烟、排烟设计和风管系统防火措施</w:t>
      </w:r>
    </w:p>
    <w:p w14:paraId="6A731AEC">
      <w:pPr>
        <w:rPr>
          <w:color w:val="auto"/>
        </w:rPr>
      </w:pPr>
      <w:r>
        <w:rPr>
          <w:rFonts w:hint="eastAsia"/>
          <w:color w:val="auto"/>
        </w:rPr>
        <w:t>根据《建筑设计防火规范》</w:t>
      </w:r>
      <w:r>
        <w:rPr>
          <w:color w:val="auto"/>
        </w:rPr>
        <w:t>GB50016</w:t>
      </w:r>
      <w:r>
        <w:rPr>
          <w:rFonts w:hint="eastAsia"/>
          <w:color w:val="auto"/>
        </w:rPr>
        <w:t>－</w:t>
      </w:r>
      <w:r>
        <w:rPr>
          <w:color w:val="auto"/>
        </w:rPr>
        <w:t>2014</w:t>
      </w:r>
      <w:r>
        <w:rPr>
          <w:rFonts w:hint="eastAsia"/>
          <w:color w:val="auto"/>
        </w:rPr>
        <w:t>（</w:t>
      </w:r>
      <w:r>
        <w:rPr>
          <w:color w:val="auto"/>
        </w:rPr>
        <w:t>2018</w:t>
      </w:r>
      <w:r>
        <w:rPr>
          <w:rFonts w:hint="eastAsia"/>
          <w:color w:val="auto"/>
        </w:rPr>
        <w:t>版）、《建筑防烟排烟系统技术标准》</w:t>
      </w:r>
      <w:r>
        <w:rPr>
          <w:color w:val="auto"/>
        </w:rPr>
        <w:t>GB51251-2017</w:t>
      </w:r>
      <w:r>
        <w:rPr>
          <w:rFonts w:hint="eastAsia"/>
          <w:color w:val="auto"/>
        </w:rPr>
        <w:t>、《汽车库、修车库、停车场设计防火规范》</w:t>
      </w:r>
      <w:r>
        <w:rPr>
          <w:color w:val="auto"/>
        </w:rPr>
        <w:t>GB50067-2014</w:t>
      </w:r>
      <w:r>
        <w:rPr>
          <w:rFonts w:hint="eastAsia"/>
          <w:color w:val="auto"/>
        </w:rPr>
        <w:t>、《海南省电动汽车充电设施建筑设计标准》DBJ 46-041-2019对相关场所设置必要的防排烟措施，以保证火灾时的人员疏散要求。</w:t>
      </w:r>
    </w:p>
    <w:p w14:paraId="5CDCCA51">
      <w:pPr>
        <w:rPr>
          <w:color w:val="auto"/>
        </w:rPr>
      </w:pPr>
      <w:r>
        <w:rPr>
          <w:color w:val="auto"/>
        </w:rPr>
        <w:t>1</w:t>
      </w:r>
      <w:r>
        <w:rPr>
          <w:rFonts w:hint="eastAsia"/>
          <w:color w:val="auto"/>
        </w:rPr>
        <w:t>、楼梯间及其前室、消防电梯前室或合用前室防烟系统</w:t>
      </w:r>
    </w:p>
    <w:p w14:paraId="1D4A6590">
      <w:pPr>
        <w:rPr>
          <w:color w:val="auto"/>
        </w:rPr>
      </w:pPr>
      <w:r>
        <w:rPr>
          <w:rFonts w:hint="eastAsia"/>
          <w:color w:val="auto"/>
        </w:rPr>
        <w:t>（1）建筑高度小于或</w:t>
      </w:r>
      <w:r>
        <w:rPr>
          <w:color w:val="auto"/>
        </w:rPr>
        <w:t>等于50</w:t>
      </w:r>
      <w:r>
        <w:rPr>
          <w:rFonts w:hint="eastAsia"/>
          <w:color w:val="auto"/>
        </w:rPr>
        <w:t>米的公共建筑防烟楼梯间、独立前室、共用前室、合用前室（除</w:t>
      </w:r>
      <w:r>
        <w:rPr>
          <w:color w:val="auto"/>
        </w:rPr>
        <w:t>共用前室与消防</w:t>
      </w:r>
      <w:r>
        <w:rPr>
          <w:rFonts w:hint="eastAsia"/>
          <w:color w:val="auto"/>
        </w:rPr>
        <w:t>电梯</w:t>
      </w:r>
      <w:r>
        <w:rPr>
          <w:color w:val="auto"/>
        </w:rPr>
        <w:t>前室合用外</w:t>
      </w:r>
      <w:r>
        <w:rPr>
          <w:rFonts w:hint="eastAsia"/>
          <w:color w:val="auto"/>
        </w:rPr>
        <w:t>）、消防电梯前室应采用自然通风</w:t>
      </w:r>
      <w:r>
        <w:rPr>
          <w:color w:val="auto"/>
        </w:rPr>
        <w:t>系统</w:t>
      </w:r>
      <w:r>
        <w:rPr>
          <w:rFonts w:hint="eastAsia"/>
          <w:color w:val="auto"/>
        </w:rPr>
        <w:t>。当不能设置自然通风</w:t>
      </w:r>
      <w:r>
        <w:rPr>
          <w:color w:val="auto"/>
        </w:rPr>
        <w:t>系统</w:t>
      </w:r>
      <w:r>
        <w:rPr>
          <w:rFonts w:hint="eastAsia"/>
          <w:color w:val="auto"/>
        </w:rPr>
        <w:t>时，</w:t>
      </w:r>
      <w:r>
        <w:rPr>
          <w:color w:val="auto"/>
        </w:rPr>
        <w:t>应采用机械加压送风</w:t>
      </w:r>
      <w:r>
        <w:rPr>
          <w:rFonts w:hint="eastAsia"/>
          <w:color w:val="auto"/>
        </w:rPr>
        <w:t>系统。</w:t>
      </w:r>
    </w:p>
    <w:p w14:paraId="4A26FA83">
      <w:pPr>
        <w:rPr>
          <w:color w:val="auto"/>
        </w:rPr>
      </w:pPr>
      <w:r>
        <w:rPr>
          <w:rFonts w:hint="eastAsia"/>
          <w:color w:val="auto"/>
        </w:rPr>
        <w:t>（2）当独立前室</w:t>
      </w:r>
      <w:r>
        <w:rPr>
          <w:color w:val="auto"/>
        </w:rPr>
        <w:t>或合用前室满足采用全敞开的阳台或凹廊</w:t>
      </w:r>
      <w:r>
        <w:rPr>
          <w:rFonts w:hint="eastAsia"/>
          <w:color w:val="auto"/>
        </w:rPr>
        <w:t>或</w:t>
      </w:r>
      <w:r>
        <w:rPr>
          <w:color w:val="auto"/>
        </w:rPr>
        <w:t>设有两个及以上不同朝向的可开启外窗，且</w:t>
      </w:r>
      <w:r>
        <w:rPr>
          <w:rFonts w:hint="eastAsia"/>
          <w:color w:val="auto"/>
        </w:rPr>
        <w:t>独立</w:t>
      </w:r>
      <w:r>
        <w:rPr>
          <w:color w:val="auto"/>
        </w:rPr>
        <w:t>前室两个外窗面积分别不小于</w:t>
      </w:r>
      <w:r>
        <w:rPr>
          <w:rFonts w:hint="eastAsia"/>
          <w:color w:val="auto"/>
        </w:rPr>
        <w:t>2.0</w:t>
      </w:r>
      <w:r>
        <w:rPr>
          <w:color w:val="auto"/>
        </w:rPr>
        <w:t>m</w:t>
      </w:r>
      <w:r>
        <w:rPr>
          <w:color w:val="auto"/>
          <w:vertAlign w:val="superscript"/>
        </w:rPr>
        <w:t>2</w:t>
      </w:r>
      <w:r>
        <w:rPr>
          <w:rFonts w:hint="eastAsia"/>
          <w:color w:val="auto"/>
        </w:rPr>
        <w:t>，合用前室</w:t>
      </w:r>
      <w:r>
        <w:rPr>
          <w:color w:val="auto"/>
        </w:rPr>
        <w:t>两个外窗面积分别不小于3</w:t>
      </w:r>
      <w:r>
        <w:rPr>
          <w:rFonts w:hint="eastAsia"/>
          <w:color w:val="auto"/>
        </w:rPr>
        <w:t>.0</w:t>
      </w:r>
      <w:r>
        <w:rPr>
          <w:color w:val="auto"/>
        </w:rPr>
        <w:t>m</w:t>
      </w:r>
      <w:r>
        <w:rPr>
          <w:color w:val="auto"/>
          <w:vertAlign w:val="superscript"/>
        </w:rPr>
        <w:t>2</w:t>
      </w:r>
      <w:r>
        <w:rPr>
          <w:rFonts w:hint="eastAsia"/>
          <w:color w:val="auto"/>
        </w:rPr>
        <w:t>时</w:t>
      </w:r>
      <w:r>
        <w:rPr>
          <w:color w:val="auto"/>
        </w:rPr>
        <w:t>，楼梯间</w:t>
      </w:r>
      <w:r>
        <w:rPr>
          <w:rFonts w:hint="eastAsia"/>
          <w:color w:val="auto"/>
        </w:rPr>
        <w:t>可不设置</w:t>
      </w:r>
      <w:r>
        <w:rPr>
          <w:color w:val="auto"/>
        </w:rPr>
        <w:t>防烟系统。</w:t>
      </w:r>
    </w:p>
    <w:p w14:paraId="54654C14">
      <w:pPr>
        <w:rPr>
          <w:color w:val="auto"/>
        </w:rPr>
      </w:pPr>
      <w:r>
        <w:rPr>
          <w:rFonts w:hint="eastAsia"/>
          <w:color w:val="auto"/>
        </w:rPr>
        <w:t>（3）当</w:t>
      </w:r>
      <w:r>
        <w:rPr>
          <w:color w:val="auto"/>
        </w:rPr>
        <w:t>独立前室、共用前室及合用前室的机械加压送风口设置在前室的顶部或正对前室入口的墙面时，</w:t>
      </w:r>
      <w:r>
        <w:rPr>
          <w:rFonts w:hint="eastAsia"/>
          <w:color w:val="auto"/>
        </w:rPr>
        <w:t>楼梯间</w:t>
      </w:r>
      <w:r>
        <w:rPr>
          <w:color w:val="auto"/>
        </w:rPr>
        <w:t>可采用自然通风系统；</w:t>
      </w:r>
      <w:r>
        <w:rPr>
          <w:rFonts w:hint="eastAsia"/>
          <w:color w:val="auto"/>
        </w:rPr>
        <w:t>此外</w:t>
      </w:r>
      <w:r>
        <w:rPr>
          <w:color w:val="auto"/>
        </w:rPr>
        <w:t>，楼梯间应采用机械加压送风系统。</w:t>
      </w:r>
    </w:p>
    <w:p w14:paraId="4D2488F6">
      <w:pPr>
        <w:rPr>
          <w:color w:val="auto"/>
        </w:rPr>
      </w:pPr>
      <w:r>
        <w:rPr>
          <w:rFonts w:hint="eastAsia"/>
          <w:color w:val="auto"/>
        </w:rPr>
        <w:t>（4）建筑地下</w:t>
      </w:r>
      <w:r>
        <w:rPr>
          <w:color w:val="auto"/>
        </w:rPr>
        <w:t>部分的防烟楼梯间前室及消防电梯前室</w:t>
      </w:r>
      <w:r>
        <w:rPr>
          <w:rFonts w:hint="eastAsia"/>
          <w:color w:val="auto"/>
        </w:rPr>
        <w:t>，</w:t>
      </w:r>
      <w:r>
        <w:rPr>
          <w:color w:val="auto"/>
        </w:rPr>
        <w:t>当无自然通风条件或自然通风不符合要求时，应采用机械加压送风系统。</w:t>
      </w:r>
    </w:p>
    <w:p w14:paraId="0DA71C36">
      <w:pPr>
        <w:rPr>
          <w:color w:val="auto"/>
        </w:rPr>
      </w:pPr>
      <w:r>
        <w:rPr>
          <w:rFonts w:hint="eastAsia"/>
          <w:color w:val="auto"/>
        </w:rPr>
        <w:t>（5）独立前室</w:t>
      </w:r>
      <w:r>
        <w:rPr>
          <w:color w:val="auto"/>
        </w:rPr>
        <w:t>仅有一个门与走道或房间</w:t>
      </w:r>
      <w:r>
        <w:rPr>
          <w:rFonts w:hint="eastAsia"/>
          <w:color w:val="auto"/>
        </w:rPr>
        <w:t>相</w:t>
      </w:r>
      <w:r>
        <w:rPr>
          <w:color w:val="auto"/>
        </w:rPr>
        <w:t>通时，可仅在楼梯间设置机械加压送风系统；当独立前室有多个门时，楼梯间、独立前室应分别独立设置机械加压送风系统。</w:t>
      </w:r>
    </w:p>
    <w:p w14:paraId="5EF20B19">
      <w:pPr>
        <w:rPr>
          <w:color w:val="auto"/>
        </w:rPr>
      </w:pPr>
      <w:r>
        <w:rPr>
          <w:rFonts w:hint="eastAsia"/>
          <w:color w:val="auto"/>
        </w:rPr>
        <w:t>（6）封闭</w:t>
      </w:r>
      <w:r>
        <w:rPr>
          <w:color w:val="auto"/>
        </w:rPr>
        <w:t>楼梯间应采用自然通风</w:t>
      </w:r>
      <w:r>
        <w:rPr>
          <w:rFonts w:hint="eastAsia"/>
          <w:color w:val="auto"/>
        </w:rPr>
        <w:t>系统</w:t>
      </w:r>
      <w:r>
        <w:rPr>
          <w:color w:val="auto"/>
        </w:rPr>
        <w:t>，</w:t>
      </w:r>
      <w:r>
        <w:rPr>
          <w:rFonts w:hint="eastAsia"/>
          <w:color w:val="auto"/>
        </w:rPr>
        <w:t>不能满足自然通风</w:t>
      </w:r>
      <w:r>
        <w:rPr>
          <w:color w:val="auto"/>
        </w:rPr>
        <w:t>条件的封闭楼梯间，应设置机械加压送风系统。</w:t>
      </w:r>
      <w:r>
        <w:rPr>
          <w:rFonts w:hint="eastAsia"/>
          <w:color w:val="auto"/>
        </w:rPr>
        <w:t>地下封闭楼梯间不与地上共用且地下仅为一层时，当首层设置有效面积大于</w:t>
      </w:r>
      <w:r>
        <w:rPr>
          <w:color w:val="auto"/>
        </w:rPr>
        <w:t>1.2m</w:t>
      </w:r>
      <w:r>
        <w:rPr>
          <w:color w:val="auto"/>
          <w:vertAlign w:val="superscript"/>
        </w:rPr>
        <w:t>2</w:t>
      </w:r>
      <w:r>
        <w:rPr>
          <w:rFonts w:hint="eastAsia"/>
          <w:color w:val="auto"/>
        </w:rPr>
        <w:t>的可开启外窗或直通室外的疏散门时，不设置机械加压送风系统。</w:t>
      </w:r>
    </w:p>
    <w:p w14:paraId="06A0A2DD">
      <w:pPr>
        <w:rPr>
          <w:color w:val="auto"/>
        </w:rPr>
      </w:pPr>
      <w:r>
        <w:rPr>
          <w:rFonts w:hint="eastAsia"/>
          <w:color w:val="auto"/>
        </w:rPr>
        <w:t>（7）自然通风设施</w:t>
      </w:r>
      <w:r>
        <w:rPr>
          <w:color w:val="auto"/>
        </w:rPr>
        <w:t>的相关要求见</w:t>
      </w:r>
      <w:r>
        <w:rPr>
          <w:rFonts w:hint="eastAsia"/>
          <w:color w:val="auto"/>
        </w:rPr>
        <w:t>建筑防烟排烟系统技术标准中3.2节</w:t>
      </w:r>
      <w:r>
        <w:rPr>
          <w:color w:val="auto"/>
        </w:rPr>
        <w:t>相关要求。</w:t>
      </w:r>
    </w:p>
    <w:p w14:paraId="5B94B786">
      <w:pPr>
        <w:rPr>
          <w:color w:val="auto"/>
        </w:rPr>
      </w:pPr>
      <w:r>
        <w:rPr>
          <w:rFonts w:hint="eastAsia"/>
          <w:color w:val="auto"/>
        </w:rPr>
        <w:t>（8）当采用剪刀楼梯时，其两个楼梯间及其前室分别独立设置机械加压送风系统。</w:t>
      </w:r>
    </w:p>
    <w:p w14:paraId="73517534">
      <w:pPr>
        <w:rPr>
          <w:color w:val="auto"/>
        </w:rPr>
      </w:pPr>
      <w:r>
        <w:rPr>
          <w:rFonts w:hint="eastAsia"/>
          <w:color w:val="auto"/>
        </w:rPr>
        <w:t>（9）避难走道在前室及避难走道分别设置机械加压送风系统，当避难走道一端设置安全出口，且总长度小于</w:t>
      </w:r>
      <w:r>
        <w:rPr>
          <w:color w:val="auto"/>
        </w:rPr>
        <w:t>30</w:t>
      </w:r>
      <w:r>
        <w:rPr>
          <w:rFonts w:hint="eastAsia"/>
          <w:color w:val="auto"/>
        </w:rPr>
        <w:t>米或两端设置安全出口，且总长度小于</w:t>
      </w:r>
      <w:r>
        <w:rPr>
          <w:color w:val="auto"/>
        </w:rPr>
        <w:t>60</w:t>
      </w:r>
      <w:r>
        <w:rPr>
          <w:rFonts w:hint="eastAsia"/>
          <w:color w:val="auto"/>
        </w:rPr>
        <w:t>米时，仅在前室设置机械加压送风系统。避难走道机械加压送风量按避难走道净面积</w:t>
      </w:r>
      <w:r>
        <w:rPr>
          <w:color w:val="auto"/>
        </w:rPr>
        <w:t>30m</w:t>
      </w:r>
      <w:r>
        <w:rPr>
          <w:color w:val="auto"/>
          <w:vertAlign w:val="superscript"/>
        </w:rPr>
        <w:t>3</w:t>
      </w:r>
      <w:r>
        <w:rPr>
          <w:color w:val="auto"/>
        </w:rPr>
        <w:t>/h. m</w:t>
      </w:r>
      <w:r>
        <w:rPr>
          <w:color w:val="auto"/>
          <w:vertAlign w:val="superscript"/>
        </w:rPr>
        <w:t>2</w:t>
      </w:r>
      <w:r>
        <w:rPr>
          <w:rFonts w:hint="eastAsia"/>
          <w:color w:val="auto"/>
        </w:rPr>
        <w:t>计算。</w:t>
      </w:r>
    </w:p>
    <w:p w14:paraId="170A50D1">
      <w:pPr>
        <w:rPr>
          <w:color w:val="auto"/>
        </w:rPr>
      </w:pPr>
      <w:r>
        <w:rPr>
          <w:rFonts w:hint="eastAsia"/>
          <w:color w:val="auto"/>
        </w:rPr>
        <w:t>（10）楼梯间与走道之间维持</w:t>
      </w:r>
      <w:r>
        <w:rPr>
          <w:color w:val="auto"/>
        </w:rPr>
        <w:t>40</w:t>
      </w:r>
      <w:r>
        <w:rPr>
          <w:rFonts w:hint="eastAsia"/>
          <w:color w:val="auto"/>
        </w:rPr>
        <w:t>～</w:t>
      </w:r>
      <w:r>
        <w:rPr>
          <w:color w:val="auto"/>
        </w:rPr>
        <w:t>50Pa</w:t>
      </w:r>
      <w:r>
        <w:rPr>
          <w:rFonts w:hint="eastAsia"/>
          <w:color w:val="auto"/>
        </w:rPr>
        <w:t>的正压，楼梯间机械加压送风量按门开启时规定风速值所需的风量值与其他门缝漏风总量之和。前室与走道维持</w:t>
      </w:r>
      <w:r>
        <w:rPr>
          <w:color w:val="auto"/>
        </w:rPr>
        <w:t>25</w:t>
      </w:r>
      <w:r>
        <w:rPr>
          <w:rFonts w:hint="eastAsia"/>
          <w:color w:val="auto"/>
        </w:rPr>
        <w:t>～</w:t>
      </w:r>
      <w:r>
        <w:rPr>
          <w:color w:val="auto"/>
        </w:rPr>
        <w:t>30Pa</w:t>
      </w:r>
      <w:r>
        <w:rPr>
          <w:rFonts w:hint="eastAsia"/>
          <w:color w:val="auto"/>
        </w:rPr>
        <w:t>的正压。前室机械加压送风为门开启时规定风速值所需的风量值与未开启常闭送风阀的漏风量之和。计算值与建筑防烟排烟系统技术标准中表</w:t>
      </w:r>
      <w:r>
        <w:rPr>
          <w:color w:val="auto"/>
        </w:rPr>
        <w:t>3.4.2-1~4</w:t>
      </w:r>
      <w:r>
        <w:rPr>
          <w:rFonts w:hint="eastAsia"/>
          <w:color w:val="auto"/>
        </w:rPr>
        <w:t>中的值需比较后按较大值确定。</w:t>
      </w:r>
    </w:p>
    <w:p w14:paraId="01CB1E66">
      <w:pPr>
        <w:rPr>
          <w:color w:val="auto"/>
        </w:rPr>
      </w:pPr>
      <w:r>
        <w:rPr>
          <w:rFonts w:hint="eastAsia"/>
          <w:color w:val="auto"/>
        </w:rPr>
        <w:t>（11）机械加压送风系统的设计风量不小于计算风量的</w:t>
      </w:r>
      <w:r>
        <w:rPr>
          <w:color w:val="auto"/>
        </w:rPr>
        <w:t>1.2</w:t>
      </w:r>
      <w:r>
        <w:rPr>
          <w:rFonts w:hint="eastAsia"/>
          <w:color w:val="auto"/>
        </w:rPr>
        <w:t>倍。</w:t>
      </w:r>
    </w:p>
    <w:p w14:paraId="6859D292">
      <w:pPr>
        <w:rPr>
          <w:color w:val="auto"/>
        </w:rPr>
      </w:pPr>
      <w:r>
        <w:rPr>
          <w:rFonts w:hint="eastAsia"/>
          <w:color w:val="auto"/>
        </w:rPr>
        <w:t>（12）正压送风机设置在专用机房内，进风口直通室外。</w:t>
      </w:r>
    </w:p>
    <w:p w14:paraId="58F008A0">
      <w:pPr>
        <w:rPr>
          <w:color w:val="auto"/>
        </w:rPr>
      </w:pPr>
      <w:r>
        <w:rPr>
          <w:rFonts w:hint="eastAsia"/>
          <w:color w:val="auto"/>
        </w:rPr>
        <w:t>（13）楼梯间送风口采用常开式百叶送风口，合用前室采用常闭多叶送风口，并设置手动开启装置。</w:t>
      </w:r>
    </w:p>
    <w:p w14:paraId="0B87CDF3">
      <w:pPr>
        <w:rPr>
          <w:color w:val="auto"/>
        </w:rPr>
      </w:pPr>
      <w:r>
        <w:rPr>
          <w:rFonts w:hint="eastAsia"/>
          <w:color w:val="auto"/>
        </w:rPr>
        <w:t>（14）正压送风口的风速不大于</w:t>
      </w:r>
      <w:r>
        <w:rPr>
          <w:color w:val="auto"/>
        </w:rPr>
        <w:t>7m/s</w:t>
      </w:r>
      <w:r>
        <w:rPr>
          <w:rFonts w:hint="eastAsia"/>
          <w:color w:val="auto"/>
        </w:rPr>
        <w:t>。</w:t>
      </w:r>
    </w:p>
    <w:p w14:paraId="73F4A55C">
      <w:pPr>
        <w:rPr>
          <w:color w:val="auto"/>
        </w:rPr>
      </w:pPr>
      <w:r>
        <w:rPr>
          <w:rFonts w:hint="eastAsia"/>
          <w:color w:val="auto"/>
        </w:rPr>
        <w:t>（15）采用自然通风方式的封闭楼梯间、防烟楼梯间，应在最高部位设置面积不小于1.0m</w:t>
      </w:r>
      <w:r>
        <w:rPr>
          <w:rFonts w:hint="eastAsia"/>
          <w:color w:val="auto"/>
          <w:vertAlign w:val="superscript"/>
        </w:rPr>
        <w:t>2</w:t>
      </w:r>
      <w:r>
        <w:rPr>
          <w:rFonts w:hint="eastAsia"/>
          <w:color w:val="auto"/>
        </w:rPr>
        <w:t>的可开启外窗或开口；当建筑高度大于10m时，尚应在楼梯间的外墙上每5层内设置总面积不小于2.0m</w:t>
      </w:r>
      <w:r>
        <w:rPr>
          <w:rFonts w:hint="eastAsia"/>
          <w:color w:val="auto"/>
          <w:vertAlign w:val="superscript"/>
        </w:rPr>
        <w:t>2</w:t>
      </w:r>
      <w:r>
        <w:rPr>
          <w:rFonts w:hint="eastAsia"/>
          <w:color w:val="auto"/>
        </w:rPr>
        <w:t>的可开启外窗或开口，且布置间隔不大于3层。</w:t>
      </w:r>
    </w:p>
    <w:p w14:paraId="0B78C292">
      <w:pPr>
        <w:rPr>
          <w:color w:val="auto"/>
        </w:rPr>
      </w:pPr>
      <w:r>
        <w:rPr>
          <w:rFonts w:hint="eastAsia"/>
          <w:color w:val="auto"/>
        </w:rPr>
        <w:t>（16）前室采用自然通风方式时，独立前室、消防电梯前室可开启外窗或开口的面积不应小于2.0m</w:t>
      </w:r>
      <w:r>
        <w:rPr>
          <w:rFonts w:hint="eastAsia"/>
          <w:color w:val="auto"/>
          <w:vertAlign w:val="superscript"/>
        </w:rPr>
        <w:t>2</w:t>
      </w:r>
      <w:r>
        <w:rPr>
          <w:rFonts w:hint="eastAsia"/>
          <w:color w:val="auto"/>
        </w:rPr>
        <w:t>,共用前室、合用前室不应小于3.0m</w:t>
      </w:r>
      <w:r>
        <w:rPr>
          <w:rFonts w:hint="eastAsia"/>
          <w:color w:val="auto"/>
          <w:vertAlign w:val="superscript"/>
        </w:rPr>
        <w:t>2</w:t>
      </w:r>
      <w:r>
        <w:rPr>
          <w:rFonts w:hint="eastAsia"/>
          <w:color w:val="auto"/>
        </w:rPr>
        <w:t>。</w:t>
      </w:r>
    </w:p>
    <w:p w14:paraId="32CD102A">
      <w:pPr>
        <w:rPr>
          <w:color w:val="auto"/>
        </w:rPr>
      </w:pPr>
      <w:r>
        <w:rPr>
          <w:rFonts w:hint="eastAsia"/>
          <w:color w:val="auto"/>
        </w:rPr>
        <w:t>（17）设置机械加压送风系统的封闭楼梯间、防烟楼梯间，尚应在其顶部设置不小于1.0m</w:t>
      </w:r>
      <w:r>
        <w:rPr>
          <w:rFonts w:hint="eastAsia"/>
          <w:color w:val="auto"/>
          <w:vertAlign w:val="superscript"/>
        </w:rPr>
        <w:t>2</w:t>
      </w:r>
      <w:r>
        <w:rPr>
          <w:rFonts w:hint="eastAsia"/>
          <w:color w:val="auto"/>
        </w:rPr>
        <w:t>的固定窗。靠外墙的防烟楼梯间，尚应在其外墙上每5层内设置总面积不小于2.0m</w:t>
      </w:r>
      <w:r>
        <w:rPr>
          <w:rFonts w:hint="eastAsia"/>
          <w:color w:val="auto"/>
          <w:vertAlign w:val="superscript"/>
        </w:rPr>
        <w:t>2</w:t>
      </w:r>
      <w:r>
        <w:rPr>
          <w:rFonts w:hint="eastAsia"/>
          <w:color w:val="auto"/>
        </w:rPr>
        <w:t>的固定窗。</w:t>
      </w:r>
    </w:p>
    <w:p w14:paraId="7FF1ECC7">
      <w:pPr>
        <w:pStyle w:val="66"/>
        <w:numPr>
          <w:ilvl w:val="0"/>
          <w:numId w:val="6"/>
        </w:numPr>
        <w:ind w:firstLineChars="0"/>
        <w:rPr>
          <w:color w:val="auto"/>
        </w:rPr>
      </w:pPr>
      <w:r>
        <w:rPr>
          <w:rFonts w:hint="eastAsia"/>
          <w:color w:val="auto"/>
        </w:rPr>
        <w:t>消防排烟系统</w:t>
      </w:r>
    </w:p>
    <w:p w14:paraId="7F15801B">
      <w:pPr>
        <w:rPr>
          <w:color w:val="auto"/>
        </w:rPr>
      </w:pPr>
      <w:r>
        <w:rPr>
          <w:rFonts w:hint="eastAsia"/>
          <w:color w:val="auto"/>
        </w:rPr>
        <w:t>（1）地下汽车库设置若干个防烟分区，由土建设置挡烟垂壁分隔。防烟分区面积不大于</w:t>
      </w:r>
      <w:r>
        <w:rPr>
          <w:color w:val="auto"/>
        </w:rPr>
        <w:t>2000m</w:t>
      </w:r>
      <w:r>
        <w:rPr>
          <w:color w:val="auto"/>
          <w:vertAlign w:val="superscript"/>
        </w:rPr>
        <w:t>2</w:t>
      </w:r>
      <w:r>
        <w:rPr>
          <w:rFonts w:hint="eastAsia"/>
          <w:color w:val="auto"/>
        </w:rPr>
        <w:t>，且防烟分区不跨越防火分区。每个防烟分区的排烟量根据规范按车库净高计算。有直接通向室外的汽车疏散口的防火分区采用自然补风；无直接通向室外的汽车疏散口的防火分区采用机械补风，补风量大于排烟量的</w:t>
      </w:r>
      <w:r>
        <w:rPr>
          <w:color w:val="auto"/>
        </w:rPr>
        <w:t>50%</w:t>
      </w:r>
      <w:r>
        <w:rPr>
          <w:rFonts w:hint="eastAsia"/>
          <w:color w:val="auto"/>
        </w:rPr>
        <w:t>。机械排烟和机械补风系统与平时车库机械送、排风系统合用。</w:t>
      </w:r>
    </w:p>
    <w:p w14:paraId="76E088B6">
      <w:pPr>
        <w:rPr>
          <w:color w:val="auto"/>
        </w:rPr>
      </w:pPr>
      <w:r>
        <w:rPr>
          <w:rFonts w:hint="eastAsia"/>
          <w:color w:val="auto"/>
        </w:rPr>
        <w:t>（2）本项目地下</w:t>
      </w:r>
      <w:r>
        <w:rPr>
          <w:color w:val="auto"/>
        </w:rPr>
        <w:t>需要设置排烟系统的</w:t>
      </w:r>
      <w:r>
        <w:rPr>
          <w:rFonts w:hint="eastAsia"/>
          <w:color w:val="auto"/>
        </w:rPr>
        <w:t>区域</w:t>
      </w:r>
      <w:r>
        <w:rPr>
          <w:color w:val="auto"/>
        </w:rPr>
        <w:t>均采用机械排烟系统</w:t>
      </w:r>
      <w:r>
        <w:rPr>
          <w:rFonts w:hint="eastAsia"/>
          <w:color w:val="auto"/>
        </w:rPr>
        <w:t>。</w:t>
      </w:r>
    </w:p>
    <w:p w14:paraId="1EE9A688">
      <w:pPr>
        <w:rPr>
          <w:color w:val="auto"/>
        </w:rPr>
      </w:pPr>
      <w:r>
        <w:rPr>
          <w:rFonts w:hint="eastAsia"/>
          <w:color w:val="auto"/>
        </w:rPr>
        <w:t>（3）对于地上</w:t>
      </w:r>
      <w:r>
        <w:rPr>
          <w:color w:val="auto"/>
        </w:rPr>
        <w:t>部分</w:t>
      </w:r>
      <w:r>
        <w:rPr>
          <w:rFonts w:hint="eastAsia"/>
          <w:color w:val="auto"/>
        </w:rPr>
        <w:t>需要</w:t>
      </w:r>
      <w:r>
        <w:rPr>
          <w:color w:val="auto"/>
        </w:rPr>
        <w:t>设置排烟系统的</w:t>
      </w:r>
      <w:r>
        <w:rPr>
          <w:rFonts w:hint="eastAsia"/>
          <w:color w:val="auto"/>
        </w:rPr>
        <w:t>区域</w:t>
      </w:r>
      <w:r>
        <w:rPr>
          <w:color w:val="auto"/>
        </w:rPr>
        <w:t>采</w:t>
      </w:r>
      <w:r>
        <w:rPr>
          <w:rFonts w:hint="eastAsia"/>
          <w:color w:val="auto"/>
        </w:rPr>
        <w:t>用自然</w:t>
      </w:r>
      <w:r>
        <w:rPr>
          <w:color w:val="auto"/>
        </w:rPr>
        <w:t>排烟</w:t>
      </w:r>
      <w:r>
        <w:rPr>
          <w:rFonts w:hint="eastAsia"/>
          <w:color w:val="auto"/>
        </w:rPr>
        <w:t>时</w:t>
      </w:r>
      <w:r>
        <w:rPr>
          <w:color w:val="auto"/>
        </w:rPr>
        <w:t>，设置自然排烟窗。</w:t>
      </w:r>
      <w:r>
        <w:rPr>
          <w:rFonts w:hint="eastAsia"/>
          <w:color w:val="auto"/>
        </w:rPr>
        <w:t>排烟窗设</w:t>
      </w:r>
      <w:r>
        <w:rPr>
          <w:color w:val="auto"/>
        </w:rPr>
        <w:t>在储烟仓内，且高于房间的</w:t>
      </w:r>
      <w:r>
        <w:rPr>
          <w:rFonts w:hint="eastAsia"/>
          <w:color w:val="auto"/>
        </w:rPr>
        <w:t>清晰</w:t>
      </w:r>
      <w:r>
        <w:rPr>
          <w:color w:val="auto"/>
        </w:rPr>
        <w:t>高度。排烟窗的具体面积按照</w:t>
      </w:r>
      <w:r>
        <w:rPr>
          <w:rFonts w:hint="eastAsia"/>
          <w:color w:val="auto"/>
        </w:rPr>
        <w:t>《建筑防烟排烟系统技术标准》相关条款</w:t>
      </w:r>
      <w:r>
        <w:rPr>
          <w:color w:val="auto"/>
        </w:rPr>
        <w:t>确定。</w:t>
      </w:r>
    </w:p>
    <w:p w14:paraId="04A65EFD">
      <w:pPr>
        <w:rPr>
          <w:color w:val="auto"/>
        </w:rPr>
      </w:pPr>
      <w:r>
        <w:rPr>
          <w:rFonts w:hint="eastAsia"/>
          <w:color w:val="auto"/>
        </w:rPr>
        <w:t>（4）当建筑的机械排烟系统沿水平方向布置时，每个防火分区的机械排烟系统独立设置。</w:t>
      </w:r>
    </w:p>
    <w:p w14:paraId="7D96D07F">
      <w:pPr>
        <w:rPr>
          <w:color w:val="auto"/>
        </w:rPr>
      </w:pPr>
      <w:r>
        <w:rPr>
          <w:rFonts w:hint="eastAsia"/>
          <w:color w:val="auto"/>
        </w:rPr>
        <w:t>（5）走道或回廊设置机械排烟系统，机械排烟量按</w:t>
      </w:r>
      <w:r>
        <w:rPr>
          <w:color w:val="auto"/>
        </w:rPr>
        <w:t>60m</w:t>
      </w:r>
      <w:r>
        <w:rPr>
          <w:color w:val="auto"/>
          <w:vertAlign w:val="superscript"/>
        </w:rPr>
        <w:t>3</w:t>
      </w:r>
      <w:r>
        <w:rPr>
          <w:color w:val="auto"/>
        </w:rPr>
        <w:t>/h.m</w:t>
      </w:r>
      <w:r>
        <w:rPr>
          <w:color w:val="auto"/>
          <w:vertAlign w:val="superscript"/>
        </w:rPr>
        <w:t>2</w:t>
      </w:r>
      <w:r>
        <w:rPr>
          <w:rFonts w:hint="eastAsia"/>
          <w:color w:val="auto"/>
        </w:rPr>
        <w:t>计算且不小于</w:t>
      </w:r>
      <w:r>
        <w:rPr>
          <w:color w:val="auto"/>
        </w:rPr>
        <w:t>13000m</w:t>
      </w:r>
      <w:r>
        <w:rPr>
          <w:color w:val="auto"/>
          <w:vertAlign w:val="superscript"/>
        </w:rPr>
        <w:t>3</w:t>
      </w:r>
      <w:r>
        <w:rPr>
          <w:color w:val="auto"/>
        </w:rPr>
        <w:t>/h</w:t>
      </w:r>
      <w:r>
        <w:rPr>
          <w:rFonts w:hint="eastAsia"/>
          <w:color w:val="auto"/>
        </w:rPr>
        <w:t>。</w:t>
      </w:r>
    </w:p>
    <w:p w14:paraId="1DC98802">
      <w:pPr>
        <w:rPr>
          <w:color w:val="auto"/>
        </w:rPr>
      </w:pPr>
      <w:r>
        <w:rPr>
          <w:rFonts w:hint="eastAsia"/>
          <w:color w:val="auto"/>
        </w:rPr>
        <w:t>（6）总建筑面积大于</w:t>
      </w:r>
      <w:r>
        <w:rPr>
          <w:color w:val="auto"/>
        </w:rPr>
        <w:t>200m</w:t>
      </w:r>
      <w:r>
        <w:rPr>
          <w:color w:val="auto"/>
          <w:vertAlign w:val="superscript"/>
        </w:rPr>
        <w:t>2</w:t>
      </w:r>
      <w:r>
        <w:rPr>
          <w:rFonts w:hint="eastAsia"/>
          <w:color w:val="auto"/>
        </w:rPr>
        <w:t>或单个房间建筑面积超过</w:t>
      </w:r>
      <w:r>
        <w:rPr>
          <w:color w:val="auto"/>
        </w:rPr>
        <w:t>50m</w:t>
      </w:r>
      <w:r>
        <w:rPr>
          <w:color w:val="auto"/>
          <w:vertAlign w:val="superscript"/>
        </w:rPr>
        <w:t>2</w:t>
      </w:r>
      <w:r>
        <w:rPr>
          <w:rFonts w:hint="eastAsia"/>
          <w:color w:val="auto"/>
        </w:rPr>
        <w:t>且经常有人停留或可燃物较多的地下房间或地上无窗房间、地上建筑面积大于</w:t>
      </w:r>
      <w:r>
        <w:rPr>
          <w:color w:val="auto"/>
        </w:rPr>
        <w:t>100m</w:t>
      </w:r>
      <w:r>
        <w:rPr>
          <w:color w:val="auto"/>
          <w:vertAlign w:val="superscript"/>
        </w:rPr>
        <w:t>2</w:t>
      </w:r>
      <w:r>
        <w:rPr>
          <w:rFonts w:hint="eastAsia"/>
          <w:color w:val="auto"/>
        </w:rPr>
        <w:t>且经常有人停留房间、地上建筑面积大于</w:t>
      </w:r>
      <w:r>
        <w:rPr>
          <w:color w:val="auto"/>
        </w:rPr>
        <w:t>300m</w:t>
      </w:r>
      <w:r>
        <w:rPr>
          <w:color w:val="auto"/>
          <w:vertAlign w:val="superscript"/>
        </w:rPr>
        <w:t>2</w:t>
      </w:r>
      <w:r>
        <w:rPr>
          <w:rFonts w:hint="eastAsia"/>
          <w:color w:val="auto"/>
        </w:rPr>
        <w:t>且可燃物较多的房间采用机械排烟方式。机械排烟系统负担一个防烟分区房间按单位排烟量按</w:t>
      </w:r>
      <w:r>
        <w:rPr>
          <w:color w:val="auto"/>
        </w:rPr>
        <w:t>60m3/h.m</w:t>
      </w:r>
      <w:r>
        <w:rPr>
          <w:color w:val="auto"/>
          <w:vertAlign w:val="superscript"/>
        </w:rPr>
        <w:t>2</w:t>
      </w:r>
      <w:r>
        <w:rPr>
          <w:rFonts w:hint="eastAsia"/>
          <w:color w:val="auto"/>
        </w:rPr>
        <w:t>计算，负担</w:t>
      </w:r>
      <w:r>
        <w:rPr>
          <w:color w:val="auto"/>
        </w:rPr>
        <w:t>2</w:t>
      </w:r>
      <w:r>
        <w:rPr>
          <w:rFonts w:hint="eastAsia"/>
          <w:color w:val="auto"/>
        </w:rPr>
        <w:t>个及以上防烟分区的场所，当室内净高不大于</w:t>
      </w:r>
      <w:r>
        <w:rPr>
          <w:color w:val="auto"/>
        </w:rPr>
        <w:t>6m</w:t>
      </w:r>
      <w:r>
        <w:rPr>
          <w:rFonts w:hint="eastAsia"/>
          <w:color w:val="auto"/>
        </w:rPr>
        <w:t>按两个相邻防烟分区的排烟量之和的最大值计算且取值不小于</w:t>
      </w:r>
      <w:r>
        <w:rPr>
          <w:color w:val="auto"/>
        </w:rPr>
        <w:t>15000m</w:t>
      </w:r>
      <w:r>
        <w:rPr>
          <w:color w:val="auto"/>
          <w:vertAlign w:val="superscript"/>
        </w:rPr>
        <w:t>3</w:t>
      </w:r>
      <w:r>
        <w:rPr>
          <w:color w:val="auto"/>
        </w:rPr>
        <w:t>/h</w:t>
      </w:r>
      <w:r>
        <w:rPr>
          <w:rFonts w:hint="eastAsia"/>
          <w:color w:val="auto"/>
        </w:rPr>
        <w:t>。对于建筑空间净高大于</w:t>
      </w:r>
      <w:r>
        <w:rPr>
          <w:color w:val="auto"/>
        </w:rPr>
        <w:t>6m</w:t>
      </w:r>
      <w:r>
        <w:rPr>
          <w:rFonts w:hint="eastAsia"/>
          <w:color w:val="auto"/>
        </w:rPr>
        <w:t>的场所，按排烟量最大的防烟分区的排烟量计算。当系统负担具有不同净高场所时，采用上述方法对系统中每个场所所需的排烟量进行计算，并取其中的最大值作为系统排烟量。</w:t>
      </w:r>
    </w:p>
    <w:p w14:paraId="57736F8B">
      <w:pPr>
        <w:rPr>
          <w:rFonts w:hint="eastAsia" w:ascii="宋体" w:hAnsi="宋体"/>
          <w:color w:val="auto"/>
        </w:rPr>
      </w:pPr>
      <w:r>
        <w:rPr>
          <w:rFonts w:hint="eastAsia" w:ascii="宋体" w:hAnsi="宋体"/>
          <w:color w:val="auto"/>
        </w:rPr>
        <w:t>（7）排烟系统的设计风量不小于该系统计算风量的</w:t>
      </w:r>
      <w:r>
        <w:rPr>
          <w:rFonts w:ascii="宋体" w:hAnsi="宋体"/>
          <w:color w:val="auto"/>
        </w:rPr>
        <w:t>1.2</w:t>
      </w:r>
      <w:r>
        <w:rPr>
          <w:rFonts w:hint="eastAsia" w:ascii="宋体" w:hAnsi="宋体"/>
          <w:color w:val="auto"/>
        </w:rPr>
        <w:t>倍。</w:t>
      </w:r>
    </w:p>
    <w:p w14:paraId="028B17E5">
      <w:pPr>
        <w:rPr>
          <w:rFonts w:hint="eastAsia" w:ascii="宋体" w:hAnsi="宋体"/>
          <w:color w:val="auto"/>
        </w:rPr>
      </w:pPr>
      <w:r>
        <w:rPr>
          <w:rFonts w:hint="eastAsia" w:ascii="宋体" w:hAnsi="宋体"/>
          <w:color w:val="auto"/>
        </w:rPr>
        <w:t>（8）除地上建筑的走道或建筑面积小于</w:t>
      </w:r>
      <w:r>
        <w:rPr>
          <w:rFonts w:ascii="宋体" w:hAnsi="宋体"/>
          <w:color w:val="auto"/>
        </w:rPr>
        <w:t>500m</w:t>
      </w:r>
      <w:r>
        <w:rPr>
          <w:rFonts w:ascii="宋体" w:hAnsi="宋体"/>
          <w:color w:val="auto"/>
          <w:vertAlign w:val="superscript"/>
        </w:rPr>
        <w:t>2</w:t>
      </w:r>
      <w:r>
        <w:rPr>
          <w:rFonts w:hint="eastAsia" w:ascii="宋体" w:hAnsi="宋体"/>
          <w:color w:val="auto"/>
        </w:rPr>
        <w:t>的房间外，设置排烟系统的场所设置补风系统。补风系统应直接从室外引入空气，且补风量不小于排烟量的</w:t>
      </w:r>
      <w:r>
        <w:rPr>
          <w:rFonts w:ascii="宋体" w:hAnsi="宋体"/>
          <w:color w:val="auto"/>
        </w:rPr>
        <w:t>50%</w:t>
      </w:r>
      <w:r>
        <w:rPr>
          <w:rFonts w:hint="eastAsia" w:ascii="宋体" w:hAnsi="宋体"/>
          <w:color w:val="auto"/>
        </w:rPr>
        <w:t>。自然补风面积风速小于</w:t>
      </w:r>
      <w:r>
        <w:rPr>
          <w:rFonts w:ascii="宋体" w:hAnsi="宋体"/>
          <w:color w:val="auto"/>
        </w:rPr>
        <w:t>3m/s</w:t>
      </w:r>
      <w:r>
        <w:rPr>
          <w:rFonts w:hint="eastAsia" w:ascii="宋体" w:hAnsi="宋体"/>
          <w:color w:val="auto"/>
        </w:rPr>
        <w:t>。机械补风风速不大于</w:t>
      </w:r>
      <w:r>
        <w:rPr>
          <w:rFonts w:ascii="宋体" w:hAnsi="宋体"/>
          <w:color w:val="auto"/>
        </w:rPr>
        <w:t>10m/s</w:t>
      </w:r>
      <w:r>
        <w:rPr>
          <w:rFonts w:hint="eastAsia" w:ascii="宋体" w:hAnsi="宋体"/>
          <w:color w:val="auto"/>
        </w:rPr>
        <w:t>，人员密集场所风速不大于</w:t>
      </w:r>
      <w:r>
        <w:rPr>
          <w:rFonts w:ascii="宋体" w:hAnsi="宋体"/>
          <w:color w:val="auto"/>
        </w:rPr>
        <w:t>5m/s</w:t>
      </w:r>
      <w:r>
        <w:rPr>
          <w:rFonts w:hint="eastAsia" w:ascii="宋体" w:hAnsi="宋体"/>
          <w:color w:val="auto"/>
        </w:rPr>
        <w:t>。</w:t>
      </w:r>
    </w:p>
    <w:p w14:paraId="2D204AFD">
      <w:pPr>
        <w:rPr>
          <w:rFonts w:hint="eastAsia" w:ascii="宋体" w:hAnsi="宋体"/>
          <w:color w:val="auto"/>
        </w:rPr>
      </w:pPr>
      <w:r>
        <w:rPr>
          <w:rFonts w:hint="eastAsia" w:ascii="宋体" w:hAnsi="宋体"/>
          <w:color w:val="auto"/>
        </w:rPr>
        <w:t>（9）排烟风机设置在专用排烟机房内。风机两侧应有</w:t>
      </w:r>
      <w:r>
        <w:rPr>
          <w:rFonts w:ascii="宋体" w:hAnsi="宋体"/>
          <w:color w:val="auto"/>
        </w:rPr>
        <w:t>600mm</w:t>
      </w:r>
      <w:r>
        <w:rPr>
          <w:rFonts w:hint="eastAsia" w:ascii="宋体" w:hAnsi="宋体"/>
          <w:color w:val="auto"/>
        </w:rPr>
        <w:t>以上的空间。对于排烟系统与通风空气调节系统共用的系统，其排烟风机与排风风机的合用机房，符合防排烟规范中</w:t>
      </w:r>
      <w:r>
        <w:rPr>
          <w:rFonts w:ascii="宋体" w:hAnsi="宋体"/>
          <w:color w:val="auto"/>
        </w:rPr>
        <w:t>4.4.5</w:t>
      </w:r>
      <w:r>
        <w:rPr>
          <w:rFonts w:hint="eastAsia" w:ascii="宋体" w:hAnsi="宋体"/>
          <w:color w:val="auto"/>
        </w:rPr>
        <w:t>条的规定。</w:t>
      </w:r>
    </w:p>
    <w:p w14:paraId="4AE9987D">
      <w:pPr>
        <w:rPr>
          <w:rFonts w:hint="eastAsia" w:ascii="宋体" w:hAnsi="宋体"/>
          <w:color w:val="auto"/>
        </w:rPr>
      </w:pPr>
      <w:r>
        <w:rPr>
          <w:rFonts w:hint="eastAsia" w:ascii="宋体" w:hAnsi="宋体"/>
          <w:color w:val="auto"/>
        </w:rPr>
        <w:t>（10）排烟风机采用专用排烟风机，满足</w:t>
      </w:r>
      <w:r>
        <w:rPr>
          <w:rFonts w:ascii="宋体" w:hAnsi="宋体"/>
          <w:color w:val="auto"/>
        </w:rPr>
        <w:t>280</w:t>
      </w:r>
      <w:r>
        <w:rPr>
          <w:rFonts w:hint="eastAsia" w:ascii="宋体" w:hAnsi="宋体"/>
          <w:color w:val="auto"/>
        </w:rPr>
        <w:t>℃时连续工作</w:t>
      </w:r>
      <w:r>
        <w:rPr>
          <w:rFonts w:ascii="宋体" w:hAnsi="宋体"/>
          <w:color w:val="auto"/>
        </w:rPr>
        <w:t>30</w:t>
      </w:r>
      <w:r>
        <w:rPr>
          <w:rFonts w:hint="eastAsia" w:ascii="宋体" w:hAnsi="宋体"/>
          <w:color w:val="auto"/>
        </w:rPr>
        <w:t>分钟的要求。</w:t>
      </w:r>
    </w:p>
    <w:p w14:paraId="7E8BD650">
      <w:pPr>
        <w:rPr>
          <w:rFonts w:hint="eastAsia" w:ascii="宋体" w:hAnsi="宋体"/>
          <w:color w:val="auto"/>
        </w:rPr>
      </w:pPr>
      <w:r>
        <w:rPr>
          <w:rFonts w:hint="eastAsia" w:ascii="宋体" w:hAnsi="宋体"/>
          <w:color w:val="auto"/>
        </w:rPr>
        <w:t>（11）排烟风管与可燃物保持不小于</w:t>
      </w:r>
      <w:r>
        <w:rPr>
          <w:rFonts w:ascii="宋体" w:hAnsi="宋体"/>
          <w:color w:val="auto"/>
        </w:rPr>
        <w:t>150mm</w:t>
      </w:r>
      <w:r>
        <w:rPr>
          <w:rFonts w:hint="eastAsia" w:ascii="宋体" w:hAnsi="宋体"/>
          <w:color w:val="auto"/>
        </w:rPr>
        <w:t>的距离。</w:t>
      </w:r>
    </w:p>
    <w:p w14:paraId="55A9B246">
      <w:pPr>
        <w:rPr>
          <w:rFonts w:hint="eastAsia" w:ascii="宋体" w:hAnsi="宋体"/>
          <w:color w:val="auto"/>
          <w:szCs w:val="24"/>
        </w:rPr>
      </w:pPr>
      <w:r>
        <w:rPr>
          <w:rFonts w:hint="eastAsia" w:ascii="宋体" w:hAnsi="宋体"/>
          <w:color w:val="auto"/>
          <w:szCs w:val="24"/>
        </w:rPr>
        <w:t>（12）排烟风口根据需要采用多叶排烟口、排烟阀或板式排烟口，按防烟分区设置。设置在顶棚或靠近顶棚的墙面上，且与安全出口水平距离大于</w:t>
      </w:r>
      <w:r>
        <w:rPr>
          <w:rFonts w:ascii="宋体" w:hAnsi="宋体"/>
          <w:color w:val="auto"/>
          <w:szCs w:val="24"/>
        </w:rPr>
        <w:t>1.5</w:t>
      </w:r>
      <w:r>
        <w:rPr>
          <w:rFonts w:hint="eastAsia" w:ascii="宋体" w:hAnsi="宋体"/>
          <w:color w:val="auto"/>
          <w:szCs w:val="24"/>
        </w:rPr>
        <w:t>米。防烟分区内的排烟口距最远点的水平距离不超过</w:t>
      </w:r>
      <w:r>
        <w:rPr>
          <w:rFonts w:ascii="宋体" w:hAnsi="宋体"/>
          <w:color w:val="auto"/>
          <w:szCs w:val="24"/>
        </w:rPr>
        <w:t>30</w:t>
      </w:r>
      <w:r>
        <w:rPr>
          <w:rFonts w:hint="eastAsia" w:ascii="宋体" w:hAnsi="宋体"/>
          <w:color w:val="auto"/>
          <w:szCs w:val="24"/>
        </w:rPr>
        <w:t>米。</w:t>
      </w:r>
    </w:p>
    <w:p w14:paraId="6A2900F7">
      <w:pPr>
        <w:rPr>
          <w:rFonts w:hint="eastAsia" w:ascii="宋体" w:hAnsi="宋体"/>
          <w:color w:val="auto"/>
          <w:szCs w:val="24"/>
        </w:rPr>
      </w:pPr>
      <w:r>
        <w:rPr>
          <w:rFonts w:hint="eastAsia" w:ascii="宋体" w:hAnsi="宋体"/>
          <w:color w:val="auto"/>
          <w:szCs w:val="24"/>
        </w:rPr>
        <w:t>（13）排烟口的风速小于</w:t>
      </w:r>
      <w:r>
        <w:rPr>
          <w:rFonts w:ascii="宋体" w:hAnsi="宋体"/>
          <w:color w:val="auto"/>
          <w:szCs w:val="24"/>
        </w:rPr>
        <w:t>10m/s</w:t>
      </w:r>
    </w:p>
    <w:p w14:paraId="42170641">
      <w:pPr>
        <w:pStyle w:val="5"/>
        <w:rPr>
          <w:rFonts w:hint="eastAsia" w:ascii="宋体" w:hAnsi="宋体"/>
          <w:color w:val="auto"/>
          <w:szCs w:val="24"/>
        </w:rPr>
      </w:pPr>
      <w:bookmarkStart w:id="23" w:name="_Toc24333"/>
      <w:r>
        <w:rPr>
          <w:rFonts w:hint="eastAsia" w:ascii="宋体" w:hAnsi="宋体"/>
          <w:color w:val="auto"/>
          <w:szCs w:val="24"/>
        </w:rPr>
        <w:t>给排水</w:t>
      </w:r>
      <w:bookmarkEnd w:id="23"/>
    </w:p>
    <w:p w14:paraId="0857D57E">
      <w:pPr>
        <w:pStyle w:val="6"/>
        <w:ind w:firstLine="480"/>
        <w:rPr>
          <w:rFonts w:hint="eastAsia" w:ascii="宋体" w:hAnsi="宋体"/>
          <w:color w:val="auto"/>
          <w:szCs w:val="24"/>
        </w:rPr>
      </w:pPr>
      <w:r>
        <w:rPr>
          <w:rFonts w:hint="eastAsia" w:ascii="宋体" w:hAnsi="宋体"/>
          <w:color w:val="auto"/>
          <w:szCs w:val="24"/>
        </w:rPr>
        <w:t>给水系统</w:t>
      </w:r>
    </w:p>
    <w:p w14:paraId="2CA5E923">
      <w:pPr>
        <w:rPr>
          <w:rFonts w:hint="eastAsia" w:ascii="宋体" w:hAnsi="宋体"/>
          <w:color w:val="auto"/>
        </w:rPr>
      </w:pPr>
      <w:r>
        <w:rPr>
          <w:rFonts w:hint="eastAsia" w:ascii="宋体" w:hAnsi="宋体"/>
          <w:color w:val="auto"/>
        </w:rPr>
        <w:t>本项目全部用水以市政自来水为水源，根据业主提供的市政资料，当地市政给水管引入管处自来水供水水压不低于0.28MPa。当地市政中水系统（待建）供水压力暂按0.10MPa考虑。</w:t>
      </w:r>
    </w:p>
    <w:p w14:paraId="73EDBD8D">
      <w:pPr>
        <w:rPr>
          <w:rFonts w:hint="eastAsia" w:ascii="宋体" w:hAnsi="宋体"/>
          <w:color w:val="auto"/>
        </w:rPr>
      </w:pPr>
      <w:r>
        <w:rPr>
          <w:rFonts w:hint="eastAsia" w:ascii="宋体" w:hAnsi="宋体"/>
          <w:color w:val="auto"/>
        </w:rPr>
        <w:t>从东北侧15号路市政给水管引入一路DN200给水管；另从西南侧1号路市政给水管上引入一路DN200给水管。每路引入管分别设置DN200消防水表一块，水表后设低阻力倒流防止器并在室外成环，供场地内消防用水。从西南侧1号路给水引入管上接出一根DN200生活给水管，供场地内生活用水。从西南侧1号路市政中水主管上引入一路DN70中水供水管，供场地绿化浇洒及雨水回用系统补水。</w:t>
      </w:r>
    </w:p>
    <w:p w14:paraId="028DC243">
      <w:pPr>
        <w:rPr>
          <w:rFonts w:hint="eastAsia" w:ascii="宋体" w:hAnsi="宋体"/>
          <w:color w:val="auto"/>
        </w:rPr>
      </w:pPr>
      <w:r>
        <w:rPr>
          <w:rFonts w:hint="eastAsia" w:ascii="宋体" w:hAnsi="宋体"/>
          <w:color w:val="auto"/>
        </w:rPr>
        <w:t>总体上设DN200生活水表一只，DN70中水水表一只，设DN200消防水表两只。</w:t>
      </w:r>
    </w:p>
    <w:p w14:paraId="13623785">
      <w:pPr>
        <w:pStyle w:val="6"/>
        <w:ind w:firstLine="480"/>
        <w:rPr>
          <w:rFonts w:hint="eastAsia" w:ascii="宋体" w:hAnsi="宋体"/>
          <w:color w:val="auto"/>
          <w:szCs w:val="24"/>
        </w:rPr>
      </w:pPr>
      <w:r>
        <w:rPr>
          <w:rFonts w:hint="eastAsia" w:ascii="宋体" w:hAnsi="宋体"/>
          <w:color w:val="auto"/>
          <w:szCs w:val="24"/>
        </w:rPr>
        <w:t>热水系统</w:t>
      </w:r>
    </w:p>
    <w:p w14:paraId="39F89F1E">
      <w:pPr>
        <w:rPr>
          <w:rFonts w:hint="eastAsia" w:ascii="宋体" w:hAnsi="宋体"/>
          <w:color w:val="auto"/>
          <w:szCs w:val="24"/>
        </w:rPr>
      </w:pPr>
      <w:r>
        <w:rPr>
          <w:rFonts w:ascii="宋体" w:hAnsi="宋体"/>
          <w:color w:val="auto"/>
          <w:szCs w:val="24"/>
        </w:rPr>
        <w:t>1</w:t>
      </w:r>
      <w:r>
        <w:rPr>
          <w:rFonts w:hint="eastAsia" w:ascii="宋体" w:hAnsi="宋体"/>
          <w:color w:val="auto"/>
          <w:szCs w:val="24"/>
        </w:rPr>
        <w:t>、热水供应范围及热水系统</w:t>
      </w:r>
    </w:p>
    <w:p w14:paraId="11FD1C6A">
      <w:pPr>
        <w:rPr>
          <w:rFonts w:hint="eastAsia" w:ascii="宋体" w:hAnsi="宋体"/>
          <w:color w:val="auto"/>
        </w:rPr>
      </w:pPr>
      <w:r>
        <w:rPr>
          <w:rFonts w:hint="eastAsia" w:ascii="宋体" w:hAnsi="宋体"/>
          <w:color w:val="auto"/>
        </w:rPr>
        <w:t>本项目厨房、健身淋浴及有热水需求的实验室供应热水。（海南地区市政供水水温常年15℃以上，洗手用水不考虑热水供应）</w:t>
      </w:r>
    </w:p>
    <w:p w14:paraId="3637D22B">
      <w:pPr>
        <w:rPr>
          <w:rFonts w:hint="eastAsia" w:ascii="宋体" w:hAnsi="宋体"/>
          <w:color w:val="auto"/>
        </w:rPr>
      </w:pPr>
      <w:r>
        <w:rPr>
          <w:rFonts w:hint="eastAsia" w:ascii="宋体" w:hAnsi="宋体"/>
          <w:color w:val="auto"/>
        </w:rPr>
        <w:t xml:space="preserve">2、因实验室热水需求未定，对可能存在热水需求的实验室，考虑就近设置商用容积式电热水器，设备选型及管线设计待需求确定后复核； </w:t>
      </w:r>
    </w:p>
    <w:p w14:paraId="1686964A">
      <w:pPr>
        <w:rPr>
          <w:rFonts w:hint="eastAsia" w:ascii="宋体" w:hAnsi="宋体"/>
          <w:color w:val="auto"/>
        </w:rPr>
      </w:pPr>
      <w:r>
        <w:rPr>
          <w:rFonts w:hint="eastAsia" w:ascii="宋体" w:hAnsi="宋体"/>
          <w:color w:val="auto"/>
        </w:rPr>
        <w:t>3、厨房及健身淋浴热水供应系统：厨房及淋浴设置全日制集中热水供应系统，采用太阳能+空气源热泵的系统形式。</w:t>
      </w:r>
    </w:p>
    <w:p w14:paraId="4440401E">
      <w:pPr>
        <w:rPr>
          <w:rFonts w:hint="eastAsia" w:ascii="宋体" w:hAnsi="宋体"/>
          <w:color w:val="auto"/>
        </w:rPr>
      </w:pPr>
      <w:r>
        <w:rPr>
          <w:rFonts w:hint="eastAsia" w:ascii="宋体" w:hAnsi="宋体"/>
          <w:color w:val="auto"/>
        </w:rPr>
        <w:t>1） 厨房及健身淋浴设置一套集中热水系统，根据《海南省太阳能热水系统建筑应用管理办法》，在屋面设置平板式太阳能集热器，并设置空气源热泵作为辅助热源。</w:t>
      </w:r>
    </w:p>
    <w:p w14:paraId="6FE89151">
      <w:pPr>
        <w:rPr>
          <w:rFonts w:hint="eastAsia" w:ascii="宋体" w:hAnsi="宋体"/>
          <w:color w:val="auto"/>
        </w:rPr>
      </w:pPr>
      <w:r>
        <w:rPr>
          <w:rFonts w:hint="eastAsia" w:ascii="宋体" w:hAnsi="宋体"/>
          <w:color w:val="auto"/>
        </w:rPr>
        <w:t>2） 热水系统设计供水温度60℃，热水回水温度50℃，冷水计算温度20℃。太阳能侧换热采用半容积式换热器，空气源热泵系统设置闭式储热水罐，整个热水系统设置循环泵进行机械循环，以保证配水点出水温度不低于45℃的时间不大于10s，热水供、回水管道同程布置。循环系统采用干管循环，不设支管回水。</w:t>
      </w:r>
    </w:p>
    <w:p w14:paraId="481BC923">
      <w:pPr>
        <w:rPr>
          <w:rFonts w:hint="eastAsia" w:ascii="宋体" w:hAnsi="宋体"/>
          <w:color w:val="auto"/>
        </w:rPr>
      </w:pPr>
      <w:r>
        <w:rPr>
          <w:rFonts w:hint="eastAsia" w:ascii="宋体" w:hAnsi="宋体"/>
          <w:color w:val="auto"/>
        </w:rPr>
        <w:t>3） 热水系统在循环泵出水管上设置消毒装置，以保证循环水水质。</w:t>
      </w:r>
    </w:p>
    <w:p w14:paraId="6D000F2A">
      <w:pPr>
        <w:pStyle w:val="6"/>
        <w:ind w:firstLine="480"/>
        <w:rPr>
          <w:rFonts w:hint="eastAsia" w:ascii="宋体" w:hAnsi="宋体"/>
          <w:color w:val="auto"/>
          <w:szCs w:val="24"/>
        </w:rPr>
      </w:pPr>
      <w:r>
        <w:rPr>
          <w:rFonts w:hint="eastAsia" w:ascii="宋体" w:hAnsi="宋体"/>
          <w:color w:val="auto"/>
          <w:szCs w:val="24"/>
        </w:rPr>
        <w:t>饮水系统</w:t>
      </w:r>
    </w:p>
    <w:p w14:paraId="3652BB17">
      <w:pPr>
        <w:rPr>
          <w:rFonts w:hint="eastAsia" w:ascii="宋体" w:hAnsi="宋体"/>
          <w:color w:val="auto"/>
        </w:rPr>
      </w:pPr>
      <w:r>
        <w:rPr>
          <w:rFonts w:hint="eastAsia" w:ascii="宋体" w:hAnsi="宋体"/>
          <w:color w:val="auto"/>
        </w:rPr>
        <w:t>本项目厨房、健身淋浴及有热水需求的实验室供应热水。（海南地区市政供水水温常年15℃以上，洗手用水不考虑热水供应）</w:t>
      </w:r>
    </w:p>
    <w:p w14:paraId="1EE02C83">
      <w:pPr>
        <w:rPr>
          <w:rFonts w:hint="eastAsia" w:ascii="宋体" w:hAnsi="宋体"/>
          <w:color w:val="auto"/>
        </w:rPr>
      </w:pPr>
      <w:r>
        <w:rPr>
          <w:rFonts w:hint="eastAsia" w:ascii="宋体" w:hAnsi="宋体"/>
          <w:color w:val="auto"/>
        </w:rPr>
        <w:t xml:space="preserve">因实验室热水需求未定，对可能存在热水需求的实验室，考虑就近设置商用容积式电热水器，设备选型及管线设计待需求确定后复核； </w:t>
      </w:r>
    </w:p>
    <w:p w14:paraId="19185830">
      <w:pPr>
        <w:rPr>
          <w:rFonts w:hint="eastAsia" w:ascii="宋体" w:hAnsi="宋体"/>
          <w:color w:val="auto"/>
        </w:rPr>
      </w:pPr>
      <w:r>
        <w:rPr>
          <w:rFonts w:hint="eastAsia" w:ascii="宋体" w:hAnsi="宋体"/>
          <w:color w:val="auto"/>
        </w:rPr>
        <w:t>厨房及健身淋浴热水供应系统：厨房及淋浴设置全日制集中热水供应系统，采用太阳能+空气源热泵的系统形式。</w:t>
      </w:r>
    </w:p>
    <w:p w14:paraId="55FBDE90">
      <w:pPr>
        <w:rPr>
          <w:rFonts w:hint="eastAsia" w:ascii="宋体" w:hAnsi="宋体"/>
          <w:color w:val="auto"/>
        </w:rPr>
      </w:pPr>
      <w:r>
        <w:rPr>
          <w:rFonts w:hint="eastAsia" w:ascii="宋体" w:hAnsi="宋体"/>
          <w:color w:val="auto"/>
        </w:rPr>
        <w:t>1） 厨房及健身淋浴设置一套集中热水系统，根据《海南省太阳能热水系统建筑应用管理办法》，在屋面设置平板式太阳能集热器，并设置空气源热泵作为辅助热源。</w:t>
      </w:r>
    </w:p>
    <w:p w14:paraId="3A960BD6">
      <w:pPr>
        <w:rPr>
          <w:rFonts w:hint="eastAsia" w:ascii="宋体" w:hAnsi="宋体"/>
          <w:color w:val="auto"/>
        </w:rPr>
      </w:pPr>
      <w:r>
        <w:rPr>
          <w:rFonts w:hint="eastAsia" w:ascii="宋体" w:hAnsi="宋体"/>
          <w:color w:val="auto"/>
        </w:rPr>
        <w:t>2） 热水系统设计供水温度60℃，热水回水温度50℃，冷水计算温度20℃。太阳能侧换热采用半容积式换热器，空气源热泵系统设置闭式储热水罐，整个热水系统设置循环泵进行机械循环，以保证配水点出水温度不低于45℃的时间不大于10s，热水供、回水管道同程布置。循环系统采用干管循环，不设支管回水。</w:t>
      </w:r>
    </w:p>
    <w:p w14:paraId="2950DC32">
      <w:pPr>
        <w:rPr>
          <w:rFonts w:hint="eastAsia" w:ascii="宋体" w:hAnsi="宋体"/>
          <w:color w:val="auto"/>
        </w:rPr>
      </w:pPr>
      <w:r>
        <w:rPr>
          <w:rFonts w:hint="eastAsia" w:ascii="宋体" w:hAnsi="宋体"/>
          <w:color w:val="auto"/>
        </w:rPr>
        <w:t>3） 热水系统在循环泵出水管上设置消毒装置，以保证循环水水质。</w:t>
      </w:r>
    </w:p>
    <w:p w14:paraId="1E1C40A2">
      <w:pPr>
        <w:pStyle w:val="6"/>
        <w:ind w:firstLine="480"/>
        <w:rPr>
          <w:rFonts w:hint="eastAsia" w:ascii="宋体" w:hAnsi="宋体"/>
          <w:color w:val="auto"/>
          <w:szCs w:val="24"/>
        </w:rPr>
      </w:pPr>
      <w:r>
        <w:rPr>
          <w:rFonts w:ascii="宋体" w:hAnsi="宋体"/>
          <w:color w:val="auto"/>
          <w:szCs w:val="24"/>
        </w:rPr>
        <w:t>室外排水系统</w:t>
      </w:r>
    </w:p>
    <w:p w14:paraId="3CE851DB">
      <w:pPr>
        <w:rPr>
          <w:rFonts w:hint="eastAsia" w:ascii="宋体" w:hAnsi="宋体"/>
          <w:color w:val="auto"/>
        </w:rPr>
      </w:pPr>
      <w:r>
        <w:rPr>
          <w:rFonts w:hint="eastAsia" w:ascii="宋体" w:hAnsi="宋体"/>
          <w:color w:val="auto"/>
        </w:rPr>
        <w:t>1）室外采用污、废合流。室内污、废水经室外污水管汇总，化粪池处理后排入市政污水管网。整个场地共设置2座11号化粪池及2路DN300污水排出管，分别排入西侧及南侧市政道路下市政污水管网。</w:t>
      </w:r>
    </w:p>
    <w:p w14:paraId="37991194">
      <w:pPr>
        <w:rPr>
          <w:rFonts w:hint="eastAsia" w:ascii="宋体" w:hAnsi="宋体"/>
          <w:color w:val="auto"/>
        </w:rPr>
      </w:pPr>
      <w:r>
        <w:rPr>
          <w:rFonts w:hint="eastAsia" w:ascii="宋体" w:hAnsi="宋体"/>
          <w:color w:val="auto"/>
        </w:rPr>
        <w:t>2） 室外雨、污分流，场地雨水设计重现期5年，初期降雨历时为10min，设计降雨强度3.99L/（s.100㎡），项目占地面积31964㎡，综合径流系数为0.59，场地设计降雨量为756L/s。整个场地设置一路DN600雨水管、一路DN700雨水管，分别排至北侧15号路、南侧1号路市政雨水管网。</w:t>
      </w:r>
    </w:p>
    <w:p w14:paraId="06443E80">
      <w:pPr>
        <w:rPr>
          <w:rFonts w:hint="eastAsia" w:ascii="宋体" w:hAnsi="宋体"/>
          <w:color w:val="auto"/>
        </w:rPr>
      </w:pPr>
      <w:r>
        <w:rPr>
          <w:rFonts w:hint="eastAsia" w:ascii="宋体" w:hAnsi="宋体"/>
          <w:color w:val="auto"/>
        </w:rPr>
        <w:t>3） 海面城市与雨水回收利用</w:t>
      </w:r>
    </w:p>
    <w:p w14:paraId="031E5EEA">
      <w:pPr>
        <w:rPr>
          <w:rFonts w:hint="eastAsia" w:ascii="宋体" w:hAnsi="宋体"/>
          <w:color w:val="auto"/>
        </w:rPr>
      </w:pPr>
      <w:r>
        <w:rPr>
          <w:rFonts w:hint="eastAsia" w:ascii="宋体" w:hAnsi="宋体"/>
          <w:color w:val="auto"/>
        </w:rPr>
        <w:t>室外地面铺砌渗水地砖，设置下凹式绿地、调蓄水池等调蓄措施，室外雨水首先通过总体竖向设计排至绿地内就地入渗，部分雨水采用渗透井及渗透管以补偿地下水。场地径流总量控制率达到要求的68%，本工程设置总蓄水量为232.5m3的雨水蓄水池一座。</w:t>
      </w:r>
    </w:p>
    <w:p w14:paraId="3F2BE324">
      <w:pPr>
        <w:rPr>
          <w:rFonts w:hint="eastAsia" w:ascii="宋体" w:hAnsi="宋体"/>
          <w:color w:val="auto"/>
        </w:rPr>
      </w:pPr>
      <w:r>
        <w:rPr>
          <w:rFonts w:hint="eastAsia" w:ascii="宋体" w:hAnsi="宋体"/>
          <w:color w:val="auto"/>
        </w:rPr>
        <w:t>本项目设置一套雨水回用系统，收集屋面及场地雨水经初期雨水弃流、过滤、消毒处理后，用于绿化浇洒、车库及道路冲洗。雨水蓄水池设置在室外，检修口设置在地下室顶板上，并设置直通室外的雨水溢流管。蓄水池兼做雨水回用系统的原水池，雨水处理机房设置在地下室，从周边市政道路引入一根DN70市政中水管，当雨水回用量无法满足时，作为补充。</w:t>
      </w:r>
    </w:p>
    <w:p w14:paraId="11B5B566">
      <w:pPr>
        <w:pStyle w:val="6"/>
        <w:ind w:firstLine="480"/>
        <w:rPr>
          <w:rFonts w:hint="eastAsia" w:ascii="宋体" w:hAnsi="宋体"/>
          <w:color w:val="auto"/>
          <w:szCs w:val="24"/>
        </w:rPr>
      </w:pPr>
      <w:r>
        <w:rPr>
          <w:rFonts w:hint="eastAsia" w:ascii="宋体" w:hAnsi="宋体"/>
          <w:color w:val="auto"/>
          <w:szCs w:val="24"/>
        </w:rPr>
        <w:t>排水系统</w:t>
      </w:r>
    </w:p>
    <w:p w14:paraId="02FCC1F5">
      <w:pPr>
        <w:rPr>
          <w:rFonts w:hint="eastAsia" w:ascii="宋体" w:hAnsi="宋体"/>
          <w:color w:val="auto"/>
          <w:szCs w:val="24"/>
        </w:rPr>
      </w:pPr>
      <w:r>
        <w:rPr>
          <w:rFonts w:hint="eastAsia" w:ascii="宋体" w:hAnsi="宋体"/>
          <w:color w:val="auto"/>
          <w:szCs w:val="24"/>
        </w:rPr>
        <w:t>室内采用污水、废水合流排水系统；室外采用雨污分流排水系统。污水收集至室外化粪池后排放至市政道路污水管网。室内排水通气采用专用通气立管方式。</w:t>
      </w:r>
    </w:p>
    <w:p w14:paraId="35A97473">
      <w:pPr>
        <w:rPr>
          <w:rFonts w:hint="eastAsia" w:ascii="宋体" w:hAnsi="宋体"/>
          <w:color w:val="auto"/>
        </w:rPr>
      </w:pPr>
      <w:r>
        <w:rPr>
          <w:rFonts w:hint="eastAsia" w:ascii="宋体" w:hAnsi="宋体"/>
          <w:color w:val="auto"/>
        </w:rPr>
        <w:t>1） 生活排水量：最高日生活排水量：542.30m3/d；最大时生活排水量：79.19m3/h。</w:t>
      </w:r>
    </w:p>
    <w:p w14:paraId="40E52C35">
      <w:pPr>
        <w:rPr>
          <w:rFonts w:hint="eastAsia" w:ascii="宋体" w:hAnsi="宋体"/>
          <w:color w:val="auto"/>
        </w:rPr>
      </w:pPr>
      <w:r>
        <w:rPr>
          <w:rFonts w:hint="eastAsia" w:ascii="宋体" w:hAnsi="宋体"/>
          <w:color w:val="auto"/>
        </w:rPr>
        <w:t>2） 室内污、废水采用合流制，设专用通气立管，并按规范设置环形通气管。厨房排水单独设置通气管，不与卫生间通气管合用。</w:t>
      </w:r>
    </w:p>
    <w:p w14:paraId="32DDC239">
      <w:pPr>
        <w:rPr>
          <w:rFonts w:hint="eastAsia" w:ascii="宋体" w:hAnsi="宋体"/>
          <w:color w:val="auto"/>
        </w:rPr>
      </w:pPr>
      <w:r>
        <w:rPr>
          <w:rFonts w:hint="eastAsia" w:ascii="宋体" w:hAnsi="宋体"/>
          <w:color w:val="auto"/>
        </w:rPr>
        <w:t xml:space="preserve">3） 室内+0.000以上污、废水重力自流排入室外污水管，底层污、废水单独排出；消防电梯井及地下室污、废水采用潜水排污泵加压提升至室外排水管。 </w:t>
      </w:r>
    </w:p>
    <w:p w14:paraId="0070DDCD">
      <w:pPr>
        <w:rPr>
          <w:rFonts w:hint="eastAsia" w:ascii="宋体" w:hAnsi="宋体"/>
          <w:color w:val="auto"/>
        </w:rPr>
      </w:pPr>
      <w:r>
        <w:rPr>
          <w:rFonts w:hint="eastAsia" w:ascii="宋体" w:hAnsi="宋体"/>
          <w:color w:val="auto"/>
        </w:rPr>
        <w:t>4） 室内生活污水经室外管线汇总后，经化粪池处理后排入市政污水管网，本项目共设置2座11号钢筋混凝土化粪池。</w:t>
      </w:r>
    </w:p>
    <w:p w14:paraId="04F9B3D4">
      <w:pPr>
        <w:rPr>
          <w:rFonts w:hint="eastAsia" w:ascii="宋体" w:hAnsi="宋体"/>
          <w:color w:val="auto"/>
        </w:rPr>
      </w:pPr>
      <w:r>
        <w:rPr>
          <w:rFonts w:hint="eastAsia" w:ascii="宋体" w:hAnsi="宋体"/>
          <w:color w:val="auto"/>
        </w:rPr>
        <w:t>5）厨房含油废水经二级隔油处理后油水分离器处理，排入室外污水管道。一级器具隔油器设置在厨房内，由厨房专项设</w:t>
      </w:r>
    </w:p>
    <w:p w14:paraId="7A7481E3">
      <w:pPr>
        <w:rPr>
          <w:rFonts w:hint="eastAsia" w:ascii="宋体" w:hAnsi="宋体"/>
          <w:color w:val="auto"/>
        </w:rPr>
      </w:pPr>
      <w:r>
        <w:rPr>
          <w:rFonts w:hint="eastAsia" w:ascii="宋体" w:hAnsi="宋体"/>
          <w:color w:val="auto"/>
        </w:rPr>
        <w:t>计负责选型并安装；二级隔油采用成品油水分离器，油水分离器设置在地下室隔油机房内，并应符合国家《餐饮废水隔油器》CJ/T295-2015的要求。</w:t>
      </w:r>
    </w:p>
    <w:p w14:paraId="62A7DDCD">
      <w:pPr>
        <w:rPr>
          <w:rFonts w:hint="eastAsia" w:ascii="宋体" w:hAnsi="宋体"/>
          <w:color w:val="auto"/>
        </w:rPr>
      </w:pPr>
      <w:r>
        <w:rPr>
          <w:rFonts w:hint="eastAsia" w:ascii="宋体" w:hAnsi="宋体"/>
          <w:color w:val="auto"/>
        </w:rPr>
        <w:t>6） 车库地面排水设置隔油沉砂井，并按规范及人防要求匹配消防排水量，相应集水井应采用消防供电。</w:t>
      </w:r>
    </w:p>
    <w:p w14:paraId="5CF4F77C">
      <w:pPr>
        <w:rPr>
          <w:rFonts w:hint="eastAsia" w:ascii="宋体" w:hAnsi="宋体"/>
          <w:color w:val="auto"/>
        </w:rPr>
      </w:pPr>
      <w:r>
        <w:rPr>
          <w:rFonts w:hint="eastAsia" w:ascii="宋体" w:hAnsi="宋体"/>
          <w:color w:val="auto"/>
        </w:rPr>
        <w:t xml:space="preserve">7)  空调凝结水设专用排水管，间接排水，并设防结露保温。    </w:t>
      </w:r>
    </w:p>
    <w:p w14:paraId="3CC72D1C">
      <w:pPr>
        <w:rPr>
          <w:rFonts w:hint="eastAsia" w:ascii="宋体" w:hAnsi="宋体"/>
          <w:color w:val="auto"/>
        </w:rPr>
      </w:pPr>
      <w:r>
        <w:rPr>
          <w:rFonts w:hint="eastAsia" w:ascii="宋体" w:hAnsi="宋体"/>
          <w:color w:val="auto"/>
        </w:rPr>
        <w:t>8） 开水器、热水器、直饮水机排水应采用间接排水，在设置开水器、热水器、直饮水机的房间内就近设置排水地漏。</w:t>
      </w:r>
    </w:p>
    <w:p w14:paraId="401A5593">
      <w:pPr>
        <w:rPr>
          <w:rFonts w:hint="eastAsia" w:ascii="宋体" w:hAnsi="宋体"/>
          <w:color w:val="auto"/>
        </w:rPr>
      </w:pPr>
      <w:r>
        <w:rPr>
          <w:rFonts w:hint="eastAsia" w:ascii="宋体" w:hAnsi="宋体"/>
          <w:color w:val="auto"/>
        </w:rPr>
        <w:t>9）实验室排水：</w:t>
      </w:r>
    </w:p>
    <w:p w14:paraId="4D51D067">
      <w:pPr>
        <w:rPr>
          <w:rFonts w:hint="eastAsia" w:ascii="宋体" w:hAnsi="宋体"/>
          <w:color w:val="auto"/>
        </w:rPr>
      </w:pPr>
      <w:r>
        <w:rPr>
          <w:rFonts w:hint="eastAsia" w:ascii="宋体" w:hAnsi="宋体"/>
          <w:color w:val="auto"/>
        </w:rPr>
        <w:t>A、 实验室常规仪器洗涤废水接专用排水立管，经水处理后通过室外污水管道进入化粪池，此后再排入市政污水管道。</w:t>
      </w:r>
    </w:p>
    <w:p w14:paraId="56B4DDC0">
      <w:pPr>
        <w:rPr>
          <w:rFonts w:hint="eastAsia" w:ascii="宋体" w:hAnsi="宋体"/>
          <w:color w:val="auto"/>
        </w:rPr>
      </w:pPr>
      <w:r>
        <w:rPr>
          <w:rFonts w:hint="eastAsia" w:ascii="宋体" w:hAnsi="宋体"/>
          <w:color w:val="auto"/>
        </w:rPr>
        <w:t>B、 本项目有毒废水量较少，设置集中式实验废水处理单元缺乏经济性及可操作性，采用专用收集筒定点回收的方式，由专业公司回收处理。</w:t>
      </w:r>
    </w:p>
    <w:p w14:paraId="73AC02E3">
      <w:pPr>
        <w:rPr>
          <w:rFonts w:hint="eastAsia" w:ascii="宋体" w:hAnsi="宋体"/>
          <w:color w:val="auto"/>
        </w:rPr>
      </w:pPr>
      <w:r>
        <w:rPr>
          <w:rFonts w:hint="eastAsia" w:ascii="宋体" w:hAnsi="宋体"/>
          <w:color w:val="auto"/>
        </w:rPr>
        <w:t>C、 空气洁净度等级等于或严于7级的洁净室内不应穿过排水立管，其他洁净室内穿过排水立管时不应设检查口。</w:t>
      </w:r>
    </w:p>
    <w:p w14:paraId="28F7AD23">
      <w:pPr>
        <w:rPr>
          <w:rFonts w:hint="eastAsia" w:ascii="宋体" w:hAnsi="宋体"/>
          <w:color w:val="auto"/>
        </w:rPr>
      </w:pPr>
      <w:r>
        <w:rPr>
          <w:rFonts w:hint="eastAsia" w:ascii="宋体" w:hAnsi="宋体"/>
          <w:color w:val="auto"/>
        </w:rPr>
        <w:t>10） 地下室垃圾房集水井采用密闭井盖，并设通气管。</w:t>
      </w:r>
    </w:p>
    <w:p w14:paraId="40B9D621">
      <w:pPr>
        <w:rPr>
          <w:rFonts w:hint="eastAsia" w:ascii="宋体" w:hAnsi="宋体"/>
          <w:color w:val="auto"/>
        </w:rPr>
      </w:pPr>
      <w:r>
        <w:rPr>
          <w:rFonts w:hint="eastAsia" w:ascii="宋体" w:hAnsi="宋体"/>
          <w:color w:val="auto"/>
        </w:rPr>
        <w:t>11）地下室卫生间排水采用一体化污水提升设备。</w:t>
      </w:r>
    </w:p>
    <w:p w14:paraId="34589598">
      <w:pPr>
        <w:rPr>
          <w:rFonts w:hint="eastAsia" w:ascii="宋体" w:hAnsi="宋体"/>
          <w:color w:val="auto"/>
        </w:rPr>
      </w:pPr>
      <w:r>
        <w:rPr>
          <w:rFonts w:hint="eastAsia" w:ascii="宋体" w:hAnsi="宋体"/>
          <w:color w:val="auto"/>
        </w:rPr>
        <w:t>12）收集屋面雨水及空调冷凝水经处理后供绿化浇洒、车库冲洗等用水；处理工艺及水质标准要求详见分质供水章节。</w:t>
      </w:r>
    </w:p>
    <w:p w14:paraId="456FA762">
      <w:pPr>
        <w:pStyle w:val="6"/>
        <w:ind w:firstLine="480"/>
        <w:rPr>
          <w:rFonts w:hint="eastAsia" w:ascii="宋体" w:hAnsi="宋体"/>
          <w:color w:val="auto"/>
          <w:szCs w:val="24"/>
        </w:rPr>
      </w:pPr>
      <w:r>
        <w:rPr>
          <w:rFonts w:hint="eastAsia" w:ascii="宋体" w:hAnsi="宋体"/>
          <w:color w:val="auto"/>
          <w:szCs w:val="24"/>
        </w:rPr>
        <w:t>雨水系统</w:t>
      </w:r>
    </w:p>
    <w:p w14:paraId="67753929">
      <w:pPr>
        <w:rPr>
          <w:rFonts w:hint="eastAsia" w:ascii="宋体" w:hAnsi="宋体"/>
          <w:color w:val="auto"/>
        </w:rPr>
      </w:pPr>
      <w:r>
        <w:rPr>
          <w:rFonts w:hint="eastAsia" w:ascii="宋体" w:hAnsi="宋体"/>
          <w:color w:val="auto"/>
        </w:rPr>
        <w:t>1、所有屋面采用重力雨水排放系统（采用87型雨水斗），屋面雨水设计重现期50年，初期降雨历时为5min，设计降雨强度6.70L/（s.100㎡）。屋面设置溢流口，屋面雨水排水工程与溢流设施总排水能力不应小于其100年重现期的雨水量。</w:t>
      </w:r>
    </w:p>
    <w:p w14:paraId="171EBC94">
      <w:pPr>
        <w:rPr>
          <w:rFonts w:hint="eastAsia" w:ascii="宋体" w:hAnsi="宋体"/>
          <w:color w:val="auto"/>
        </w:rPr>
      </w:pPr>
      <w:r>
        <w:rPr>
          <w:rFonts w:hint="eastAsia" w:ascii="宋体" w:hAnsi="宋体"/>
          <w:color w:val="auto"/>
        </w:rPr>
        <w:t>2、各楼层露台及室外花园采用重力排水系统（采用大流量排水地漏或重力雨水斗），雨水设计重现期50年，初期降雨历时为5min，设计降雨强度6.70L/（s.100㎡）。</w:t>
      </w:r>
    </w:p>
    <w:p w14:paraId="113535B6">
      <w:pPr>
        <w:rPr>
          <w:rFonts w:hint="eastAsia" w:ascii="宋体" w:hAnsi="宋体"/>
          <w:color w:val="auto"/>
        </w:rPr>
      </w:pPr>
      <w:r>
        <w:rPr>
          <w:rFonts w:hint="eastAsia" w:ascii="宋体" w:hAnsi="宋体"/>
          <w:color w:val="auto"/>
        </w:rPr>
        <w:t>3、 下沉式广场、车道入口排水设计重现期100年，初期降雨历时为5min，设计降雨强度7.28L/（s.100㎡）。下沉式广场、车道入口排水经排水沟收集后排入集水井，经潜水泵加压提升后排入室外雨水管网。</w:t>
      </w:r>
    </w:p>
    <w:p w14:paraId="415A4695">
      <w:pPr>
        <w:rPr>
          <w:rFonts w:hint="eastAsia" w:ascii="宋体" w:hAnsi="宋体"/>
          <w:color w:val="auto"/>
        </w:rPr>
      </w:pPr>
      <w:r>
        <w:rPr>
          <w:rFonts w:hint="eastAsia" w:ascii="宋体" w:hAnsi="宋体"/>
          <w:color w:val="auto"/>
        </w:rPr>
        <w:t>4、 室外公共活动场地、人行道，尽可能通过绿地和透水铺装地面等进行雨水的自然蓄渗回灌；下沉式广场内绿地渗水由景观考虑预埋疏水板及收水盲管，将下渗水导入集水井内再由潜水泵加压提升后排入室外雨水管网。</w:t>
      </w:r>
    </w:p>
    <w:p w14:paraId="3F529633">
      <w:pPr>
        <w:pStyle w:val="6"/>
        <w:ind w:firstLine="480"/>
        <w:rPr>
          <w:rFonts w:hint="eastAsia" w:ascii="宋体" w:hAnsi="宋体"/>
          <w:color w:val="auto"/>
          <w:szCs w:val="24"/>
        </w:rPr>
      </w:pPr>
      <w:r>
        <w:rPr>
          <w:rFonts w:hint="eastAsia" w:ascii="宋体" w:hAnsi="宋体"/>
          <w:color w:val="auto"/>
          <w:szCs w:val="24"/>
        </w:rPr>
        <w:t>消防系统</w:t>
      </w:r>
    </w:p>
    <w:p w14:paraId="5E58F4B9">
      <w:pPr>
        <w:rPr>
          <w:rFonts w:hint="eastAsia" w:ascii="宋体" w:hAnsi="宋体"/>
          <w:color w:val="auto"/>
          <w:szCs w:val="24"/>
        </w:rPr>
      </w:pPr>
      <w:r>
        <w:rPr>
          <w:rFonts w:ascii="宋体" w:hAnsi="宋体"/>
          <w:color w:val="auto"/>
          <w:szCs w:val="24"/>
        </w:rPr>
        <w:t>1</w:t>
      </w:r>
      <w:r>
        <w:rPr>
          <w:rFonts w:hint="eastAsia" w:ascii="宋体" w:hAnsi="宋体"/>
          <w:color w:val="auto"/>
          <w:szCs w:val="24"/>
        </w:rPr>
        <w:t>、消防水源</w:t>
      </w:r>
    </w:p>
    <w:p w14:paraId="15B14104">
      <w:pPr>
        <w:rPr>
          <w:rFonts w:hint="eastAsia" w:ascii="宋体" w:hAnsi="宋体"/>
          <w:color w:val="auto"/>
        </w:rPr>
      </w:pPr>
      <w:r>
        <w:rPr>
          <w:rFonts w:hint="eastAsia" w:ascii="宋体" w:hAnsi="宋体"/>
          <w:color w:val="auto"/>
        </w:rPr>
        <w:t>从东北侧15号路市政给水管引入一路DN200给水管；另从西南侧1号路市政给水管上引入一路DN200给水管。每路引入管分别设置DN200消防水表一块，水表后设低阻力倒流防止器并在室外成环，供场地内消防用水。据业主提供的市政资料，当地市政给水管引入管处自来水供水水压不低于0.28MPa。</w:t>
      </w:r>
    </w:p>
    <w:p w14:paraId="4C17E7D5">
      <w:pPr>
        <w:rPr>
          <w:rFonts w:hint="eastAsia" w:ascii="宋体" w:hAnsi="宋体"/>
          <w:color w:val="auto"/>
        </w:rPr>
      </w:pPr>
      <w:r>
        <w:rPr>
          <w:rFonts w:hint="eastAsia" w:ascii="宋体" w:hAnsi="宋体"/>
          <w:color w:val="auto"/>
        </w:rPr>
        <w:t>本工程室内消防总用水量为702m³，扣除3h补水量190m³，在地下室设置有效容积512m³消防水池一座，在塔楼屋顶设置有效容积36m³消防水箱一座。</w:t>
      </w:r>
    </w:p>
    <w:p w14:paraId="4C25A4C1">
      <w:pPr>
        <w:rPr>
          <w:rFonts w:hint="eastAsia" w:ascii="宋体" w:hAnsi="宋体"/>
          <w:color w:val="auto"/>
        </w:rPr>
      </w:pPr>
      <w:r>
        <w:rPr>
          <w:rFonts w:hint="eastAsia" w:ascii="宋体" w:hAnsi="宋体"/>
          <w:color w:val="auto"/>
        </w:rPr>
        <w:t>室外消火栓系统采用低压制，基地内消防管网成环布置，环管管径DN200，室外消火栓由环管上接出，栓口压力不低于0.1MPa；两路消防引入管之间的消防环管上应设置阀门井，并保证每个阀门井之间的室外消火栓数量不超过5个。基地共设室外消火栓6套，间距不大于120m，保护半径150m；消防水泵接合器15~40m范围内应布置室外消火栓。室外消火栓距路边不宜不小于0.5m，并不应大于2m，距建筑物外墙或外墙边缘不宜小于5m。建筑消防扑救面一侧的室外消火栓数量不宜少于2个；室外消防给水引入管上设有倒流防止器时，在倒流防止器前设置一个室外消火栓。</w:t>
      </w:r>
    </w:p>
    <w:p w14:paraId="5B2E59CD">
      <w:pPr>
        <w:rPr>
          <w:rFonts w:hint="eastAsia" w:ascii="宋体" w:hAnsi="宋体"/>
          <w:color w:val="auto"/>
        </w:rPr>
      </w:pPr>
      <w:r>
        <w:rPr>
          <w:rFonts w:hint="eastAsia" w:ascii="宋体" w:hAnsi="宋体"/>
          <w:color w:val="auto"/>
        </w:rPr>
        <w:t>人防工程、地下工程等建筑应在出入口附近设置室外消火栓，且距离出入口距离为5~40m。每个消火栓水量为10～15升/秒。室外消火栓采用地上式，参照《室外消火栓及消防水鹤安装》13S201 (P15)选用安装。室外消火栓、阀门、消防水泵接合器等设置地点应设置相应的永久性固定标识。</w:t>
      </w:r>
    </w:p>
    <w:p w14:paraId="1C37F793">
      <w:pPr>
        <w:rPr>
          <w:rFonts w:hint="eastAsia" w:ascii="宋体" w:hAnsi="宋体"/>
          <w:color w:val="auto"/>
        </w:rPr>
      </w:pPr>
      <w:r>
        <w:rPr>
          <w:rFonts w:hint="eastAsia" w:ascii="宋体" w:hAnsi="宋体"/>
          <w:color w:val="auto"/>
        </w:rPr>
        <w:t>2、整个学校合用一套消防系统。</w:t>
      </w:r>
    </w:p>
    <w:p w14:paraId="2A217DAC">
      <w:pPr>
        <w:pStyle w:val="5"/>
        <w:rPr>
          <w:rFonts w:hint="eastAsia" w:ascii="宋体" w:hAnsi="宋体"/>
          <w:color w:val="auto"/>
          <w:szCs w:val="24"/>
        </w:rPr>
      </w:pPr>
      <w:bookmarkStart w:id="24" w:name="_Toc29550"/>
      <w:r>
        <w:rPr>
          <w:rFonts w:hint="eastAsia" w:ascii="宋体" w:hAnsi="宋体"/>
          <w:color w:val="auto"/>
          <w:szCs w:val="24"/>
        </w:rPr>
        <w:t>强电</w:t>
      </w:r>
      <w:bookmarkEnd w:id="24"/>
    </w:p>
    <w:p w14:paraId="61DEFCF5">
      <w:pPr>
        <w:pStyle w:val="6"/>
        <w:ind w:firstLine="480"/>
        <w:rPr>
          <w:rFonts w:hint="eastAsia" w:ascii="宋体" w:hAnsi="宋体"/>
          <w:color w:val="auto"/>
          <w:szCs w:val="24"/>
        </w:rPr>
      </w:pPr>
      <w:r>
        <w:rPr>
          <w:rFonts w:ascii="宋体" w:hAnsi="宋体"/>
          <w:color w:val="auto"/>
          <w:szCs w:val="24"/>
        </w:rPr>
        <w:t>供电电源与变配电系统</w:t>
      </w:r>
    </w:p>
    <w:p w14:paraId="429B3C2A">
      <w:pPr>
        <w:rPr>
          <w:rFonts w:hint="eastAsia" w:ascii="宋体" w:hAnsi="宋体"/>
          <w:color w:val="auto"/>
          <w:szCs w:val="24"/>
        </w:rPr>
      </w:pPr>
      <w:r>
        <w:rPr>
          <w:rFonts w:hint="eastAsia" w:ascii="宋体" w:hAnsi="宋体"/>
          <w:color w:val="auto"/>
          <w:szCs w:val="24"/>
        </w:rPr>
        <w:t>1、本项目为教学建筑，包含教学主楼、会议中心、综合服务楼、地下车库等区域。</w:t>
      </w:r>
    </w:p>
    <w:p w14:paraId="585FE615">
      <w:pPr>
        <w:rPr>
          <w:rFonts w:hint="eastAsia" w:ascii="宋体" w:hAnsi="宋体"/>
          <w:color w:val="auto"/>
          <w:szCs w:val="24"/>
        </w:rPr>
      </w:pPr>
      <w:r>
        <w:rPr>
          <w:rFonts w:hint="eastAsia" w:ascii="宋体" w:hAnsi="宋体"/>
          <w:color w:val="auto"/>
          <w:szCs w:val="24"/>
        </w:rPr>
        <w:t>按规范要求，本项目为一类高层建筑，应按一级负荷供电，车库属于大型停车库，按一级负荷进行供电，用电设备按规范要求分类:</w:t>
      </w:r>
    </w:p>
    <w:p w14:paraId="720A90C3">
      <w:pPr>
        <w:rPr>
          <w:rFonts w:hint="eastAsia" w:ascii="宋体" w:hAnsi="宋体"/>
          <w:color w:val="auto"/>
          <w:szCs w:val="24"/>
        </w:rPr>
      </w:pPr>
      <w:r>
        <w:rPr>
          <w:rFonts w:hint="eastAsia" w:ascii="宋体" w:hAnsi="宋体"/>
          <w:color w:val="auto"/>
          <w:szCs w:val="24"/>
        </w:rPr>
        <w:t>1）一级负荷包括:重要实验室用电、图书馆计算机系统及安防系统、电子信息设备机房用电、安防系统用电、值班照明、警卫照明、客梯、排水泵、生活水泵、各类消防设备负荷用电。</w:t>
      </w:r>
    </w:p>
    <w:p w14:paraId="1A608094">
      <w:pPr>
        <w:rPr>
          <w:rFonts w:hint="eastAsia" w:ascii="宋体" w:hAnsi="宋体"/>
          <w:color w:val="auto"/>
          <w:szCs w:val="24"/>
        </w:rPr>
      </w:pPr>
      <w:r>
        <w:rPr>
          <w:rFonts w:hint="eastAsia" w:ascii="宋体" w:hAnsi="宋体"/>
          <w:color w:val="auto"/>
          <w:szCs w:val="24"/>
        </w:rPr>
        <w:t>2）二级负荷包括:普通实验室、主要通道及楼梯间照明用电、食堂冷库及厨房重要设备、主要操作间和备餐间照明3）三级负荷包括:除上述内容外的其他负荷。</w:t>
      </w:r>
    </w:p>
    <w:p w14:paraId="03316B70">
      <w:pPr>
        <w:rPr>
          <w:color w:val="auto"/>
        </w:rPr>
      </w:pPr>
      <w:r>
        <w:rPr>
          <w:rFonts w:hint="eastAsia"/>
          <w:color w:val="auto"/>
        </w:rPr>
        <w:t>2、本工程由供电局提供两路独立10kV高压电源，从供电局两个不同的区域变电站引来，以电缆埋地方式进入建筑物地下一层10kV高压开关室，供电分配至地下一层用户变电所1和用户变电所2，进行变配电后供电至公共教学区中的各个负荷。</w:t>
      </w:r>
    </w:p>
    <w:p w14:paraId="19F3479C">
      <w:pPr>
        <w:rPr>
          <w:color w:val="auto"/>
        </w:rPr>
      </w:pPr>
      <w:r>
        <w:rPr>
          <w:rFonts w:hint="eastAsia"/>
          <w:color w:val="auto"/>
        </w:rPr>
        <w:t>3、变电所对土建的一般性要求:</w:t>
      </w:r>
    </w:p>
    <w:p w14:paraId="250EEDB0">
      <w:pPr>
        <w:rPr>
          <w:color w:val="auto"/>
        </w:rPr>
      </w:pPr>
      <w:r>
        <w:rPr>
          <w:rFonts w:hint="eastAsia"/>
          <w:color w:val="auto"/>
        </w:rPr>
        <w:t>1)本项目变电所抬高1米，变电所净高约为4米，地下一层10KV开关室内及用户变电所内高低压开关柜均采用下进下出方式;</w:t>
      </w:r>
    </w:p>
    <w:p w14:paraId="48C14464">
      <w:pPr>
        <w:rPr>
          <w:color w:val="auto"/>
        </w:rPr>
      </w:pPr>
      <w:r>
        <w:rPr>
          <w:rFonts w:hint="eastAsia"/>
          <w:color w:val="auto"/>
        </w:rPr>
        <w:t>2）高压配电室、变电所各房间的内墙表面应抹灰刷白，地面采用高标号水泥抹面压光;</w:t>
      </w:r>
    </w:p>
    <w:p w14:paraId="396986CC">
      <w:pPr>
        <w:rPr>
          <w:color w:val="auto"/>
        </w:rPr>
      </w:pPr>
      <w:r>
        <w:rPr>
          <w:rFonts w:hint="eastAsia"/>
          <w:color w:val="auto"/>
        </w:rPr>
        <w:t>3）变配电所10kV高压开关柜采用中置柜，变压器采用环氧树脂浇注低损耗、低噪声SCB13干式变压器;</w:t>
      </w:r>
    </w:p>
    <w:p w14:paraId="20650B1D">
      <w:pPr>
        <w:rPr>
          <w:color w:val="auto"/>
        </w:rPr>
      </w:pPr>
      <w:r>
        <w:rPr>
          <w:rFonts w:hint="eastAsia"/>
          <w:color w:val="auto"/>
        </w:rPr>
        <w:t>4)）变电所内设有独立的机械进排风设备及采取防水、防潮措施，内设有局部空调，风管进出变配电所处设有防火阀(具体由暖通专业及给排水专业负责设计);</w:t>
      </w:r>
    </w:p>
    <w:p w14:paraId="5F682A8E">
      <w:pPr>
        <w:rPr>
          <w:color w:val="auto"/>
        </w:rPr>
      </w:pPr>
      <w:r>
        <w:rPr>
          <w:rFonts w:hint="eastAsia"/>
          <w:color w:val="auto"/>
        </w:rPr>
        <w:t>5）变电所应采取减振降噪及电磁辐射屏蔽等安全措施，由变压器设备供应商负责提供方案并实施，需经业主和设计院认可。</w:t>
      </w:r>
    </w:p>
    <w:p w14:paraId="3A356D51">
      <w:pPr>
        <w:rPr>
          <w:color w:val="auto"/>
        </w:rPr>
      </w:pPr>
      <w:r>
        <w:rPr>
          <w:rFonts w:hint="eastAsia"/>
          <w:color w:val="auto"/>
        </w:rPr>
        <w:t>4、应急电源系统</w:t>
      </w:r>
    </w:p>
    <w:p w14:paraId="2EAF8D33">
      <w:pPr>
        <w:rPr>
          <w:color w:val="auto"/>
        </w:rPr>
      </w:pPr>
      <w:r>
        <w:rPr>
          <w:rFonts w:hint="eastAsia"/>
          <w:color w:val="auto"/>
        </w:rPr>
        <w:t>1）本项目已设置双路独立的10kV电源进线，供电可靠性较高，故不再设置消防专用柴油发电机组。</w:t>
      </w:r>
    </w:p>
    <w:p w14:paraId="1FC8B007">
      <w:pPr>
        <w:rPr>
          <w:color w:val="auto"/>
        </w:rPr>
      </w:pPr>
      <w:r>
        <w:rPr>
          <w:rFonts w:hint="eastAsia"/>
          <w:color w:val="auto"/>
        </w:rPr>
        <w:t>2）管理用计算机系统、安保系统、楼宇设备自控系统等弱电系统、消防控制中心等分别随设备配置UPS电源。消防控制系统内的蓄电池组的容量应保证火灾自动报警及联动控制系统在火灾状态同时工作负荷条件下连续工作3小时以上。</w:t>
      </w:r>
    </w:p>
    <w:p w14:paraId="7115AF7E">
      <w:pPr>
        <w:rPr>
          <w:color w:val="auto"/>
        </w:rPr>
      </w:pPr>
      <w:r>
        <w:rPr>
          <w:rFonts w:hint="eastAsia"/>
          <w:color w:val="auto"/>
        </w:rPr>
        <w:t>5、变配电系统主接线</w:t>
      </w:r>
    </w:p>
    <w:p w14:paraId="67FA6264">
      <w:pPr>
        <w:rPr>
          <w:color w:val="auto"/>
        </w:rPr>
      </w:pPr>
      <w:r>
        <w:rPr>
          <w:rFonts w:hint="eastAsia"/>
          <w:color w:val="auto"/>
        </w:rPr>
        <w:t>1).10kV配电系统:10KV断路器采用真空断路器，10kV为单母线分段运行方式，中间设置联络，其分断能力不小于25kA，10kV配电柜采用中置式封闭金属铠装高压断路器;在进线开关柜内装设氧化锌避雷器作雷电过电压保护﹔真空断路器选用弹簧储能操作机构。</w:t>
      </w:r>
    </w:p>
    <w:p w14:paraId="0B9D8CA5">
      <w:pPr>
        <w:rPr>
          <w:color w:val="auto"/>
        </w:rPr>
      </w:pPr>
      <w:r>
        <w:rPr>
          <w:rFonts w:hint="eastAsia"/>
          <w:color w:val="auto"/>
        </w:rPr>
        <w:t>2)0.4KV侧采取单母线分段加手动联络方式，电气加机械联锁，平时分列运行;当一路电源失电时，另一路电源在卸掉部分三级负荷的情况下，可带所有一、二级负荷;</w:t>
      </w:r>
    </w:p>
    <w:p w14:paraId="36294226">
      <w:pPr>
        <w:rPr>
          <w:color w:val="auto"/>
        </w:rPr>
      </w:pPr>
      <w:r>
        <w:rPr>
          <w:rFonts w:hint="eastAsia"/>
          <w:color w:val="auto"/>
        </w:rPr>
        <w:t>3）同一配电室内相邻的两段母线，当任一段母线有一级负荷时，相邻的两段母线之间应采用防火措施。</w:t>
      </w:r>
    </w:p>
    <w:p w14:paraId="67DB8C16">
      <w:pPr>
        <w:rPr>
          <w:color w:val="auto"/>
        </w:rPr>
      </w:pPr>
      <w:r>
        <w:rPr>
          <w:rFonts w:hint="eastAsia"/>
          <w:color w:val="auto"/>
        </w:rPr>
        <w:t>4)10KV供电系统操作电源采用直流110V系统。操作电源应能满足正常运行时断路器的合闸与跳闸，事故状态下应能保证继电保护系统可靠工作。配电室设置DC110V /40AH 免维护蓄电池直流电源柜一套。</w:t>
      </w:r>
    </w:p>
    <w:p w14:paraId="6C9A117D">
      <w:pPr>
        <w:rPr>
          <w:color w:val="auto"/>
        </w:rPr>
      </w:pPr>
      <w:r>
        <w:rPr>
          <w:rFonts w:hint="eastAsia"/>
          <w:color w:val="auto"/>
        </w:rPr>
        <w:t>6、继电保护方式</w:t>
      </w:r>
    </w:p>
    <w:p w14:paraId="6D9DDF05">
      <w:pPr>
        <w:rPr>
          <w:color w:val="auto"/>
        </w:rPr>
      </w:pPr>
      <w:r>
        <w:rPr>
          <w:rFonts w:hint="eastAsia"/>
          <w:color w:val="auto"/>
        </w:rPr>
        <w:t>1)10KV开关柜拟采用微电脑式多功能继电保护器来进行继电保护:a)进线开关采用三相过流、速断保护;</w:t>
      </w:r>
    </w:p>
    <w:p w14:paraId="5C81B156">
      <w:pPr>
        <w:rPr>
          <w:color w:val="auto"/>
        </w:rPr>
      </w:pPr>
      <w:r>
        <w:rPr>
          <w:rFonts w:hint="eastAsia"/>
          <w:color w:val="auto"/>
        </w:rPr>
        <w:t>b)出线开关采用三相过流、速断、零序保护及变压器高温报警，超温跳闸。2)变压器设高温及变压器柜开启报警以及超温跳闸。</w:t>
      </w:r>
    </w:p>
    <w:p w14:paraId="767D0715">
      <w:pPr>
        <w:rPr>
          <w:color w:val="auto"/>
        </w:rPr>
      </w:pPr>
      <w:r>
        <w:rPr>
          <w:rFonts w:hint="eastAsia"/>
          <w:color w:val="auto"/>
        </w:rPr>
        <w:t>3)变压器低压侧总开关(断路器)拟采用智能保护器，可进行如下调节:a)过负荷时长延迟保护;</w:t>
      </w:r>
    </w:p>
    <w:p w14:paraId="35859E7A">
      <w:pPr>
        <w:rPr>
          <w:color w:val="auto"/>
        </w:rPr>
      </w:pPr>
      <w:r>
        <w:rPr>
          <w:rFonts w:hint="eastAsia"/>
          <w:color w:val="auto"/>
        </w:rPr>
        <w:t>b)短路短延时保护。</w:t>
      </w:r>
    </w:p>
    <w:p w14:paraId="621D6CE2">
      <w:pPr>
        <w:rPr>
          <w:color w:val="auto"/>
        </w:rPr>
      </w:pPr>
      <w:r>
        <w:rPr>
          <w:rFonts w:hint="eastAsia"/>
          <w:color w:val="auto"/>
        </w:rPr>
        <w:t>7、功率因数补偿方式</w:t>
      </w:r>
    </w:p>
    <w:p w14:paraId="1DE70DA5">
      <w:pPr>
        <w:rPr>
          <w:color w:val="auto"/>
        </w:rPr>
      </w:pPr>
      <w:r>
        <w:rPr>
          <w:rFonts w:hint="eastAsia"/>
          <w:color w:val="auto"/>
        </w:rPr>
        <w:t>1)采用集中补偿和分散补偿相结合的方式。</w:t>
      </w:r>
    </w:p>
    <w:p w14:paraId="440329DD">
      <w:pPr>
        <w:rPr>
          <w:color w:val="auto"/>
        </w:rPr>
      </w:pPr>
      <w:r>
        <w:rPr>
          <w:rFonts w:hint="eastAsia"/>
          <w:color w:val="auto"/>
        </w:rPr>
        <w:t>2)在变压器低压侧(0.4kV)设置低压无功自动补偿装置，装置内加设电抗器抑制谐波。要求10KV侧功率因数在0.9以上。</w:t>
      </w:r>
    </w:p>
    <w:p w14:paraId="4869E298">
      <w:pPr>
        <w:rPr>
          <w:color w:val="auto"/>
        </w:rPr>
      </w:pPr>
      <w:r>
        <w:rPr>
          <w:rFonts w:hint="eastAsia"/>
          <w:color w:val="auto"/>
        </w:rPr>
        <w:t>8、电费计量</w:t>
      </w:r>
    </w:p>
    <w:p w14:paraId="2126BCDC">
      <w:pPr>
        <w:rPr>
          <w:color w:val="auto"/>
        </w:rPr>
      </w:pPr>
      <w:r>
        <w:rPr>
          <w:rFonts w:hint="eastAsia"/>
          <w:color w:val="auto"/>
        </w:rPr>
        <w:t>1）满足供电部门电业计费总电能计量要求:变电所10kV进线端高供高量，表计设在计量柜内。2）低压配电柜的出线回路设置多功能电力监测仪表，分别计量供物业核算运营成本。</w:t>
      </w:r>
    </w:p>
    <w:p w14:paraId="6627FD04">
      <w:pPr>
        <w:rPr>
          <w:color w:val="auto"/>
        </w:rPr>
      </w:pPr>
      <w:r>
        <w:rPr>
          <w:rFonts w:hint="eastAsia"/>
          <w:color w:val="auto"/>
        </w:rPr>
        <w:t>3）在楼层的电气设备间装设计量表，由物业统一管理。</w:t>
      </w:r>
    </w:p>
    <w:p w14:paraId="27226C07">
      <w:pPr>
        <w:ind w:left="480" w:leftChars="200" w:firstLine="0" w:firstLineChars="0"/>
        <w:rPr>
          <w:color w:val="auto"/>
        </w:rPr>
      </w:pPr>
      <w:r>
        <w:rPr>
          <w:rFonts w:hint="eastAsia"/>
          <w:color w:val="auto"/>
        </w:rPr>
        <w:t>4）电能计量按分项计量分为照明插座用电、空调用电、动力用电、特殊用电。9、9、太阳能光伏系统</w:t>
      </w:r>
    </w:p>
    <w:p w14:paraId="6E971FC2">
      <w:pPr>
        <w:rPr>
          <w:color w:val="auto"/>
        </w:rPr>
      </w:pPr>
      <w:r>
        <w:rPr>
          <w:rFonts w:hint="eastAsia"/>
          <w:color w:val="auto"/>
        </w:rPr>
        <w:t>在2号楼屋面上设置太阳能光伏板，面积约为107平米，产生电能约15kW，接至地库区域照明设备用电，光伏系统产生的电能符合国家电网相关技术要求，可以安全可靠的供交流负载使用;太阳能光伏配电室设置在地库区域。并网光伏系统与公共电网之间应设隔离装置，光伏系统在并网处应设置专用低压开关箱，并应设置专用标识及警告等提示性文字和符号。</w:t>
      </w:r>
    </w:p>
    <w:p w14:paraId="36AA3FCD">
      <w:pPr>
        <w:pStyle w:val="6"/>
        <w:ind w:firstLine="480"/>
        <w:rPr>
          <w:color w:val="auto"/>
        </w:rPr>
      </w:pPr>
      <w:r>
        <w:rPr>
          <w:rFonts w:hint="eastAsia"/>
          <w:color w:val="auto"/>
        </w:rPr>
        <w:t>配电干线系统</w:t>
      </w:r>
    </w:p>
    <w:p w14:paraId="3C5E6BB9">
      <w:pPr>
        <w:rPr>
          <w:color w:val="auto"/>
        </w:rPr>
      </w:pPr>
      <w:r>
        <w:rPr>
          <w:rFonts w:hint="eastAsia"/>
          <w:color w:val="auto"/>
        </w:rPr>
        <w:t>1、各类用电设备供电电压为380V/220V，其中电力、电梯、空调器等设备使用电压为三相380V，照明使用电压为单相220V;</w:t>
      </w:r>
    </w:p>
    <w:p w14:paraId="0D57604B">
      <w:pPr>
        <w:rPr>
          <w:color w:val="auto"/>
        </w:rPr>
      </w:pPr>
      <w:r>
        <w:rPr>
          <w:rFonts w:hint="eastAsia"/>
          <w:color w:val="auto"/>
        </w:rPr>
        <w:t>2、对重要用电设备和大容量用电设备（如冷冻机房、水泵房及电梯等)采用放射式供电方式;至一般用电负荷(或用电负荷组)采用放射式、树干式或链接式相结合的配电形式供电;</w:t>
      </w:r>
    </w:p>
    <w:p w14:paraId="6C15C6AE">
      <w:pPr>
        <w:rPr>
          <w:color w:val="auto"/>
        </w:rPr>
      </w:pPr>
      <w:r>
        <w:rPr>
          <w:rFonts w:hint="eastAsia"/>
          <w:color w:val="auto"/>
        </w:rPr>
        <w:t>3、消防负荷（包括消防控制室、排烟风机、正压风机、消防电梯、消防泵、喷淋泵等）的配电采用放射式的配电形式供电，采用双回路供电，在其配电线路最末一级配电箱处设置自动切换装置;其配电设备应有明显标志;</w:t>
      </w:r>
    </w:p>
    <w:p w14:paraId="1A73EC36">
      <w:pPr>
        <w:rPr>
          <w:color w:val="auto"/>
        </w:rPr>
      </w:pPr>
      <w:r>
        <w:rPr>
          <w:rFonts w:hint="eastAsia"/>
          <w:color w:val="auto"/>
        </w:rPr>
        <w:t>4、其他重要部位（如客梯、生活水泵等）的配电亦采用放射式的配电形式供电，采用双回路专线，末端自切方式。</w:t>
      </w:r>
    </w:p>
    <w:p w14:paraId="6C3995C7">
      <w:pPr>
        <w:pStyle w:val="6"/>
        <w:ind w:firstLine="480"/>
        <w:rPr>
          <w:color w:val="auto"/>
        </w:rPr>
      </w:pPr>
      <w:r>
        <w:rPr>
          <w:rFonts w:hint="eastAsia"/>
          <w:color w:val="auto"/>
        </w:rPr>
        <w:t>照明系统</w:t>
      </w:r>
    </w:p>
    <w:p w14:paraId="7833DC0A">
      <w:pPr>
        <w:rPr>
          <w:color w:val="auto"/>
        </w:rPr>
      </w:pPr>
      <w:r>
        <w:rPr>
          <w:rFonts w:hint="eastAsia"/>
          <w:color w:val="auto"/>
        </w:rPr>
        <w:t>1、本项目设置的照明系统有一般照明、应急照明、景观照明、集中控制型消防应急照明和疏散指示照明等。</w:t>
      </w:r>
    </w:p>
    <w:p w14:paraId="788D696F">
      <w:pPr>
        <w:rPr>
          <w:color w:val="auto"/>
        </w:rPr>
      </w:pPr>
      <w:r>
        <w:rPr>
          <w:rFonts w:hint="eastAsia"/>
          <w:color w:val="auto"/>
        </w:rPr>
        <w:t>2、灯具选择标准:</w:t>
      </w:r>
    </w:p>
    <w:p w14:paraId="6412C6A0">
      <w:pPr>
        <w:rPr>
          <w:color w:val="auto"/>
        </w:rPr>
      </w:pPr>
      <w:r>
        <w:rPr>
          <w:rFonts w:hint="eastAsia"/>
          <w:color w:val="auto"/>
        </w:rPr>
        <w:t>1）本项目采用LED光源，设备用房、楼梯间等场所采用LED灯具，地下停车库采用LED灯具，水泵房等潮湿场所采用防潮LED灯具。</w:t>
      </w:r>
    </w:p>
    <w:p w14:paraId="3F5AD958">
      <w:pPr>
        <w:rPr>
          <w:color w:val="auto"/>
        </w:rPr>
      </w:pPr>
      <w:r>
        <w:rPr>
          <w:rFonts w:hint="eastAsia"/>
          <w:color w:val="auto"/>
        </w:rPr>
        <w:t>2）实验室区域采用开启或带格栅直配光型灯具。潮湿、有腐蚀性气体、蒸汽、火灾危险和爆炸危险场所，应选用具有相应防护性能的灯具。部分有需求的实验室等潮湿场所采用相应防护等级的防水灯具。</w:t>
      </w:r>
    </w:p>
    <w:p w14:paraId="1B50CA0E">
      <w:pPr>
        <w:rPr>
          <w:color w:val="auto"/>
        </w:rPr>
      </w:pPr>
      <w:r>
        <w:rPr>
          <w:rFonts w:hint="eastAsia"/>
          <w:color w:val="auto"/>
        </w:rPr>
        <w:t>3）黑板照明灯具应采用非对称配光的灯具。</w:t>
      </w:r>
    </w:p>
    <w:p w14:paraId="056440B3">
      <w:pPr>
        <w:rPr>
          <w:color w:val="auto"/>
        </w:rPr>
      </w:pPr>
      <w:r>
        <w:rPr>
          <w:rFonts w:hint="eastAsia"/>
          <w:color w:val="auto"/>
        </w:rPr>
        <w:t>4)发光二极管(LED)照明灯具的效能应满足《建筑照明设计标准》GB50034-2013规定的要求。</w:t>
      </w:r>
    </w:p>
    <w:p w14:paraId="7212BCAF">
      <w:pPr>
        <w:rPr>
          <w:color w:val="auto"/>
        </w:rPr>
      </w:pPr>
      <w:r>
        <w:rPr>
          <w:rFonts w:hint="eastAsia"/>
          <w:color w:val="auto"/>
        </w:rPr>
        <w:t>5）厨房专间内应设置紫外线消毒灯，灯具的开关应设置在厨房专间外并应有明显标志，以免误开启;厨房专间内应配备紫外辐射照度计（由厨房专项顾问单位负责);</w:t>
      </w:r>
    </w:p>
    <w:p w14:paraId="53DD857A">
      <w:pPr>
        <w:rPr>
          <w:color w:val="auto"/>
        </w:rPr>
      </w:pPr>
      <w:r>
        <w:rPr>
          <w:rFonts w:hint="eastAsia"/>
          <w:color w:val="auto"/>
        </w:rPr>
        <w:t>6)人员长期停留的场所应采用符合现行国家标准《灯和灯系统的光生物安全性》GB/T 20145规定的无危险类照明产品。选用LED照明产品的光输出波形的波动深度应满足现行国家标准《LED室内照明应用技术要求》GB/T 31831的规定。</w:t>
      </w:r>
    </w:p>
    <w:p w14:paraId="7456758E">
      <w:pPr>
        <w:rPr>
          <w:color w:val="auto"/>
        </w:rPr>
      </w:pPr>
      <w:r>
        <w:rPr>
          <w:rFonts w:hint="eastAsia"/>
          <w:color w:val="auto"/>
        </w:rPr>
        <w:t>3、照明灯具控制方式</w:t>
      </w:r>
    </w:p>
    <w:p w14:paraId="33E8B96E">
      <w:pPr>
        <w:rPr>
          <w:color w:val="auto"/>
        </w:rPr>
      </w:pPr>
      <w:r>
        <w:rPr>
          <w:rFonts w:hint="eastAsia"/>
          <w:color w:val="auto"/>
        </w:rPr>
        <w:t>1）楼梯间采用声控方式（节能控制)。</w:t>
      </w:r>
    </w:p>
    <w:p w14:paraId="021E79B8">
      <w:pPr>
        <w:rPr>
          <w:color w:val="auto"/>
        </w:rPr>
      </w:pPr>
      <w:r>
        <w:rPr>
          <w:rFonts w:hint="eastAsia"/>
          <w:color w:val="auto"/>
        </w:rPr>
        <w:t>2）普通教室、实验室、办公室在每个门口处设开关控制，除只设置单个灯具的房间外，每个房间灯的开关不宜少于2个，黑板照明应单独设置开关。</w:t>
      </w:r>
    </w:p>
    <w:p w14:paraId="663049A1">
      <w:pPr>
        <w:rPr>
          <w:color w:val="auto"/>
        </w:rPr>
      </w:pPr>
      <w:r>
        <w:rPr>
          <w:rFonts w:hint="eastAsia"/>
          <w:color w:val="auto"/>
        </w:rPr>
        <w:t>3）对办公室等一般场所采用分区分组控制，对有特殊要求的部位或房间可实施灯光控制。</w:t>
      </w:r>
    </w:p>
    <w:p w14:paraId="658591C3">
      <w:pPr>
        <w:rPr>
          <w:color w:val="auto"/>
        </w:rPr>
      </w:pPr>
      <w:r>
        <w:rPr>
          <w:rFonts w:hint="eastAsia"/>
          <w:color w:val="auto"/>
        </w:rPr>
        <w:t>4）设置智能照明控制系统，对公共区域、多功能厅、大空间图书馆等其它有特殊需求的场所采用定时控制、场景控制、现场编程开关控制、监控室软件控制、调光控制、感应控制等控制方式。</w:t>
      </w:r>
    </w:p>
    <w:p w14:paraId="5035C260">
      <w:pPr>
        <w:rPr>
          <w:color w:val="auto"/>
        </w:rPr>
      </w:pPr>
      <w:r>
        <w:rPr>
          <w:rFonts w:hint="eastAsia"/>
          <w:color w:val="auto"/>
        </w:rPr>
        <w:t>4、火灾应急照明:包括疏散照明和备用照明</w:t>
      </w:r>
    </w:p>
    <w:p w14:paraId="396EC33A">
      <w:pPr>
        <w:rPr>
          <w:color w:val="auto"/>
        </w:rPr>
      </w:pPr>
      <w:r>
        <w:rPr>
          <w:rFonts w:hint="eastAsia"/>
          <w:color w:val="auto"/>
        </w:rPr>
        <w:t>1)本项目设置集中控制集中电源型消防应急照明和疏散指示系统,应符合《消防应急照明和疏散指示系统技术标准》(GB 51309-2018）相关规范要求。</w:t>
      </w:r>
    </w:p>
    <w:p w14:paraId="6944668D">
      <w:pPr>
        <w:rPr>
          <w:color w:val="auto"/>
        </w:rPr>
      </w:pPr>
      <w:r>
        <w:rPr>
          <w:rFonts w:hint="eastAsia"/>
          <w:color w:val="auto"/>
        </w:rPr>
        <w:t>2）应急照明选用A型灯具，在强电间内设置集中电源，以确保平时和消防时的正常使用。设置在强电间中的集中电源额定输出功率不应大于1kW。集中电源的蓄电池组达到使用寿命周期后标称的剩余容量应保证本项目应急照明持续工作时间不小于1h。在非火灾状态下，系统主电源断电后，灯具持续应急点亮时间应为0.5h。系统应急启动后，应同时考虑消防状态及非火灾状态下的灯具持续应急点亮时间，增加为1.5h。</w:t>
      </w:r>
    </w:p>
    <w:p w14:paraId="001F314D">
      <w:pPr>
        <w:rPr>
          <w:color w:val="auto"/>
        </w:rPr>
      </w:pPr>
      <w:r>
        <w:rPr>
          <w:rFonts w:hint="eastAsia"/>
          <w:color w:val="auto"/>
        </w:rPr>
        <w:t>3）备用照明:消防控制室、消防水泵房、高压配电室、变电所、防排烟风机房等供消防作业及救援人员在火灾时继续工作场所，需设置不低于正常照明照度的备用照明，火灾时持续供电时间不小于180分钟;</w:t>
      </w:r>
    </w:p>
    <w:p w14:paraId="47B31709">
      <w:pPr>
        <w:rPr>
          <w:color w:val="auto"/>
        </w:rPr>
      </w:pPr>
      <w:r>
        <w:rPr>
          <w:rFonts w:hint="eastAsia"/>
          <w:color w:val="auto"/>
        </w:rPr>
        <w:t>4)疏散照明对于疏敖路径的地面水平最低照度要求:</w:t>
      </w:r>
    </w:p>
    <w:p w14:paraId="3C8799B9">
      <w:pPr>
        <w:rPr>
          <w:color w:val="auto"/>
        </w:rPr>
      </w:pPr>
      <w:r>
        <w:rPr>
          <w:rFonts w:hint="eastAsia"/>
          <w:color w:val="auto"/>
        </w:rPr>
        <w:t>对于人员密集场所及其疏散走道，其地面最低水平照度不应低于3lx;对于楼梯间、前室、合用前室，其地面最低水平照度不应低于10lx;</w:t>
      </w:r>
    </w:p>
    <w:p w14:paraId="3921342F">
      <w:pPr>
        <w:rPr>
          <w:color w:val="auto"/>
        </w:rPr>
      </w:pPr>
      <w:r>
        <w:rPr>
          <w:rFonts w:hint="eastAsia"/>
          <w:color w:val="auto"/>
        </w:rPr>
        <w:t>配电室、消防控制室、消防水泵房等发生火灾时仍需工作、值守的区域地面最低水平照度不应低于1lx。</w:t>
      </w:r>
    </w:p>
    <w:p w14:paraId="49DBD115">
      <w:pPr>
        <w:pStyle w:val="6"/>
        <w:ind w:firstLine="480"/>
        <w:rPr>
          <w:color w:val="auto"/>
        </w:rPr>
      </w:pPr>
      <w:r>
        <w:rPr>
          <w:rFonts w:hint="eastAsia"/>
          <w:color w:val="auto"/>
        </w:rPr>
        <w:t>智能照明控制系统</w:t>
      </w:r>
    </w:p>
    <w:p w14:paraId="10F0DC96">
      <w:pPr>
        <w:rPr>
          <w:color w:val="auto"/>
        </w:rPr>
      </w:pPr>
      <w:r>
        <w:rPr>
          <w:rFonts w:hint="eastAsia"/>
          <w:color w:val="auto"/>
        </w:rPr>
        <w:t>1、系统功能要求:</w:t>
      </w:r>
    </w:p>
    <w:p w14:paraId="034B24B0">
      <w:pPr>
        <w:rPr>
          <w:color w:val="auto"/>
        </w:rPr>
      </w:pPr>
      <w:r>
        <w:rPr>
          <w:rFonts w:hint="eastAsia"/>
          <w:color w:val="auto"/>
        </w:rPr>
        <w:t>1）本工程智能照明控制系统应作为BAS一个相对独立的子系统。</w:t>
      </w:r>
    </w:p>
    <w:p w14:paraId="74CB1E45">
      <w:pPr>
        <w:rPr>
          <w:color w:val="auto"/>
        </w:rPr>
      </w:pPr>
      <w:r>
        <w:rPr>
          <w:rFonts w:hint="eastAsia"/>
          <w:color w:val="auto"/>
        </w:rPr>
        <w:t>2）智能照明控制系统采用KNX总线标准，采用完全分布式集散控制系统，集中监控，分区控制，管理分级通过网络系统将分布在各现场的控制器联接起来，软件与硬件分散配置。中央停止工作不影响各分区功能和设备运行，网络通信控制也不应因此而中断。系统具有强大的可扩展性和变更的灵活性,针对功能的增加或控制回路、电器的增加，只需增加挂接相应的模块，系统内原有的硬件、接线不须改动，便能达到要求;针对值班方式、值班班组变化等管理模式的改变，可以快速对系统进行扩展和变更;</w:t>
      </w:r>
    </w:p>
    <w:p w14:paraId="2F552EF6">
      <w:pPr>
        <w:rPr>
          <w:color w:val="auto"/>
        </w:rPr>
      </w:pPr>
      <w:r>
        <w:rPr>
          <w:rFonts w:hint="eastAsia"/>
          <w:color w:val="auto"/>
        </w:rPr>
        <w:t>3）智能照明管理系统主要包括服务器、照明监控工作站、网络连接控制器、单元控制继电器（控制器)、就地遥控开关、各类传感器等。单元控制器采用现场总线连接，通过网络集线器协议转换接入上层以太网;控制面板及各类传感器通过可编址控制总线接入单元控制器或直接就近接入单元控制器，控制面板与建筑装修相协调;单元控制驱动器安装在照明配电箱（柜）内一体化，可独立工作，现场自由编程和操作;</w:t>
      </w:r>
    </w:p>
    <w:p w14:paraId="71F76184">
      <w:pPr>
        <w:rPr>
          <w:color w:val="auto"/>
        </w:rPr>
      </w:pPr>
      <w:r>
        <w:rPr>
          <w:rFonts w:hint="eastAsia"/>
          <w:color w:val="auto"/>
        </w:rPr>
        <w:t>4)照明管理系统可实现灯光的开关自动和手动控制、分散集中控制、远程控制、延时控制、定时控制、光线感测控制、红外线遥控、与其他设备系统的联动控制等，控制方式方便、灵活、易于修改、易于操作、易于维护；</w:t>
      </w:r>
    </w:p>
    <w:p w14:paraId="3A64F01A">
      <w:pPr>
        <w:rPr>
          <w:color w:val="auto"/>
        </w:rPr>
      </w:pPr>
      <w:r>
        <w:rPr>
          <w:rFonts w:hint="eastAsia"/>
          <w:color w:val="auto"/>
        </w:rPr>
        <w:t>5）系统具有现场模块输入/输出功能，根据消防分区控制，接收消防控制信号（有源DC24V或无源）强制开/关支路，以满足在紧急状况下，接通应急照明支路;</w:t>
      </w:r>
    </w:p>
    <w:p w14:paraId="4D5BE5B1">
      <w:pPr>
        <w:rPr>
          <w:color w:val="auto"/>
        </w:rPr>
      </w:pPr>
      <w:r>
        <w:rPr>
          <w:rFonts w:hint="eastAsia"/>
          <w:color w:val="auto"/>
        </w:rPr>
        <w:t>6）通过照明管理系统实现照明控制自动化，将允许用户根据目前区域现有情况来控制照明，遥控、设置与调整公共区域的照明场景;</w:t>
      </w:r>
    </w:p>
    <w:p w14:paraId="5987A5BE">
      <w:pPr>
        <w:rPr>
          <w:color w:val="auto"/>
        </w:rPr>
      </w:pPr>
      <w:r>
        <w:rPr>
          <w:rFonts w:hint="eastAsia"/>
          <w:color w:val="auto"/>
        </w:rPr>
        <w:t>7）中控电脑可实现负载检测功能，一旦出现照明设备损坏可及时在电脑上进行显示。</w:t>
      </w:r>
    </w:p>
    <w:p w14:paraId="43EE602F">
      <w:pPr>
        <w:rPr>
          <w:color w:val="auto"/>
        </w:rPr>
      </w:pPr>
      <w:r>
        <w:rPr>
          <w:rFonts w:hint="eastAsia"/>
          <w:color w:val="auto"/>
        </w:rPr>
        <w:t>8)照明管理专业软件由制造商提供，支持当今各种流行的操作系统Windows等，具有软件通讯OPC Server/Client接口，Web Server等功能。</w:t>
      </w:r>
    </w:p>
    <w:p w14:paraId="2AECD613">
      <w:pPr>
        <w:pStyle w:val="6"/>
        <w:ind w:firstLine="480"/>
        <w:rPr>
          <w:color w:val="auto"/>
        </w:rPr>
      </w:pPr>
      <w:r>
        <w:rPr>
          <w:rFonts w:hint="eastAsia"/>
          <w:color w:val="auto"/>
        </w:rPr>
        <w:t>防雷措施</w:t>
      </w:r>
    </w:p>
    <w:p w14:paraId="5ADD5910">
      <w:pPr>
        <w:rPr>
          <w:color w:val="auto"/>
        </w:rPr>
      </w:pPr>
      <w:r>
        <w:rPr>
          <w:rFonts w:hint="eastAsia"/>
          <w:color w:val="auto"/>
        </w:rPr>
        <w:t>1、本工程地处海南省三亚市，平均雷暴日按69.9d/a计算，预计雷击次数为0.6408 次/a，防雷等级为第二类。</w:t>
      </w:r>
    </w:p>
    <w:p w14:paraId="78AEA38F">
      <w:pPr>
        <w:rPr>
          <w:color w:val="auto"/>
        </w:rPr>
      </w:pPr>
      <w:r>
        <w:rPr>
          <w:rFonts w:hint="eastAsia"/>
          <w:color w:val="auto"/>
        </w:rPr>
        <w:t>2、根据《建筑物电子信息系统防雷技术规范》GB50343-2012,本工程建筑物电子信息雷电防护等级为B级。</w:t>
      </w:r>
    </w:p>
    <w:p w14:paraId="5EC5A29A">
      <w:pPr>
        <w:rPr>
          <w:color w:val="auto"/>
        </w:rPr>
      </w:pPr>
      <w:r>
        <w:rPr>
          <w:rFonts w:hint="eastAsia"/>
          <w:color w:val="auto"/>
        </w:rPr>
        <w:t>3、接闪器:采用25X4mm 热镀锌扁钢或直接利用幕墙的金属构件做接闪带，沿屋顶四边敷设，接闪带应设在外墙外表面或屋檐垂直面上，支持卡子间距为0.5米，转角处悬空段不大于0.3米，接闪带高出屋面装饰柱或女儿墙0.15米。屋面采用25X4mm 热浸镀锌扁钢组成不大于10米X10米(12米X8米)接闪网格，明敷于屋檐。所有高出屋面的各种金属构件均须与接闪带焊接连通。金属屋面作为接闪器需要满足以下条件:金属板间的连接应为持续的电气贯通，可采用焊接、压接、螺栓等连接方式。金属板下不应有可燃物品，并且钢板、铜板的厚度大于0.5mm,铝板的厚度大于0.65mm。金属板下应没有绝缘被覆层。</w:t>
      </w:r>
    </w:p>
    <w:p w14:paraId="5EFBDF4F">
      <w:pPr>
        <w:rPr>
          <w:color w:val="auto"/>
        </w:rPr>
      </w:pPr>
      <w:r>
        <w:rPr>
          <w:rFonts w:hint="eastAsia"/>
          <w:color w:val="auto"/>
        </w:rPr>
        <w:t>4、引下线:利用柱内二根主钢筋作为避雷带引下线,柱内二根主钢筋o≥16mm，引下线应保证其连续性,下端与接地极可靠连通，上部与接闪网格的可靠连接，钢筋上下应对焊或绑扎，柱子上端预埋100X100X8mm 钢板，用于柱子内主钢筋与接闪带连接的转换。当利用设备金属结构架做引下线时，截面不小于48mm'，厚度不小于4mm，在分段机械连接处应有可靠的电气连接。引下线在距地面0.3m处装设断接卡或连接板，并设置明显标志。</w:t>
      </w:r>
    </w:p>
    <w:p w14:paraId="7FB2D314">
      <w:pPr>
        <w:rPr>
          <w:color w:val="auto"/>
        </w:rPr>
      </w:pPr>
      <w:r>
        <w:rPr>
          <w:rFonts w:hint="eastAsia"/>
          <w:color w:val="auto"/>
        </w:rPr>
        <w:t>5、等电位措施:利用建筑物每层圈梁及构造梁内两根不小于o12主钢筋（没有圈梁及构造梁的建筑物，采用40mmx4mm热镀锌扁钢）作为等电位框架，每层连成闭合回路，并与引下线连通;利用钢筋混凝土结构内的钢筋设置局部等电位联结端子板，各类竖向金属管道每三层和等电位端子板连接一次;电气、电信竖井内的接地干线，应每层与相近楼板钢筋做等电位联结。</w:t>
      </w:r>
    </w:p>
    <w:p w14:paraId="0A58B05D">
      <w:pPr>
        <w:rPr>
          <w:color w:val="auto"/>
        </w:rPr>
      </w:pPr>
      <w:r>
        <w:rPr>
          <w:rFonts w:hint="eastAsia"/>
          <w:color w:val="auto"/>
        </w:rPr>
        <w:t>6、防雷击电磁脉冲:在变电所低压侧主开关、楼层配电箱及计算机设备分别设置不同等级的浪涌保护器，使其保护电压水平小于被保护设备的冲击耐受电压。</w:t>
      </w:r>
    </w:p>
    <w:p w14:paraId="07728A46">
      <w:pPr>
        <w:rPr>
          <w:color w:val="auto"/>
        </w:rPr>
      </w:pPr>
      <w:r>
        <w:rPr>
          <w:rFonts w:hint="eastAsia"/>
          <w:color w:val="auto"/>
        </w:rPr>
        <w:t>为减少雷击电磁脉冲的干扰，建筑物外表面的金属构件、钢柱、钢梁、混凝土内钢筋和金属门窗框架等大尺寸金属件，应做等电位联结并与防雷装置相连;所有进出建筑物内的外来导电物均在防雷分区LPZOA或LPZ0B与LPZ1的界面处与预留的专用接地装置可靠连接，并将其就近连接到接地网;低压配电系统及电子信息系统信号传输线路在穿过各防雷区界面处，采用浪涌保护器(SPD)保护。</w:t>
      </w:r>
    </w:p>
    <w:p w14:paraId="502F5288">
      <w:pPr>
        <w:rPr>
          <w:color w:val="auto"/>
        </w:rPr>
      </w:pPr>
      <w:r>
        <w:rPr>
          <w:rFonts w:hint="eastAsia"/>
          <w:color w:val="auto"/>
        </w:rPr>
        <w:t>7、本工程采用共用接地方式，利用大楼基础桩基、承台内主钢筋、大底板内两根不小于直径16mm的主钢筋、建筑物外圈两根不小于</w:t>
      </w:r>
      <w:r>
        <w:rPr>
          <w:rFonts w:hint="eastAsia" w:ascii="Arial Unicode MS" w:hAnsi="Arial Unicode MS" w:eastAsia="Arial Unicode MS" w:cs="Arial Unicode MS"/>
          <w:color w:val="auto"/>
        </w:rPr>
        <w:t>Ø</w:t>
      </w:r>
      <w:r>
        <w:rPr>
          <w:rFonts w:hint="eastAsia"/>
          <w:color w:val="auto"/>
        </w:rPr>
        <w:t>16mm的通长主钢筋以及作为辅助接地装置的40mmx4mm 热镀锌扁钢作共用接地极，要求接地电阻不大于1欧姆。接地线在大底板分为为上下两层设置</w:t>
      </w:r>
    </w:p>
    <w:p w14:paraId="427E009A">
      <w:pPr>
        <w:rPr>
          <w:color w:val="auto"/>
        </w:rPr>
      </w:pPr>
      <w:r>
        <w:rPr>
          <w:rFonts w:hint="eastAsia"/>
          <w:color w:val="auto"/>
        </w:rPr>
        <w:t>8、引下线以及接地线(辅助接地装置或者利用结构基础底板和基础梁内主钢筋)均应和所经过的每个桩基或剪力墙内的至少两根不小于</w:t>
      </w:r>
      <w:r>
        <w:rPr>
          <w:rFonts w:hint="eastAsia" w:ascii="Arial Unicode MS" w:hAnsi="Arial Unicode MS" w:eastAsia="Arial Unicode MS" w:cs="Arial Unicode MS"/>
          <w:color w:val="auto"/>
        </w:rPr>
        <w:t>Ø</w:t>
      </w:r>
      <w:r>
        <w:rPr>
          <w:rFonts w:hint="eastAsia"/>
          <w:color w:val="auto"/>
        </w:rPr>
        <w:t>16mm的通长主钢筋可靠焊接。接地连接线之间的连接必须采用焊接。</w:t>
      </w:r>
    </w:p>
    <w:p w14:paraId="76E9DB93">
      <w:pPr>
        <w:pStyle w:val="6"/>
        <w:ind w:firstLine="480"/>
        <w:rPr>
          <w:color w:val="auto"/>
        </w:rPr>
      </w:pPr>
      <w:r>
        <w:rPr>
          <w:rFonts w:hint="eastAsia"/>
          <w:color w:val="auto"/>
        </w:rPr>
        <w:t>保安及接地措施</w:t>
      </w:r>
    </w:p>
    <w:p w14:paraId="0499891F">
      <w:pPr>
        <w:rPr>
          <w:color w:val="auto"/>
        </w:rPr>
      </w:pPr>
      <w:r>
        <w:rPr>
          <w:rFonts w:hint="eastAsia"/>
          <w:color w:val="auto"/>
        </w:rPr>
        <w:t>1、低压配电的接地型式采用TN-S制。</w:t>
      </w:r>
    </w:p>
    <w:p w14:paraId="112E2156">
      <w:pPr>
        <w:rPr>
          <w:color w:val="auto"/>
        </w:rPr>
      </w:pPr>
      <w:r>
        <w:rPr>
          <w:rFonts w:hint="eastAsia"/>
          <w:color w:val="auto"/>
        </w:rPr>
        <w:t>2、在每层电气垂直竖井内设置等电位接地端子箱，在正常情况下不带电的金属器件均须与等电位接地端子箱可靠相连。对于喷水池等特殊场所,除采用总等电位联结外,尚应进行辅助等电位联结LEB,做法见国家标准图集15D501-2。插座回路设漏电开关保护（30mA，≤0.1s)。排水泵控制箱自带漏电保护开关(30mA，≤0.1s)。</w:t>
      </w:r>
    </w:p>
    <w:p w14:paraId="31C1A720">
      <w:pPr>
        <w:rPr>
          <w:color w:val="auto"/>
        </w:rPr>
      </w:pPr>
      <w:r>
        <w:rPr>
          <w:rFonts w:hint="eastAsia"/>
          <w:color w:val="auto"/>
        </w:rPr>
        <w:t>3、本工程采用共用接地方式,利用大楼基础桩基及承台内主钢筋作接地极,大底板内两根不小于直径16mm的主钢筋、建筑物外圈两根不小于?16mm的通长主钢筋以及作为辅助接地装置的40mmx4mm 热镀锌扁钢作共用接地极，将基础底板上下两层主筋沿建筑物外圈焊接成环形，并将主轴线上的基础梁及结构地板上下两层主筋相互焊接成网作接地体。采用-40X4热镀锌扁钢沿建筑物外围及某些内圈作环形敷设，与所经过的各桩内的两根主钢筋焊接连通，连接导体采用-40X4热镀锌扁钢。要求接地电阻不大于0.5欧姆。变压器中性点工作接地、防雷接地，电气设备保护接地，电梯控制系统的功能接地，计算机功能接地，等电位联结接地，及其他电子设备的功能接地合用同一接地体。</w:t>
      </w:r>
    </w:p>
    <w:p w14:paraId="6D354A05">
      <w:pPr>
        <w:rPr>
          <w:color w:val="auto"/>
        </w:rPr>
      </w:pPr>
      <w:r>
        <w:rPr>
          <w:rFonts w:hint="eastAsia"/>
          <w:color w:val="auto"/>
        </w:rPr>
        <w:t>4、柔性矿物绝缘电缆设置专用PE线作为接地用。</w:t>
      </w:r>
    </w:p>
    <w:p w14:paraId="30658207">
      <w:pPr>
        <w:pStyle w:val="6"/>
        <w:ind w:firstLine="480"/>
        <w:rPr>
          <w:color w:val="auto"/>
        </w:rPr>
      </w:pPr>
      <w:r>
        <w:rPr>
          <w:rFonts w:hint="eastAsia"/>
          <w:color w:val="auto"/>
        </w:rPr>
        <w:t>电气火灾监控系统</w:t>
      </w:r>
    </w:p>
    <w:p w14:paraId="413A02B6">
      <w:pPr>
        <w:rPr>
          <w:color w:val="auto"/>
        </w:rPr>
      </w:pPr>
      <w:r>
        <w:rPr>
          <w:rFonts w:hint="eastAsia"/>
          <w:color w:val="auto"/>
        </w:rPr>
        <w:t>1、本工程设置一套电气火灾监控系统，监控主机设置在1F消防安保控制室。</w:t>
      </w:r>
    </w:p>
    <w:p w14:paraId="6986D47C">
      <w:pPr>
        <w:rPr>
          <w:color w:val="auto"/>
        </w:rPr>
      </w:pPr>
      <w:r>
        <w:rPr>
          <w:rFonts w:hint="eastAsia"/>
          <w:color w:val="auto"/>
        </w:rPr>
        <w:t>2、电气火灾监测应具有探测回路剩余电流及各相电缆温度等功能,在第一级配电总柜(箱)进线侧设置保护;</w:t>
      </w:r>
    </w:p>
    <w:p w14:paraId="7492871D">
      <w:pPr>
        <w:rPr>
          <w:color w:val="auto"/>
        </w:rPr>
      </w:pPr>
      <w:r>
        <w:rPr>
          <w:rFonts w:hint="eastAsia"/>
          <w:color w:val="auto"/>
        </w:rPr>
        <w:t>3、本系统须符合GB14287.1-2014《电气火灾监控设备》;符合GB14287.2-2014《剩余电流式电气火灾监控探测器》;符合GB14287.3-2014《测温式电气火灾监控探测器》。</w:t>
      </w:r>
    </w:p>
    <w:p w14:paraId="34565D38">
      <w:pPr>
        <w:rPr>
          <w:color w:val="auto"/>
        </w:rPr>
      </w:pPr>
      <w:r>
        <w:rPr>
          <w:rFonts w:hint="eastAsia"/>
          <w:color w:val="auto"/>
        </w:rPr>
        <w:t>4、系统须满足如下功能:</w:t>
      </w:r>
    </w:p>
    <w:p w14:paraId="70430695">
      <w:pPr>
        <w:rPr>
          <w:color w:val="auto"/>
        </w:rPr>
      </w:pPr>
      <w:r>
        <w:rPr>
          <w:rFonts w:hint="eastAsia"/>
          <w:color w:val="auto"/>
        </w:rPr>
        <w:t>a.探测漏电电流、四路温度等信号，发出声光信号报警，准确报出故障线路地址，监视故障点的变化。b.储存各种故障和操作试验信号，信号存储时间不应少于12个月。</w:t>
      </w:r>
    </w:p>
    <w:p w14:paraId="566068C8">
      <w:pPr>
        <w:rPr>
          <w:color w:val="auto"/>
        </w:rPr>
      </w:pPr>
      <w:r>
        <w:rPr>
          <w:rFonts w:hint="eastAsia"/>
          <w:color w:val="auto"/>
        </w:rPr>
        <w:t>c.切断漏电线路上的电源，并显示其状态。</w:t>
      </w:r>
    </w:p>
    <w:p w14:paraId="4BA094CD">
      <w:pPr>
        <w:rPr>
          <w:color w:val="auto"/>
        </w:rPr>
      </w:pPr>
      <w:r>
        <w:rPr>
          <w:rFonts w:hint="eastAsia"/>
          <w:color w:val="auto"/>
        </w:rPr>
        <w:t>d.显示系统电源状态。</w:t>
      </w:r>
    </w:p>
    <w:p w14:paraId="6A7955A3">
      <w:pPr>
        <w:rPr>
          <w:color w:val="auto"/>
        </w:rPr>
      </w:pPr>
      <w:r>
        <w:rPr>
          <w:rFonts w:hint="eastAsia"/>
          <w:color w:val="auto"/>
        </w:rPr>
        <w:t>e.监控器及主机均须实时显示各回路漏电、三相线温度及箱体内温度数值。f.监控器指示灯应分别指示漏电、温度报警，及与主机通信状态。</w:t>
      </w:r>
    </w:p>
    <w:p w14:paraId="4BD72DE6">
      <w:pPr>
        <w:rPr>
          <w:color w:val="auto"/>
        </w:rPr>
      </w:pPr>
      <w:r>
        <w:rPr>
          <w:rFonts w:hint="eastAsia"/>
          <w:color w:val="auto"/>
        </w:rPr>
        <w:t>g.监控器因配置液晶屏用于信息显示，面板安装，开孔安装。</w:t>
      </w:r>
    </w:p>
    <w:p w14:paraId="1908A8AC">
      <w:pPr>
        <w:rPr>
          <w:color w:val="auto"/>
        </w:rPr>
      </w:pPr>
      <w:r>
        <w:rPr>
          <w:rFonts w:hint="eastAsia"/>
          <w:color w:val="auto"/>
        </w:rPr>
        <w:t>h.系统应可以在主机上修改每个监控器的脱扣等参数。</w:t>
      </w:r>
    </w:p>
    <w:p w14:paraId="7C3B9956">
      <w:pPr>
        <w:rPr>
          <w:color w:val="auto"/>
        </w:rPr>
      </w:pPr>
      <w:r>
        <w:rPr>
          <w:rFonts w:hint="eastAsia"/>
          <w:color w:val="auto"/>
        </w:rPr>
        <w:t>i.漏电、温度均分两级报警，漏电预警值设定为300mA，漏电报警值设定为500mA;每个监控器需探测四路温度值（三相线缆和箱体壁)，预警值设定为80摄氏度，报警值设定为100摄氏度。</w:t>
      </w:r>
    </w:p>
    <w:p w14:paraId="157663B1">
      <w:pPr>
        <w:rPr>
          <w:color w:val="auto"/>
        </w:rPr>
      </w:pPr>
      <w:r>
        <w:rPr>
          <w:rFonts w:hint="eastAsia"/>
          <w:color w:val="auto"/>
        </w:rPr>
        <w:t>j.所有监控器按照只报警不跳闸设计。</w:t>
      </w:r>
    </w:p>
    <w:p w14:paraId="79DB430E">
      <w:pPr>
        <w:rPr>
          <w:color w:val="auto"/>
        </w:rPr>
      </w:pPr>
      <w:r>
        <w:rPr>
          <w:rFonts w:hint="eastAsia"/>
          <w:color w:val="auto"/>
        </w:rPr>
        <w:t>k.主机应具备远程修改参数、远程消音、复位、脱扣等功能，并具备远程批量修改参数。</w:t>
      </w:r>
    </w:p>
    <w:p w14:paraId="6BA87468">
      <w:pPr>
        <w:pStyle w:val="6"/>
        <w:ind w:firstLine="480"/>
        <w:rPr>
          <w:color w:val="auto"/>
        </w:rPr>
      </w:pPr>
      <w:r>
        <w:rPr>
          <w:rFonts w:hint="eastAsia"/>
          <w:color w:val="auto"/>
        </w:rPr>
        <w:t>消防电源监控系统</w:t>
      </w:r>
    </w:p>
    <w:p w14:paraId="3886B198">
      <w:pPr>
        <w:rPr>
          <w:color w:val="auto"/>
        </w:rPr>
      </w:pPr>
      <w:r>
        <w:rPr>
          <w:rFonts w:hint="eastAsia"/>
          <w:color w:val="auto"/>
        </w:rPr>
        <w:t>本工程设置一套消防电源监控系统，监控主机设置在1F消防安保控制室。</w:t>
      </w:r>
    </w:p>
    <w:p w14:paraId="2257D8C8">
      <w:pPr>
        <w:rPr>
          <w:color w:val="auto"/>
        </w:rPr>
      </w:pPr>
      <w:r>
        <w:rPr>
          <w:rFonts w:hint="eastAsia"/>
          <w:color w:val="auto"/>
        </w:rPr>
        <w:t>1）本工程依据《火灾自动报警设计规范》GB50116-2013、《消防设备电源监控系统》GB28184-2011设置消防设备电源监控系统;</w:t>
      </w:r>
    </w:p>
    <w:p w14:paraId="1F242BDA">
      <w:pPr>
        <w:rPr>
          <w:color w:val="auto"/>
        </w:rPr>
      </w:pPr>
      <w:r>
        <w:rPr>
          <w:rFonts w:hint="eastAsia"/>
          <w:color w:val="auto"/>
        </w:rPr>
        <w:t>2）本系统具有监测消防设备主、备电源的工作状态;监测消防设备主、备电源过压、欠压、缺相、中断供电等故障;</w:t>
      </w:r>
    </w:p>
    <w:p w14:paraId="49B310B4">
      <w:pPr>
        <w:rPr>
          <w:color w:val="auto"/>
        </w:rPr>
      </w:pPr>
      <w:r>
        <w:rPr>
          <w:rFonts w:hint="eastAsia"/>
          <w:color w:val="auto"/>
        </w:rPr>
        <w:t>3）本系统对消防泵、消防应急电力箱、应急照明箱、消防电梯等消防设备电源进行24小时实时自动巡检、监测。对监测故障进行声光报警。本系统可将实时监测的信息传输给消防控制室图形显示装置;</w:t>
      </w:r>
    </w:p>
    <w:p w14:paraId="7594A04E">
      <w:pPr>
        <w:rPr>
          <w:color w:val="auto"/>
        </w:rPr>
      </w:pPr>
      <w:r>
        <w:rPr>
          <w:rFonts w:hint="eastAsia"/>
          <w:color w:val="auto"/>
        </w:rPr>
        <w:t>4)系统采用总线制系统集成方式。</w:t>
      </w:r>
    </w:p>
    <w:p w14:paraId="61D6C526">
      <w:pPr>
        <w:pStyle w:val="6"/>
        <w:ind w:firstLine="480"/>
        <w:rPr>
          <w:color w:val="auto"/>
        </w:rPr>
      </w:pPr>
      <w:r>
        <w:rPr>
          <w:rFonts w:hint="eastAsia"/>
          <w:color w:val="auto"/>
        </w:rPr>
        <w:t>能耗监测系统</w:t>
      </w:r>
    </w:p>
    <w:p w14:paraId="0756238A">
      <w:pPr>
        <w:rPr>
          <w:color w:val="auto"/>
        </w:rPr>
      </w:pPr>
      <w:r>
        <w:rPr>
          <w:rFonts w:hint="eastAsia"/>
          <w:color w:val="auto"/>
        </w:rPr>
        <w:t>本工程设置一套能耗监测系统，监控主机设置在1F消防安保控制室。</w:t>
      </w:r>
    </w:p>
    <w:p w14:paraId="0E9E2BB8">
      <w:pPr>
        <w:rPr>
          <w:color w:val="auto"/>
        </w:rPr>
      </w:pPr>
      <w:r>
        <w:rPr>
          <w:rFonts w:hint="eastAsia"/>
          <w:color w:val="auto"/>
        </w:rPr>
        <w:t>1、能耗监测范围:包括整个建筑的用电、用水、燃气、燃油、外部供冷/供热、可再生资源。</w:t>
      </w:r>
    </w:p>
    <w:p w14:paraId="64FFE95D">
      <w:pPr>
        <w:rPr>
          <w:color w:val="auto"/>
        </w:rPr>
      </w:pPr>
      <w:r>
        <w:rPr>
          <w:rFonts w:hint="eastAsia"/>
          <w:color w:val="auto"/>
        </w:rPr>
        <w:t>2、能耗数据分项:用电计量分项包括照明插座系统电耗、空调系统电耗、动力系统电耗和特殊用电电耗。各用电计量分项中上传数据的子项分别为:</w:t>
      </w:r>
    </w:p>
    <w:p w14:paraId="48A8857A">
      <w:pPr>
        <w:rPr>
          <w:color w:val="auto"/>
        </w:rPr>
      </w:pPr>
      <w:r>
        <w:rPr>
          <w:rFonts w:hint="eastAsia"/>
          <w:color w:val="auto"/>
        </w:rPr>
        <w:t>照明插座系统电耗分3个一级子项:室内照明与插座、走廊照明和应急照明、室外景观照明;</w:t>
      </w:r>
    </w:p>
    <w:p w14:paraId="04157A5B">
      <w:pPr>
        <w:rPr>
          <w:color w:val="auto"/>
        </w:rPr>
      </w:pPr>
      <w:r>
        <w:rPr>
          <w:rFonts w:hint="eastAsia"/>
          <w:color w:val="auto"/>
        </w:rPr>
        <w:t>空调系统电耗分冷热站和空调末端2个一级子项，空调末端二级子项可分为空调箱与新风机组、风机盘管、空调区域的通排风设备、多联机/分体机空调器;二级子项根据业主需求设置分项数据上传动力系统电耗分电梯和水泵2个一级子项;</w:t>
      </w:r>
    </w:p>
    <w:p w14:paraId="4703B127">
      <w:pPr>
        <w:rPr>
          <w:color w:val="auto"/>
        </w:rPr>
      </w:pPr>
      <w:r>
        <w:rPr>
          <w:rFonts w:hint="eastAsia"/>
          <w:color w:val="auto"/>
        </w:rPr>
        <w:t>特殊电耗:电子信息系统机房、厨房餐厅、地下车库、充电桩电耗单独上传。3.能耗监测管理系统功能:</w:t>
      </w:r>
    </w:p>
    <w:p w14:paraId="73AFF291">
      <w:pPr>
        <w:rPr>
          <w:color w:val="auto"/>
        </w:rPr>
      </w:pPr>
      <w:r>
        <w:rPr>
          <w:rFonts w:hint="eastAsia"/>
          <w:color w:val="auto"/>
        </w:rPr>
        <w:t>1)系统构成应包括用能信息采集、信息通信和能效管理系统等</w:t>
      </w:r>
    </w:p>
    <w:p w14:paraId="3FF996DE">
      <w:pPr>
        <w:rPr>
          <w:color w:val="auto"/>
        </w:rPr>
      </w:pPr>
      <w:r>
        <w:rPr>
          <w:rFonts w:hint="eastAsia"/>
          <w:color w:val="auto"/>
        </w:rPr>
        <w:t>2)应对各用能设备和系统实施信息采集、显示、分析、处理、维护及优化管理，具有实时性、全局性、系统性和可控性的能效综合管理能力;</w:t>
      </w:r>
    </w:p>
    <w:p w14:paraId="651D9598">
      <w:pPr>
        <w:rPr>
          <w:color w:val="auto"/>
        </w:rPr>
      </w:pPr>
      <w:r>
        <w:rPr>
          <w:rFonts w:hint="eastAsia"/>
          <w:color w:val="auto"/>
        </w:rPr>
        <w:t>3)应与建筑智能化集成系统、建筑设备管理系统等关联，对各用能设备和系统的测控、节能、能源分配和能耗成本的经济性形成最优整合。</w:t>
      </w:r>
    </w:p>
    <w:p w14:paraId="3B00C4FB">
      <w:pPr>
        <w:pStyle w:val="6"/>
        <w:ind w:firstLine="480"/>
        <w:rPr>
          <w:color w:val="auto"/>
        </w:rPr>
      </w:pPr>
      <w:r>
        <w:rPr>
          <w:rFonts w:hint="eastAsia"/>
          <w:color w:val="auto"/>
        </w:rPr>
        <w:t>电力监控系统</w:t>
      </w:r>
    </w:p>
    <w:p w14:paraId="2791A614">
      <w:pPr>
        <w:rPr>
          <w:color w:val="auto"/>
        </w:rPr>
      </w:pPr>
      <w:r>
        <w:rPr>
          <w:rFonts w:hint="eastAsia"/>
          <w:color w:val="auto"/>
        </w:rPr>
        <w:t>1、本工程设置一套电力监控系统，监控主机设置在B1F高压配电室值班室。</w:t>
      </w:r>
    </w:p>
    <w:p w14:paraId="199D1F64">
      <w:pPr>
        <w:rPr>
          <w:color w:val="auto"/>
        </w:rPr>
      </w:pPr>
      <w:r>
        <w:rPr>
          <w:rFonts w:hint="eastAsia"/>
          <w:color w:val="auto"/>
        </w:rPr>
        <w:t>2、电力系统监控应能监测回路电流、电压、频率、功率、电能等参数，其设置部位:变配电所内的高压配电回路的进线侧及出线侧;电力变压器的温控器处;0.4kV低压配电回路进线侧及各馈电回路的出线侧;</w:t>
      </w:r>
    </w:p>
    <w:p w14:paraId="3BC9F5CD">
      <w:pPr>
        <w:rPr>
          <w:color w:val="auto"/>
        </w:rPr>
      </w:pPr>
      <w:r>
        <w:rPr>
          <w:rFonts w:hint="eastAsia"/>
          <w:color w:val="auto"/>
        </w:rPr>
        <w:t>3、后台系统由后台机(工控微机)及其附属硬件设备(打印机、显示器、音箱等)和软件组成。后台系统管理机置于变电所值班室内，各保护、测控装置就地安装在开关柜上。</w:t>
      </w:r>
    </w:p>
    <w:p w14:paraId="4DE79556">
      <w:pPr>
        <w:rPr>
          <w:color w:val="auto"/>
        </w:rPr>
      </w:pPr>
      <w:r>
        <w:rPr>
          <w:rFonts w:hint="eastAsia"/>
          <w:color w:val="auto"/>
        </w:rPr>
        <w:t>4、电能管理监控专业软件由制造商提供，采用专业的组态软件，应具有实时数据库、图形界面、报警、控制、统计和打印、历史纪录、通讯、自检等功能;支持当今各种流行的操作系统Windows 等，具有软件通讯OPC</w:t>
      </w:r>
    </w:p>
    <w:p w14:paraId="4858D23E">
      <w:pPr>
        <w:rPr>
          <w:color w:val="auto"/>
        </w:rPr>
      </w:pPr>
      <w:r>
        <w:rPr>
          <w:rFonts w:hint="eastAsia"/>
          <w:color w:val="auto"/>
        </w:rPr>
        <w:t>Server/Client 接口，Web Server等功能。设一台OPC服务器作为电力监控管理系统的一部分来协助接入电气综合监控系统。</w:t>
      </w:r>
    </w:p>
    <w:p w14:paraId="128671BD">
      <w:pPr>
        <w:pStyle w:val="6"/>
        <w:ind w:firstLine="480"/>
        <w:rPr>
          <w:color w:val="auto"/>
        </w:rPr>
      </w:pPr>
      <w:r>
        <w:rPr>
          <w:rFonts w:hint="eastAsia"/>
          <w:color w:val="auto"/>
        </w:rPr>
        <w:t>余压监控系统</w:t>
      </w:r>
    </w:p>
    <w:p w14:paraId="4AC611A3">
      <w:pPr>
        <w:rPr>
          <w:color w:val="auto"/>
        </w:rPr>
      </w:pPr>
      <w:r>
        <w:rPr>
          <w:rFonts w:hint="eastAsia"/>
          <w:color w:val="auto"/>
        </w:rPr>
        <w:t>1、根据&lt;&lt;建筑防烟排烟系统技术标准&gt;&gt;GB51251-2017,第 3.4.4条机械加压送风量应满足走廊至前室至楼梯间的压力呈递增分布，余压值应符合下列要求:</w:t>
      </w:r>
    </w:p>
    <w:p w14:paraId="2B9F79FA">
      <w:pPr>
        <w:rPr>
          <w:color w:val="auto"/>
        </w:rPr>
      </w:pPr>
      <w:r>
        <w:rPr>
          <w:rFonts w:hint="eastAsia"/>
          <w:color w:val="auto"/>
        </w:rPr>
        <w:t>1）前室、合用前室、消防电梯前室、封闭避难层(间)与走道之间的压差应为25Pa~30Pa;2)防烟楼梯间、封闭楼梯间、防烟电梯井与走道之间的压差应为40Pa~50Pa;</w:t>
      </w:r>
    </w:p>
    <w:p w14:paraId="2017248B">
      <w:pPr>
        <w:rPr>
          <w:color w:val="auto"/>
        </w:rPr>
      </w:pPr>
      <w:r>
        <w:rPr>
          <w:rFonts w:hint="eastAsia"/>
          <w:color w:val="auto"/>
        </w:rPr>
        <w:t>2、防烟楼梯间及前室防超压控制:</w:t>
      </w:r>
    </w:p>
    <w:p w14:paraId="32E1AF3B">
      <w:pPr>
        <w:rPr>
          <w:color w:val="auto"/>
        </w:rPr>
      </w:pPr>
      <w:r>
        <w:rPr>
          <w:rFonts w:hint="eastAsia"/>
          <w:color w:val="auto"/>
        </w:rPr>
        <w:t>1）防烟楼梯间，防烟合用楼梯前室及前室外楼层走道部分别按规范要求设置压力传感器;上述各区域静压信号通过总线传输至相应余压控制主机;各余压控制器间彼此联网。系统经计算后可得出各楼层的防烟楼梯间-楼梯前室间的压差信号与楼梯前室-疏散楼层的压差信号;</w:t>
      </w:r>
    </w:p>
    <w:p w14:paraId="170C2FE5">
      <w:pPr>
        <w:rPr>
          <w:color w:val="auto"/>
        </w:rPr>
      </w:pPr>
      <w:r>
        <w:rPr>
          <w:rFonts w:hint="eastAsia"/>
          <w:color w:val="auto"/>
        </w:rPr>
        <w:t>2）压力传感器与控制器间采用消防二总线进行通信，控制器不断采集各层楼梯间、前室、楼层的压力数据，通过计算得出各楼层楼梯前室-疏散走廊之间的压差信号，以最大压差所在楼层(某层或某相邻三层的中间层)作为消防疏散楼层;控制器将以消防疏散楼层计算出的压差值判定旁通泄压阀的开关逻辑，排除因其余楼层余压压差过低或过高引发的系统干扰;</w:t>
      </w:r>
    </w:p>
    <w:p w14:paraId="49962647">
      <w:pPr>
        <w:rPr>
          <w:color w:val="auto"/>
        </w:rPr>
      </w:pPr>
      <w:r>
        <w:rPr>
          <w:rFonts w:hint="eastAsia"/>
          <w:color w:val="auto"/>
        </w:rPr>
        <w:t>3)如疏散楼层的防烟楼梯间-疏散楼道之间的压差值大于设定值(地上:7OPa,可调;地下:6OPa，可调)时，即调打开该系统正压送风机出口的电动旁通泄压阀泄压;当压差值小于设定值(4OPa,可调)时，即调小或关闭该系统正压送风机出口的电动旁通泄压阀;</w:t>
      </w:r>
    </w:p>
    <w:p w14:paraId="20475394">
      <w:pPr>
        <w:rPr>
          <w:color w:val="auto"/>
        </w:rPr>
      </w:pPr>
      <w:r>
        <w:rPr>
          <w:rFonts w:hint="eastAsia"/>
          <w:color w:val="auto"/>
        </w:rPr>
        <w:t>4）如疏散楼层的楼梯前室-疏散楼道之间的压差值大于设定值(地上:50Pa,可调;地下:40Pa,可调)时，即打开该系统正压送风机出口的电动旁通泄压阀泄压;当压差值小于设定值(25Pa,可调)时，即关闭该系统正压送风机出口的电动旁通泄压阀;</w:t>
      </w:r>
    </w:p>
    <w:p w14:paraId="6B5E09D0">
      <w:pPr>
        <w:rPr>
          <w:color w:val="auto"/>
        </w:rPr>
      </w:pPr>
      <w:r>
        <w:rPr>
          <w:rFonts w:hint="eastAsia"/>
          <w:color w:val="auto"/>
        </w:rPr>
        <w:t>5）各余压控制器联网后采用通讯总线传输信号至消防控制室管理主机;余压控制器除在消防状态下执行既定的控制逻辑外，平时状态下定期执行系统自检与泄压阀动作巡检程序;各余压控制器自检及阀体巡检结果通过通讯总线实时传输至消防控制室管理主机内;</w:t>
      </w:r>
    </w:p>
    <w:p w14:paraId="11AB617C">
      <w:pPr>
        <w:rPr>
          <w:color w:val="auto"/>
        </w:rPr>
      </w:pPr>
      <w:r>
        <w:rPr>
          <w:rFonts w:hint="eastAsia"/>
          <w:color w:val="auto"/>
        </w:rPr>
        <w:t>3、余压控制器由对应正压风机配电箱就近引出220V消防电源，风阀执行器由余压控制器提供DC24V电源。</w:t>
      </w:r>
    </w:p>
    <w:p w14:paraId="76C77B54">
      <w:pPr>
        <w:pStyle w:val="6"/>
        <w:ind w:firstLine="480"/>
        <w:rPr>
          <w:color w:val="auto"/>
        </w:rPr>
      </w:pPr>
      <w:r>
        <w:rPr>
          <w:rFonts w:hint="eastAsia"/>
          <w:color w:val="auto"/>
        </w:rPr>
        <w:t>防火门监控系统</w:t>
      </w:r>
    </w:p>
    <w:p w14:paraId="5DD348F0">
      <w:pPr>
        <w:rPr>
          <w:color w:val="auto"/>
        </w:rPr>
      </w:pPr>
      <w:r>
        <w:rPr>
          <w:rFonts w:hint="eastAsia"/>
          <w:color w:val="auto"/>
        </w:rPr>
        <w:t>1、本地块设置一套防火门监控系统，监控主机设置在1层消防安保控制室。</w:t>
      </w:r>
    </w:p>
    <w:p w14:paraId="0DA2101C">
      <w:pPr>
        <w:rPr>
          <w:color w:val="auto"/>
        </w:rPr>
      </w:pPr>
      <w:r>
        <w:rPr>
          <w:rFonts w:hint="eastAsia"/>
          <w:color w:val="auto"/>
        </w:rPr>
        <w:t>2、防火门监控系统应满足GB29364-2012《防火门监控器》的规定，必须具有国家消防电子产品质量监督检验中心出具的型式检验报告。</w:t>
      </w:r>
    </w:p>
    <w:p w14:paraId="1D50AB63">
      <w:pPr>
        <w:rPr>
          <w:color w:val="auto"/>
        </w:rPr>
      </w:pPr>
      <w:r>
        <w:rPr>
          <w:rFonts w:hint="eastAsia"/>
          <w:color w:val="auto"/>
        </w:rPr>
        <w:t>3、防火门监控系统对防火门的开启、关闭及故障状态等动态信息进行监控,防火门处于非正常打开或非正常关闭的状态给出报警提示,能保持防火门常开，可现场手动关闭或复位防火门，当火灾发生时接收火灾报警信号，自动控制关闭常开防火门。</w:t>
      </w:r>
    </w:p>
    <w:p w14:paraId="3ACBA4B2">
      <w:pPr>
        <w:rPr>
          <w:color w:val="auto"/>
        </w:rPr>
      </w:pPr>
      <w:r>
        <w:rPr>
          <w:rFonts w:hint="eastAsia"/>
          <w:color w:val="auto"/>
        </w:rPr>
        <w:t>4、防火门监控器主机专用于防火门监控系统并独立安装在消防控制室，用于显示并控制防火门打开、关闭状态。</w:t>
      </w:r>
    </w:p>
    <w:p w14:paraId="317A0F31">
      <w:pPr>
        <w:pStyle w:val="5"/>
        <w:rPr>
          <w:color w:val="auto"/>
        </w:rPr>
      </w:pPr>
      <w:bookmarkStart w:id="25" w:name="_Toc20562"/>
      <w:r>
        <w:rPr>
          <w:rFonts w:hint="eastAsia"/>
          <w:color w:val="auto"/>
        </w:rPr>
        <w:t>弱电</w:t>
      </w:r>
      <w:bookmarkEnd w:id="25"/>
    </w:p>
    <w:p w14:paraId="32A58C11">
      <w:pPr>
        <w:pStyle w:val="6"/>
        <w:ind w:firstLine="480"/>
        <w:rPr>
          <w:color w:val="auto"/>
        </w:rPr>
      </w:pPr>
      <w:r>
        <w:rPr>
          <w:color w:val="auto"/>
        </w:rPr>
        <w:t>设计内容、范围</w:t>
      </w:r>
    </w:p>
    <w:p w14:paraId="13FB23AC">
      <w:pPr>
        <w:rPr>
          <w:color w:val="auto"/>
        </w:rPr>
      </w:pPr>
      <w:r>
        <w:rPr>
          <w:rFonts w:hint="eastAsia"/>
          <w:color w:val="auto"/>
        </w:rPr>
        <w:t>根据工程特性和业主要求，在满足国家《建筑工程设计文件编制深度规定》要求下，本次弱电专业设计内容包括:信息通信系统、有线电视系统、公共及应急广播系统、安全防范系统（视频安防监控、入侵报警、在线式电子巡查、出入口控制、一卡通管理系统)、机房工程及线路敷设、接地系统、雷电防护及过电压保护。</w:t>
      </w:r>
    </w:p>
    <w:p w14:paraId="24943981">
      <w:pPr>
        <w:rPr>
          <w:color w:val="auto"/>
        </w:rPr>
      </w:pPr>
      <w:r>
        <w:rPr>
          <w:rFonts w:hint="eastAsia"/>
          <w:color w:val="auto"/>
        </w:rPr>
        <w:t>其余计算机网络系统、无线网络系统、综合布线系统、IP电话交换系统、门禁一卡通系统、速通门系统、升降柱系统、停车场出入口管理及寻车系统、电子巡更系统、智能防疫系统、安检系统、信息发布系统、公众信息服务系统、IPTV系统、能耗监测系统、楼宇自控系统、IBMS智能化系统集成系统、时钟系统、手机信号覆盖系统、无线对讲系统、电梯五方对讲、RFID固定资产管理系统、数字图书馆系统、智慧教室系统、多媒体会议系统、机房工程、UPS系统、园区弱电综合管网系统、防雷接地系统等系统属于智能化专项设计范围，由智能化专项设计分包单位完成设计工作。</w:t>
      </w:r>
    </w:p>
    <w:p w14:paraId="656ED04B">
      <w:pPr>
        <w:rPr>
          <w:color w:val="auto"/>
        </w:rPr>
      </w:pPr>
      <w:r>
        <w:rPr>
          <w:color w:val="auto"/>
        </w:rPr>
        <w:t>1</w:t>
      </w:r>
      <w:r>
        <w:rPr>
          <w:rFonts w:hint="eastAsia"/>
          <w:color w:val="auto"/>
        </w:rPr>
        <w:t>、信息通信系统</w:t>
      </w:r>
    </w:p>
    <w:p w14:paraId="6739C38E">
      <w:pPr>
        <w:rPr>
          <w:color w:val="auto"/>
        </w:rPr>
      </w:pPr>
      <w:r>
        <w:rPr>
          <w:rFonts w:hint="eastAsia"/>
          <w:color w:val="auto"/>
        </w:rPr>
        <w:t>（1）通信接入系统:由市政引来的外线电话电缆及光缆，由15号路接入设在地下一层的弱电进线机房。电信运营经营者或当地广电公司采用光缆或加备铜缆的方式，保障通信的安全性。</w:t>
      </w:r>
    </w:p>
    <w:p w14:paraId="2E101786">
      <w:pPr>
        <w:rPr>
          <w:color w:val="auto"/>
        </w:rPr>
      </w:pPr>
      <w:r>
        <w:rPr>
          <w:rFonts w:hint="eastAsia"/>
          <w:color w:val="auto"/>
        </w:rPr>
        <w:t>（2）地下室设中国电信、中国联通、中国移动、广电的接入机房及无线覆盖机房，室外市政总体引来的通信线缆(光缆或铜缆）进入机房内，机房的详细布置图，由承包商配合运营商深化设计与设备安装并调试开通;预留与其他大学联盟、国家教育部、科创中心等互连接口。一层设置计算机网络机房，消防安防控制中心。</w:t>
      </w:r>
    </w:p>
    <w:p w14:paraId="3A63299A">
      <w:pPr>
        <w:rPr>
          <w:color w:val="auto"/>
        </w:rPr>
      </w:pPr>
      <w:r>
        <w:rPr>
          <w:rFonts w:hint="eastAsia"/>
          <w:color w:val="auto"/>
        </w:rPr>
        <w:t>（3）在地下一层设置运营商固网和移动通信信号覆盖机房和通信中心机房，本项目全部采用室内直线电话方式。在通信中心机房内设置一台通信主交换模块设备，与室外各电话运营商相连接。采用5类25对大对数线缆传输信号到楼层，再采用6类4 对UTP电缆引致各电话终端。</w:t>
      </w:r>
    </w:p>
    <w:p w14:paraId="093FBC16">
      <w:pPr>
        <w:rPr>
          <w:color w:val="auto"/>
        </w:rPr>
      </w:pPr>
      <w:r>
        <w:rPr>
          <w:rFonts w:hint="eastAsia"/>
          <w:color w:val="auto"/>
        </w:rPr>
        <w:t>（4）在简餐、生活配套附属、实验室、教室区域设置ONU信息箱，通过1根2芯单模光缆引入ONU箱，其余区域根据功能需求布置语音点及数据点。</w:t>
      </w:r>
    </w:p>
    <w:p w14:paraId="6D1F41E0">
      <w:pPr>
        <w:rPr>
          <w:color w:val="auto"/>
        </w:rPr>
      </w:pPr>
      <w:r>
        <w:rPr>
          <w:rFonts w:hint="eastAsia"/>
          <w:color w:val="auto"/>
        </w:rPr>
        <w:t>（5）5本项目综合布线系统数据干线采用单模光纤，语音干线采用五类25对或50对大对数电缆，垂直干线类型满足CMR以上防火等级;语音和数据水平布线均采用六类非屏蔽双绞线，水平线缆宜满足低烟无卤要求;插座采用RJ45型。</w:t>
      </w:r>
    </w:p>
    <w:p w14:paraId="632F1CD1">
      <w:pPr>
        <w:rPr>
          <w:color w:val="auto"/>
        </w:rPr>
      </w:pPr>
      <w:r>
        <w:rPr>
          <w:rFonts w:hint="eastAsia"/>
          <w:color w:val="auto"/>
        </w:rPr>
        <w:t>（6）本项目网络系统采用光缆到楼层，由本地通信运营商（中国电信、中国移动、中国联通）设计并实施，计算机1通信接入系统:由市政引来的外线电话电缆及光缆，由15号路接入设在地下一层的弱电进线机房。电信运营经营者或当地广电公司采用光缆或加备铜缆的方式，保障通信的安全性。</w:t>
      </w:r>
    </w:p>
    <w:p w14:paraId="2171743D">
      <w:pPr>
        <w:rPr>
          <w:color w:val="auto"/>
        </w:rPr>
      </w:pPr>
      <w:r>
        <w:rPr>
          <w:color w:val="auto"/>
        </w:rPr>
        <w:t>2</w:t>
      </w:r>
      <w:r>
        <w:rPr>
          <w:rFonts w:hint="eastAsia"/>
          <w:color w:val="auto"/>
        </w:rPr>
        <w:t>、有线电视系统</w:t>
      </w:r>
    </w:p>
    <w:p w14:paraId="18851ABC">
      <w:pPr>
        <w:rPr>
          <w:color w:val="auto"/>
        </w:rPr>
      </w:pPr>
      <w:r>
        <w:rPr>
          <w:rFonts w:hint="eastAsia"/>
          <w:color w:val="auto"/>
        </w:rPr>
        <w:t>（1）设置卫星电视接收系统接口，为提供远程教育提供条件。</w:t>
      </w:r>
    </w:p>
    <w:p w14:paraId="455F5837">
      <w:pPr>
        <w:rPr>
          <w:color w:val="auto"/>
        </w:rPr>
      </w:pPr>
      <w:r>
        <w:rPr>
          <w:rFonts w:hint="eastAsia"/>
          <w:color w:val="auto"/>
        </w:rPr>
        <w:t>（2）本工程有线电视系统设计考虑IPTV电视系统的做法，用6类UTP 布线至终端，设一个RJ45网口作为IPTv系统的末端。</w:t>
      </w:r>
    </w:p>
    <w:p w14:paraId="75C81F7A">
      <w:pPr>
        <w:rPr>
          <w:color w:val="auto"/>
        </w:rPr>
      </w:pPr>
      <w:r>
        <w:rPr>
          <w:rFonts w:hint="eastAsia"/>
          <w:color w:val="auto"/>
        </w:rPr>
        <w:t>（3）IPTV信号经中心机房内电视专用核心交换机后，用一根单模光缆引去光节点汇聚点。IPTV信号在光节点经光配后，采用6芯单模光缆引去各电视专用接入层交换机，再采用6类布线引去各电视终端插座。</w:t>
      </w:r>
    </w:p>
    <w:p w14:paraId="196C81EF">
      <w:pPr>
        <w:rPr>
          <w:color w:val="auto"/>
        </w:rPr>
      </w:pPr>
      <w:r>
        <w:rPr>
          <w:rFonts w:hint="eastAsia"/>
          <w:color w:val="auto"/>
        </w:rPr>
        <w:t>（4）除注明外，有线电视出线盒选用86H60钢板盒配屏蔽型专用单孔插座盖板，嵌墙暗装盒底离地0.30米，或与附近电源插座同一高度相邻安装(一般与电源插座间隔0.20米)。</w:t>
      </w:r>
    </w:p>
    <w:p w14:paraId="72C175FA">
      <w:pPr>
        <w:rPr>
          <w:color w:val="auto"/>
        </w:rPr>
      </w:pPr>
      <w:r>
        <w:rPr>
          <w:rFonts w:hint="eastAsia"/>
          <w:color w:val="auto"/>
        </w:rPr>
        <w:t>（5）设在建筑物屋顶的共用天线、卫星天线应根据《建筑机电工程抗震设计规范》GB 50981-2014第7.4.6条的要求采取安全防护措施。</w:t>
      </w:r>
    </w:p>
    <w:p w14:paraId="02D7F4F4">
      <w:pPr>
        <w:rPr>
          <w:color w:val="auto"/>
        </w:rPr>
      </w:pPr>
      <w:r>
        <w:rPr>
          <w:color w:val="auto"/>
        </w:rPr>
        <w:t>3</w:t>
      </w:r>
      <w:r>
        <w:rPr>
          <w:rFonts w:hint="eastAsia"/>
          <w:color w:val="auto"/>
        </w:rPr>
        <w:t>、广播系统</w:t>
      </w:r>
    </w:p>
    <w:p w14:paraId="31DCF54E">
      <w:pPr>
        <w:rPr>
          <w:color w:val="auto"/>
        </w:rPr>
      </w:pPr>
      <w:r>
        <w:rPr>
          <w:rFonts w:hint="eastAsia"/>
          <w:color w:val="auto"/>
        </w:rPr>
        <w:t>（1）本工程采用可分区全数字式广播系统，实现消防广播、校园广播功能。</w:t>
      </w:r>
    </w:p>
    <w:p w14:paraId="04BB81D1">
      <w:pPr>
        <w:rPr>
          <w:color w:val="auto"/>
        </w:rPr>
      </w:pPr>
      <w:r>
        <w:rPr>
          <w:rFonts w:hint="eastAsia"/>
          <w:color w:val="auto"/>
        </w:rPr>
        <w:t>（2）本系统作为音乐铃声(上、下课电铃)、消防广播、校园广播，并兼具话筒寻呼、自动定时广播、单区/分区广播及自动、定时、时序开关设备电源、消防联动等功能，实现无人值守的智能型数字广播系统。</w:t>
      </w:r>
    </w:p>
    <w:p w14:paraId="286FD631">
      <w:pPr>
        <w:rPr>
          <w:color w:val="auto"/>
        </w:rPr>
      </w:pPr>
      <w:r>
        <w:rPr>
          <w:rFonts w:hint="eastAsia"/>
          <w:color w:val="auto"/>
        </w:rPr>
        <w:t>（3）系统构成</w:t>
      </w:r>
    </w:p>
    <w:p w14:paraId="6578D02B">
      <w:pPr>
        <w:rPr>
          <w:color w:val="auto"/>
        </w:rPr>
      </w:pPr>
      <w:r>
        <w:rPr>
          <w:rFonts w:hint="eastAsia"/>
          <w:color w:val="auto"/>
        </w:rPr>
        <w:t>公共及应急广播系统的总服务器设备设于消防监控室，在消防监控室安装系统的总主控设备、音源设备、消防紧急联动设备、广播呼叫设备、周边设备等，承担整个系统的运行通信，对整个系统进行广播寻呼控制，背景音乐播放控制，支持广播系统数据和音频的传输，支持系统定时播放、终端点播、临时插播、消防紧急广播等系统服务器功能;同时提供高品质的背景音乐，背景音乐包括有CD播放器，数字调谐器，PcC播放器等。在校园广播站设置分控点，配置相关周边设备，方便学生、校领导就近操作，无需每次到机房，大大的提高工作效率。在各个楼层的弱电井设置安装IP网络适配器功放，IP网络适配器通过网络交换机与消防监控室IP网络广播系统服务器连接，音频lP网络音频解码终端主要对来自服务器的控制信号和音频信号进行实时解码和播放，把数字音频信号转换成模拟音频信号传输给功率放大器，最后传输到前端音箱，由音箱放声。</w:t>
      </w:r>
    </w:p>
    <w:p w14:paraId="66D6EE91">
      <w:pPr>
        <w:ind w:left="480" w:firstLine="0" w:firstLineChars="0"/>
        <w:rPr>
          <w:color w:val="auto"/>
        </w:rPr>
      </w:pPr>
      <w:r>
        <w:rPr>
          <w:rFonts w:hint="eastAsia"/>
          <w:color w:val="auto"/>
        </w:rPr>
        <w:t>4、安全防范系统:</w:t>
      </w:r>
    </w:p>
    <w:p w14:paraId="5E8B0E8F">
      <w:pPr>
        <w:ind w:firstLineChars="0"/>
        <w:rPr>
          <w:color w:val="auto"/>
        </w:rPr>
      </w:pPr>
      <w:r>
        <w:rPr>
          <w:rFonts w:hint="eastAsia"/>
          <w:color w:val="auto"/>
        </w:rPr>
        <w:t>（1）安全技术防范系统包含视频安防监控、入侵报警、在线式电子巡查、出入口控制、一卡通管理，各子系统可通过安全技术防范系统管理平台实现数据信息共享。</w:t>
      </w:r>
    </w:p>
    <w:p w14:paraId="17BA74A5">
      <w:pPr>
        <w:ind w:firstLineChars="0"/>
        <w:rPr>
          <w:color w:val="auto"/>
        </w:rPr>
      </w:pPr>
      <w:r>
        <w:rPr>
          <w:rFonts w:hint="eastAsia"/>
          <w:color w:val="auto"/>
        </w:rPr>
        <w:t>（2）在北楼首层的消防安防监控中心，为大楼的安保人员及时提供各种信息，集中监控及管理各子系统。各消防安防监控中心（消防、安防、广播和BA合用）设计提供机房示意布置图，详细布置图待设备招标完成后，由承包商负责深化设计与设备安装并调试开通。</w:t>
      </w:r>
    </w:p>
    <w:p w14:paraId="6719989C">
      <w:pPr>
        <w:ind w:firstLineChars="0"/>
        <w:rPr>
          <w:color w:val="auto"/>
        </w:rPr>
      </w:pPr>
      <w:r>
        <w:rPr>
          <w:rFonts w:hint="eastAsia"/>
          <w:color w:val="auto"/>
        </w:rPr>
        <w:t>（3）视频安防监控系统（CCTV)采用全数字系统，主要由IP摄像机、交换机、传输设备、显示设备、视频管理服务器和网络存储服务器等组成。在以下区域实施监控:地下车库、停车库出入口、楼梯出入口、底层出入口、电梯厅、电梯轿箱、主要通道、实验室、教室、公共走道、消防安防监控中心及室外公共场所等。</w:t>
      </w:r>
    </w:p>
    <w:p w14:paraId="5C007B20">
      <w:pPr>
        <w:ind w:firstLineChars="0"/>
        <w:rPr>
          <w:color w:val="auto"/>
        </w:rPr>
      </w:pPr>
      <w:r>
        <w:rPr>
          <w:rFonts w:hint="eastAsia"/>
          <w:color w:val="auto"/>
        </w:rPr>
        <w:t>（4）根据不同场所采用半球型摄像机、枪式固定摄像机、一体化快球摄像机进行监视。摄像机采用不低于108OP的彩色数字摄像机，摄像机电源采用集中（或区域集中）UPS供电，工作时间≥30分钟，应采用POE或采用交流24V或直流12V自适应的供电方式，当采用220V供电时，应与其他弱电管线分管敷设。</w:t>
      </w:r>
    </w:p>
    <w:p w14:paraId="19806E64">
      <w:pPr>
        <w:ind w:firstLineChars="0"/>
        <w:rPr>
          <w:color w:val="auto"/>
        </w:rPr>
      </w:pPr>
      <w:r>
        <w:rPr>
          <w:rFonts w:hint="eastAsia"/>
          <w:color w:val="auto"/>
        </w:rPr>
        <w:t>（5）系统核心部分由核心交换机、汇聚交换机、视频管理服务器及网络存储服务器组成，系统通过TCP/IP协议集中管理，图像存储应不少于30天。</w:t>
      </w:r>
    </w:p>
    <w:p w14:paraId="6F17BE27">
      <w:pPr>
        <w:pStyle w:val="4"/>
        <w:ind w:firstLine="482"/>
        <w:rPr>
          <w:color w:val="auto"/>
        </w:rPr>
      </w:pPr>
      <w:bookmarkStart w:id="26" w:name="_Toc8317"/>
      <w:r>
        <w:rPr>
          <w:rFonts w:hint="eastAsia"/>
          <w:color w:val="auto"/>
        </w:rPr>
        <w:t>人防工程</w:t>
      </w:r>
      <w:bookmarkEnd w:id="26"/>
    </w:p>
    <w:p w14:paraId="7CE6D779">
      <w:pPr>
        <w:pStyle w:val="5"/>
        <w:rPr>
          <w:color w:val="auto"/>
        </w:rPr>
      </w:pPr>
      <w:bookmarkStart w:id="27" w:name="_Toc7336"/>
      <w:r>
        <w:rPr>
          <w:rFonts w:hint="eastAsia"/>
          <w:color w:val="auto"/>
        </w:rPr>
        <w:t>人防概况</w:t>
      </w:r>
      <w:bookmarkEnd w:id="27"/>
    </w:p>
    <w:p w14:paraId="3EE54028">
      <w:pPr>
        <w:rPr>
          <w:color w:val="auto"/>
        </w:rPr>
      </w:pPr>
      <w:r>
        <w:rPr>
          <w:rFonts w:hint="eastAsia"/>
          <w:color w:val="auto"/>
        </w:rPr>
        <w:t>本次拟建建筑应建人防面积为1936.5m²，设计人防建筑面积为</w:t>
      </w:r>
      <w:r>
        <w:rPr>
          <w:color w:val="auto"/>
        </w:rPr>
        <w:t>9960</w:t>
      </w:r>
      <w:r>
        <w:rPr>
          <w:rFonts w:hint="eastAsia"/>
          <w:color w:val="auto"/>
        </w:rPr>
        <w:t>m²，共划分6个防护单元。</w:t>
      </w:r>
    </w:p>
    <w:p w14:paraId="7BDB1A77">
      <w:pPr>
        <w:rPr>
          <w:color w:val="auto"/>
        </w:rPr>
      </w:pPr>
      <w:r>
        <w:rPr>
          <w:rFonts w:hint="eastAsia"/>
          <w:color w:val="auto"/>
        </w:rPr>
        <w:t>1、人防地下室防护单元内防护设施及设备自成体系。</w:t>
      </w:r>
    </w:p>
    <w:p w14:paraId="1F934291">
      <w:pPr>
        <w:rPr>
          <w:color w:val="auto"/>
        </w:rPr>
      </w:pPr>
      <w:r>
        <w:rPr>
          <w:rFonts w:hint="eastAsia"/>
          <w:color w:val="auto"/>
        </w:rPr>
        <w:t>2、战时通风：人防地下室人员掩蔽单元战时每个防护单元设有一套独立的进排风系统，三种通风方式（清洁通风、滤度通风、隔绝通风）可以互换。</w:t>
      </w:r>
    </w:p>
    <w:p w14:paraId="6F6D678D">
      <w:pPr>
        <w:rPr>
          <w:color w:val="auto"/>
        </w:rPr>
      </w:pPr>
      <w:r>
        <w:rPr>
          <w:rFonts w:hint="eastAsia"/>
          <w:color w:val="auto"/>
        </w:rPr>
        <w:t>3、战时供水：人员掩蔽单元战时均利用平时做好的人防水池或者战时装配式人防水箱供水。</w:t>
      </w:r>
    </w:p>
    <w:p w14:paraId="532A72E0">
      <w:pPr>
        <w:rPr>
          <w:color w:val="auto"/>
        </w:rPr>
      </w:pPr>
      <w:r>
        <w:rPr>
          <w:rFonts w:hint="eastAsia"/>
          <w:color w:val="auto"/>
        </w:rPr>
        <w:t>4、战时供电：利用平时电源，内设有配电室。市电断电时，由本工程内部蓄电池组电源供电。</w:t>
      </w:r>
    </w:p>
    <w:p w14:paraId="1E85CF86">
      <w:pPr>
        <w:rPr>
          <w:color w:val="auto"/>
        </w:rPr>
      </w:pPr>
      <w:r>
        <w:rPr>
          <w:rFonts w:hint="eastAsia"/>
          <w:color w:val="auto"/>
        </w:rPr>
        <w:t>5、地下室距生产、储存易燃易爆物品厂房、库房的距离不应小于50米。</w:t>
      </w:r>
    </w:p>
    <w:p w14:paraId="0E76FA7C">
      <w:pPr>
        <w:rPr>
          <w:color w:val="auto"/>
        </w:rPr>
      </w:pPr>
      <w:r>
        <w:rPr>
          <w:rFonts w:hint="eastAsia"/>
          <w:color w:val="auto"/>
        </w:rPr>
        <w:t>6、人员掩蔽工程服务半经小于200米。</w:t>
      </w:r>
    </w:p>
    <w:p w14:paraId="0574205F">
      <w:pPr>
        <w:rPr>
          <w:color w:val="auto"/>
        </w:rPr>
      </w:pPr>
      <w:r>
        <w:rPr>
          <w:rFonts w:hint="eastAsia"/>
          <w:color w:val="auto"/>
        </w:rPr>
        <w:t>7、地下室距有害液体、重毒气的贮罐不应小于100米。</w:t>
      </w:r>
    </w:p>
    <w:p w14:paraId="530A8E43">
      <w:pPr>
        <w:rPr>
          <w:color w:val="auto"/>
        </w:rPr>
      </w:pPr>
      <w:r>
        <w:rPr>
          <w:color w:val="auto"/>
        </w:rPr>
        <w:t>8</w:t>
      </w:r>
      <w:r>
        <w:rPr>
          <w:rFonts w:hint="eastAsia"/>
          <w:color w:val="auto"/>
        </w:rPr>
        <w:t>、地下室人防区和平时防火分区相对应，平时防火分区内由划分局部人防单元组成或一个防护单元对应一个平时防烟分区，但每个人防单元平时通风系统自成系统，平时风管不穿人防墙。</w:t>
      </w:r>
    </w:p>
    <w:p w14:paraId="5700918E">
      <w:pPr>
        <w:pStyle w:val="5"/>
        <w:rPr>
          <w:color w:val="auto"/>
        </w:rPr>
      </w:pPr>
      <w:bookmarkStart w:id="28" w:name="_Toc16018"/>
      <w:r>
        <w:rPr>
          <w:rFonts w:hint="eastAsia"/>
          <w:color w:val="auto"/>
        </w:rPr>
        <w:t>人防结构</w:t>
      </w:r>
      <w:bookmarkEnd w:id="28"/>
    </w:p>
    <w:p w14:paraId="4BDCE008">
      <w:pPr>
        <w:rPr>
          <w:color w:val="auto"/>
        </w:rPr>
      </w:pPr>
      <w:r>
        <w:rPr>
          <w:rFonts w:hint="eastAsia"/>
          <w:color w:val="auto"/>
        </w:rPr>
        <w:t>1、构件抗震等级：人防结构构件抗震等级同上部结构取二级（非塔楼部分取三级）。</w:t>
      </w:r>
    </w:p>
    <w:p w14:paraId="738B7EE0">
      <w:pPr>
        <w:rPr>
          <w:color w:val="auto"/>
        </w:rPr>
      </w:pPr>
      <w:r>
        <w:rPr>
          <w:rFonts w:hint="eastAsia"/>
          <w:color w:val="auto"/>
        </w:rPr>
        <w:t>2、材料：</w:t>
      </w:r>
    </w:p>
    <w:p w14:paraId="498F4DC3">
      <w:pPr>
        <w:rPr>
          <w:color w:val="auto"/>
        </w:rPr>
      </w:pPr>
      <w:r>
        <w:rPr>
          <w:rFonts w:hint="eastAsia"/>
          <w:color w:val="auto"/>
        </w:rPr>
        <w:t>（1）、人防结构的材料强度设计值可取静荷载作用下材料强度设计值乘以材料强度综合调整系数：HRB235:1.5;HRB335:1.35; HRB400:1.20;混凝土：1.5(不得采用早强剂）</w:t>
      </w:r>
    </w:p>
    <w:p w14:paraId="19A70B62">
      <w:pPr>
        <w:rPr>
          <w:color w:val="auto"/>
        </w:rPr>
      </w:pPr>
      <w:r>
        <w:rPr>
          <w:rFonts w:hint="eastAsia"/>
          <w:color w:val="auto"/>
        </w:rPr>
        <w:t>（2）、本工程人防结构的材料选型</w:t>
      </w:r>
    </w:p>
    <w:p w14:paraId="386C6467">
      <w:pPr>
        <w:rPr>
          <w:color w:val="auto"/>
        </w:rPr>
      </w:pPr>
      <w:r>
        <w:rPr>
          <w:rFonts w:hint="eastAsia"/>
          <w:color w:val="auto"/>
        </w:rPr>
        <w:t>钢筋选用HPB300、HRB</w:t>
      </w:r>
      <w:r>
        <w:rPr>
          <w:color w:val="auto"/>
        </w:rPr>
        <w:t>E</w:t>
      </w:r>
      <w:r>
        <w:rPr>
          <w:rFonts w:hint="eastAsia"/>
          <w:color w:val="auto"/>
        </w:rPr>
        <w:t>400。</w:t>
      </w:r>
    </w:p>
    <w:p w14:paraId="315486EE">
      <w:pPr>
        <w:rPr>
          <w:color w:val="auto"/>
        </w:rPr>
      </w:pPr>
      <w:r>
        <w:rPr>
          <w:rFonts w:hint="eastAsia"/>
          <w:color w:val="auto"/>
        </w:rPr>
        <w:t>（3）、防水混凝土抗渗等级P6。</w:t>
      </w:r>
    </w:p>
    <w:p w14:paraId="12C92531">
      <w:pPr>
        <w:pStyle w:val="5"/>
        <w:rPr>
          <w:color w:val="auto"/>
        </w:rPr>
      </w:pPr>
      <w:bookmarkStart w:id="29" w:name="_Toc16451"/>
      <w:r>
        <w:rPr>
          <w:rFonts w:hint="eastAsia"/>
          <w:color w:val="auto"/>
        </w:rPr>
        <w:t>人防给排水</w:t>
      </w:r>
      <w:bookmarkEnd w:id="29"/>
    </w:p>
    <w:p w14:paraId="49A47C47">
      <w:pPr>
        <w:rPr>
          <w:color w:val="auto"/>
        </w:rPr>
      </w:pPr>
      <w:r>
        <w:rPr>
          <w:rFonts w:hint="eastAsia"/>
          <w:color w:val="auto"/>
        </w:rPr>
        <w:t>1、战时给水：</w:t>
      </w:r>
    </w:p>
    <w:p w14:paraId="46408177">
      <w:pPr>
        <w:rPr>
          <w:color w:val="auto"/>
        </w:rPr>
      </w:pPr>
      <w:r>
        <w:rPr>
          <w:rFonts w:hint="eastAsia"/>
          <w:color w:val="auto"/>
        </w:rPr>
        <w:t>战时给水系统包括掩蔽人员的饮用水和生活用水、进出人防地下室人员的洗消用水，战后各出入口受污染的房间和通道的墙、地面冲洗用水。</w:t>
      </w:r>
    </w:p>
    <w:p w14:paraId="33B38B9F">
      <w:pPr>
        <w:rPr>
          <w:color w:val="auto"/>
        </w:rPr>
      </w:pPr>
      <w:r>
        <w:rPr>
          <w:rFonts w:hint="eastAsia"/>
          <w:color w:val="auto"/>
        </w:rPr>
        <w:t>2、战时排水：</w:t>
      </w:r>
    </w:p>
    <w:p w14:paraId="0A0020FE">
      <w:pPr>
        <w:rPr>
          <w:color w:val="auto"/>
        </w:rPr>
      </w:pPr>
      <w:r>
        <w:rPr>
          <w:rFonts w:hint="eastAsia"/>
          <w:color w:val="auto"/>
        </w:rPr>
        <w:t>战时掩蔽所掩蔽人员的生活废水排水、进出人防地下室人员的洗消废水排水，战后各出入口受污染的房间和通道的冲洗废水排水。</w:t>
      </w:r>
    </w:p>
    <w:p w14:paraId="41FE55AA">
      <w:pPr>
        <w:rPr>
          <w:color w:val="auto"/>
        </w:rPr>
      </w:pPr>
      <w:r>
        <w:rPr>
          <w:color w:val="auto"/>
        </w:rPr>
        <w:t>3</w:t>
      </w:r>
      <w:r>
        <w:rPr>
          <w:rFonts w:hint="eastAsia"/>
          <w:color w:val="auto"/>
        </w:rPr>
        <w:t>、人防给水</w:t>
      </w:r>
    </w:p>
    <w:p w14:paraId="552926BC">
      <w:pPr>
        <w:rPr>
          <w:color w:val="auto"/>
        </w:rPr>
      </w:pPr>
      <w:r>
        <w:rPr>
          <w:rFonts w:hint="eastAsia"/>
          <w:color w:val="auto"/>
        </w:rPr>
        <w:t>人防给水水源为城市自来水。掩蔽单元战时利用装配式搪瓷钢板水箱作为战时水源，战时水箱设于防护单元清洁区内。每个人防防护单元设置装配式不锈钢板水箱二个,一个饮用水箱和一个生活用水水箱。人防水箱均于临战时安装,平时应有可靠的技术措施,保证钢制水箱在战前规定的时间内构筑完毕。在水箱邻近设取水台和取水水嘴，供给战时饮用及生活用水。管道和水嘴均采用不锈钢材质。隐蔽所的染毒口部墙、地面冲洗用水；进出人防地下室人员的洗消用水贮存在生活用水水箱内，洗消贮水水量按一次计。战时市政给水管不能供水,洗消用水由生活变频给水泵组及手摇泵供水。</w:t>
      </w:r>
    </w:p>
    <w:p w14:paraId="26BFDB2E">
      <w:pPr>
        <w:rPr>
          <w:color w:val="auto"/>
        </w:rPr>
      </w:pPr>
      <w:r>
        <w:rPr>
          <w:color w:val="auto"/>
        </w:rPr>
        <w:t>4</w:t>
      </w:r>
      <w:r>
        <w:rPr>
          <w:rFonts w:hint="eastAsia"/>
          <w:color w:val="auto"/>
        </w:rPr>
        <w:t>、人防排水</w:t>
      </w:r>
    </w:p>
    <w:p w14:paraId="2948483B">
      <w:pPr>
        <w:rPr>
          <w:color w:val="auto"/>
        </w:rPr>
      </w:pPr>
      <w:r>
        <w:rPr>
          <w:rFonts w:hint="eastAsia"/>
          <w:color w:val="auto"/>
        </w:rPr>
        <w:t>（1）每个防护单元入口通道内排水坑有效容积1.0m³，满足隔绝防护时间内的污水贮存时间及战时潜水泵调节容积的要求。</w:t>
      </w:r>
    </w:p>
    <w:p w14:paraId="5507D513">
      <w:pPr>
        <w:rPr>
          <w:color w:val="auto"/>
        </w:rPr>
      </w:pPr>
      <w:r>
        <w:rPr>
          <w:rFonts w:hint="eastAsia"/>
          <w:color w:val="auto"/>
        </w:rPr>
        <w:t>（2）人员掩蔽所利用其单元内平时集水井和排水设备集中和排出战时生活污废水，利用简易洗消间内染毒水池和移动式潜污泵于战后集中排出洗消废水。</w:t>
      </w:r>
    </w:p>
    <w:p w14:paraId="28862B58">
      <w:pPr>
        <w:rPr>
          <w:color w:val="auto"/>
        </w:rPr>
      </w:pPr>
      <w:r>
        <w:rPr>
          <w:color w:val="auto"/>
        </w:rPr>
        <w:t>5</w:t>
      </w:r>
      <w:r>
        <w:rPr>
          <w:rFonts w:hint="eastAsia"/>
          <w:color w:val="auto"/>
        </w:rPr>
        <w:t>、人防管材及安装</w:t>
      </w:r>
    </w:p>
    <w:p w14:paraId="3E39A8F5">
      <w:pPr>
        <w:rPr>
          <w:color w:val="auto"/>
        </w:rPr>
      </w:pPr>
      <w:r>
        <w:rPr>
          <w:rFonts w:hint="eastAsia"/>
          <w:color w:val="auto"/>
        </w:rPr>
        <w:t>（1）生活用水和饮水管均采用衬塑不锈钢管。</w:t>
      </w:r>
    </w:p>
    <w:p w14:paraId="45139E9D">
      <w:pPr>
        <w:rPr>
          <w:color w:val="auto"/>
        </w:rPr>
      </w:pPr>
      <w:r>
        <w:rPr>
          <w:rFonts w:hint="eastAsia"/>
          <w:color w:val="auto"/>
        </w:rPr>
        <w:t>（2）人防内消火栓管与自动喷水灭火系统管道材质与地面上非人防的管材相同。</w:t>
      </w:r>
    </w:p>
    <w:p w14:paraId="1CB8BE2F">
      <w:pPr>
        <w:rPr>
          <w:color w:val="auto"/>
        </w:rPr>
      </w:pPr>
      <w:r>
        <w:rPr>
          <w:rFonts w:hint="eastAsia"/>
          <w:color w:val="auto"/>
        </w:rPr>
        <w:t>（3）穿过人防防护墙的管道均设密闭套管。</w:t>
      </w:r>
    </w:p>
    <w:p w14:paraId="7664E00C">
      <w:pPr>
        <w:rPr>
          <w:color w:val="auto"/>
        </w:rPr>
      </w:pPr>
      <w:r>
        <w:rPr>
          <w:rFonts w:hint="eastAsia"/>
          <w:color w:val="auto"/>
        </w:rPr>
        <w:t>（4）穿过人防的管道均在防护墙（板）内侧装设耐压不小于1.0MPa的阀门。</w:t>
      </w:r>
    </w:p>
    <w:p w14:paraId="16F4176F">
      <w:pPr>
        <w:rPr>
          <w:color w:val="auto"/>
        </w:rPr>
      </w:pPr>
      <w:r>
        <w:rPr>
          <w:rFonts w:hint="eastAsia"/>
          <w:color w:val="auto"/>
        </w:rPr>
        <w:t>（5）不同防护区的排水管道均分别设置。穿防护墙（板）的排水管道采用耐压不小于1.0MPa的镀锌或涂塑钢管。人防埋地排水管材用离心机制排水铸铁管。排水地漏采用防爆波地漏。</w:t>
      </w:r>
    </w:p>
    <w:p w14:paraId="2D33C688">
      <w:pPr>
        <w:pStyle w:val="5"/>
        <w:rPr>
          <w:color w:val="auto"/>
        </w:rPr>
      </w:pPr>
      <w:bookmarkStart w:id="30" w:name="_Toc17619"/>
      <w:r>
        <w:rPr>
          <w:rFonts w:hint="eastAsia"/>
          <w:color w:val="auto"/>
        </w:rPr>
        <w:t>人防暖通</w:t>
      </w:r>
      <w:bookmarkEnd w:id="30"/>
    </w:p>
    <w:p w14:paraId="365414A4">
      <w:pPr>
        <w:rPr>
          <w:color w:val="auto"/>
        </w:rPr>
      </w:pPr>
      <w:r>
        <w:rPr>
          <w:color w:val="auto"/>
        </w:rPr>
        <w:t>1</w:t>
      </w:r>
      <w:r>
        <w:rPr>
          <w:rFonts w:hint="eastAsia"/>
          <w:color w:val="auto"/>
        </w:rPr>
        <w:t>、战时通风设置</w:t>
      </w:r>
    </w:p>
    <w:p w14:paraId="52A8AB1F">
      <w:pPr>
        <w:rPr>
          <w:color w:val="auto"/>
        </w:rPr>
      </w:pPr>
      <w:r>
        <w:rPr>
          <w:rFonts w:hint="eastAsia"/>
          <w:color w:val="auto"/>
        </w:rPr>
        <w:t>二等人员掩蔽所内设置战时清洁式、滤毒式和隔绝式通风系统、</w:t>
      </w:r>
    </w:p>
    <w:p w14:paraId="2BB9B268">
      <w:pPr>
        <w:rPr>
          <w:color w:val="auto"/>
        </w:rPr>
      </w:pPr>
      <w:r>
        <w:rPr>
          <w:color w:val="auto"/>
        </w:rPr>
        <w:t>2</w:t>
      </w:r>
      <w:r>
        <w:rPr>
          <w:rFonts w:hint="eastAsia"/>
          <w:color w:val="auto"/>
        </w:rPr>
        <w:t>、战时六级二等人员掩蔽所通风系统</w:t>
      </w:r>
    </w:p>
    <w:p w14:paraId="0DFE1A13">
      <w:pPr>
        <w:rPr>
          <w:color w:val="auto"/>
        </w:rPr>
      </w:pPr>
      <w:r>
        <w:rPr>
          <w:rFonts w:hint="eastAsia"/>
          <w:color w:val="auto"/>
        </w:rPr>
        <w:t>战时六级二等人员掩蔽所设清洁、滤毒、隔绝三种通风方式，进风系统由竖井、防爆波活门、扩散室、滤尘器、手电动密闭阀、过滤吸收器、送风机等组成。清洁通风与虑毒通风分设风机。排风系统：战时清洁式采用机械排风，由排风机、两道密闭阀门、扩散室、防爆波活门排向竖井；滤毒式排风由超压排气活门自防毒通道，经两道密闭阀门、扩散室、防爆波活门排向竖井。战时送风管利用平时风管、风口。进排风口部所选用的防爆波活门的额定风量不小于战时清洁通风量，过滤吸收器的额定风量不小于滤毒新风量。</w:t>
      </w:r>
    </w:p>
    <w:p w14:paraId="683AF9A8">
      <w:pPr>
        <w:rPr>
          <w:color w:val="auto"/>
        </w:rPr>
      </w:pPr>
      <w:r>
        <w:rPr>
          <w:color w:val="auto"/>
        </w:rPr>
        <w:t>3</w:t>
      </w:r>
      <w:r>
        <w:rPr>
          <w:rFonts w:hint="eastAsia"/>
          <w:color w:val="auto"/>
        </w:rPr>
        <w:t>、战时防护通风系统材料</w:t>
      </w:r>
    </w:p>
    <w:p w14:paraId="3988890F">
      <w:pPr>
        <w:rPr>
          <w:color w:val="auto"/>
        </w:rPr>
      </w:pPr>
      <w:r>
        <w:rPr>
          <w:rFonts w:hint="eastAsia"/>
          <w:color w:val="auto"/>
        </w:rPr>
        <w:t>（1）设置在染毒区的防护通风管道，采用3mm厚的钢板焊接成型，风管设0.5%的坡度坡向室外。通风管（包括气密管、测压管、取样管、超压排气活门）穿越防空地下室的防护密闭墙时，设置带防毒密闭翼环的穿墙短管，带翼环的短管钢板弧度为3mm，翼环突出长度为50mm。风管穿密闭墙均按国标图集防护做法。</w:t>
      </w:r>
    </w:p>
    <w:p w14:paraId="45FED4EC">
      <w:pPr>
        <w:rPr>
          <w:color w:val="auto"/>
        </w:rPr>
      </w:pPr>
      <w:r>
        <w:rPr>
          <w:rFonts w:hint="eastAsia"/>
          <w:color w:val="auto"/>
        </w:rPr>
        <w:t>（2）室内普通钢板风管及所有铁件除锈后，内外壁刷红丹防锈漆两道，外壁复涂灰色调和漆两道。镀锌钢板风道不刷防锈漆，刷灰漆二道，刷油漆前须擦净表面油污。进风管测压管要求气压实验1kg/cm²。管路与设备间连接法兰衬以橡胶垫密封。</w:t>
      </w:r>
    </w:p>
    <w:p w14:paraId="5C3B3EB8">
      <w:pPr>
        <w:pStyle w:val="5"/>
        <w:rPr>
          <w:color w:val="auto"/>
        </w:rPr>
      </w:pPr>
      <w:bookmarkStart w:id="31" w:name="_Toc6763"/>
      <w:r>
        <w:rPr>
          <w:rFonts w:hint="eastAsia"/>
          <w:color w:val="auto"/>
        </w:rPr>
        <w:t>人防电气</w:t>
      </w:r>
      <w:bookmarkEnd w:id="31"/>
    </w:p>
    <w:p w14:paraId="67E202A4">
      <w:pPr>
        <w:rPr>
          <w:color w:val="auto"/>
        </w:rPr>
      </w:pPr>
      <w:r>
        <w:rPr>
          <w:color w:val="auto"/>
        </w:rPr>
        <w:t>1</w:t>
      </w:r>
      <w:r>
        <w:rPr>
          <w:rFonts w:hint="eastAsia"/>
          <w:color w:val="auto"/>
        </w:rPr>
        <w:t>、战时电源</w:t>
      </w:r>
    </w:p>
    <w:p w14:paraId="648C39B3">
      <w:pPr>
        <w:rPr>
          <w:color w:val="auto"/>
        </w:rPr>
      </w:pPr>
      <w:r>
        <w:rPr>
          <w:rFonts w:hint="eastAsia"/>
          <w:color w:val="auto"/>
        </w:rPr>
        <w:t>（1）供电系统：</w:t>
      </w:r>
    </w:p>
    <w:p w14:paraId="728E65FC">
      <w:pPr>
        <w:rPr>
          <w:color w:val="auto"/>
        </w:rPr>
      </w:pPr>
      <w:r>
        <w:rPr>
          <w:rFonts w:hint="eastAsia"/>
          <w:color w:val="auto"/>
        </w:rPr>
        <w:t>由地下一层低压配电房各引一路电源作为本人防地下室各防护单元的战时常用电源；另一路战时电源由人防内部EPS供电。</w:t>
      </w:r>
    </w:p>
    <w:p w14:paraId="5BEB6C35">
      <w:pPr>
        <w:rPr>
          <w:color w:val="auto"/>
        </w:rPr>
      </w:pPr>
      <w:r>
        <w:rPr>
          <w:rFonts w:hint="eastAsia"/>
          <w:color w:val="auto"/>
        </w:rPr>
        <w:t>（2）另外，为确保战时本工程人防重要负荷设备用电，本工程在各防护单元内设置一台容量约为5kW的EPS。</w:t>
      </w:r>
    </w:p>
    <w:p w14:paraId="71A30A3D">
      <w:pPr>
        <w:rPr>
          <w:color w:val="auto"/>
        </w:rPr>
      </w:pPr>
      <w:r>
        <w:rPr>
          <w:rFonts w:hint="eastAsia"/>
          <w:color w:val="auto"/>
        </w:rPr>
        <w:t>（3）防护单元的常用与战时电源在防护单元战时配电室或防化通信值班室内自动切换 ,并采用机械电气联锁装置以保证战时供电可靠性 。</w:t>
      </w:r>
    </w:p>
    <w:p w14:paraId="16CCAFF6">
      <w:pPr>
        <w:rPr>
          <w:color w:val="auto"/>
        </w:rPr>
      </w:pPr>
      <w:r>
        <w:rPr>
          <w:color w:val="auto"/>
        </w:rPr>
        <w:t>2</w:t>
      </w:r>
      <w:r>
        <w:rPr>
          <w:rFonts w:hint="eastAsia"/>
          <w:color w:val="auto"/>
        </w:rPr>
        <w:t>、战时负荷</w:t>
      </w:r>
    </w:p>
    <w:p w14:paraId="45873620">
      <w:pPr>
        <w:rPr>
          <w:color w:val="auto"/>
        </w:rPr>
      </w:pPr>
      <w:r>
        <w:rPr>
          <w:rFonts w:hint="eastAsia"/>
          <w:color w:val="auto"/>
        </w:rPr>
        <w:t>（1）负荷分级：</w:t>
      </w:r>
    </w:p>
    <w:p w14:paraId="6F344795">
      <w:pPr>
        <w:rPr>
          <w:color w:val="auto"/>
        </w:rPr>
      </w:pPr>
      <w:r>
        <w:rPr>
          <w:rFonts w:hint="eastAsia"/>
          <w:color w:val="auto"/>
        </w:rPr>
        <w:t>一级：基本通信设备、音响警报接收设备、应急通信设备、应急照明等；</w:t>
      </w:r>
    </w:p>
    <w:p w14:paraId="43AB16CA">
      <w:pPr>
        <w:rPr>
          <w:color w:val="auto"/>
        </w:rPr>
      </w:pPr>
      <w:r>
        <w:rPr>
          <w:rFonts w:hint="eastAsia"/>
          <w:color w:val="auto"/>
        </w:rPr>
        <w:t>二级：重要的风机、水泵、三种通风方式装置系统、正常照明、电动（防护）密闭（阀）门等；</w:t>
      </w:r>
    </w:p>
    <w:p w14:paraId="1596205F">
      <w:pPr>
        <w:rPr>
          <w:color w:val="auto"/>
        </w:rPr>
      </w:pPr>
      <w:r>
        <w:rPr>
          <w:rFonts w:hint="eastAsia"/>
          <w:color w:val="auto"/>
        </w:rPr>
        <w:t>三级：除一、二级以外的用电负荷。</w:t>
      </w:r>
    </w:p>
    <w:p w14:paraId="3B649FF3">
      <w:pPr>
        <w:rPr>
          <w:color w:val="auto"/>
        </w:rPr>
      </w:pPr>
      <w:r>
        <w:rPr>
          <w:rFonts w:hint="eastAsia"/>
          <w:color w:val="auto"/>
        </w:rPr>
        <w:t>负荷统计，战时总安装负荷约44.8KW；战时计算负荷32KW。</w:t>
      </w:r>
    </w:p>
    <w:p w14:paraId="1E58F30A">
      <w:pPr>
        <w:rPr>
          <w:color w:val="auto"/>
        </w:rPr>
      </w:pPr>
      <w:r>
        <w:rPr>
          <w:color w:val="auto"/>
        </w:rPr>
        <w:t>3</w:t>
      </w:r>
      <w:r>
        <w:rPr>
          <w:rFonts w:hint="eastAsia"/>
          <w:color w:val="auto"/>
        </w:rPr>
        <w:t>、战时动力照明</w:t>
      </w:r>
    </w:p>
    <w:p w14:paraId="55707E3B">
      <w:pPr>
        <w:rPr>
          <w:color w:val="auto"/>
        </w:rPr>
      </w:pPr>
      <w:r>
        <w:rPr>
          <w:rFonts w:hint="eastAsia"/>
          <w:color w:val="auto"/>
        </w:rPr>
        <w:t>（1）该人防地下室的照明灯具和线路应尽量实现平战接合，或临战前稍加改造，以减少平战转换时间。</w:t>
      </w:r>
    </w:p>
    <w:p w14:paraId="57A76EBB">
      <w:pPr>
        <w:rPr>
          <w:color w:val="auto"/>
        </w:rPr>
      </w:pPr>
      <w:r>
        <w:rPr>
          <w:rFonts w:hint="eastAsia"/>
          <w:color w:val="auto"/>
        </w:rPr>
        <w:t>（2）为了满足战时要求，防护区内的灯具应用链吊或线吊，不得采用吸顶、壁装或管吊，若平时确实不能满足此条件，战时必须进行改装，或临战前加装防掉落保护网罩，防护区外的灯具不受此限制。</w:t>
      </w:r>
    </w:p>
    <w:p w14:paraId="4D4FD8D8">
      <w:pPr>
        <w:rPr>
          <w:color w:val="auto"/>
        </w:rPr>
      </w:pPr>
      <w:r>
        <w:rPr>
          <w:rFonts w:hint="eastAsia"/>
          <w:color w:val="auto"/>
        </w:rPr>
        <w:t>（3）战时人防照度标准：</w:t>
      </w:r>
    </w:p>
    <w:p w14:paraId="0B3EB94D">
      <w:pPr>
        <w:rPr>
          <w:color w:val="auto"/>
        </w:rPr>
      </w:pPr>
      <w:r>
        <w:rPr>
          <w:rFonts w:hint="eastAsia"/>
          <w:color w:val="auto"/>
        </w:rPr>
        <w:t>配电间、值班室等150LX；出入口、二等人员掩蔽室等100LX；风机房、滤毒室、除尘室、洗消间、人员掩蔽室、通道等75LX。</w:t>
      </w:r>
    </w:p>
    <w:p w14:paraId="005788DB">
      <w:pPr>
        <w:rPr>
          <w:color w:val="auto"/>
        </w:rPr>
      </w:pPr>
      <w:r>
        <w:rPr>
          <w:rFonts w:hint="eastAsia"/>
          <w:color w:val="auto"/>
        </w:rPr>
        <w:t>（4）人员主要出入口的防护密闭门外侧设置呼唤按钮，门铃设在战时值班室内，门铃按钮须满足抗爆要求，施工时预埋好穿线管（SC25）。</w:t>
      </w:r>
    </w:p>
    <w:p w14:paraId="3929F0C8">
      <w:pPr>
        <w:rPr>
          <w:color w:val="auto"/>
        </w:rPr>
      </w:pPr>
      <w:r>
        <w:rPr>
          <w:rFonts w:hint="eastAsia"/>
          <w:color w:val="auto"/>
        </w:rPr>
        <w:t>（5）由地下室内部引至防护密闭门外的照明线路应在密闭门内侧单独设熔断器或空气开关保护，以保证当防护区外的线路被破坏时防护区的灯具和线路仍正常工作。</w:t>
      </w:r>
    </w:p>
    <w:p w14:paraId="1906FD7B">
      <w:pPr>
        <w:rPr>
          <w:color w:val="auto"/>
        </w:rPr>
      </w:pPr>
      <w:r>
        <w:rPr>
          <w:rFonts w:hint="eastAsia"/>
          <w:color w:val="auto"/>
        </w:rPr>
        <w:t>（6）在防化通信值班室内设置通风方式控制台，控制战时各种通风方式时各风机、阀门的运行状态。在值班室、风机房、配电室、防化通信值班室及战时主要出入口最里一道密闭门和内侧均设置能显示通风方式的音响和信号装置，以使人员了解工程内部通风方式运行情况。</w:t>
      </w:r>
    </w:p>
    <w:p w14:paraId="3C370ADC">
      <w:pPr>
        <w:rPr>
          <w:color w:val="auto"/>
        </w:rPr>
      </w:pPr>
      <w:r>
        <w:rPr>
          <w:rFonts w:hint="eastAsia"/>
          <w:color w:val="auto"/>
        </w:rPr>
        <w:t>（7）所有战时用的配电屏（箱）均设于清洁区内，壁挂中心距地1.5m。</w:t>
      </w:r>
    </w:p>
    <w:p w14:paraId="26A87616">
      <w:pPr>
        <w:rPr>
          <w:color w:val="auto"/>
        </w:rPr>
      </w:pPr>
      <w:r>
        <w:rPr>
          <w:color w:val="auto"/>
        </w:rPr>
        <w:t>4</w:t>
      </w:r>
      <w:r>
        <w:rPr>
          <w:rFonts w:hint="eastAsia"/>
          <w:color w:val="auto"/>
        </w:rPr>
        <w:t>、线路敷设及防护</w:t>
      </w:r>
    </w:p>
    <w:p w14:paraId="27C6ED81">
      <w:pPr>
        <w:rPr>
          <w:color w:val="auto"/>
        </w:rPr>
      </w:pPr>
      <w:r>
        <w:rPr>
          <w:rFonts w:hint="eastAsia"/>
          <w:color w:val="auto"/>
        </w:rPr>
        <w:t>（1）电气管线采用穿热镀锌钢管沿地下室顶板或梁底用吊钩敷设，吊钩须作防锈处理。</w:t>
      </w:r>
    </w:p>
    <w:p w14:paraId="15923A98">
      <w:pPr>
        <w:rPr>
          <w:color w:val="auto"/>
        </w:rPr>
      </w:pPr>
      <w:r>
        <w:rPr>
          <w:rFonts w:hint="eastAsia"/>
          <w:color w:val="auto"/>
        </w:rPr>
        <w:t>（2）所有穿越地下室围护结构，防护密闭墙、密闭墙、密闭隔墙和楼板的电气管线或预留的备用穿管（含平时电气管线），须做好防护密闭处理，且管壁厚度不小于2.5mm。电动阀门的控制线、电源线到风机室后，穿钢管沿风管侧面明敷，临战时敷设。</w:t>
      </w:r>
    </w:p>
    <w:p w14:paraId="25DE8CB2">
      <w:pPr>
        <w:rPr>
          <w:color w:val="auto"/>
        </w:rPr>
      </w:pPr>
      <w:r>
        <w:rPr>
          <w:color w:val="auto"/>
        </w:rPr>
        <w:t>5</w:t>
      </w:r>
      <w:r>
        <w:rPr>
          <w:rFonts w:hint="eastAsia"/>
          <w:color w:val="auto"/>
        </w:rPr>
        <w:t>、设备安装及预留</w:t>
      </w:r>
    </w:p>
    <w:p w14:paraId="65C85A55">
      <w:pPr>
        <w:rPr>
          <w:color w:val="auto"/>
        </w:rPr>
      </w:pPr>
      <w:r>
        <w:rPr>
          <w:rFonts w:hint="eastAsia"/>
          <w:color w:val="auto"/>
        </w:rPr>
        <w:t>各动力控制箱、通风方式控制台只预留安装位置，待临战前安装。各种管线一次施工完毕，以备战时快速安装。各配电箱下沿距室内地坪1.5m与平时结合使用的配电箱（如平战结合照明配电箱）的电源线安装到位而不接到配电箱进线开关上，待临战前换下平时电源线。在各主要出入口防护门和防密门的侧面各预留四~六根50~80镀锌钢管，作为战时三防信号穿越防护区时专用。</w:t>
      </w:r>
    </w:p>
    <w:p w14:paraId="523E6EA1">
      <w:pPr>
        <w:rPr>
          <w:color w:val="auto"/>
        </w:rPr>
      </w:pPr>
      <w:r>
        <w:rPr>
          <w:color w:val="auto"/>
        </w:rPr>
        <w:t>6</w:t>
      </w:r>
      <w:r>
        <w:rPr>
          <w:rFonts w:hint="eastAsia"/>
          <w:color w:val="auto"/>
        </w:rPr>
        <w:t>、接地</w:t>
      </w:r>
    </w:p>
    <w:p w14:paraId="40270B14">
      <w:pPr>
        <w:rPr>
          <w:color w:val="auto"/>
        </w:rPr>
      </w:pPr>
      <w:r>
        <w:rPr>
          <w:rFonts w:hint="eastAsia"/>
          <w:color w:val="auto"/>
        </w:rPr>
        <w:t>采用TN-S接地系统；要求配电箱外壳、设备基础、金属管线要有可靠接地，要求接地电阻R不大于4欧姆。电力系统电源低压电缆进线的中性线，应在进线处作重复接地。防空地下室室内的保护接地干线、电气装置人工接地极的接地干线或总接地端子、室内的公用金属管道，如通风管、给水管、排水管、电缆或电线的穿线管、室内的电气设备金属外壳、电缆金属外护层等做等电位连接。</w:t>
      </w:r>
    </w:p>
    <w:p w14:paraId="34E0CA05">
      <w:pPr>
        <w:pStyle w:val="4"/>
        <w:ind w:firstLine="482"/>
        <w:rPr>
          <w:color w:val="auto"/>
        </w:rPr>
      </w:pPr>
      <w:bookmarkStart w:id="32" w:name="_Toc12090"/>
      <w:r>
        <w:rPr>
          <w:rFonts w:hint="eastAsia"/>
          <w:color w:val="auto"/>
        </w:rPr>
        <w:t>装配式工程</w:t>
      </w:r>
      <w:bookmarkEnd w:id="32"/>
    </w:p>
    <w:p w14:paraId="2EB2EDCC">
      <w:pPr>
        <w:pStyle w:val="5"/>
        <w:rPr>
          <w:color w:val="auto"/>
        </w:rPr>
      </w:pPr>
      <w:bookmarkStart w:id="33" w:name="_Toc12734"/>
      <w:r>
        <w:rPr>
          <w:rFonts w:hint="eastAsia"/>
          <w:color w:val="auto"/>
        </w:rPr>
        <w:t>装配式概况</w:t>
      </w:r>
      <w:bookmarkEnd w:id="33"/>
    </w:p>
    <w:p w14:paraId="215965A1">
      <w:pPr>
        <w:rPr>
          <w:color w:val="auto"/>
        </w:rPr>
      </w:pPr>
      <w:r>
        <w:rPr>
          <w:color w:val="auto"/>
        </w:rPr>
        <w:t>1</w:t>
      </w:r>
      <w:r>
        <w:rPr>
          <w:rFonts w:hint="eastAsia"/>
          <w:color w:val="auto"/>
        </w:rPr>
        <w:t>、建筑物的基本情况</w:t>
      </w:r>
    </w:p>
    <w:p w14:paraId="7D9CA601">
      <w:pPr>
        <w:rPr>
          <w:color w:val="auto"/>
        </w:rPr>
      </w:pPr>
      <w:r>
        <w:rPr>
          <w:rFonts w:hint="eastAsia"/>
          <w:color w:val="auto"/>
        </w:rPr>
        <w:t>本项目拟采用装配整体式钢筋混凝土框架结构，本项目主体部分选择在水平结构中使用预制叠合楼板、预制楼梯施工，实现装配式技术在主体结构中的应用；围护墙和内隔墙部分采用轻质隔墙板、管线、装修一体化技术满足内隔墙非砌筑及内隔墙与管线、装修一体化的评价标准，实现围护墙和内隔墙部分的装配式技术应用；装修和设备管线部分首先采用全装修满足评价标准要求，其次采用集成卫生间、管线分离做法。建筑装配率不低于50%。</w:t>
      </w:r>
    </w:p>
    <w:p w14:paraId="7D99705E">
      <w:pPr>
        <w:rPr>
          <w:color w:val="auto"/>
        </w:rPr>
      </w:pPr>
      <w:r>
        <w:rPr>
          <w:color w:val="auto"/>
        </w:rPr>
        <w:t>2</w:t>
      </w:r>
      <w:r>
        <w:rPr>
          <w:rFonts w:hint="eastAsia"/>
          <w:color w:val="auto"/>
        </w:rPr>
        <w:t>、材料</w:t>
      </w:r>
    </w:p>
    <w:p w14:paraId="0278B7AB">
      <w:pPr>
        <w:rPr>
          <w:color w:val="auto"/>
        </w:rPr>
      </w:pPr>
      <w:r>
        <w:rPr>
          <w:rFonts w:hint="eastAsia"/>
          <w:color w:val="auto"/>
        </w:rPr>
        <w:t>1）主要构件混凝土强度等级及保护层厚度</w:t>
      </w:r>
    </w:p>
    <w:p w14:paraId="6C2AD5CA">
      <w:pPr>
        <w:rPr>
          <w:color w:val="auto"/>
        </w:rPr>
      </w:pPr>
      <w:r>
        <w:rPr>
          <w:rFonts w:hint="eastAsia"/>
          <w:color w:val="auto"/>
        </w:rPr>
        <w:t>本项目预制构件混凝土强度等级均不小于C30，后浇混凝土强度等级同所连预制构件中混凝土强度高的预制构件。具体各类预制构件混凝土强度等级以结构计算为准。</w:t>
      </w:r>
    </w:p>
    <w:p w14:paraId="425888D7">
      <w:pPr>
        <w:rPr>
          <w:color w:val="auto"/>
        </w:rPr>
      </w:pPr>
      <w:r>
        <w:rPr>
          <w:rFonts w:hint="eastAsia"/>
          <w:color w:val="auto"/>
        </w:rPr>
        <w:t>本项目预制构件最小保护层厚度需满足《混凝土结构设计规范》（GB 50010-2010）第8.2章节的相关规定。</w:t>
      </w:r>
    </w:p>
    <w:p w14:paraId="59868495">
      <w:pPr>
        <w:rPr>
          <w:color w:val="auto"/>
        </w:rPr>
      </w:pPr>
      <w:r>
        <w:rPr>
          <w:rFonts w:hint="eastAsia"/>
          <w:color w:val="auto"/>
        </w:rPr>
        <w:t>2）钢筋</w:t>
      </w:r>
    </w:p>
    <w:p w14:paraId="18993839">
      <w:pPr>
        <w:rPr>
          <w:color w:val="auto"/>
        </w:rPr>
      </w:pPr>
      <w:r>
        <w:rPr>
          <w:rFonts w:hint="eastAsia"/>
          <w:color w:val="auto"/>
        </w:rPr>
        <w:t>钢筋直径为d≤8mm时且用于构造钢筋使用时采用HPB300级钢筋，fy=270N/mm×mm；梁、板、楼梯、板主要钢筋强度等级：HRB400级钢， fy=360N/mm×mm。</w:t>
      </w:r>
    </w:p>
    <w:p w14:paraId="490EB25B">
      <w:pPr>
        <w:rPr>
          <w:color w:val="auto"/>
        </w:rPr>
      </w:pPr>
      <w:r>
        <w:rPr>
          <w:rFonts w:hint="eastAsia"/>
          <w:color w:val="auto"/>
        </w:rPr>
        <w:t>3）钢材</w:t>
      </w:r>
    </w:p>
    <w:p w14:paraId="53DD2A1E">
      <w:pPr>
        <w:rPr>
          <w:color w:val="auto"/>
        </w:rPr>
      </w:pPr>
      <w:r>
        <w:rPr>
          <w:rFonts w:hint="eastAsia"/>
          <w:color w:val="auto"/>
        </w:rPr>
        <w:t>焊条：E50用于HRB335级钢筋和Q345钢材，E55用于HRB400钢筋。</w:t>
      </w:r>
    </w:p>
    <w:p w14:paraId="66A5B1AA">
      <w:pPr>
        <w:rPr>
          <w:color w:val="auto"/>
        </w:rPr>
      </w:pPr>
      <w:r>
        <w:rPr>
          <w:rFonts w:hint="eastAsia"/>
          <w:color w:val="auto"/>
        </w:rPr>
        <w:t>施工所用的焊条、焊丝、焊剂等均应与主体金属强度相适应，当二个不同强度的钢材焊接时，可采用与低强度钢材相适应的焊条。</w:t>
      </w:r>
    </w:p>
    <w:p w14:paraId="7D9DAEC1">
      <w:pPr>
        <w:rPr>
          <w:color w:val="auto"/>
        </w:rPr>
      </w:pPr>
      <w:r>
        <w:rPr>
          <w:rFonts w:hint="eastAsia"/>
          <w:color w:val="auto"/>
        </w:rPr>
        <w:t>4）非砌筑内隔墙</w:t>
      </w:r>
    </w:p>
    <w:p w14:paraId="254626D0">
      <w:pPr>
        <w:rPr>
          <w:color w:val="auto"/>
        </w:rPr>
      </w:pPr>
      <w:r>
        <w:rPr>
          <w:rFonts w:hint="eastAsia"/>
          <w:color w:val="auto"/>
        </w:rPr>
        <w:t>拟采用蒸压加气混凝土板或当地常用的非砌筑内隔墙。蒸压加气混凝土板是以水泥、石灰、硅砂等为主要原料再根据结构要求配置添加不同数量经防腐处理的钢筋网片的一种轻质多孔新型的绿色环保建筑材料。蒸压加气混凝土板材（ALC）使用和安装须满足国标图集《蒸压加气混凝土砌块、板材构造》13J104及建筑结构施工图对填充墙体材料的相关要求。</w:t>
      </w:r>
    </w:p>
    <w:p w14:paraId="0F4BC76B">
      <w:pPr>
        <w:rPr>
          <w:color w:val="auto"/>
        </w:rPr>
      </w:pPr>
      <w:r>
        <w:rPr>
          <w:color w:val="auto"/>
        </w:rPr>
        <w:t>3</w:t>
      </w:r>
      <w:r>
        <w:rPr>
          <w:rFonts w:hint="eastAsia"/>
          <w:color w:val="auto"/>
        </w:rPr>
        <w:t>、本项目预制构件简介</w:t>
      </w:r>
    </w:p>
    <w:p w14:paraId="692DFCC8">
      <w:pPr>
        <w:rPr>
          <w:color w:val="auto"/>
        </w:rPr>
      </w:pPr>
      <w:r>
        <w:rPr>
          <w:rFonts w:hint="eastAsia"/>
          <w:color w:val="auto"/>
        </w:rPr>
        <w:t>本项目最主要的PC构件是叠合楼板；PC构件是按极限强度设计方法进行设计，在工厂或现场进行预制而成的。</w:t>
      </w:r>
    </w:p>
    <w:p w14:paraId="2447653E">
      <w:pPr>
        <w:rPr>
          <w:color w:val="auto"/>
        </w:rPr>
      </w:pPr>
      <w:r>
        <w:rPr>
          <w:rFonts w:hint="eastAsia"/>
          <w:color w:val="auto"/>
        </w:rPr>
        <w:t>1） 叠合楼板</w:t>
      </w:r>
    </w:p>
    <w:p w14:paraId="6203B42B">
      <w:pPr>
        <w:rPr>
          <w:color w:val="auto"/>
        </w:rPr>
      </w:pPr>
      <w:r>
        <w:rPr>
          <w:rFonts w:hint="eastAsia"/>
          <w:color w:val="auto"/>
        </w:rPr>
        <w:t>叠合楼板总厚度130mm（60预制+70现浇）；预制板表面做成凹凸差不小于4mm的粗糙面、在预制板内设置桁架钢筋，可以增加预制板的整体刚度和水平界面抗剪性能，同时，钢筋桁架的下弦及上弦可作为楼板的下部和上部受力钢筋使用。施工阶段，验算预制板的承载力及变形时，可考虑桁架钢筋的作用，减小预制板下的临时支撑；叠合板的钢筋桁架间距不大于600mm，桁架高度为70mm；标准叠合楼板宽度B≤3200mm，叠合板跨度根据工程实体情况按标准模数设计。</w:t>
      </w:r>
    </w:p>
    <w:p w14:paraId="4323BBC0">
      <w:pPr>
        <w:pStyle w:val="65"/>
        <w:spacing w:before="163" w:after="163"/>
        <w:rPr>
          <w:color w:val="auto"/>
        </w:rPr>
      </w:pPr>
      <w:r>
        <w:rPr>
          <w:rFonts w:hint="eastAsia"/>
          <w:color w:val="auto"/>
        </w:rPr>
        <w:drawing>
          <wp:inline distT="0" distB="0" distL="0" distR="0">
            <wp:extent cx="4404360" cy="223266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4404360" cy="2232660"/>
                    </a:xfrm>
                    <a:prstGeom prst="rect">
                      <a:avLst/>
                    </a:prstGeom>
                    <a:noFill/>
                    <a:ln>
                      <a:noFill/>
                    </a:ln>
                  </pic:spPr>
                </pic:pic>
              </a:graphicData>
            </a:graphic>
          </wp:inline>
        </w:drawing>
      </w:r>
    </w:p>
    <w:p w14:paraId="4CE67E54">
      <w:pPr>
        <w:pStyle w:val="53"/>
        <w:rPr>
          <w:color w:val="auto"/>
        </w:rPr>
      </w:pPr>
      <w:r>
        <w:rPr>
          <w:rFonts w:hint="eastAsia"/>
          <w:color w:val="auto"/>
        </w:rPr>
        <w:t>叠合楼板</w:t>
      </w:r>
    </w:p>
    <w:p w14:paraId="41894497">
      <w:pPr>
        <w:pStyle w:val="5"/>
        <w:rPr>
          <w:color w:val="auto"/>
        </w:rPr>
      </w:pPr>
      <w:bookmarkStart w:id="34" w:name="_Toc8779"/>
      <w:r>
        <w:rPr>
          <w:rFonts w:hint="eastAsia"/>
          <w:color w:val="auto"/>
        </w:rPr>
        <w:t>装配式结构布置</w:t>
      </w:r>
      <w:bookmarkEnd w:id="34"/>
    </w:p>
    <w:p w14:paraId="4A193A29">
      <w:pPr>
        <w:rPr>
          <w:color w:val="auto"/>
        </w:rPr>
      </w:pPr>
      <w:r>
        <w:rPr>
          <w:rFonts w:hint="eastAsia"/>
          <w:color w:val="auto"/>
        </w:rPr>
        <w:t>结构体系为框架结构。本工程预制装配率不小于50%，预制部位及构件、部品分布如下，其余部位均为现浇。</w:t>
      </w:r>
    </w:p>
    <w:p w14:paraId="44D9008D">
      <w:pPr>
        <w:pStyle w:val="54"/>
        <w:rPr>
          <w:color w:val="auto"/>
        </w:rPr>
      </w:pPr>
      <w:r>
        <w:rPr>
          <w:rFonts w:hint="eastAsia"/>
          <w:color w:val="auto"/>
        </w:rPr>
        <w:t>装配式构件布置</w:t>
      </w:r>
    </w:p>
    <w:tbl>
      <w:tblPr>
        <w:tblStyle w:val="29"/>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861"/>
        <w:gridCol w:w="3797"/>
        <w:gridCol w:w="2647"/>
      </w:tblGrid>
      <w:tr w14:paraId="2910E4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53F6E9E7">
            <w:pPr>
              <w:pStyle w:val="45"/>
              <w:rPr>
                <w:rFonts w:hint="eastAsia"/>
                <w:color w:val="auto"/>
              </w:rPr>
            </w:pPr>
            <w:r>
              <w:rPr>
                <w:rFonts w:hint="eastAsia"/>
                <w:color w:val="auto"/>
              </w:rPr>
              <w:t xml:space="preserve">序号 </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4278241A">
            <w:pPr>
              <w:pStyle w:val="45"/>
              <w:rPr>
                <w:rFonts w:hint="eastAsia"/>
                <w:color w:val="auto"/>
              </w:rPr>
            </w:pPr>
            <w:r>
              <w:rPr>
                <w:rFonts w:hint="eastAsia"/>
                <w:color w:val="auto"/>
              </w:rPr>
              <w:t xml:space="preserve">预制构件名称 </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160DC37A">
            <w:pPr>
              <w:pStyle w:val="45"/>
              <w:rPr>
                <w:rFonts w:hint="eastAsia"/>
                <w:color w:val="auto"/>
              </w:rPr>
            </w:pPr>
            <w:r>
              <w:rPr>
                <w:rFonts w:hint="eastAsia"/>
                <w:color w:val="auto"/>
              </w:rPr>
              <w:t xml:space="preserve">标高及部位 </w:t>
            </w:r>
          </w:p>
        </w:tc>
      </w:tr>
      <w:tr w14:paraId="67A706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081A0F44">
            <w:pPr>
              <w:pStyle w:val="45"/>
              <w:rPr>
                <w:rFonts w:hint="eastAsia"/>
                <w:color w:val="auto"/>
              </w:rPr>
            </w:pPr>
            <w:r>
              <w:rPr>
                <w:rFonts w:hint="eastAsia"/>
                <w:color w:val="auto"/>
              </w:rPr>
              <w:t>1</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6AC8493D">
            <w:pPr>
              <w:pStyle w:val="45"/>
              <w:rPr>
                <w:rFonts w:hint="eastAsia"/>
                <w:color w:val="auto"/>
              </w:rPr>
            </w:pPr>
            <w:r>
              <w:rPr>
                <w:rFonts w:hint="eastAsia"/>
                <w:color w:val="auto"/>
              </w:rPr>
              <w:t>预制叠合楼板</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20AEA971">
            <w:pPr>
              <w:pStyle w:val="45"/>
              <w:rPr>
                <w:rFonts w:hint="eastAsia"/>
                <w:color w:val="auto"/>
              </w:rPr>
            </w:pPr>
            <w:r>
              <w:rPr>
                <w:rFonts w:hint="eastAsia"/>
                <w:color w:val="auto"/>
              </w:rPr>
              <w:t>2层楼面~屋面</w:t>
            </w:r>
          </w:p>
        </w:tc>
      </w:tr>
      <w:tr w14:paraId="660B4F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0DAA99CA">
            <w:pPr>
              <w:pStyle w:val="45"/>
              <w:rPr>
                <w:rFonts w:hint="eastAsia"/>
                <w:color w:val="auto"/>
              </w:rPr>
            </w:pPr>
            <w:r>
              <w:rPr>
                <w:rFonts w:hint="eastAsia"/>
                <w:color w:val="auto"/>
              </w:rPr>
              <w:t>2</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64DA829E">
            <w:pPr>
              <w:pStyle w:val="45"/>
              <w:rPr>
                <w:rFonts w:hint="eastAsia"/>
                <w:color w:val="auto"/>
              </w:rPr>
            </w:pPr>
            <w:r>
              <w:rPr>
                <w:rFonts w:hint="eastAsia"/>
                <w:color w:val="auto"/>
              </w:rPr>
              <w:t>采用定型装配式模板施工的现浇梁</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2DD1D5FE">
            <w:pPr>
              <w:pStyle w:val="45"/>
              <w:rPr>
                <w:rFonts w:hint="eastAsia"/>
                <w:color w:val="auto"/>
              </w:rPr>
            </w:pPr>
            <w:r>
              <w:rPr>
                <w:rFonts w:hint="eastAsia"/>
                <w:color w:val="auto"/>
              </w:rPr>
              <w:t>2层楼面~屋面</w:t>
            </w:r>
          </w:p>
        </w:tc>
      </w:tr>
      <w:tr w14:paraId="7D910B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5AE2E27B">
            <w:pPr>
              <w:pStyle w:val="45"/>
              <w:rPr>
                <w:rFonts w:hint="eastAsia"/>
                <w:color w:val="auto"/>
              </w:rPr>
            </w:pPr>
            <w:r>
              <w:rPr>
                <w:rFonts w:hint="eastAsia"/>
                <w:color w:val="auto"/>
              </w:rPr>
              <w:t>3</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4D1771F5">
            <w:pPr>
              <w:pStyle w:val="45"/>
              <w:rPr>
                <w:rFonts w:hint="eastAsia"/>
                <w:color w:val="auto"/>
              </w:rPr>
            </w:pPr>
            <w:r>
              <w:rPr>
                <w:rFonts w:hint="eastAsia"/>
                <w:color w:val="auto"/>
              </w:rPr>
              <w:t>轻质内隔墙</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177BA5B7">
            <w:pPr>
              <w:pStyle w:val="45"/>
              <w:rPr>
                <w:rFonts w:hint="eastAsia"/>
                <w:color w:val="auto"/>
              </w:rPr>
            </w:pPr>
            <w:r>
              <w:rPr>
                <w:rFonts w:hint="eastAsia"/>
                <w:color w:val="auto"/>
              </w:rPr>
              <w:t>1层~顶层</w:t>
            </w:r>
          </w:p>
        </w:tc>
      </w:tr>
      <w:tr w14:paraId="1205FB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407561FD">
            <w:pPr>
              <w:pStyle w:val="45"/>
              <w:rPr>
                <w:rFonts w:hint="eastAsia"/>
                <w:color w:val="auto"/>
              </w:rPr>
            </w:pPr>
            <w:r>
              <w:rPr>
                <w:rFonts w:hint="eastAsia"/>
                <w:color w:val="auto"/>
              </w:rPr>
              <w:t>4</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23CF642">
            <w:pPr>
              <w:pStyle w:val="45"/>
              <w:rPr>
                <w:rFonts w:hint="eastAsia"/>
                <w:color w:val="auto"/>
              </w:rPr>
            </w:pPr>
            <w:r>
              <w:rPr>
                <w:rFonts w:hint="eastAsia"/>
                <w:color w:val="auto"/>
              </w:rPr>
              <w:t>轻质内隔墙、管线装修一体化技术</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27C02987">
            <w:pPr>
              <w:pStyle w:val="45"/>
              <w:rPr>
                <w:rFonts w:hint="eastAsia"/>
                <w:color w:val="auto"/>
              </w:rPr>
            </w:pPr>
            <w:r>
              <w:rPr>
                <w:rFonts w:hint="eastAsia"/>
                <w:color w:val="auto"/>
              </w:rPr>
              <w:t>1层~顶层</w:t>
            </w:r>
          </w:p>
        </w:tc>
      </w:tr>
      <w:tr w14:paraId="060CB4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0A7E22B5">
            <w:pPr>
              <w:pStyle w:val="45"/>
              <w:rPr>
                <w:rFonts w:hint="eastAsia"/>
                <w:color w:val="auto"/>
              </w:rPr>
            </w:pPr>
            <w:r>
              <w:rPr>
                <w:rFonts w:hint="eastAsia"/>
                <w:color w:val="auto"/>
              </w:rPr>
              <w:t>5</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24063792">
            <w:pPr>
              <w:pStyle w:val="45"/>
              <w:rPr>
                <w:rFonts w:hint="eastAsia"/>
                <w:color w:val="auto"/>
              </w:rPr>
            </w:pPr>
            <w:r>
              <w:rPr>
                <w:rFonts w:hint="eastAsia"/>
                <w:color w:val="auto"/>
              </w:rPr>
              <w:t>集成卫生间</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1D8EB043">
            <w:pPr>
              <w:pStyle w:val="45"/>
              <w:rPr>
                <w:rFonts w:hint="eastAsia"/>
                <w:color w:val="auto"/>
              </w:rPr>
            </w:pPr>
            <w:r>
              <w:rPr>
                <w:rFonts w:hint="eastAsia"/>
                <w:color w:val="auto"/>
              </w:rPr>
              <w:t>1层~顶层</w:t>
            </w:r>
          </w:p>
        </w:tc>
      </w:tr>
      <w:tr w14:paraId="1203F8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861"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306671BC">
            <w:pPr>
              <w:pStyle w:val="45"/>
              <w:rPr>
                <w:rFonts w:hint="eastAsia"/>
                <w:color w:val="auto"/>
              </w:rPr>
            </w:pPr>
            <w:r>
              <w:rPr>
                <w:rFonts w:hint="eastAsia"/>
                <w:color w:val="auto"/>
              </w:rPr>
              <w:t>6</w:t>
            </w:r>
          </w:p>
        </w:tc>
        <w:tc>
          <w:tcPr>
            <w:tcW w:w="379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652611C9">
            <w:pPr>
              <w:pStyle w:val="45"/>
              <w:rPr>
                <w:rFonts w:hint="eastAsia"/>
                <w:color w:val="auto"/>
              </w:rPr>
            </w:pPr>
            <w:r>
              <w:rPr>
                <w:rFonts w:hint="eastAsia"/>
                <w:color w:val="auto"/>
              </w:rPr>
              <w:t>管线分离</w:t>
            </w:r>
          </w:p>
        </w:tc>
        <w:tc>
          <w:tcPr>
            <w:tcW w:w="2647" w:type="dxa"/>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008539B8">
            <w:pPr>
              <w:pStyle w:val="45"/>
              <w:rPr>
                <w:rFonts w:hint="eastAsia"/>
                <w:color w:val="auto"/>
              </w:rPr>
            </w:pPr>
            <w:r>
              <w:rPr>
                <w:rFonts w:hint="eastAsia"/>
                <w:color w:val="auto"/>
              </w:rPr>
              <w:t>1层~顶层</w:t>
            </w:r>
          </w:p>
        </w:tc>
      </w:tr>
    </w:tbl>
    <w:p w14:paraId="3D5A4FA3">
      <w:pPr>
        <w:pStyle w:val="4"/>
        <w:ind w:firstLine="482"/>
        <w:rPr>
          <w:color w:val="auto"/>
        </w:rPr>
      </w:pPr>
      <w:bookmarkStart w:id="35" w:name="_Toc531112466"/>
      <w:bookmarkStart w:id="36" w:name="_Toc30597"/>
      <w:r>
        <w:rPr>
          <w:rFonts w:hint="eastAsia"/>
          <w:color w:val="auto"/>
        </w:rPr>
        <w:t>自然条件</w:t>
      </w:r>
      <w:bookmarkEnd w:id="35"/>
      <w:bookmarkEnd w:id="36"/>
    </w:p>
    <w:p w14:paraId="4CADEA22">
      <w:pPr>
        <w:pStyle w:val="5"/>
        <w:rPr>
          <w:color w:val="auto"/>
        </w:rPr>
      </w:pPr>
      <w:bookmarkStart w:id="37" w:name="_Toc5537"/>
      <w:bookmarkStart w:id="38" w:name="_Toc531112467"/>
      <w:r>
        <w:rPr>
          <w:rFonts w:hint="eastAsia"/>
          <w:color w:val="auto"/>
        </w:rPr>
        <w:t>气象条件</w:t>
      </w:r>
      <w:bookmarkEnd w:id="37"/>
      <w:bookmarkEnd w:id="38"/>
    </w:p>
    <w:p w14:paraId="46FBE847">
      <w:pPr>
        <w:rPr>
          <w:color w:val="auto"/>
        </w:rPr>
      </w:pPr>
      <w:r>
        <w:rPr>
          <w:rFonts w:hint="eastAsia"/>
          <w:color w:val="auto"/>
        </w:rPr>
        <w:t>最冷月平均气温：23℃</w:t>
      </w:r>
    </w:p>
    <w:p w14:paraId="490AC209">
      <w:pPr>
        <w:rPr>
          <w:color w:val="auto"/>
        </w:rPr>
      </w:pPr>
      <w:r>
        <w:rPr>
          <w:rFonts w:hint="eastAsia"/>
          <w:color w:val="auto"/>
        </w:rPr>
        <w:t>最热月平均气温：29.7℃</w:t>
      </w:r>
    </w:p>
    <w:p w14:paraId="3CC2AFBB">
      <w:pPr>
        <w:rPr>
          <w:color w:val="auto"/>
        </w:rPr>
      </w:pPr>
      <w:r>
        <w:rPr>
          <w:rFonts w:hint="eastAsia"/>
          <w:color w:val="auto"/>
        </w:rPr>
        <w:t>年平均气温：25.4℃</w:t>
      </w:r>
    </w:p>
    <w:p w14:paraId="13DC7852">
      <w:pPr>
        <w:rPr>
          <w:color w:val="auto"/>
        </w:rPr>
      </w:pPr>
      <w:r>
        <w:rPr>
          <w:rFonts w:hint="eastAsia"/>
          <w:color w:val="auto"/>
        </w:rPr>
        <w:t>降水量：1190毫米</w:t>
      </w:r>
    </w:p>
    <w:p w14:paraId="0C009E09">
      <w:pPr>
        <w:rPr>
          <w:color w:val="auto"/>
        </w:rPr>
      </w:pPr>
      <w:r>
        <w:rPr>
          <w:rFonts w:hint="eastAsia"/>
          <w:color w:val="auto"/>
        </w:rPr>
        <w:t>年日照时数：1950～2950小时</w:t>
      </w:r>
    </w:p>
    <w:p w14:paraId="0EBB743F">
      <w:pPr>
        <w:rPr>
          <w:color w:val="auto"/>
        </w:rPr>
      </w:pPr>
      <w:r>
        <w:rPr>
          <w:rFonts w:hint="eastAsia"/>
          <w:color w:val="auto"/>
        </w:rPr>
        <w:t>主导风向及台风：风、海风和台风影响都较为明显。风速属低丘台地常风带，年平均风速2～3米/秒，属于台风登陆带。建筑物应进行防台风设计。年区域主导风向为东南风和东北风。年平均风速为3.2m/s，年平均大风日数172（六级以上），本区域受台风影响较大，处于台风走廊的范围，台风季节为6~9月份，台风风力一般为7级，最大风力可达到10~12级，年平均有2.5个台风影响本海区。</w:t>
      </w:r>
    </w:p>
    <w:p w14:paraId="48675879">
      <w:pPr>
        <w:pStyle w:val="5"/>
        <w:rPr>
          <w:rFonts w:hint="eastAsia" w:ascii="宋体" w:hAnsi="宋体"/>
          <w:color w:val="auto"/>
        </w:rPr>
      </w:pPr>
      <w:bookmarkStart w:id="39" w:name="_Toc27295"/>
      <w:r>
        <w:rPr>
          <w:rFonts w:hint="eastAsia" w:ascii="宋体" w:hAnsi="宋体"/>
          <w:color w:val="auto"/>
        </w:rPr>
        <w:t>工程地质条件</w:t>
      </w:r>
      <w:bookmarkEnd w:id="39"/>
    </w:p>
    <w:p w14:paraId="3FB9EDA7">
      <w:pPr>
        <w:rPr>
          <w:rFonts w:hint="eastAsia" w:ascii="宋体" w:hAnsi="宋体"/>
          <w:color w:val="auto"/>
        </w:rPr>
      </w:pPr>
      <w:r>
        <w:rPr>
          <w:rFonts w:hint="eastAsia" w:ascii="宋体" w:hAnsi="宋体"/>
          <w:color w:val="auto"/>
        </w:rPr>
        <w:t xml:space="preserve">根据钻探揭露，场地内揭露地层的为人工填土（Q4ml ）、第四系冲洪沉积层（Q4al+pl）及海相沉积层（Q3m）。各土层特征分述如下： </w:t>
      </w:r>
    </w:p>
    <w:p w14:paraId="5ADEF562">
      <w:pPr>
        <w:rPr>
          <w:rFonts w:hint="eastAsia" w:ascii="宋体" w:hAnsi="宋体"/>
          <w:color w:val="auto"/>
        </w:rPr>
      </w:pPr>
      <w:r>
        <w:rPr>
          <w:rFonts w:hint="eastAsia" w:ascii="宋体" w:hAnsi="宋体"/>
          <w:color w:val="auto"/>
        </w:rPr>
        <w:t>①素填土：灰色、灰黄色，松散状，湿，以砂土、粘性土为主，含较多植物根须。据了解，堆填时间大于5年。场地内均有见及，厚度介于0.30m～1.50m，平均0.69m。层顶标高1.32m～2.78m。</w:t>
      </w:r>
    </w:p>
    <w:p w14:paraId="3678A903">
      <w:pPr>
        <w:rPr>
          <w:rFonts w:hint="eastAsia" w:ascii="宋体" w:hAnsi="宋体"/>
          <w:color w:val="auto"/>
        </w:rPr>
      </w:pPr>
      <w:r>
        <w:rPr>
          <w:rFonts w:hint="eastAsia" w:ascii="宋体" w:hAnsi="宋体"/>
          <w:color w:val="auto"/>
        </w:rPr>
        <w:t>②1细砂：灰色、灰黄色，松散~稍密，饱和，石英砂，次棱角状，分选性一般。现场标准贯入试验17次，实测N值介于8击～10击，校正后N值介于7.8击～9.8击，平均8.6击。场地内钻孔局部相变为中砂，厚度介于0.40m～4.70m，平均2.23m。层顶埋深0.42m～2.24m，平均1.27m，标高为0.42m～2.34m；层底埋深0.30m～1.50m，标高为0.42m～2.24m。</w:t>
      </w:r>
    </w:p>
    <w:p w14:paraId="4DF8ADF5">
      <w:pPr>
        <w:rPr>
          <w:rFonts w:hint="eastAsia" w:ascii="宋体" w:hAnsi="宋体"/>
          <w:color w:val="auto"/>
        </w:rPr>
      </w:pPr>
      <w:bookmarkStart w:id="40" w:name="_Hlk61325083"/>
      <w:r>
        <w:rPr>
          <w:rFonts w:hint="eastAsia" w:ascii="宋体" w:hAnsi="宋体"/>
          <w:color w:val="auto"/>
        </w:rPr>
        <w:t>②2中砂：灰色、青灰色、灰黄色，稍密，饱和，石英砂，次棱角状，分选性一般，粉粘粒含量约5%。现场标准贯入试验28次，实测N值介于10击～12击，校正后N值介于8.7击～11.4击，平均9.8击。场地内钻孔局部相变为细砂，厚度介于1.50m～8.00m，平均3.62m。层顶埋深0.50m～5.30m，平均2.38m，标高为-2.93m～2.00m；层底埋深3.00m～9.40m，标高为-7.00m～-0.80m。</w:t>
      </w:r>
    </w:p>
    <w:bookmarkEnd w:id="40"/>
    <w:p w14:paraId="58366FFC">
      <w:pPr>
        <w:rPr>
          <w:rFonts w:hint="eastAsia" w:ascii="宋体" w:hAnsi="宋体"/>
          <w:color w:val="auto"/>
        </w:rPr>
      </w:pPr>
      <w:r>
        <w:rPr>
          <w:rFonts w:hint="eastAsia" w:ascii="宋体" w:hAnsi="宋体"/>
          <w:color w:val="auto"/>
        </w:rPr>
        <w:t>③粉砂：灰黄色、灰色，松散~稍密，饱和，石英砂，含少量有机质。现场标准贯入试验7次，实测N值介于8击～11击，校正后N值介于7.2击～9.6击，平均8.6击。场地内仅在17个钻孔中见及，厚度介于1.60m～5.70m，平均4.05m。层顶埋深0.50m～4.60m，平均2.53m，标高为-3.08m～-2.10m；层底埋深5.20m～8.00m，标高为-5.50m～-3.39m。</w:t>
      </w:r>
    </w:p>
    <w:p w14:paraId="3B730A89">
      <w:pPr>
        <w:rPr>
          <w:rFonts w:hint="eastAsia" w:ascii="宋体" w:hAnsi="宋体"/>
          <w:color w:val="auto"/>
        </w:rPr>
      </w:pPr>
      <w:r>
        <w:rPr>
          <w:rFonts w:hint="eastAsia" w:ascii="宋体" w:hAnsi="宋体"/>
          <w:color w:val="auto"/>
        </w:rPr>
        <w:t>④淤泥质粉质粘土：灰黑色，流塑，土质较均匀，刀切面较光滑，韧性低、干强度中等，微具臭味，含有机质，偶可见贝壳碎屑。取原状土样10件，土工试验主要物理力学性质指标平均值为：w=42.0%；e=1.251； IL=1.24； a1-2=0.78MPa-1；Es1-2=2.88MPa。现场标准贯入试验10次，实测N值介于1击～2击，校正后N值介于0.8击～1.6击，平均1.0击。场地内均有见及，厚度介于4.00m～9.60m，平均7.23m。层顶埋深4.60m～9.40m，平均6.18m，标高为-7.00m～-2.12m；层底埋深11.00m～14.90m，标高为-13.20m～-8.89m。</w:t>
      </w:r>
    </w:p>
    <w:p w14:paraId="47680A80">
      <w:pPr>
        <w:rPr>
          <w:rFonts w:hint="eastAsia" w:ascii="宋体" w:hAnsi="宋体"/>
          <w:color w:val="auto"/>
        </w:rPr>
      </w:pPr>
      <w:r>
        <w:rPr>
          <w:rFonts w:hint="eastAsia" w:ascii="宋体" w:hAnsi="宋体"/>
          <w:color w:val="auto"/>
        </w:rPr>
        <w:t>⑤1中砂：青灰色、灰色，稍密，饱和，石英砂，次棱角状，分选性一般，粉粘粒含量约5%。现场标准贯入试验20次，实测N值介于11击～14击，校正后N值介于8.2击～10.5击，平均9.1击。场地内仅在53个钻孔中缺失，厚度介于1.00m～7.60m，平均3.01m。层顶埋深11.00m～14.90m，平均13.52m，标高为-13.20m～-8.89m；层底埋深14.00m～18.70m，标高为-16.61m～-12.41m。</w:t>
      </w:r>
    </w:p>
    <w:p w14:paraId="7D67BD71">
      <w:pPr>
        <w:rPr>
          <w:rFonts w:hint="eastAsia" w:ascii="宋体" w:hAnsi="宋体"/>
          <w:color w:val="auto"/>
        </w:rPr>
      </w:pPr>
      <w:r>
        <w:rPr>
          <w:rFonts w:hint="eastAsia" w:ascii="宋体" w:hAnsi="宋体"/>
          <w:color w:val="auto"/>
        </w:rPr>
        <w:t>⑤2粉质粘土：青灰色，可塑，土质不均匀，夹少量中细砂，刀切面较粗糙，韧性、干强度中等。取原状土样8件，土工试验主要物理力学性质指标平均值为：w=22.9%；e=0.773； IL=0.17； a1-2=0.27MPa-1；Es1-2=6.51MPa。现场标准贯入试验14次，实测N值介于10击～13击，校正后N值介于7.5击～9.9击，平均8.9击。场地内仅在53个钻孔中见及，厚度介于0.90m～6.50m，平均3.67m。层顶埋深11.30m～15.50m，平均13.26m，标高为-13.82m～-9.54m；层底埋深14.50m～19.10m，标高为-17.30m～-12.95m。</w:t>
      </w:r>
    </w:p>
    <w:p w14:paraId="0FDB9C4D">
      <w:pPr>
        <w:rPr>
          <w:rFonts w:hint="eastAsia" w:ascii="宋体" w:hAnsi="宋体"/>
          <w:color w:val="auto"/>
        </w:rPr>
      </w:pPr>
      <w:r>
        <w:rPr>
          <w:rFonts w:hint="eastAsia" w:ascii="宋体" w:hAnsi="宋体"/>
          <w:color w:val="auto"/>
        </w:rPr>
        <w:t>⑥砾砂：黄褐色，灰黄色，饱和，中密，石英质，次圆状，夹较多卵、砾石，粒径3-12cm。现场标准贯入试验43次，实测N值介于23击～27击，校正后N值介于16.1击～19.0击，平均17.6击。场地内均有见及，厚度介于3.30m～10.0m，平均6.58m。层顶埋深14.00m～19.10m，平均16.67m，标高为-17.30m～-11.80m；层底埋深20.30m～25.80m，标高为-23.45m～-18.29m。</w:t>
      </w:r>
    </w:p>
    <w:p w14:paraId="77080060">
      <w:pPr>
        <w:rPr>
          <w:rFonts w:hint="eastAsia" w:ascii="宋体" w:hAnsi="宋体"/>
          <w:color w:val="auto"/>
        </w:rPr>
      </w:pPr>
      <w:r>
        <w:rPr>
          <w:rFonts w:hint="eastAsia" w:ascii="宋体" w:hAnsi="宋体"/>
          <w:color w:val="auto"/>
        </w:rPr>
        <w:t>⑦粉质粘土：灰色、青灰色，可塑~硬塑，土质不均匀，夹少量中砂，刀切面较粗糙，韧性、干强度中等。取原状土样12件，土工试验主要物理力学性质指标平均值为：w=19.2%；e=0.702； IL=0.02； a1-2=0.23MPa-1；Es1-2=7.51MPa。现场标准贯入试验43次，实测N值介于16击～22击，校正后N值介于11.2击～15.4击，平均13.2击。场地内均有见及，厚度介于2.40m～10.50m，平均6.34m。层顶埋深20.30m～25.80m，平均23.25m，标高为-23.45m～-18.29m；层底埋深</w:t>
      </w:r>
      <w:bookmarkStart w:id="41" w:name="_Hlk61327488"/>
      <w:r>
        <w:rPr>
          <w:rFonts w:hint="eastAsia" w:ascii="宋体" w:hAnsi="宋体"/>
          <w:color w:val="auto"/>
        </w:rPr>
        <w:t>27.10m～33.30</w:t>
      </w:r>
      <w:bookmarkEnd w:id="41"/>
      <w:r>
        <w:rPr>
          <w:rFonts w:hint="eastAsia" w:ascii="宋体" w:hAnsi="宋体"/>
          <w:color w:val="auto"/>
        </w:rPr>
        <w:t>m，标高为-36. 61m～-25.00m。</w:t>
      </w:r>
    </w:p>
    <w:p w14:paraId="09034AE1">
      <w:pPr>
        <w:rPr>
          <w:rFonts w:hint="eastAsia" w:ascii="宋体" w:hAnsi="宋体"/>
          <w:color w:val="auto"/>
        </w:rPr>
      </w:pPr>
      <w:r>
        <w:rPr>
          <w:rFonts w:hint="eastAsia" w:ascii="宋体" w:hAnsi="宋体"/>
          <w:color w:val="auto"/>
        </w:rPr>
        <w:t>⑧中砂：青灰色，中密，饱和，石英砂，次棱角状，分选性一般，粉粘粒含量约5%。现场标准贯入试验32次，实测N值介于19击～24击，校正后N值介于13.3击～16.8击，平均14.5击。场地内均有见及，厚度介于1.00m～4.30m，平均2.39m。层顶埋深27.10m～33.30m，平均29.58m，标高为-36. 61m～-25.00m；层底埋深29.30m～35.70m，标高为-33.51m～-27.26m。</w:t>
      </w:r>
    </w:p>
    <w:p w14:paraId="5E5C51B5">
      <w:pPr>
        <w:rPr>
          <w:rFonts w:hint="eastAsia" w:ascii="宋体" w:hAnsi="宋体"/>
          <w:color w:val="auto"/>
        </w:rPr>
      </w:pPr>
      <w:r>
        <w:rPr>
          <w:rFonts w:hint="eastAsia" w:ascii="宋体" w:hAnsi="宋体"/>
          <w:color w:val="auto"/>
        </w:rPr>
        <w:t>⑨粉质粘土：灰黄色、青灰色，硬塑，土质较均匀，刀切面较光滑，韧性、干强度中等。取原状土样10件，土工试验主要物理力学性质指标平均值为：w=16.0%；e=0.644； IL=-0.11； a1-2=0.20MPa-1；Es1-2=8.27MPa。现场标准贯入试验44次，实测N值介于23击～27击，校正后N值介于16.1击～18.9击，平均17.3击。场地内均有见及，厚度介于4.90m～31.30m，平均19.59m。层顶埋深深29.30m～35.70m，平均31.98m，标高为-33.51m～-27.26m；层底埋深40.50m～60.90m，本层未见底。</w:t>
      </w:r>
    </w:p>
    <w:p w14:paraId="16B780E5">
      <w:pPr>
        <w:pStyle w:val="5"/>
        <w:rPr>
          <w:rFonts w:hint="eastAsia" w:ascii="宋体" w:hAnsi="宋体"/>
          <w:color w:val="auto"/>
        </w:rPr>
      </w:pPr>
      <w:bookmarkStart w:id="42" w:name="_Toc932"/>
      <w:r>
        <w:rPr>
          <w:rFonts w:hint="eastAsia" w:ascii="宋体" w:hAnsi="宋体"/>
          <w:color w:val="auto"/>
        </w:rPr>
        <w:t>水文条件</w:t>
      </w:r>
      <w:bookmarkEnd w:id="42"/>
    </w:p>
    <w:p w14:paraId="18D89980">
      <w:pPr>
        <w:rPr>
          <w:rFonts w:hint="eastAsia" w:ascii="宋体" w:hAnsi="宋体"/>
          <w:color w:val="auto"/>
        </w:rPr>
      </w:pPr>
      <w:bookmarkStart w:id="43" w:name="_Toc61331145"/>
      <w:r>
        <w:rPr>
          <w:rFonts w:hint="eastAsia" w:ascii="宋体" w:hAnsi="宋体"/>
          <w:color w:val="auto"/>
        </w:rPr>
        <w:t>（1）含水层及地下水类型</w:t>
      </w:r>
      <w:bookmarkEnd w:id="43"/>
    </w:p>
    <w:p w14:paraId="488581D7">
      <w:pPr>
        <w:rPr>
          <w:rFonts w:hint="eastAsia" w:ascii="宋体" w:hAnsi="宋体"/>
          <w:color w:val="auto"/>
        </w:rPr>
      </w:pPr>
      <w:r>
        <w:rPr>
          <w:rFonts w:hint="eastAsia" w:ascii="宋体" w:hAnsi="宋体"/>
          <w:color w:val="auto"/>
        </w:rPr>
        <w:t>场地分布的地表水主要为农田积水、水沟及池塘，水沟沿场地中部附近分布，水面宽约3~5m，水深约1~2m；池塘位于拟建场地东北侧约10m，水面标高约1.0m，水深约1~3m。</w:t>
      </w:r>
    </w:p>
    <w:p w14:paraId="44D2F3BD">
      <w:pPr>
        <w:rPr>
          <w:rFonts w:hint="eastAsia" w:ascii="宋体" w:hAnsi="宋体"/>
          <w:color w:val="auto"/>
        </w:rPr>
      </w:pPr>
      <w:r>
        <w:rPr>
          <w:rFonts w:hint="eastAsia" w:ascii="宋体" w:hAnsi="宋体"/>
          <w:color w:val="auto"/>
        </w:rPr>
        <w:t>根据钻探揭露及钻孔简易水文地质观测，拟建场地地下水类型主要为第四系孔隙潜水。②1层细砂、②2层中砂及③层粉砂为强透水层，含孔隙潜水，对基坑工程影响较大，④层淤泥质粉质粘土、⑤2层粉质粘土、⑦层粉质粘土及⑨层粉质粘土为弱透水层，⑤1层中砂、⑥层砾砂、⑧层中砂为强透水层，赋存的地下水为承压水。</w:t>
      </w:r>
    </w:p>
    <w:p w14:paraId="6BDD834F">
      <w:pPr>
        <w:rPr>
          <w:rFonts w:hint="eastAsia" w:ascii="宋体" w:hAnsi="宋体"/>
          <w:color w:val="auto"/>
        </w:rPr>
      </w:pPr>
      <w:r>
        <w:rPr>
          <w:rFonts w:hint="eastAsia" w:ascii="宋体" w:hAnsi="宋体"/>
          <w:color w:val="auto"/>
        </w:rPr>
        <w:t>勘察期间测得钻孔终孔稳定地下水位埋深介于0.90m～1.40m，标高介于0.5m～1.30m。</w:t>
      </w:r>
    </w:p>
    <w:p w14:paraId="2C034BE3">
      <w:pPr>
        <w:rPr>
          <w:rFonts w:hint="eastAsia" w:ascii="宋体" w:hAnsi="宋体"/>
          <w:color w:val="auto"/>
        </w:rPr>
      </w:pPr>
      <w:bookmarkStart w:id="44" w:name="_Toc61331146"/>
      <w:r>
        <w:rPr>
          <w:rFonts w:hint="eastAsia" w:ascii="宋体" w:hAnsi="宋体"/>
          <w:color w:val="auto"/>
        </w:rPr>
        <w:t>（2）地下水的补给、排泄及水位变幅</w:t>
      </w:r>
      <w:bookmarkEnd w:id="44"/>
    </w:p>
    <w:p w14:paraId="15830362">
      <w:pPr>
        <w:rPr>
          <w:rFonts w:hint="eastAsia" w:ascii="宋体" w:hAnsi="宋体"/>
          <w:color w:val="auto"/>
        </w:rPr>
      </w:pPr>
      <w:r>
        <w:rPr>
          <w:rFonts w:hint="eastAsia" w:ascii="宋体" w:hAnsi="宋体"/>
          <w:color w:val="auto"/>
        </w:rPr>
        <w:t>地下水主要由大气降水渗入及邻近的地下水的侧向渗入补给。地下水位主要受大气降水的影响，水位随季节变化较大。据场地附近相关水文资料分析，按类似场地经验判定，场地地下水位年变化幅度为2.0~2.5m。</w:t>
      </w:r>
    </w:p>
    <w:p w14:paraId="5E2577C1">
      <w:pPr>
        <w:pStyle w:val="5"/>
        <w:rPr>
          <w:color w:val="auto"/>
        </w:rPr>
      </w:pPr>
      <w:bookmarkStart w:id="45" w:name="_Toc16074"/>
      <w:r>
        <w:rPr>
          <w:rFonts w:hint="eastAsia"/>
          <w:color w:val="auto"/>
        </w:rPr>
        <w:t>地形条件</w:t>
      </w:r>
      <w:bookmarkEnd w:id="45"/>
    </w:p>
    <w:p w14:paraId="5E7006F2">
      <w:pPr>
        <w:rPr>
          <w:color w:val="auto"/>
        </w:rPr>
      </w:pPr>
      <w:r>
        <w:rPr>
          <w:rFonts w:hint="eastAsia"/>
          <w:color w:val="auto"/>
        </w:rPr>
        <w:t>本项目基地周边道路有一定高差，北侧现状道路绝对标高为6.70～7.2m, 南侧现状道路标高为11.2～11.9m</w:t>
      </w:r>
    </w:p>
    <w:p w14:paraId="0AC757F8">
      <w:pPr>
        <w:rPr>
          <w:color w:val="auto"/>
        </w:rPr>
      </w:pPr>
      <w:r>
        <w:rPr>
          <w:rFonts w:hint="eastAsia"/>
          <w:color w:val="auto"/>
        </w:rPr>
        <w:t>场地现状较为平整，依据城市道路需要设计一定坡度，整体设计北低南高。</w:t>
      </w:r>
    </w:p>
    <w:p w14:paraId="1C8687B5">
      <w:pPr>
        <w:pStyle w:val="5"/>
        <w:rPr>
          <w:color w:val="auto"/>
        </w:rPr>
      </w:pPr>
      <w:bookmarkStart w:id="46" w:name="_Toc20516"/>
      <w:r>
        <w:rPr>
          <w:rFonts w:hint="eastAsia"/>
          <w:color w:val="auto"/>
        </w:rPr>
        <w:t>场地稳定性</w:t>
      </w:r>
      <w:bookmarkEnd w:id="46"/>
    </w:p>
    <w:p w14:paraId="7010F096">
      <w:pPr>
        <w:rPr>
          <w:color w:val="auto"/>
        </w:rPr>
      </w:pPr>
      <w:r>
        <w:rPr>
          <w:rFonts w:hint="eastAsia"/>
          <w:color w:val="auto"/>
        </w:rPr>
        <w:t>本工程场地无全新活动断裂通过，根据勘察在钻探深度范围内揭露的地质条件，结合区域地质资料综合分析，场地未发现影响场地稳定的活动断裂构造；未发现崩塌、岩溶塌陷、滑坡、泥石流等不良地质作用，未发现有暗埋的古河道、沟浜、防空洞等不利埋藏物分布。拟建场地稳定，适宜作为拟建建筑物的建筑场地。</w:t>
      </w:r>
    </w:p>
    <w:p w14:paraId="54EA8F6B">
      <w:pPr>
        <w:pStyle w:val="4"/>
        <w:spacing w:before="120"/>
        <w:ind w:firstLine="482"/>
        <w:rPr>
          <w:color w:val="auto"/>
        </w:rPr>
      </w:pPr>
      <w:bookmarkStart w:id="47" w:name="_Toc4962"/>
      <w:bookmarkStart w:id="48" w:name="_Toc30030"/>
      <w:bookmarkStart w:id="49" w:name="_Toc6177"/>
      <w:bookmarkStart w:id="50" w:name="_Toc13123"/>
      <w:r>
        <w:rPr>
          <w:rFonts w:hint="eastAsia"/>
          <w:color w:val="auto"/>
        </w:rPr>
        <w:t>工程重难点及相应措施</w:t>
      </w:r>
      <w:bookmarkEnd w:id="47"/>
      <w:bookmarkEnd w:id="48"/>
      <w:bookmarkEnd w:id="49"/>
      <w:bookmarkEnd w:id="50"/>
    </w:p>
    <w:p w14:paraId="458CEF7C">
      <w:pPr>
        <w:pStyle w:val="5"/>
        <w:rPr>
          <w:color w:val="auto"/>
        </w:rPr>
      </w:pPr>
      <w:bookmarkStart w:id="51" w:name="_Toc25783"/>
      <w:r>
        <w:rPr>
          <w:rFonts w:hint="eastAsia"/>
          <w:color w:val="auto"/>
        </w:rPr>
        <w:t>深基坑工程重点、难点分析</w:t>
      </w:r>
      <w:bookmarkEnd w:id="51"/>
    </w:p>
    <w:p w14:paraId="4ACC4C4D">
      <w:pPr>
        <w:pStyle w:val="54"/>
        <w:rPr>
          <w:color w:val="auto"/>
        </w:rPr>
      </w:pPr>
      <w:r>
        <w:rPr>
          <w:rFonts w:hint="eastAsia"/>
          <w:color w:val="auto"/>
        </w:rPr>
        <w:t>深基坑工程重难点</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34"/>
        <w:gridCol w:w="2126"/>
        <w:gridCol w:w="4417"/>
      </w:tblGrid>
      <w:tr w14:paraId="57A7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1A98012A">
            <w:pPr>
              <w:pStyle w:val="45"/>
              <w:rPr>
                <w:rFonts w:hint="eastAsia"/>
                <w:color w:val="auto"/>
              </w:rPr>
            </w:pPr>
            <w:r>
              <w:rPr>
                <w:rFonts w:hint="eastAsia"/>
                <w:color w:val="auto"/>
              </w:rPr>
              <w:t>编号</w:t>
            </w:r>
          </w:p>
        </w:tc>
        <w:tc>
          <w:tcPr>
            <w:tcW w:w="1134" w:type="dxa"/>
            <w:vAlign w:val="center"/>
          </w:tcPr>
          <w:p w14:paraId="54715DE8">
            <w:pPr>
              <w:pStyle w:val="45"/>
              <w:rPr>
                <w:rFonts w:hint="eastAsia"/>
                <w:color w:val="auto"/>
              </w:rPr>
            </w:pPr>
            <w:r>
              <w:rPr>
                <w:rFonts w:hint="eastAsia"/>
                <w:color w:val="auto"/>
              </w:rPr>
              <w:t>项目</w:t>
            </w:r>
          </w:p>
        </w:tc>
        <w:tc>
          <w:tcPr>
            <w:tcW w:w="2126" w:type="dxa"/>
            <w:vAlign w:val="center"/>
          </w:tcPr>
          <w:p w14:paraId="1C2C6939">
            <w:pPr>
              <w:pStyle w:val="45"/>
              <w:rPr>
                <w:rFonts w:hint="eastAsia"/>
                <w:color w:val="auto"/>
              </w:rPr>
            </w:pPr>
            <w:r>
              <w:rPr>
                <w:rFonts w:hint="eastAsia"/>
                <w:color w:val="auto"/>
              </w:rPr>
              <w:t>分析</w:t>
            </w:r>
          </w:p>
        </w:tc>
        <w:tc>
          <w:tcPr>
            <w:tcW w:w="4417" w:type="dxa"/>
            <w:vAlign w:val="center"/>
          </w:tcPr>
          <w:p w14:paraId="6ECD5E4F">
            <w:pPr>
              <w:pStyle w:val="45"/>
              <w:rPr>
                <w:rFonts w:hint="eastAsia"/>
                <w:color w:val="auto"/>
              </w:rPr>
            </w:pPr>
            <w:r>
              <w:rPr>
                <w:rFonts w:hint="eastAsia"/>
                <w:color w:val="auto"/>
              </w:rPr>
              <w:t>施工对策</w:t>
            </w:r>
          </w:p>
        </w:tc>
      </w:tr>
      <w:tr w14:paraId="60BB3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62813CF5">
            <w:pPr>
              <w:pStyle w:val="45"/>
              <w:rPr>
                <w:rFonts w:hint="eastAsia"/>
                <w:color w:val="auto"/>
              </w:rPr>
            </w:pPr>
            <w:r>
              <w:rPr>
                <w:rFonts w:hint="eastAsia"/>
                <w:color w:val="auto"/>
              </w:rPr>
              <w:t>1</w:t>
            </w:r>
          </w:p>
        </w:tc>
        <w:tc>
          <w:tcPr>
            <w:tcW w:w="1134" w:type="dxa"/>
            <w:vAlign w:val="center"/>
          </w:tcPr>
          <w:p w14:paraId="130C6636">
            <w:pPr>
              <w:pStyle w:val="45"/>
              <w:rPr>
                <w:rFonts w:hint="eastAsia"/>
                <w:color w:val="auto"/>
              </w:rPr>
            </w:pPr>
            <w:r>
              <w:rPr>
                <w:rFonts w:hint="eastAsia"/>
                <w:color w:val="auto"/>
              </w:rPr>
              <w:t>周边建筑及管线保护</w:t>
            </w:r>
          </w:p>
        </w:tc>
        <w:tc>
          <w:tcPr>
            <w:tcW w:w="2126" w:type="dxa"/>
            <w:vAlign w:val="center"/>
          </w:tcPr>
          <w:p w14:paraId="5DB9EBF9">
            <w:pPr>
              <w:pStyle w:val="47"/>
              <w:ind w:firstLine="420"/>
              <w:rPr>
                <w:color w:val="auto"/>
              </w:rPr>
            </w:pPr>
            <w:r>
              <w:rPr>
                <w:rFonts w:hint="eastAsia"/>
                <w:color w:val="auto"/>
              </w:rPr>
              <w:t>本项目深基坑工程距现有市政道路及管线较近</w:t>
            </w:r>
            <w:r>
              <w:rPr>
                <w:color w:val="auto"/>
              </w:rPr>
              <w:t xml:space="preserve"> </w:t>
            </w:r>
          </w:p>
        </w:tc>
        <w:tc>
          <w:tcPr>
            <w:tcW w:w="4417" w:type="dxa"/>
            <w:vAlign w:val="center"/>
          </w:tcPr>
          <w:p w14:paraId="409E9ECD">
            <w:pPr>
              <w:pStyle w:val="47"/>
              <w:ind w:firstLine="420"/>
              <w:rPr>
                <w:color w:val="auto"/>
              </w:rPr>
            </w:pPr>
            <w:r>
              <w:rPr>
                <w:rFonts w:hint="eastAsia"/>
                <w:color w:val="auto"/>
              </w:rPr>
              <w:t>（1）开工前按业主提供的地下管网图以及检索的相关资料，采用地质雷达探测方法，复核场内管线情况，并做好标记；</w:t>
            </w:r>
          </w:p>
          <w:p w14:paraId="203EF52B">
            <w:pPr>
              <w:pStyle w:val="47"/>
              <w:ind w:firstLine="420"/>
              <w:rPr>
                <w:color w:val="auto"/>
              </w:rPr>
            </w:pPr>
            <w:r>
              <w:rPr>
                <w:rFonts w:hint="eastAsia"/>
                <w:color w:val="auto"/>
              </w:rPr>
              <w:t>（2）联合监测单位做好对周边管线及临近建筑物的变形及沉降监测；</w:t>
            </w:r>
          </w:p>
          <w:p w14:paraId="2A502C2B">
            <w:pPr>
              <w:pStyle w:val="47"/>
              <w:ind w:firstLine="420"/>
              <w:rPr>
                <w:color w:val="auto"/>
              </w:rPr>
            </w:pPr>
            <w:r>
              <w:rPr>
                <w:rFonts w:hint="eastAsia"/>
                <w:color w:val="auto"/>
              </w:rPr>
              <w:t>（3）严格执行图纸及方案施工顺序，确保施工过程中基坑变形符合设计及规范要求。</w:t>
            </w:r>
          </w:p>
        </w:tc>
      </w:tr>
      <w:tr w14:paraId="25AD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8D16CA6">
            <w:pPr>
              <w:pStyle w:val="45"/>
              <w:rPr>
                <w:rFonts w:hint="eastAsia"/>
                <w:color w:val="auto"/>
              </w:rPr>
            </w:pPr>
            <w:r>
              <w:rPr>
                <w:rFonts w:hint="eastAsia"/>
                <w:color w:val="auto"/>
              </w:rPr>
              <w:t>2</w:t>
            </w:r>
          </w:p>
        </w:tc>
        <w:tc>
          <w:tcPr>
            <w:tcW w:w="1134" w:type="dxa"/>
            <w:vAlign w:val="center"/>
          </w:tcPr>
          <w:p w14:paraId="6541E283">
            <w:pPr>
              <w:pStyle w:val="45"/>
              <w:rPr>
                <w:rFonts w:hint="eastAsia"/>
                <w:color w:val="auto"/>
              </w:rPr>
            </w:pPr>
            <w:r>
              <w:rPr>
                <w:rFonts w:hint="eastAsia"/>
                <w:color w:val="auto"/>
              </w:rPr>
              <w:t>工期紧</w:t>
            </w:r>
          </w:p>
        </w:tc>
        <w:tc>
          <w:tcPr>
            <w:tcW w:w="2126" w:type="dxa"/>
            <w:vAlign w:val="center"/>
          </w:tcPr>
          <w:p w14:paraId="2B9B9D00">
            <w:pPr>
              <w:pStyle w:val="47"/>
              <w:ind w:firstLine="420"/>
              <w:rPr>
                <w:color w:val="auto"/>
              </w:rPr>
            </w:pPr>
            <w:r>
              <w:rPr>
                <w:rFonts w:hint="eastAsia"/>
                <w:color w:val="auto"/>
              </w:rPr>
              <w:t>根据2</w:t>
            </w:r>
            <w:r>
              <w:rPr>
                <w:color w:val="auto"/>
              </w:rPr>
              <w:t>022</w:t>
            </w:r>
            <w:r>
              <w:rPr>
                <w:rFonts w:hint="eastAsia"/>
                <w:color w:val="auto"/>
              </w:rPr>
              <w:t>年9月达成开学的目标，地下室区域建筑为工程关键线路，后期地上结构施工工艺复杂</w:t>
            </w:r>
          </w:p>
        </w:tc>
        <w:tc>
          <w:tcPr>
            <w:tcW w:w="4417" w:type="dxa"/>
            <w:vAlign w:val="center"/>
          </w:tcPr>
          <w:p w14:paraId="0BE2C193">
            <w:pPr>
              <w:pStyle w:val="47"/>
              <w:ind w:firstLine="420"/>
              <w:rPr>
                <w:color w:val="auto"/>
              </w:rPr>
            </w:pPr>
            <w:r>
              <w:rPr>
                <w:rFonts w:hint="eastAsia"/>
                <w:color w:val="auto"/>
              </w:rPr>
              <w:t>（1）施工期间，增加机械、物资投入，尽量压缩各工序施工时间，确保优质高效；</w:t>
            </w:r>
          </w:p>
          <w:p w14:paraId="1528DD33">
            <w:pPr>
              <w:pStyle w:val="47"/>
              <w:ind w:firstLine="420"/>
              <w:rPr>
                <w:color w:val="auto"/>
              </w:rPr>
            </w:pPr>
            <w:r>
              <w:rPr>
                <w:rFonts w:hint="eastAsia"/>
                <w:color w:val="auto"/>
              </w:rPr>
              <w:t>（2）组织公司相关专家，对项目各工序及施工阶段进行优化部署，确保项目能够高效运转；</w:t>
            </w:r>
          </w:p>
          <w:p w14:paraId="5BBABB3A">
            <w:pPr>
              <w:pStyle w:val="47"/>
              <w:ind w:firstLine="420"/>
              <w:rPr>
                <w:color w:val="auto"/>
              </w:rPr>
            </w:pPr>
            <w:r>
              <w:rPr>
                <w:rFonts w:hint="eastAsia"/>
                <w:color w:val="auto"/>
              </w:rPr>
              <w:t>（3）基坑支护施工阶段各工序合理插入，合理制定切实可行的总体施工安排，同时合理组织好各工序施工的流水作业，将各工序之间的影响降到最低。</w:t>
            </w:r>
          </w:p>
        </w:tc>
      </w:tr>
      <w:tr w14:paraId="36997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14:paraId="0D3E7965">
            <w:pPr>
              <w:pStyle w:val="45"/>
              <w:rPr>
                <w:rFonts w:hint="eastAsia"/>
                <w:color w:val="auto"/>
              </w:rPr>
            </w:pPr>
            <w:r>
              <w:rPr>
                <w:color w:val="auto"/>
              </w:rPr>
              <w:t>3</w:t>
            </w:r>
          </w:p>
        </w:tc>
        <w:tc>
          <w:tcPr>
            <w:tcW w:w="1134" w:type="dxa"/>
            <w:vAlign w:val="center"/>
          </w:tcPr>
          <w:p w14:paraId="30C3CF97">
            <w:pPr>
              <w:pStyle w:val="45"/>
              <w:rPr>
                <w:rFonts w:hint="eastAsia"/>
                <w:color w:val="auto"/>
              </w:rPr>
            </w:pPr>
            <w:r>
              <w:rPr>
                <w:rFonts w:hint="eastAsia"/>
                <w:color w:val="auto"/>
              </w:rPr>
              <w:t>雨季台风</w:t>
            </w:r>
          </w:p>
        </w:tc>
        <w:tc>
          <w:tcPr>
            <w:tcW w:w="2126" w:type="dxa"/>
            <w:vAlign w:val="center"/>
          </w:tcPr>
          <w:p w14:paraId="62FF9AA9">
            <w:pPr>
              <w:pStyle w:val="47"/>
              <w:ind w:firstLine="420"/>
              <w:rPr>
                <w:color w:val="auto"/>
              </w:rPr>
            </w:pPr>
            <w:r>
              <w:rPr>
                <w:rFonts w:hint="eastAsia"/>
                <w:color w:val="auto"/>
              </w:rPr>
              <w:t>本工程基坑施工将经历三亚地区台风、雨期，对本工程深基坑施工的工期、质量、安全均带来一定挑战。</w:t>
            </w:r>
          </w:p>
        </w:tc>
        <w:tc>
          <w:tcPr>
            <w:tcW w:w="4417" w:type="dxa"/>
            <w:vAlign w:val="center"/>
          </w:tcPr>
          <w:p w14:paraId="02DD3830">
            <w:pPr>
              <w:pStyle w:val="47"/>
              <w:ind w:firstLine="420"/>
              <w:rPr>
                <w:color w:val="auto"/>
              </w:rPr>
            </w:pPr>
            <w:r>
              <w:rPr>
                <w:rFonts w:hint="eastAsia"/>
                <w:color w:val="auto"/>
              </w:rPr>
              <w:t>（1）安排专职人员实时关注天气状况及趋势，提前掌握天气变化信息，作为现场施工安排的指导；</w:t>
            </w:r>
          </w:p>
          <w:p w14:paraId="7BC14766">
            <w:pPr>
              <w:pStyle w:val="47"/>
              <w:ind w:firstLine="420"/>
              <w:rPr>
                <w:color w:val="auto"/>
              </w:rPr>
            </w:pPr>
            <w:r>
              <w:rPr>
                <w:rFonts w:hint="eastAsia"/>
                <w:color w:val="auto"/>
              </w:rPr>
              <w:t>（2）做好排水措施，配备足够的排水设备，在现场施工的各个阶段均设置好排水沟，同时留设好集水井；</w:t>
            </w:r>
          </w:p>
          <w:p w14:paraId="40DD1C94">
            <w:pPr>
              <w:pStyle w:val="47"/>
              <w:ind w:firstLine="420"/>
              <w:rPr>
                <w:color w:val="auto"/>
              </w:rPr>
            </w:pPr>
            <w:r>
              <w:rPr>
                <w:rFonts w:hint="eastAsia"/>
                <w:color w:val="auto"/>
              </w:rPr>
              <w:t>（3）对基坑周边进行场地硬化，做好基坑周边，尤其是北侧山坡的雨水截流，防止地表水流进基坑；</w:t>
            </w:r>
          </w:p>
          <w:p w14:paraId="7D9E225E">
            <w:pPr>
              <w:pStyle w:val="47"/>
              <w:ind w:firstLine="420"/>
              <w:rPr>
                <w:color w:val="auto"/>
              </w:rPr>
            </w:pPr>
            <w:r>
              <w:rPr>
                <w:rFonts w:hint="eastAsia"/>
                <w:color w:val="auto"/>
              </w:rPr>
              <w:t>（4）投入足够的抽水泵，在台风、暴雨来临时，可及时将雨水排出场外，避免基坑内积水。</w:t>
            </w:r>
          </w:p>
        </w:tc>
      </w:tr>
    </w:tbl>
    <w:p w14:paraId="37865DB9">
      <w:pPr>
        <w:pStyle w:val="5"/>
        <w:rPr>
          <w:color w:val="auto"/>
        </w:rPr>
      </w:pPr>
      <w:bookmarkStart w:id="52" w:name="_Toc23743"/>
      <w:r>
        <w:rPr>
          <w:rFonts w:hint="eastAsia"/>
          <w:color w:val="auto"/>
        </w:rPr>
        <w:t>主体结构施工重点、难点分析</w:t>
      </w:r>
      <w:bookmarkEnd w:id="52"/>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711"/>
        <w:gridCol w:w="3269"/>
        <w:gridCol w:w="3869"/>
      </w:tblGrid>
      <w:tr w14:paraId="2A41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38C646FE">
            <w:pPr>
              <w:pStyle w:val="45"/>
              <w:rPr>
                <w:rFonts w:hint="eastAsia"/>
                <w:color w:val="auto"/>
              </w:rPr>
            </w:pPr>
            <w:r>
              <w:rPr>
                <w:rFonts w:hint="eastAsia"/>
                <w:color w:val="auto"/>
              </w:rPr>
              <w:t>序号</w:t>
            </w:r>
          </w:p>
        </w:tc>
        <w:tc>
          <w:tcPr>
            <w:tcW w:w="711" w:type="dxa"/>
          </w:tcPr>
          <w:p w14:paraId="299E4E60">
            <w:pPr>
              <w:pStyle w:val="45"/>
              <w:rPr>
                <w:rFonts w:hint="eastAsia"/>
                <w:color w:val="auto"/>
              </w:rPr>
            </w:pPr>
            <w:r>
              <w:rPr>
                <w:rFonts w:hint="eastAsia"/>
                <w:color w:val="auto"/>
              </w:rPr>
              <w:t>项目</w:t>
            </w:r>
          </w:p>
        </w:tc>
        <w:tc>
          <w:tcPr>
            <w:tcW w:w="3269" w:type="dxa"/>
          </w:tcPr>
          <w:p w14:paraId="39317305">
            <w:pPr>
              <w:pStyle w:val="45"/>
              <w:rPr>
                <w:rFonts w:hint="eastAsia"/>
                <w:color w:val="auto"/>
              </w:rPr>
            </w:pPr>
            <w:r>
              <w:rPr>
                <w:rFonts w:hint="eastAsia"/>
                <w:color w:val="auto"/>
              </w:rPr>
              <w:t>重点、难点分析</w:t>
            </w:r>
          </w:p>
        </w:tc>
        <w:tc>
          <w:tcPr>
            <w:tcW w:w="3869" w:type="dxa"/>
          </w:tcPr>
          <w:p w14:paraId="39165EDC">
            <w:pPr>
              <w:pStyle w:val="45"/>
              <w:rPr>
                <w:rFonts w:hint="eastAsia"/>
                <w:color w:val="auto"/>
              </w:rPr>
            </w:pPr>
            <w:r>
              <w:rPr>
                <w:rFonts w:hint="eastAsia"/>
                <w:color w:val="auto"/>
              </w:rPr>
              <w:t>解决方案</w:t>
            </w:r>
          </w:p>
        </w:tc>
      </w:tr>
      <w:tr w14:paraId="080C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3C808B68">
            <w:pPr>
              <w:pStyle w:val="45"/>
              <w:rPr>
                <w:rFonts w:hint="eastAsia"/>
                <w:color w:val="auto"/>
              </w:rPr>
            </w:pPr>
            <w:r>
              <w:rPr>
                <w:rFonts w:hint="eastAsia"/>
                <w:color w:val="auto"/>
              </w:rPr>
              <w:t>1</w:t>
            </w:r>
          </w:p>
        </w:tc>
        <w:tc>
          <w:tcPr>
            <w:tcW w:w="711" w:type="dxa"/>
            <w:vAlign w:val="center"/>
          </w:tcPr>
          <w:p w14:paraId="2A70DA04">
            <w:pPr>
              <w:pStyle w:val="45"/>
              <w:rPr>
                <w:rFonts w:hint="eastAsia"/>
                <w:color w:val="auto"/>
              </w:rPr>
            </w:pPr>
            <w:r>
              <w:rPr>
                <w:rFonts w:hint="eastAsia"/>
                <w:color w:val="auto"/>
              </w:rPr>
              <w:t>地下室及屋面防渗漏工程</w:t>
            </w:r>
          </w:p>
        </w:tc>
        <w:tc>
          <w:tcPr>
            <w:tcW w:w="3269" w:type="dxa"/>
            <w:vAlign w:val="center"/>
          </w:tcPr>
          <w:p w14:paraId="46689F00">
            <w:pPr>
              <w:pStyle w:val="47"/>
              <w:ind w:firstLine="420"/>
              <w:rPr>
                <w:color w:val="auto"/>
              </w:rPr>
            </w:pPr>
            <w:r>
              <w:rPr>
                <w:rFonts w:hint="eastAsia"/>
                <w:color w:val="auto"/>
              </w:rPr>
              <w:t>地下室及屋面有大量设备基础，设备基础与结构平面的防水连接</w:t>
            </w:r>
            <w:r>
              <w:rPr>
                <w:color w:val="auto"/>
              </w:rPr>
              <w:t>防渗漏控制将是施工控制的重点。有效保证防水施工质量，</w:t>
            </w:r>
            <w:r>
              <w:rPr>
                <w:rFonts w:hint="eastAsia"/>
                <w:color w:val="auto"/>
              </w:rPr>
              <w:t>与结构平面形成整体，</w:t>
            </w:r>
            <w:r>
              <w:rPr>
                <w:color w:val="auto"/>
              </w:rPr>
              <w:t>是地下室</w:t>
            </w:r>
            <w:r>
              <w:rPr>
                <w:rFonts w:hint="eastAsia"/>
                <w:color w:val="auto"/>
              </w:rPr>
              <w:t>、屋面</w:t>
            </w:r>
            <w:r>
              <w:rPr>
                <w:color w:val="auto"/>
              </w:rPr>
              <w:t>防渗漏重点。</w:t>
            </w:r>
          </w:p>
        </w:tc>
        <w:tc>
          <w:tcPr>
            <w:tcW w:w="3869" w:type="dxa"/>
            <w:vAlign w:val="center"/>
          </w:tcPr>
          <w:p w14:paraId="36A88AC8">
            <w:pPr>
              <w:pStyle w:val="47"/>
              <w:ind w:firstLine="420"/>
              <w:rPr>
                <w:color w:val="auto"/>
              </w:rPr>
            </w:pPr>
            <w:r>
              <w:rPr>
                <w:rFonts w:hint="eastAsia"/>
                <w:color w:val="auto"/>
              </w:rPr>
              <w:t>（1）做好过程控制及防水细部处理；</w:t>
            </w:r>
          </w:p>
          <w:p w14:paraId="7AE0F4F1">
            <w:pPr>
              <w:pStyle w:val="47"/>
              <w:ind w:firstLine="420"/>
              <w:rPr>
                <w:color w:val="auto"/>
              </w:rPr>
            </w:pPr>
            <w:r>
              <w:rPr>
                <w:rFonts w:hint="eastAsia"/>
                <w:color w:val="auto"/>
              </w:rPr>
              <w:t>（2）样板先行；</w:t>
            </w:r>
          </w:p>
          <w:p w14:paraId="2321BD09">
            <w:pPr>
              <w:pStyle w:val="47"/>
              <w:ind w:firstLine="420"/>
              <w:rPr>
                <w:color w:val="auto"/>
              </w:rPr>
            </w:pPr>
            <w:r>
              <w:rPr>
                <w:rFonts w:hint="eastAsia"/>
                <w:color w:val="auto"/>
              </w:rPr>
              <w:t>（3）选择施工水平较高的施工单位；</w:t>
            </w:r>
          </w:p>
          <w:p w14:paraId="605DC2EE">
            <w:pPr>
              <w:pStyle w:val="47"/>
              <w:ind w:firstLine="420"/>
              <w:rPr>
                <w:color w:val="auto"/>
              </w:rPr>
            </w:pPr>
            <w:r>
              <w:rPr>
                <w:rFonts w:hint="eastAsia"/>
                <w:color w:val="auto"/>
              </w:rPr>
              <w:t>（4）施工缝及后浇带剔凿到位，清理干净验收后方可浇筑混凝土；</w:t>
            </w:r>
          </w:p>
        </w:tc>
      </w:tr>
      <w:tr w14:paraId="2C43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53800F98">
            <w:pPr>
              <w:pStyle w:val="45"/>
              <w:rPr>
                <w:rFonts w:hint="eastAsia"/>
                <w:color w:val="auto"/>
              </w:rPr>
            </w:pPr>
            <w:r>
              <w:rPr>
                <w:rFonts w:hint="eastAsia"/>
                <w:color w:val="auto"/>
              </w:rPr>
              <w:t>2</w:t>
            </w:r>
          </w:p>
        </w:tc>
        <w:tc>
          <w:tcPr>
            <w:tcW w:w="711" w:type="dxa"/>
            <w:vAlign w:val="center"/>
          </w:tcPr>
          <w:p w14:paraId="72E32404">
            <w:pPr>
              <w:pStyle w:val="45"/>
              <w:rPr>
                <w:rFonts w:hint="eastAsia"/>
                <w:color w:val="auto"/>
              </w:rPr>
            </w:pPr>
            <w:r>
              <w:rPr>
                <w:rFonts w:hint="eastAsia"/>
                <w:color w:val="auto"/>
              </w:rPr>
              <w:t>交通条件差</w:t>
            </w:r>
          </w:p>
        </w:tc>
        <w:tc>
          <w:tcPr>
            <w:tcW w:w="3269" w:type="dxa"/>
            <w:vAlign w:val="center"/>
          </w:tcPr>
          <w:p w14:paraId="0EE99994">
            <w:pPr>
              <w:pStyle w:val="47"/>
              <w:ind w:firstLine="420"/>
              <w:rPr>
                <w:color w:val="auto"/>
              </w:rPr>
            </w:pPr>
            <w:r>
              <w:rPr>
                <w:color w:val="auto"/>
              </w:rPr>
              <w:t>项目周边路网未形成，交通条件差，便道施工涉及多家施工单位，协调难度较大。</w:t>
            </w:r>
          </w:p>
        </w:tc>
        <w:tc>
          <w:tcPr>
            <w:tcW w:w="3869" w:type="dxa"/>
            <w:vAlign w:val="center"/>
          </w:tcPr>
          <w:p w14:paraId="32B57A70">
            <w:pPr>
              <w:pStyle w:val="47"/>
              <w:ind w:firstLine="420"/>
              <w:rPr>
                <w:color w:val="auto"/>
              </w:rPr>
            </w:pPr>
            <w:r>
              <w:rPr>
                <w:rFonts w:hint="eastAsia"/>
                <w:color w:val="auto"/>
              </w:rPr>
              <w:t>1、目前根据周边路网施工时序，项目南侧1号路先于项目施工，可与代管单位及1号路施工单位协商，1号路完成路基施工后，面层暂缓施工，可将此作为项目第一条施工便道；</w:t>
            </w:r>
          </w:p>
          <w:p w14:paraId="7726F2F3">
            <w:pPr>
              <w:pStyle w:val="47"/>
              <w:ind w:firstLine="420"/>
              <w:rPr>
                <w:color w:val="auto"/>
              </w:rPr>
            </w:pPr>
            <w:r>
              <w:rPr>
                <w:rFonts w:hint="eastAsia"/>
                <w:color w:val="auto"/>
              </w:rPr>
              <w:t>2、与代管单位、项目东侧研B路段施工单位及对面宿舍区施工单位对接，提出以下便道方案。主要思路为：沿1号路设置一条6米宽便道，穿过宿舍区后进入项目东门。</w:t>
            </w:r>
          </w:p>
        </w:tc>
      </w:tr>
      <w:tr w14:paraId="6FCE2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73" w:type="dxa"/>
            <w:vAlign w:val="center"/>
          </w:tcPr>
          <w:p w14:paraId="2DE4863E">
            <w:pPr>
              <w:pStyle w:val="45"/>
              <w:rPr>
                <w:rFonts w:hint="eastAsia"/>
                <w:color w:val="auto"/>
              </w:rPr>
            </w:pPr>
            <w:r>
              <w:rPr>
                <w:rFonts w:hint="eastAsia"/>
                <w:color w:val="auto"/>
              </w:rPr>
              <w:t>3</w:t>
            </w:r>
          </w:p>
        </w:tc>
        <w:tc>
          <w:tcPr>
            <w:tcW w:w="711" w:type="dxa"/>
            <w:vAlign w:val="center"/>
          </w:tcPr>
          <w:p w14:paraId="32FEC5DA">
            <w:pPr>
              <w:pStyle w:val="45"/>
              <w:rPr>
                <w:rFonts w:hint="eastAsia"/>
                <w:color w:val="auto"/>
              </w:rPr>
            </w:pPr>
            <w:r>
              <w:rPr>
                <w:color w:val="auto"/>
              </w:rPr>
              <w:t>总平面布置</w:t>
            </w:r>
          </w:p>
        </w:tc>
        <w:tc>
          <w:tcPr>
            <w:tcW w:w="3269" w:type="dxa"/>
            <w:vAlign w:val="center"/>
          </w:tcPr>
          <w:p w14:paraId="72F9010D">
            <w:pPr>
              <w:pStyle w:val="47"/>
              <w:ind w:firstLine="420"/>
              <w:rPr>
                <w:color w:val="auto"/>
              </w:rPr>
            </w:pPr>
            <w:r>
              <w:rPr>
                <w:rFonts w:hint="eastAsia"/>
                <w:color w:val="auto"/>
              </w:rPr>
              <w:t>现场场地较开阔，如何有效利用现有场地，契合公司精益建造管理精神，科学合理布置现场总平面是保证安全文明施工的重点工作。</w:t>
            </w:r>
          </w:p>
        </w:tc>
        <w:tc>
          <w:tcPr>
            <w:tcW w:w="3869" w:type="dxa"/>
            <w:vAlign w:val="center"/>
          </w:tcPr>
          <w:p w14:paraId="55AA4D27">
            <w:pPr>
              <w:pStyle w:val="47"/>
              <w:ind w:firstLine="420"/>
              <w:rPr>
                <w:color w:val="auto"/>
              </w:rPr>
            </w:pPr>
            <w:r>
              <w:rPr>
                <w:rFonts w:hint="eastAsia"/>
                <w:color w:val="auto"/>
              </w:rPr>
              <w:t>（1）动态分阶段设置总平面布置；</w:t>
            </w:r>
          </w:p>
          <w:p w14:paraId="015EADB5">
            <w:pPr>
              <w:pStyle w:val="47"/>
              <w:ind w:firstLine="420"/>
              <w:rPr>
                <w:color w:val="auto"/>
              </w:rPr>
            </w:pPr>
            <w:r>
              <w:rPr>
                <w:rFonts w:hint="eastAsia"/>
                <w:color w:val="auto"/>
              </w:rPr>
              <w:t>（2）现场各区责任工长负责本区域的总平面管理；</w:t>
            </w:r>
          </w:p>
          <w:p w14:paraId="283AB8BF">
            <w:pPr>
              <w:pStyle w:val="47"/>
              <w:ind w:firstLine="420"/>
              <w:rPr>
                <w:color w:val="auto"/>
              </w:rPr>
            </w:pPr>
            <w:r>
              <w:rPr>
                <w:rFonts w:hint="eastAsia"/>
                <w:color w:val="auto"/>
              </w:rPr>
              <w:t>（3）定期组织总平面管理检查，及督导小组，营造总平面形象。</w:t>
            </w:r>
          </w:p>
        </w:tc>
      </w:tr>
      <w:tr w14:paraId="17841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54017570">
            <w:pPr>
              <w:pStyle w:val="45"/>
              <w:rPr>
                <w:rFonts w:hint="eastAsia"/>
                <w:color w:val="auto"/>
              </w:rPr>
            </w:pPr>
            <w:r>
              <w:rPr>
                <w:color w:val="auto"/>
              </w:rPr>
              <w:t>4</w:t>
            </w:r>
          </w:p>
        </w:tc>
        <w:tc>
          <w:tcPr>
            <w:tcW w:w="711" w:type="dxa"/>
            <w:vAlign w:val="center"/>
          </w:tcPr>
          <w:p w14:paraId="57033ECD">
            <w:pPr>
              <w:pStyle w:val="45"/>
              <w:rPr>
                <w:rFonts w:hint="eastAsia"/>
                <w:color w:val="auto"/>
              </w:rPr>
            </w:pPr>
            <w:r>
              <w:rPr>
                <w:color w:val="auto"/>
              </w:rPr>
              <w:t>施工品质要求高</w:t>
            </w:r>
          </w:p>
        </w:tc>
        <w:tc>
          <w:tcPr>
            <w:tcW w:w="3269" w:type="dxa"/>
            <w:vAlign w:val="center"/>
          </w:tcPr>
          <w:p w14:paraId="328D14A4">
            <w:pPr>
              <w:pStyle w:val="47"/>
              <w:ind w:firstLine="420"/>
              <w:rPr>
                <w:color w:val="auto"/>
              </w:rPr>
            </w:pPr>
            <w:r>
              <w:rPr>
                <w:rFonts w:hint="eastAsia"/>
                <w:color w:val="auto"/>
              </w:rPr>
              <w:t>本工程为公建类项目，将打造为公司标杆项目，同时还将接受第三方单位的评估。施工要求高标准、高品质，因此如何打造高品质施工质量是工程施工重点。</w:t>
            </w:r>
          </w:p>
        </w:tc>
        <w:tc>
          <w:tcPr>
            <w:tcW w:w="3869" w:type="dxa"/>
            <w:vAlign w:val="center"/>
          </w:tcPr>
          <w:p w14:paraId="695DAD12">
            <w:pPr>
              <w:pStyle w:val="47"/>
              <w:ind w:firstLine="420"/>
              <w:rPr>
                <w:color w:val="auto"/>
              </w:rPr>
            </w:pPr>
            <w:r>
              <w:rPr>
                <w:rFonts w:hint="eastAsia"/>
                <w:color w:val="auto"/>
              </w:rPr>
              <w:t>（1）积极落实精益建造，加强过程管理，一次成优；</w:t>
            </w:r>
          </w:p>
          <w:p w14:paraId="49C56F0B">
            <w:pPr>
              <w:pStyle w:val="47"/>
              <w:ind w:firstLine="420"/>
              <w:rPr>
                <w:color w:val="auto"/>
              </w:rPr>
            </w:pPr>
            <w:r>
              <w:rPr>
                <w:rFonts w:hint="eastAsia"/>
                <w:color w:val="auto"/>
              </w:rPr>
              <w:t>（2）制定详细的创优策划；</w:t>
            </w:r>
          </w:p>
          <w:p w14:paraId="3641DB3A">
            <w:pPr>
              <w:pStyle w:val="47"/>
              <w:ind w:firstLine="420"/>
              <w:rPr>
                <w:color w:val="auto"/>
              </w:rPr>
            </w:pPr>
            <w:r>
              <w:rPr>
                <w:rFonts w:hint="eastAsia"/>
                <w:color w:val="auto"/>
              </w:rPr>
              <w:t>（3）建立创优组织领导小组及执行小组。</w:t>
            </w:r>
          </w:p>
        </w:tc>
      </w:tr>
      <w:tr w14:paraId="474C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42A368A7">
            <w:pPr>
              <w:pStyle w:val="45"/>
              <w:rPr>
                <w:rFonts w:hint="eastAsia"/>
                <w:color w:val="auto"/>
              </w:rPr>
            </w:pPr>
            <w:r>
              <w:rPr>
                <w:rFonts w:hint="eastAsia"/>
                <w:color w:val="auto"/>
              </w:rPr>
              <w:t>5</w:t>
            </w:r>
          </w:p>
        </w:tc>
        <w:tc>
          <w:tcPr>
            <w:tcW w:w="711" w:type="dxa"/>
            <w:vAlign w:val="center"/>
          </w:tcPr>
          <w:p w14:paraId="11F2A07E">
            <w:pPr>
              <w:pStyle w:val="45"/>
              <w:rPr>
                <w:rFonts w:hint="eastAsia"/>
                <w:color w:val="auto"/>
              </w:rPr>
            </w:pPr>
            <w:r>
              <w:rPr>
                <w:rFonts w:hint="eastAsia"/>
                <w:color w:val="auto"/>
              </w:rPr>
              <w:t>工期</w:t>
            </w:r>
          </w:p>
          <w:p w14:paraId="2403C2BD">
            <w:pPr>
              <w:pStyle w:val="45"/>
              <w:rPr>
                <w:rFonts w:hint="eastAsia"/>
                <w:color w:val="auto"/>
              </w:rPr>
            </w:pPr>
            <w:r>
              <w:rPr>
                <w:rFonts w:hint="eastAsia"/>
                <w:color w:val="auto"/>
              </w:rPr>
              <w:t>紧张</w:t>
            </w:r>
          </w:p>
        </w:tc>
        <w:tc>
          <w:tcPr>
            <w:tcW w:w="3269" w:type="dxa"/>
            <w:vAlign w:val="center"/>
          </w:tcPr>
          <w:p w14:paraId="3F5292A5">
            <w:pPr>
              <w:pStyle w:val="47"/>
              <w:ind w:firstLine="420"/>
              <w:rPr>
                <w:color w:val="auto"/>
              </w:rPr>
            </w:pPr>
            <w:r>
              <w:rPr>
                <w:color w:val="auto"/>
              </w:rPr>
              <w:t>施工周期短，工期压力较大，</w:t>
            </w:r>
            <w:r>
              <w:rPr>
                <w:rFonts w:hint="eastAsia"/>
                <w:color w:val="auto"/>
              </w:rPr>
              <w:t>后期主体装修及设备的调试耗时较长</w:t>
            </w:r>
            <w:r>
              <w:rPr>
                <w:color w:val="auto"/>
              </w:rPr>
              <w:t>，</w:t>
            </w:r>
            <w:r>
              <w:rPr>
                <w:rFonts w:hint="eastAsia"/>
                <w:color w:val="auto"/>
              </w:rPr>
              <w:t>造成主体结构</w:t>
            </w:r>
            <w:r>
              <w:rPr>
                <w:color w:val="auto"/>
              </w:rPr>
              <w:t>工期较为紧张，工序的科学组织、合理插入是保证完成的前提条件。</w:t>
            </w:r>
          </w:p>
        </w:tc>
        <w:tc>
          <w:tcPr>
            <w:tcW w:w="3869" w:type="dxa"/>
            <w:vAlign w:val="center"/>
          </w:tcPr>
          <w:p w14:paraId="5DD09071">
            <w:pPr>
              <w:pStyle w:val="47"/>
              <w:ind w:firstLine="420"/>
              <w:rPr>
                <w:color w:val="auto"/>
              </w:rPr>
            </w:pPr>
            <w:r>
              <w:rPr>
                <w:rFonts w:hint="eastAsia"/>
                <w:color w:val="auto"/>
              </w:rPr>
              <w:t>（1）制定详细的分解计划；</w:t>
            </w:r>
          </w:p>
          <w:p w14:paraId="25422A5A">
            <w:pPr>
              <w:pStyle w:val="47"/>
              <w:ind w:firstLine="420"/>
              <w:rPr>
                <w:color w:val="auto"/>
              </w:rPr>
            </w:pPr>
            <w:r>
              <w:rPr>
                <w:rFonts w:hint="eastAsia"/>
                <w:color w:val="auto"/>
              </w:rPr>
              <w:t>（2）加强工期过程考核；</w:t>
            </w:r>
          </w:p>
          <w:p w14:paraId="765F765D">
            <w:pPr>
              <w:pStyle w:val="47"/>
              <w:ind w:firstLine="420"/>
              <w:rPr>
                <w:color w:val="auto"/>
              </w:rPr>
            </w:pPr>
            <w:r>
              <w:rPr>
                <w:rFonts w:hint="eastAsia"/>
                <w:color w:val="auto"/>
              </w:rPr>
              <w:t>（3）加大资源投入。</w:t>
            </w:r>
          </w:p>
        </w:tc>
      </w:tr>
      <w:tr w14:paraId="699B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684AD772">
            <w:pPr>
              <w:pStyle w:val="45"/>
              <w:rPr>
                <w:rFonts w:hint="eastAsia"/>
                <w:color w:val="auto"/>
              </w:rPr>
            </w:pPr>
            <w:r>
              <w:rPr>
                <w:color w:val="auto"/>
              </w:rPr>
              <w:t>6</w:t>
            </w:r>
          </w:p>
        </w:tc>
        <w:tc>
          <w:tcPr>
            <w:tcW w:w="711" w:type="dxa"/>
            <w:vAlign w:val="center"/>
          </w:tcPr>
          <w:p w14:paraId="1A38218F">
            <w:pPr>
              <w:pStyle w:val="45"/>
              <w:rPr>
                <w:rFonts w:hint="eastAsia"/>
                <w:color w:val="auto"/>
              </w:rPr>
            </w:pPr>
            <w:r>
              <w:rPr>
                <w:rFonts w:hint="eastAsia"/>
                <w:color w:val="auto"/>
              </w:rPr>
              <w:t>高大模板工程</w:t>
            </w:r>
          </w:p>
        </w:tc>
        <w:tc>
          <w:tcPr>
            <w:tcW w:w="3269" w:type="dxa"/>
            <w:vAlign w:val="center"/>
          </w:tcPr>
          <w:p w14:paraId="766C2910">
            <w:pPr>
              <w:pStyle w:val="47"/>
              <w:ind w:firstLine="420"/>
              <w:rPr>
                <w:color w:val="auto"/>
              </w:rPr>
            </w:pPr>
            <w:r>
              <w:rPr>
                <w:rFonts w:hint="eastAsia"/>
                <w:color w:val="auto"/>
              </w:rPr>
              <w:t>本工程风雨操场层高，</w:t>
            </w:r>
            <w:r>
              <w:rPr>
                <w:color w:val="auto"/>
              </w:rPr>
              <w:t>按照</w:t>
            </w:r>
            <w:r>
              <w:rPr>
                <w:rFonts w:hint="eastAsia"/>
                <w:color w:val="auto"/>
              </w:rPr>
              <w:t>建质[2</w:t>
            </w:r>
            <w:r>
              <w:rPr>
                <w:color w:val="auto"/>
              </w:rPr>
              <w:t>018]</w:t>
            </w:r>
            <w:r>
              <w:rPr>
                <w:rFonts w:hint="eastAsia"/>
                <w:color w:val="auto"/>
              </w:rPr>
              <w:t>3</w:t>
            </w:r>
            <w:r>
              <w:rPr>
                <w:color w:val="auto"/>
              </w:rPr>
              <w:t>1</w:t>
            </w:r>
            <w:r>
              <w:rPr>
                <w:rFonts w:hint="eastAsia"/>
                <w:color w:val="auto"/>
              </w:rPr>
              <w:t>号</w:t>
            </w:r>
            <w:r>
              <w:rPr>
                <w:color w:val="auto"/>
              </w:rPr>
              <w:t>文规定，为高大模板支撑体系，</w:t>
            </w:r>
            <w:r>
              <w:rPr>
                <w:rFonts w:hint="eastAsia"/>
                <w:color w:val="auto"/>
              </w:rPr>
              <w:t>施工难度大。</w:t>
            </w:r>
          </w:p>
        </w:tc>
        <w:tc>
          <w:tcPr>
            <w:tcW w:w="3869" w:type="dxa"/>
            <w:vAlign w:val="center"/>
          </w:tcPr>
          <w:p w14:paraId="2E703AE8">
            <w:pPr>
              <w:pStyle w:val="47"/>
              <w:ind w:firstLine="420"/>
              <w:rPr>
                <w:color w:val="auto"/>
              </w:rPr>
            </w:pPr>
            <w:r>
              <w:rPr>
                <w:rFonts w:hint="eastAsia"/>
                <w:color w:val="auto"/>
              </w:rPr>
              <w:t>（1）搭设架体前对架体安全性进行计算，并组织专家论证。架体搭设前对工人进行交底，严格要求立杆间距、步距和剪刀撑按照专项方案执行；</w:t>
            </w:r>
          </w:p>
          <w:p w14:paraId="2290A5EF">
            <w:pPr>
              <w:pStyle w:val="47"/>
              <w:ind w:firstLine="420"/>
              <w:rPr>
                <w:color w:val="auto"/>
              </w:rPr>
            </w:pPr>
            <w:r>
              <w:rPr>
                <w:rFonts w:hint="eastAsia"/>
                <w:color w:val="auto"/>
              </w:rPr>
              <w:t>（2）梁模板支设时要求工人按要求起拱，必须保证混凝土强度达到100%时方可拆模；</w:t>
            </w:r>
          </w:p>
          <w:p w14:paraId="223A7886">
            <w:pPr>
              <w:pStyle w:val="47"/>
              <w:ind w:firstLine="420"/>
              <w:rPr>
                <w:color w:val="auto"/>
              </w:rPr>
            </w:pPr>
            <w:r>
              <w:rPr>
                <w:rFonts w:hint="eastAsia"/>
                <w:color w:val="auto"/>
              </w:rPr>
              <w:t>（3）成立以项目经理为组长，技术总监、建造总监、安全总监、劳务队负责人为组员的高支模施工专项小组，对每一处高支模施工进行策划、监督；</w:t>
            </w:r>
          </w:p>
          <w:p w14:paraId="382E7716">
            <w:pPr>
              <w:pStyle w:val="47"/>
              <w:ind w:firstLine="420"/>
              <w:rPr>
                <w:color w:val="auto"/>
              </w:rPr>
            </w:pPr>
            <w:r>
              <w:rPr>
                <w:rFonts w:hint="eastAsia"/>
                <w:color w:val="auto"/>
              </w:rPr>
              <w:t>（4）严格落实公司关键工序报验制度，模板架体在自验合格后报送公司安全管理部验收，验收合格后方能浇筑混凝土。</w:t>
            </w:r>
          </w:p>
        </w:tc>
      </w:tr>
      <w:tr w14:paraId="7B61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053E26D4">
            <w:pPr>
              <w:pStyle w:val="45"/>
              <w:rPr>
                <w:rFonts w:hint="eastAsia"/>
                <w:color w:val="auto"/>
              </w:rPr>
            </w:pPr>
            <w:r>
              <w:rPr>
                <w:rFonts w:hint="eastAsia"/>
                <w:color w:val="auto"/>
              </w:rPr>
              <w:t>7</w:t>
            </w:r>
          </w:p>
        </w:tc>
        <w:tc>
          <w:tcPr>
            <w:tcW w:w="711" w:type="dxa"/>
            <w:vAlign w:val="center"/>
          </w:tcPr>
          <w:p w14:paraId="3C643A6E">
            <w:pPr>
              <w:pStyle w:val="45"/>
              <w:rPr>
                <w:rFonts w:hint="eastAsia"/>
                <w:color w:val="auto"/>
              </w:rPr>
            </w:pPr>
            <w:r>
              <w:rPr>
                <w:rFonts w:hint="eastAsia"/>
                <w:color w:val="auto"/>
              </w:rPr>
              <w:t>人防</w:t>
            </w:r>
          </w:p>
          <w:p w14:paraId="6C225644">
            <w:pPr>
              <w:pStyle w:val="45"/>
              <w:rPr>
                <w:rFonts w:hint="eastAsia"/>
                <w:color w:val="auto"/>
              </w:rPr>
            </w:pPr>
            <w:r>
              <w:rPr>
                <w:rFonts w:hint="eastAsia"/>
                <w:color w:val="auto"/>
              </w:rPr>
              <w:t>工程</w:t>
            </w:r>
          </w:p>
        </w:tc>
        <w:tc>
          <w:tcPr>
            <w:tcW w:w="3269" w:type="dxa"/>
            <w:vAlign w:val="center"/>
          </w:tcPr>
          <w:p w14:paraId="7C545367">
            <w:pPr>
              <w:pStyle w:val="47"/>
              <w:ind w:firstLine="420"/>
              <w:rPr>
                <w:color w:val="auto"/>
              </w:rPr>
            </w:pPr>
            <w:r>
              <w:rPr>
                <w:rFonts w:hint="eastAsia"/>
                <w:color w:val="auto"/>
              </w:rPr>
              <w:t>本工程有人防地下室建筑需求</w:t>
            </w:r>
            <w:r>
              <w:rPr>
                <w:color w:val="auto"/>
              </w:rPr>
              <w:t>，保证人防工程的顺利预留预埋及安装实施是重点。地下室机电安装专业管线较多，科学合理的预留预埋为施工重点。</w:t>
            </w:r>
          </w:p>
        </w:tc>
        <w:tc>
          <w:tcPr>
            <w:tcW w:w="3869" w:type="dxa"/>
            <w:vAlign w:val="center"/>
          </w:tcPr>
          <w:p w14:paraId="4A109B6A">
            <w:pPr>
              <w:pStyle w:val="47"/>
              <w:ind w:firstLine="420"/>
              <w:rPr>
                <w:color w:val="auto"/>
              </w:rPr>
            </w:pPr>
            <w:r>
              <w:rPr>
                <w:rFonts w:hint="eastAsia"/>
                <w:color w:val="auto"/>
              </w:rPr>
              <w:t>（1）引进专业单位；</w:t>
            </w:r>
          </w:p>
          <w:p w14:paraId="7A271B3A">
            <w:pPr>
              <w:pStyle w:val="47"/>
              <w:ind w:firstLine="420"/>
              <w:rPr>
                <w:color w:val="auto"/>
              </w:rPr>
            </w:pPr>
            <w:r>
              <w:rPr>
                <w:rFonts w:hint="eastAsia"/>
                <w:color w:val="auto"/>
              </w:rPr>
              <w:t>（2）做好资源采购；</w:t>
            </w:r>
          </w:p>
          <w:p w14:paraId="494C8B96">
            <w:pPr>
              <w:pStyle w:val="47"/>
              <w:ind w:firstLine="420"/>
              <w:rPr>
                <w:color w:val="auto"/>
              </w:rPr>
            </w:pPr>
            <w:r>
              <w:rPr>
                <w:rFonts w:hint="eastAsia"/>
                <w:color w:val="auto"/>
              </w:rPr>
              <w:t>（3）做好人防预留预埋；</w:t>
            </w:r>
          </w:p>
          <w:p w14:paraId="1893DBBA">
            <w:pPr>
              <w:pStyle w:val="47"/>
              <w:ind w:firstLine="420"/>
              <w:rPr>
                <w:color w:val="auto"/>
              </w:rPr>
            </w:pPr>
            <w:r>
              <w:rPr>
                <w:rFonts w:hint="eastAsia"/>
                <w:color w:val="auto"/>
              </w:rPr>
              <w:t>（4）做好与各专业的交叉及人防验收程序。</w:t>
            </w:r>
          </w:p>
        </w:tc>
      </w:tr>
      <w:tr w14:paraId="22256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59248F5D">
            <w:pPr>
              <w:pStyle w:val="45"/>
              <w:rPr>
                <w:rFonts w:hint="eastAsia"/>
                <w:color w:val="auto"/>
              </w:rPr>
            </w:pPr>
            <w:r>
              <w:rPr>
                <w:rFonts w:hint="eastAsia"/>
                <w:color w:val="auto"/>
              </w:rPr>
              <w:t>8</w:t>
            </w:r>
          </w:p>
        </w:tc>
        <w:tc>
          <w:tcPr>
            <w:tcW w:w="711" w:type="dxa"/>
            <w:vAlign w:val="center"/>
          </w:tcPr>
          <w:p w14:paraId="6A9CDB0B">
            <w:pPr>
              <w:pStyle w:val="45"/>
              <w:rPr>
                <w:rFonts w:hint="eastAsia"/>
                <w:color w:val="auto"/>
              </w:rPr>
            </w:pPr>
            <w:r>
              <w:rPr>
                <w:rFonts w:hint="eastAsia"/>
                <w:color w:val="auto"/>
              </w:rPr>
              <w:t>新技术新工艺运用</w:t>
            </w:r>
          </w:p>
        </w:tc>
        <w:tc>
          <w:tcPr>
            <w:tcW w:w="3269" w:type="dxa"/>
            <w:vAlign w:val="center"/>
          </w:tcPr>
          <w:p w14:paraId="1E8C234B">
            <w:pPr>
              <w:pStyle w:val="47"/>
              <w:ind w:firstLine="420"/>
              <w:rPr>
                <w:color w:val="auto"/>
              </w:rPr>
            </w:pPr>
            <w:r>
              <w:rPr>
                <w:rFonts w:hint="eastAsia"/>
                <w:color w:val="auto"/>
              </w:rPr>
              <w:t>采用精益建造及施工总承包管理。</w:t>
            </w:r>
          </w:p>
        </w:tc>
        <w:tc>
          <w:tcPr>
            <w:tcW w:w="3869" w:type="dxa"/>
            <w:vAlign w:val="center"/>
          </w:tcPr>
          <w:p w14:paraId="0132B61D">
            <w:pPr>
              <w:pStyle w:val="45"/>
              <w:rPr>
                <w:rFonts w:hint="eastAsia"/>
                <w:color w:val="auto"/>
              </w:rPr>
            </w:pPr>
            <w:r>
              <w:rPr>
                <w:rFonts w:hint="eastAsia"/>
                <w:color w:val="auto"/>
              </w:rPr>
              <w:t>（1）做好项目策划，以及精益建造实施计划；</w:t>
            </w:r>
          </w:p>
          <w:p w14:paraId="11811D0D">
            <w:pPr>
              <w:pStyle w:val="45"/>
              <w:rPr>
                <w:rFonts w:hint="eastAsia"/>
                <w:color w:val="auto"/>
              </w:rPr>
            </w:pPr>
            <w:r>
              <w:rPr>
                <w:rFonts w:hint="eastAsia"/>
                <w:color w:val="auto"/>
              </w:rPr>
              <w:t>（2）加强总承包管理策划及管理策划；</w:t>
            </w:r>
          </w:p>
          <w:p w14:paraId="21443D23">
            <w:pPr>
              <w:pStyle w:val="45"/>
              <w:rPr>
                <w:rFonts w:hint="eastAsia"/>
                <w:color w:val="auto"/>
              </w:rPr>
            </w:pPr>
            <w:r>
              <w:rPr>
                <w:rFonts w:hint="eastAsia"/>
                <w:color w:val="auto"/>
              </w:rPr>
              <w:t>（3）做好新技术新工艺的培训、策划；</w:t>
            </w:r>
          </w:p>
          <w:p w14:paraId="51EA3CA5">
            <w:pPr>
              <w:pStyle w:val="47"/>
              <w:ind w:firstLine="420"/>
              <w:rPr>
                <w:color w:val="auto"/>
              </w:rPr>
            </w:pPr>
            <w:r>
              <w:rPr>
                <w:rFonts w:hint="eastAsia" w:ascii="宋体" w:hAnsi="宋体"/>
                <w:color w:val="auto"/>
              </w:rPr>
              <w:t>（4）做好品质提升，标杆引领示范。</w:t>
            </w:r>
          </w:p>
        </w:tc>
      </w:tr>
      <w:tr w14:paraId="1112C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115C391">
            <w:pPr>
              <w:pStyle w:val="45"/>
              <w:rPr>
                <w:rFonts w:hint="eastAsia"/>
                <w:color w:val="auto"/>
              </w:rPr>
            </w:pPr>
            <w:r>
              <w:rPr>
                <w:color w:val="auto"/>
              </w:rPr>
              <w:t>9</w:t>
            </w:r>
          </w:p>
        </w:tc>
        <w:tc>
          <w:tcPr>
            <w:tcW w:w="711" w:type="dxa"/>
            <w:vAlign w:val="center"/>
          </w:tcPr>
          <w:p w14:paraId="0AFC5E08">
            <w:pPr>
              <w:pStyle w:val="45"/>
              <w:rPr>
                <w:rFonts w:hint="eastAsia"/>
                <w:color w:val="auto"/>
              </w:rPr>
            </w:pPr>
            <w:r>
              <w:rPr>
                <w:rFonts w:hint="eastAsia"/>
                <w:color w:val="auto"/>
              </w:rPr>
              <w:t>工期</w:t>
            </w:r>
          </w:p>
          <w:p w14:paraId="0EB00FE8">
            <w:pPr>
              <w:pStyle w:val="45"/>
              <w:rPr>
                <w:rFonts w:hint="eastAsia"/>
                <w:color w:val="auto"/>
              </w:rPr>
            </w:pPr>
            <w:r>
              <w:rPr>
                <w:rFonts w:hint="eastAsia"/>
                <w:color w:val="auto"/>
              </w:rPr>
              <w:t>紧张</w:t>
            </w:r>
          </w:p>
        </w:tc>
        <w:tc>
          <w:tcPr>
            <w:tcW w:w="3269" w:type="dxa"/>
            <w:vAlign w:val="center"/>
          </w:tcPr>
          <w:p w14:paraId="135EF733">
            <w:pPr>
              <w:pStyle w:val="47"/>
              <w:ind w:firstLine="420"/>
              <w:rPr>
                <w:color w:val="auto"/>
              </w:rPr>
            </w:pPr>
            <w:r>
              <w:rPr>
                <w:rFonts w:hint="eastAsia" w:ascii="宋体" w:hAnsi="宋体"/>
                <w:color w:val="auto"/>
              </w:rPr>
              <w:t>本工程工期要求较紧</w:t>
            </w:r>
          </w:p>
        </w:tc>
        <w:tc>
          <w:tcPr>
            <w:tcW w:w="3869" w:type="dxa"/>
            <w:vAlign w:val="center"/>
          </w:tcPr>
          <w:p w14:paraId="3D3E10AE">
            <w:pPr>
              <w:pStyle w:val="47"/>
              <w:ind w:firstLine="420"/>
              <w:rPr>
                <w:color w:val="auto"/>
              </w:rPr>
            </w:pPr>
            <w:r>
              <w:rPr>
                <w:rFonts w:hint="eastAsia" w:ascii="宋体" w:hAnsi="宋体"/>
                <w:color w:val="auto"/>
              </w:rPr>
              <w:t>根据工期要求及施工部署，制定施工总进度计划，严格执行，严格考核。</w:t>
            </w:r>
          </w:p>
        </w:tc>
      </w:tr>
      <w:tr w14:paraId="5A556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7D1630D">
            <w:pPr>
              <w:pStyle w:val="45"/>
              <w:rPr>
                <w:rFonts w:hint="eastAsia"/>
                <w:color w:val="auto"/>
              </w:rPr>
            </w:pPr>
            <w:r>
              <w:rPr>
                <w:color w:val="auto"/>
              </w:rPr>
              <w:t>10</w:t>
            </w:r>
          </w:p>
        </w:tc>
        <w:tc>
          <w:tcPr>
            <w:tcW w:w="711" w:type="dxa"/>
            <w:vAlign w:val="center"/>
          </w:tcPr>
          <w:p w14:paraId="56D1AC55">
            <w:pPr>
              <w:pStyle w:val="45"/>
              <w:rPr>
                <w:rFonts w:hint="eastAsia"/>
                <w:color w:val="auto"/>
              </w:rPr>
            </w:pPr>
            <w:r>
              <w:rPr>
                <w:rFonts w:hint="eastAsia"/>
                <w:color w:val="auto"/>
              </w:rPr>
              <w:t>预制构件数量多</w:t>
            </w:r>
          </w:p>
        </w:tc>
        <w:tc>
          <w:tcPr>
            <w:tcW w:w="3269" w:type="dxa"/>
            <w:vAlign w:val="center"/>
          </w:tcPr>
          <w:p w14:paraId="44CD2513">
            <w:pPr>
              <w:pStyle w:val="47"/>
              <w:ind w:firstLine="420"/>
              <w:rPr>
                <w:rFonts w:hint="eastAsia" w:ascii="宋体" w:hAnsi="宋体"/>
                <w:color w:val="auto"/>
              </w:rPr>
            </w:pPr>
            <w:r>
              <w:rPr>
                <w:rFonts w:hint="eastAsia" w:ascii="宋体" w:hAnsi="宋体"/>
                <w:color w:val="auto"/>
              </w:rPr>
              <w:t>海南预制构件产能不足，且意向预制构件厂远在海口，距离项目约3</w:t>
            </w:r>
            <w:r>
              <w:rPr>
                <w:rFonts w:ascii="宋体" w:hAnsi="宋体"/>
                <w:color w:val="auto"/>
              </w:rPr>
              <w:t>00KM</w:t>
            </w:r>
            <w:r>
              <w:rPr>
                <w:rFonts w:hint="eastAsia" w:ascii="宋体" w:hAnsi="宋体"/>
                <w:color w:val="auto"/>
              </w:rPr>
              <w:t>，项目施工过程中，存在预制构件断供的风险，对项目履约影响极大。</w:t>
            </w:r>
          </w:p>
        </w:tc>
        <w:tc>
          <w:tcPr>
            <w:tcW w:w="3869" w:type="dxa"/>
            <w:vAlign w:val="center"/>
          </w:tcPr>
          <w:p w14:paraId="0D142ED6">
            <w:pPr>
              <w:pStyle w:val="47"/>
              <w:ind w:firstLine="420"/>
              <w:rPr>
                <w:rFonts w:hint="eastAsia" w:ascii="宋体" w:hAnsi="宋体"/>
                <w:color w:val="auto"/>
              </w:rPr>
            </w:pPr>
            <w:r>
              <w:rPr>
                <w:rFonts w:hint="eastAsia" w:ascii="宋体" w:hAnsi="宋体"/>
                <w:color w:val="auto"/>
              </w:rPr>
              <w:t>项目拟在现场西侧地块建设一座游牧式预制构件厂，以解决本项目预制构件供应不足的问题</w:t>
            </w:r>
          </w:p>
        </w:tc>
      </w:tr>
    </w:tbl>
    <w:p w14:paraId="1A7F1AE0">
      <w:pPr>
        <w:pStyle w:val="5"/>
        <w:rPr>
          <w:color w:val="auto"/>
        </w:rPr>
      </w:pPr>
      <w:bookmarkStart w:id="53" w:name="_Toc14594"/>
      <w:r>
        <w:rPr>
          <w:rFonts w:hint="eastAsia"/>
          <w:color w:val="auto"/>
        </w:rPr>
        <w:t>机电设备安装重点、难点分析</w:t>
      </w:r>
      <w:bookmarkEnd w:id="53"/>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711"/>
        <w:gridCol w:w="3269"/>
        <w:gridCol w:w="3869"/>
      </w:tblGrid>
      <w:tr w14:paraId="55AEB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14:paraId="1936BC53">
            <w:pPr>
              <w:pStyle w:val="45"/>
              <w:rPr>
                <w:rFonts w:hint="eastAsia"/>
                <w:color w:val="auto"/>
              </w:rPr>
            </w:pPr>
            <w:r>
              <w:rPr>
                <w:rFonts w:hint="eastAsia"/>
                <w:color w:val="auto"/>
              </w:rPr>
              <w:t>序号</w:t>
            </w:r>
          </w:p>
        </w:tc>
        <w:tc>
          <w:tcPr>
            <w:tcW w:w="711" w:type="dxa"/>
          </w:tcPr>
          <w:p w14:paraId="63E3716D">
            <w:pPr>
              <w:pStyle w:val="45"/>
              <w:rPr>
                <w:rFonts w:hint="eastAsia"/>
                <w:color w:val="auto"/>
              </w:rPr>
            </w:pPr>
            <w:r>
              <w:rPr>
                <w:rFonts w:hint="eastAsia"/>
                <w:color w:val="auto"/>
              </w:rPr>
              <w:t>项目</w:t>
            </w:r>
          </w:p>
        </w:tc>
        <w:tc>
          <w:tcPr>
            <w:tcW w:w="3269" w:type="dxa"/>
          </w:tcPr>
          <w:p w14:paraId="2783420F">
            <w:pPr>
              <w:pStyle w:val="45"/>
              <w:rPr>
                <w:rFonts w:hint="eastAsia"/>
                <w:color w:val="auto"/>
              </w:rPr>
            </w:pPr>
            <w:r>
              <w:rPr>
                <w:rFonts w:hint="eastAsia"/>
                <w:color w:val="auto"/>
              </w:rPr>
              <w:t>重点、难点分析</w:t>
            </w:r>
          </w:p>
        </w:tc>
        <w:tc>
          <w:tcPr>
            <w:tcW w:w="3869" w:type="dxa"/>
          </w:tcPr>
          <w:p w14:paraId="7189FCA8">
            <w:pPr>
              <w:pStyle w:val="45"/>
              <w:rPr>
                <w:rFonts w:hint="eastAsia"/>
                <w:color w:val="auto"/>
              </w:rPr>
            </w:pPr>
            <w:r>
              <w:rPr>
                <w:rFonts w:hint="eastAsia"/>
                <w:color w:val="auto"/>
              </w:rPr>
              <w:t>解决方案</w:t>
            </w:r>
          </w:p>
        </w:tc>
      </w:tr>
      <w:tr w14:paraId="434A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2AA068FF">
            <w:pPr>
              <w:pStyle w:val="45"/>
              <w:rPr>
                <w:rFonts w:hint="eastAsia"/>
                <w:color w:val="auto"/>
              </w:rPr>
            </w:pPr>
            <w:r>
              <w:rPr>
                <w:rFonts w:hint="eastAsia"/>
                <w:color w:val="auto"/>
              </w:rPr>
              <w:t>1</w:t>
            </w:r>
          </w:p>
        </w:tc>
        <w:tc>
          <w:tcPr>
            <w:tcW w:w="711" w:type="dxa"/>
            <w:vAlign w:val="center"/>
          </w:tcPr>
          <w:p w14:paraId="66E8CECF">
            <w:pPr>
              <w:pStyle w:val="45"/>
              <w:rPr>
                <w:rFonts w:hint="eastAsia"/>
                <w:color w:val="auto"/>
              </w:rPr>
            </w:pPr>
            <w:r>
              <w:rPr>
                <w:rFonts w:hint="eastAsia"/>
                <w:color w:val="auto"/>
              </w:rPr>
              <w:t>机电各专业协调配合多</w:t>
            </w:r>
          </w:p>
        </w:tc>
        <w:tc>
          <w:tcPr>
            <w:tcW w:w="3269" w:type="dxa"/>
            <w:vAlign w:val="center"/>
          </w:tcPr>
          <w:p w14:paraId="0C52C2AE">
            <w:pPr>
              <w:pStyle w:val="47"/>
              <w:ind w:firstLine="420"/>
              <w:rPr>
                <w:color w:val="auto"/>
              </w:rPr>
            </w:pPr>
            <w:r>
              <w:rPr>
                <w:rFonts w:hint="eastAsia"/>
                <w:color w:val="auto"/>
              </w:rPr>
              <w:t>本工程为公建类，机电安装工程工程量大，各类安装专业系统多。协调配合点、面多，一旦配合不顺畅，将严重面临大量的返工修改，严重的影响工期、质量。</w:t>
            </w:r>
          </w:p>
        </w:tc>
        <w:tc>
          <w:tcPr>
            <w:tcW w:w="3869" w:type="dxa"/>
            <w:vAlign w:val="center"/>
          </w:tcPr>
          <w:p w14:paraId="5E033AC4">
            <w:pPr>
              <w:pStyle w:val="47"/>
              <w:ind w:firstLine="420"/>
              <w:rPr>
                <w:color w:val="auto"/>
              </w:rPr>
            </w:pPr>
            <w:r>
              <w:rPr>
                <w:rFonts w:hint="eastAsia"/>
                <w:color w:val="auto"/>
              </w:rPr>
              <w:t>（1）组建经验丰富、团结协作的项目机电安装管理团队；</w:t>
            </w:r>
          </w:p>
          <w:p w14:paraId="3CF25BD4">
            <w:pPr>
              <w:pStyle w:val="47"/>
              <w:ind w:firstLine="420"/>
              <w:rPr>
                <w:color w:val="auto"/>
              </w:rPr>
            </w:pPr>
            <w:r>
              <w:rPr>
                <w:rFonts w:hint="eastAsia"/>
                <w:color w:val="auto"/>
              </w:rPr>
              <w:t>（2）做好项目安装工程策划，做好安装工程施工组织管理；</w:t>
            </w:r>
          </w:p>
          <w:p w14:paraId="38B999B3">
            <w:pPr>
              <w:pStyle w:val="47"/>
              <w:ind w:firstLine="420"/>
              <w:rPr>
                <w:color w:val="auto"/>
              </w:rPr>
            </w:pPr>
            <w:r>
              <w:rPr>
                <w:color w:val="auto"/>
              </w:rPr>
              <w:t>（</w:t>
            </w:r>
            <w:r>
              <w:rPr>
                <w:rFonts w:hint="eastAsia"/>
                <w:color w:val="auto"/>
              </w:rPr>
              <w:t>3</w:t>
            </w:r>
            <w:r>
              <w:rPr>
                <w:color w:val="auto"/>
              </w:rPr>
              <w:t>）</w:t>
            </w:r>
            <w:r>
              <w:rPr>
                <w:rFonts w:hint="eastAsia"/>
                <w:color w:val="auto"/>
              </w:rPr>
              <w:t>配备充分的专业化施工班组和专业分包单位。</w:t>
            </w:r>
          </w:p>
        </w:tc>
      </w:tr>
      <w:tr w14:paraId="22076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260783D">
            <w:pPr>
              <w:pStyle w:val="45"/>
              <w:rPr>
                <w:rFonts w:hint="eastAsia"/>
                <w:color w:val="auto"/>
              </w:rPr>
            </w:pPr>
            <w:r>
              <w:rPr>
                <w:rFonts w:hint="eastAsia"/>
                <w:color w:val="auto"/>
              </w:rPr>
              <w:t>2</w:t>
            </w:r>
          </w:p>
        </w:tc>
        <w:tc>
          <w:tcPr>
            <w:tcW w:w="711" w:type="dxa"/>
            <w:vAlign w:val="center"/>
          </w:tcPr>
          <w:p w14:paraId="19F17256">
            <w:pPr>
              <w:pStyle w:val="45"/>
              <w:rPr>
                <w:rFonts w:hint="eastAsia"/>
                <w:color w:val="auto"/>
              </w:rPr>
            </w:pPr>
            <w:r>
              <w:rPr>
                <w:rFonts w:hint="eastAsia"/>
                <w:color w:val="auto"/>
              </w:rPr>
              <w:t>安装质量标准高</w:t>
            </w:r>
          </w:p>
        </w:tc>
        <w:tc>
          <w:tcPr>
            <w:tcW w:w="3269" w:type="dxa"/>
            <w:vAlign w:val="center"/>
          </w:tcPr>
          <w:p w14:paraId="5EBC0D3B">
            <w:pPr>
              <w:pStyle w:val="47"/>
              <w:ind w:firstLine="420"/>
              <w:rPr>
                <w:color w:val="auto"/>
              </w:rPr>
            </w:pPr>
            <w:r>
              <w:rPr>
                <w:rFonts w:hint="eastAsia"/>
                <w:color w:val="auto"/>
              </w:rPr>
              <w:t>由于本工程的特殊重要性和业主的要求，决定了本工程严格的高标准的质量要求。在施工中必须通过严格的要求，把本工程建造成为一流的精品工程。</w:t>
            </w:r>
          </w:p>
        </w:tc>
        <w:tc>
          <w:tcPr>
            <w:tcW w:w="3869" w:type="dxa"/>
            <w:vAlign w:val="center"/>
          </w:tcPr>
          <w:p w14:paraId="6F546EEA">
            <w:pPr>
              <w:pStyle w:val="47"/>
              <w:ind w:firstLine="420"/>
              <w:rPr>
                <w:color w:val="auto"/>
              </w:rPr>
            </w:pPr>
            <w:r>
              <w:rPr>
                <w:rFonts w:hint="eastAsia"/>
                <w:color w:val="auto"/>
              </w:rPr>
              <w:t>（1）在施工过程中通过严格的工艺控制、资源控制、过程控制、程序控制和环节控制，确保一次成优；</w:t>
            </w:r>
          </w:p>
          <w:p w14:paraId="15300916">
            <w:pPr>
              <w:pStyle w:val="47"/>
              <w:ind w:firstLine="420"/>
              <w:rPr>
                <w:color w:val="auto"/>
              </w:rPr>
            </w:pPr>
            <w:r>
              <w:rPr>
                <w:rFonts w:hint="eastAsia"/>
                <w:color w:val="auto"/>
              </w:rPr>
              <w:t>（2）制定详细的机电安装创优策划；</w:t>
            </w:r>
          </w:p>
          <w:p w14:paraId="6ED9510E">
            <w:pPr>
              <w:pStyle w:val="47"/>
              <w:ind w:firstLine="420"/>
              <w:rPr>
                <w:color w:val="auto"/>
              </w:rPr>
            </w:pPr>
            <w:r>
              <w:rPr>
                <w:rFonts w:hint="eastAsia"/>
                <w:color w:val="auto"/>
              </w:rPr>
              <w:t>（3）建立创优组织领导小组及执行小组。</w:t>
            </w:r>
          </w:p>
        </w:tc>
      </w:tr>
      <w:tr w14:paraId="4298B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11B564E1">
            <w:pPr>
              <w:pStyle w:val="45"/>
              <w:rPr>
                <w:rFonts w:hint="eastAsia"/>
                <w:color w:val="auto"/>
              </w:rPr>
            </w:pPr>
            <w:r>
              <w:rPr>
                <w:rFonts w:hint="eastAsia"/>
                <w:color w:val="auto"/>
              </w:rPr>
              <w:t>3</w:t>
            </w:r>
          </w:p>
        </w:tc>
        <w:tc>
          <w:tcPr>
            <w:tcW w:w="711" w:type="dxa"/>
            <w:vAlign w:val="center"/>
          </w:tcPr>
          <w:p w14:paraId="76EBB3BF">
            <w:pPr>
              <w:pStyle w:val="45"/>
              <w:rPr>
                <w:rFonts w:hint="eastAsia"/>
                <w:color w:val="auto"/>
              </w:rPr>
            </w:pPr>
            <w:r>
              <w:rPr>
                <w:rFonts w:hint="eastAsia"/>
                <w:color w:val="auto"/>
              </w:rPr>
              <w:t>设备材料的水平垂直运输</w:t>
            </w:r>
          </w:p>
        </w:tc>
        <w:tc>
          <w:tcPr>
            <w:tcW w:w="3269" w:type="dxa"/>
            <w:vAlign w:val="center"/>
          </w:tcPr>
          <w:p w14:paraId="4B5BA670">
            <w:pPr>
              <w:pStyle w:val="47"/>
              <w:ind w:firstLine="420"/>
              <w:rPr>
                <w:color w:val="auto"/>
              </w:rPr>
            </w:pPr>
            <w:r>
              <w:rPr>
                <w:rFonts w:hint="eastAsia"/>
                <w:color w:val="auto"/>
              </w:rPr>
              <w:t>机电系统全面展开后，各系统所有材料设备都在进场，为保持施工现场的规整，如何组织现场设备存放、平面运输和吊装将严重的影响到项目各个系统的安装进展。</w:t>
            </w:r>
          </w:p>
        </w:tc>
        <w:tc>
          <w:tcPr>
            <w:tcW w:w="3869" w:type="dxa"/>
            <w:vAlign w:val="center"/>
          </w:tcPr>
          <w:p w14:paraId="160D00DD">
            <w:pPr>
              <w:pStyle w:val="47"/>
              <w:ind w:firstLine="420"/>
              <w:rPr>
                <w:color w:val="auto"/>
              </w:rPr>
            </w:pPr>
            <w:r>
              <w:rPr>
                <w:color w:val="auto"/>
              </w:rPr>
              <w:t>（</w:t>
            </w:r>
            <w:r>
              <w:rPr>
                <w:rFonts w:hint="eastAsia"/>
                <w:color w:val="auto"/>
              </w:rPr>
              <w:t>1</w:t>
            </w:r>
            <w:r>
              <w:rPr>
                <w:color w:val="auto"/>
              </w:rPr>
              <w:t>）</w:t>
            </w:r>
            <w:r>
              <w:rPr>
                <w:rFonts w:hint="eastAsia"/>
                <w:color w:val="auto"/>
              </w:rPr>
              <w:t>提前规划各类型设备材料的堆场；</w:t>
            </w:r>
          </w:p>
          <w:p w14:paraId="0BE6E086">
            <w:pPr>
              <w:pStyle w:val="47"/>
              <w:ind w:firstLine="420"/>
              <w:rPr>
                <w:color w:val="auto"/>
              </w:rPr>
            </w:pPr>
            <w:r>
              <w:rPr>
                <w:color w:val="auto"/>
              </w:rPr>
              <w:t>（</w:t>
            </w:r>
            <w:r>
              <w:rPr>
                <w:rFonts w:hint="eastAsia"/>
                <w:color w:val="auto"/>
              </w:rPr>
              <w:t>2</w:t>
            </w:r>
            <w:r>
              <w:rPr>
                <w:color w:val="auto"/>
              </w:rPr>
              <w:t>）</w:t>
            </w:r>
            <w:r>
              <w:rPr>
                <w:rFonts w:hint="eastAsia"/>
                <w:color w:val="auto"/>
              </w:rPr>
              <w:t>提前策划设备运输路线；</w:t>
            </w:r>
          </w:p>
          <w:p w14:paraId="33403E09">
            <w:pPr>
              <w:pStyle w:val="47"/>
              <w:ind w:firstLine="420"/>
              <w:rPr>
                <w:color w:val="auto"/>
              </w:rPr>
            </w:pPr>
            <w:r>
              <w:rPr>
                <w:color w:val="auto"/>
              </w:rPr>
              <w:t>（</w:t>
            </w:r>
            <w:r>
              <w:rPr>
                <w:rFonts w:hint="eastAsia"/>
                <w:color w:val="auto"/>
              </w:rPr>
              <w:t>3</w:t>
            </w:r>
            <w:r>
              <w:rPr>
                <w:color w:val="auto"/>
              </w:rPr>
              <w:t>）</w:t>
            </w:r>
            <w:r>
              <w:rPr>
                <w:rFonts w:hint="eastAsia"/>
                <w:color w:val="auto"/>
              </w:rPr>
              <w:t>编制机电设备运输吊装详细方案。</w:t>
            </w:r>
          </w:p>
        </w:tc>
      </w:tr>
      <w:tr w14:paraId="6326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7702645A">
            <w:pPr>
              <w:pStyle w:val="45"/>
              <w:rPr>
                <w:rFonts w:hint="eastAsia"/>
                <w:color w:val="auto"/>
              </w:rPr>
            </w:pPr>
            <w:r>
              <w:rPr>
                <w:color w:val="auto"/>
              </w:rPr>
              <w:t>4</w:t>
            </w:r>
          </w:p>
        </w:tc>
        <w:tc>
          <w:tcPr>
            <w:tcW w:w="711" w:type="dxa"/>
            <w:vAlign w:val="center"/>
          </w:tcPr>
          <w:p w14:paraId="31D0BF97">
            <w:pPr>
              <w:pStyle w:val="45"/>
              <w:jc w:val="both"/>
              <w:rPr>
                <w:rFonts w:hint="eastAsia"/>
                <w:color w:val="auto"/>
              </w:rPr>
            </w:pPr>
            <w:r>
              <w:rPr>
                <w:rFonts w:hint="eastAsia"/>
                <w:color w:val="auto"/>
              </w:rPr>
              <w:t>管道密集区域的空间管理</w:t>
            </w:r>
          </w:p>
        </w:tc>
        <w:tc>
          <w:tcPr>
            <w:tcW w:w="3269" w:type="dxa"/>
            <w:vAlign w:val="center"/>
          </w:tcPr>
          <w:p w14:paraId="3052D71A">
            <w:pPr>
              <w:pStyle w:val="47"/>
              <w:ind w:firstLine="420"/>
              <w:rPr>
                <w:color w:val="auto"/>
              </w:rPr>
            </w:pPr>
            <w:r>
              <w:rPr>
                <w:rFonts w:hint="eastAsia"/>
                <w:color w:val="auto"/>
              </w:rPr>
              <w:t>本工程地下室、竖井、走道、机房等重点区域的管线众多，如何进行机电管线的综合排布，确保管线平面和空间上排布合理，线条清晰，维护方便，视觉美观也将是本工程机电系统安装的重难点。</w:t>
            </w:r>
          </w:p>
        </w:tc>
        <w:tc>
          <w:tcPr>
            <w:tcW w:w="3869" w:type="dxa"/>
            <w:vAlign w:val="center"/>
          </w:tcPr>
          <w:p w14:paraId="7512D2B7">
            <w:pPr>
              <w:pStyle w:val="47"/>
              <w:ind w:firstLine="420"/>
              <w:rPr>
                <w:color w:val="auto"/>
              </w:rPr>
            </w:pPr>
            <w:r>
              <w:rPr>
                <w:rFonts w:hint="eastAsia"/>
                <w:color w:val="auto"/>
              </w:rPr>
              <w:t>（1）组建经验丰富的B</w:t>
            </w:r>
            <w:r>
              <w:rPr>
                <w:color w:val="auto"/>
              </w:rPr>
              <w:t>IM团队</w:t>
            </w:r>
            <w:r>
              <w:rPr>
                <w:rFonts w:hint="eastAsia"/>
                <w:color w:val="auto"/>
              </w:rPr>
              <w:t>进行管线的综合排布；</w:t>
            </w:r>
          </w:p>
          <w:p w14:paraId="6E2AA140">
            <w:pPr>
              <w:pStyle w:val="47"/>
              <w:ind w:firstLine="420"/>
              <w:rPr>
                <w:color w:val="auto"/>
              </w:rPr>
            </w:pPr>
            <w:r>
              <w:rPr>
                <w:color w:val="auto"/>
              </w:rPr>
              <w:t>（</w:t>
            </w:r>
            <w:r>
              <w:rPr>
                <w:rFonts w:hint="eastAsia"/>
                <w:color w:val="auto"/>
              </w:rPr>
              <w:t>2</w:t>
            </w:r>
            <w:r>
              <w:rPr>
                <w:color w:val="auto"/>
              </w:rPr>
              <w:t>）</w:t>
            </w:r>
            <w:r>
              <w:rPr>
                <w:rFonts w:hint="eastAsia"/>
                <w:color w:val="auto"/>
              </w:rPr>
              <w:t>对各专业的管道的支架进行合理的优化和统一，对支吊架的荷载进行核算；</w:t>
            </w:r>
          </w:p>
          <w:p w14:paraId="74790E4E">
            <w:pPr>
              <w:pStyle w:val="47"/>
              <w:ind w:firstLine="420"/>
              <w:rPr>
                <w:color w:val="auto"/>
              </w:rPr>
            </w:pPr>
            <w:r>
              <w:rPr>
                <w:color w:val="auto"/>
              </w:rPr>
              <w:t>（</w:t>
            </w:r>
            <w:r>
              <w:rPr>
                <w:rFonts w:hint="eastAsia"/>
                <w:color w:val="auto"/>
              </w:rPr>
              <w:t>3</w:t>
            </w:r>
            <w:r>
              <w:rPr>
                <w:color w:val="auto"/>
              </w:rPr>
              <w:t>）</w:t>
            </w:r>
            <w:r>
              <w:rPr>
                <w:rFonts w:hint="eastAsia"/>
                <w:color w:val="auto"/>
              </w:rPr>
              <w:t>施工前组织相关专业技术负责人共同讨论施工工序的安排。</w:t>
            </w:r>
          </w:p>
        </w:tc>
      </w:tr>
      <w:tr w14:paraId="78295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610034DD">
            <w:pPr>
              <w:pStyle w:val="45"/>
              <w:rPr>
                <w:rFonts w:hint="eastAsia"/>
                <w:color w:val="auto"/>
              </w:rPr>
            </w:pPr>
            <w:r>
              <w:rPr>
                <w:rFonts w:hint="eastAsia"/>
                <w:color w:val="auto"/>
              </w:rPr>
              <w:t>5</w:t>
            </w:r>
          </w:p>
        </w:tc>
        <w:tc>
          <w:tcPr>
            <w:tcW w:w="711" w:type="dxa"/>
            <w:vAlign w:val="center"/>
          </w:tcPr>
          <w:p w14:paraId="5FF8DB00">
            <w:pPr>
              <w:pStyle w:val="45"/>
              <w:rPr>
                <w:rFonts w:hint="eastAsia"/>
                <w:color w:val="auto"/>
              </w:rPr>
            </w:pPr>
            <w:r>
              <w:rPr>
                <w:rFonts w:hint="eastAsia"/>
                <w:color w:val="auto"/>
              </w:rPr>
              <w:t>成品保护管理</w:t>
            </w:r>
          </w:p>
        </w:tc>
        <w:tc>
          <w:tcPr>
            <w:tcW w:w="3269" w:type="dxa"/>
            <w:vAlign w:val="center"/>
          </w:tcPr>
          <w:p w14:paraId="68F66B3C">
            <w:pPr>
              <w:pStyle w:val="47"/>
              <w:ind w:firstLine="420"/>
              <w:rPr>
                <w:color w:val="auto"/>
              </w:rPr>
            </w:pPr>
            <w:r>
              <w:rPr>
                <w:rFonts w:hint="eastAsia"/>
                <w:color w:val="auto"/>
              </w:rPr>
              <w:t>机电系统全面施工时，各类设备、管线、桥架交织在一起，各类机房区域，集中管廊区域，管线种类多、密度大，立体交叉大，对设备、管线、管部件阀件的成品保护尤为重要。</w:t>
            </w:r>
          </w:p>
        </w:tc>
        <w:tc>
          <w:tcPr>
            <w:tcW w:w="3869" w:type="dxa"/>
            <w:vAlign w:val="center"/>
          </w:tcPr>
          <w:p w14:paraId="507CCDA3">
            <w:pPr>
              <w:pStyle w:val="47"/>
              <w:ind w:firstLine="420"/>
              <w:rPr>
                <w:color w:val="auto"/>
              </w:rPr>
            </w:pPr>
            <w:r>
              <w:rPr>
                <w:color w:val="auto"/>
              </w:rPr>
              <w:t>（</w:t>
            </w:r>
            <w:r>
              <w:rPr>
                <w:rFonts w:hint="eastAsia"/>
                <w:color w:val="auto"/>
              </w:rPr>
              <w:t>1</w:t>
            </w:r>
            <w:r>
              <w:rPr>
                <w:color w:val="auto"/>
              </w:rPr>
              <w:t>）</w:t>
            </w:r>
            <w:r>
              <w:rPr>
                <w:rFonts w:hint="eastAsia"/>
                <w:color w:val="auto"/>
              </w:rPr>
              <w:t>提前做好成品保护策划；</w:t>
            </w:r>
          </w:p>
          <w:p w14:paraId="5EE9D52F">
            <w:pPr>
              <w:pStyle w:val="47"/>
              <w:ind w:firstLine="420"/>
              <w:rPr>
                <w:color w:val="auto"/>
              </w:rPr>
            </w:pPr>
            <w:r>
              <w:rPr>
                <w:rFonts w:hint="eastAsia"/>
                <w:color w:val="auto"/>
              </w:rPr>
              <w:t>（2）施工过程中对各类已完设备进行各种方式的防护；</w:t>
            </w:r>
          </w:p>
          <w:p w14:paraId="4BA4464A">
            <w:pPr>
              <w:pStyle w:val="47"/>
              <w:ind w:firstLine="420"/>
              <w:rPr>
                <w:color w:val="auto"/>
              </w:rPr>
            </w:pPr>
            <w:r>
              <w:rPr>
                <w:color w:val="auto"/>
              </w:rPr>
              <w:t>（</w:t>
            </w:r>
            <w:r>
              <w:rPr>
                <w:rFonts w:hint="eastAsia"/>
                <w:color w:val="auto"/>
              </w:rPr>
              <w:t>3</w:t>
            </w:r>
            <w:r>
              <w:rPr>
                <w:color w:val="auto"/>
              </w:rPr>
              <w:t>）</w:t>
            </w:r>
            <w:r>
              <w:rPr>
                <w:rFonts w:hint="eastAsia"/>
                <w:color w:val="auto"/>
              </w:rPr>
              <w:t>加强对工人教育培训，安排专人看护监督等。</w:t>
            </w:r>
          </w:p>
        </w:tc>
      </w:tr>
      <w:tr w14:paraId="4A4F2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6463450D">
            <w:pPr>
              <w:pStyle w:val="45"/>
              <w:rPr>
                <w:rFonts w:hint="eastAsia"/>
                <w:color w:val="auto"/>
              </w:rPr>
            </w:pPr>
            <w:r>
              <w:rPr>
                <w:color w:val="auto"/>
              </w:rPr>
              <w:t>6</w:t>
            </w:r>
          </w:p>
        </w:tc>
        <w:tc>
          <w:tcPr>
            <w:tcW w:w="711" w:type="dxa"/>
            <w:vAlign w:val="center"/>
          </w:tcPr>
          <w:p w14:paraId="4F5CFA55">
            <w:pPr>
              <w:pStyle w:val="45"/>
              <w:rPr>
                <w:rFonts w:hint="eastAsia"/>
                <w:color w:val="auto"/>
              </w:rPr>
            </w:pPr>
            <w:r>
              <w:rPr>
                <w:rFonts w:hint="eastAsia"/>
                <w:color w:val="auto"/>
              </w:rPr>
              <w:t>噪音减震控制技术</w:t>
            </w:r>
          </w:p>
        </w:tc>
        <w:tc>
          <w:tcPr>
            <w:tcW w:w="3269" w:type="dxa"/>
            <w:vAlign w:val="center"/>
          </w:tcPr>
          <w:p w14:paraId="3CFC7D53">
            <w:pPr>
              <w:pStyle w:val="47"/>
              <w:ind w:firstLine="420"/>
              <w:rPr>
                <w:color w:val="auto"/>
              </w:rPr>
            </w:pPr>
            <w:r>
              <w:rPr>
                <w:rFonts w:hint="eastAsia"/>
                <w:color w:val="auto"/>
              </w:rPr>
              <w:t>由于本工程的建筑物性质，机电各系统设备的噪音控制和减震处理也将是本工程机电系统安装的重点。</w:t>
            </w:r>
          </w:p>
        </w:tc>
        <w:tc>
          <w:tcPr>
            <w:tcW w:w="3869" w:type="dxa"/>
            <w:vAlign w:val="center"/>
          </w:tcPr>
          <w:p w14:paraId="3D60A8F4">
            <w:pPr>
              <w:pStyle w:val="47"/>
              <w:ind w:firstLine="420"/>
              <w:rPr>
                <w:color w:val="auto"/>
              </w:rPr>
            </w:pPr>
            <w:r>
              <w:rPr>
                <w:color w:val="auto"/>
              </w:rPr>
              <w:t>（</w:t>
            </w:r>
            <w:r>
              <w:rPr>
                <w:rFonts w:hint="eastAsia"/>
                <w:color w:val="auto"/>
              </w:rPr>
              <w:t>1</w:t>
            </w:r>
            <w:r>
              <w:rPr>
                <w:color w:val="auto"/>
              </w:rPr>
              <w:t>）</w:t>
            </w:r>
            <w:r>
              <w:rPr>
                <w:rFonts w:hint="eastAsia"/>
                <w:color w:val="auto"/>
              </w:rPr>
              <w:t>严格按照相关设计参数进行设备选型；</w:t>
            </w:r>
          </w:p>
          <w:p w14:paraId="403E5D46">
            <w:pPr>
              <w:pStyle w:val="47"/>
              <w:ind w:firstLine="420"/>
              <w:rPr>
                <w:color w:val="auto"/>
              </w:rPr>
            </w:pPr>
            <w:r>
              <w:rPr>
                <w:color w:val="auto"/>
              </w:rPr>
              <w:t>（</w:t>
            </w:r>
            <w:r>
              <w:rPr>
                <w:rFonts w:hint="eastAsia"/>
                <w:color w:val="auto"/>
              </w:rPr>
              <w:t>2</w:t>
            </w:r>
            <w:r>
              <w:rPr>
                <w:color w:val="auto"/>
              </w:rPr>
              <w:t>）</w:t>
            </w:r>
            <w:r>
              <w:rPr>
                <w:rFonts w:hint="eastAsia"/>
                <w:color w:val="auto"/>
              </w:rPr>
              <w:t>提前策划各类型的管道、设备减震措施；</w:t>
            </w:r>
          </w:p>
          <w:p w14:paraId="338D2EF5">
            <w:pPr>
              <w:pStyle w:val="47"/>
              <w:ind w:firstLine="420"/>
              <w:rPr>
                <w:color w:val="auto"/>
              </w:rPr>
            </w:pPr>
            <w:r>
              <w:rPr>
                <w:color w:val="auto"/>
              </w:rPr>
              <w:t>（</w:t>
            </w:r>
            <w:r>
              <w:rPr>
                <w:rFonts w:hint="eastAsia"/>
                <w:color w:val="auto"/>
              </w:rPr>
              <w:t>3</w:t>
            </w:r>
            <w:r>
              <w:rPr>
                <w:color w:val="auto"/>
              </w:rPr>
              <w:t>）</w:t>
            </w:r>
            <w:r>
              <w:rPr>
                <w:rFonts w:hint="eastAsia"/>
                <w:color w:val="auto"/>
              </w:rPr>
              <w:t>施工时严格按规范及设计要求标准进行施工。</w:t>
            </w:r>
          </w:p>
        </w:tc>
      </w:tr>
      <w:tr w14:paraId="2A6F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vAlign w:val="center"/>
          </w:tcPr>
          <w:p w14:paraId="5AD9E69E">
            <w:pPr>
              <w:pStyle w:val="45"/>
              <w:rPr>
                <w:rFonts w:hint="eastAsia"/>
                <w:color w:val="auto"/>
              </w:rPr>
            </w:pPr>
            <w:r>
              <w:rPr>
                <w:rFonts w:hint="eastAsia"/>
                <w:color w:val="auto"/>
              </w:rPr>
              <w:t>7</w:t>
            </w:r>
          </w:p>
        </w:tc>
        <w:tc>
          <w:tcPr>
            <w:tcW w:w="711" w:type="dxa"/>
            <w:vAlign w:val="center"/>
          </w:tcPr>
          <w:p w14:paraId="74712CB0">
            <w:pPr>
              <w:pStyle w:val="45"/>
              <w:rPr>
                <w:rFonts w:hint="eastAsia"/>
                <w:color w:val="auto"/>
              </w:rPr>
            </w:pPr>
            <w:r>
              <w:rPr>
                <w:rFonts w:hint="eastAsia"/>
                <w:color w:val="auto"/>
              </w:rPr>
              <w:t>机电调试的组织和实施</w:t>
            </w:r>
          </w:p>
        </w:tc>
        <w:tc>
          <w:tcPr>
            <w:tcW w:w="3269" w:type="dxa"/>
            <w:vAlign w:val="center"/>
          </w:tcPr>
          <w:p w14:paraId="34CC4E5B">
            <w:pPr>
              <w:pStyle w:val="47"/>
              <w:ind w:firstLine="420"/>
              <w:rPr>
                <w:color w:val="auto"/>
              </w:rPr>
            </w:pPr>
            <w:r>
              <w:rPr>
                <w:rFonts w:hint="eastAsia"/>
                <w:color w:val="auto"/>
              </w:rPr>
              <w:t>本工程涉及的机电系统众多，各系统联合调试的组织及实施是本工程的重点，需在调试前进行周密的策划和安排。</w:t>
            </w:r>
          </w:p>
        </w:tc>
        <w:tc>
          <w:tcPr>
            <w:tcW w:w="3869" w:type="dxa"/>
            <w:vAlign w:val="center"/>
          </w:tcPr>
          <w:p w14:paraId="1CE6BAA0">
            <w:pPr>
              <w:pStyle w:val="47"/>
              <w:ind w:firstLine="420"/>
              <w:rPr>
                <w:color w:val="auto"/>
              </w:rPr>
            </w:pPr>
            <w:r>
              <w:rPr>
                <w:color w:val="auto"/>
              </w:rPr>
              <w:t>（</w:t>
            </w:r>
            <w:r>
              <w:rPr>
                <w:rFonts w:hint="eastAsia"/>
                <w:color w:val="auto"/>
              </w:rPr>
              <w:t>1</w:t>
            </w:r>
            <w:r>
              <w:rPr>
                <w:color w:val="auto"/>
              </w:rPr>
              <w:t>）</w:t>
            </w:r>
            <w:r>
              <w:rPr>
                <w:rFonts w:hint="eastAsia"/>
                <w:color w:val="auto"/>
              </w:rPr>
              <w:t>调试前编制详细全面的调试方案；</w:t>
            </w:r>
          </w:p>
          <w:p w14:paraId="5A923D20">
            <w:pPr>
              <w:pStyle w:val="47"/>
              <w:ind w:firstLine="420"/>
              <w:rPr>
                <w:color w:val="auto"/>
              </w:rPr>
            </w:pPr>
            <w:r>
              <w:rPr>
                <w:color w:val="auto"/>
              </w:rPr>
              <w:t>（</w:t>
            </w:r>
            <w:r>
              <w:rPr>
                <w:rFonts w:hint="eastAsia"/>
                <w:color w:val="auto"/>
              </w:rPr>
              <w:t>2</w:t>
            </w:r>
            <w:r>
              <w:rPr>
                <w:color w:val="auto"/>
              </w:rPr>
              <w:t>）</w:t>
            </w:r>
            <w:r>
              <w:rPr>
                <w:rFonts w:hint="eastAsia"/>
                <w:color w:val="auto"/>
              </w:rPr>
              <w:t>组织各专业责任工程师、各专业承包单位、厂家等经验丰富的专业工程师成立调试小组；</w:t>
            </w:r>
          </w:p>
          <w:p w14:paraId="373FECE3">
            <w:pPr>
              <w:pStyle w:val="47"/>
              <w:ind w:firstLine="420"/>
              <w:rPr>
                <w:color w:val="auto"/>
              </w:rPr>
            </w:pPr>
            <w:r>
              <w:rPr>
                <w:color w:val="auto"/>
              </w:rPr>
              <w:t>（</w:t>
            </w:r>
            <w:r>
              <w:rPr>
                <w:rFonts w:hint="eastAsia"/>
                <w:color w:val="auto"/>
              </w:rPr>
              <w:t>3</w:t>
            </w:r>
            <w:r>
              <w:rPr>
                <w:color w:val="auto"/>
              </w:rPr>
              <w:t>）</w:t>
            </w:r>
            <w:r>
              <w:rPr>
                <w:rFonts w:hint="eastAsia"/>
                <w:color w:val="auto"/>
              </w:rPr>
              <w:t>在系统调试的过程中积累总结系统设备材料的相关数据，为后续的系统运行及保修提供可指导性的资料。</w:t>
            </w:r>
          </w:p>
        </w:tc>
      </w:tr>
    </w:tbl>
    <w:p w14:paraId="13D072EB">
      <w:pPr>
        <w:pStyle w:val="5"/>
        <w:rPr>
          <w:color w:val="auto"/>
        </w:rPr>
      </w:pPr>
      <w:bookmarkStart w:id="54" w:name="_Toc32218"/>
      <w:r>
        <w:rPr>
          <w:rFonts w:hint="eastAsia"/>
          <w:color w:val="auto"/>
        </w:rPr>
        <w:t>质量安全管理重点、难点分析及解决方案</w:t>
      </w:r>
      <w:bookmarkEnd w:id="54"/>
    </w:p>
    <w:p w14:paraId="3ED56E3F">
      <w:pPr>
        <w:pStyle w:val="54"/>
        <w:rPr>
          <w:color w:val="auto"/>
        </w:rPr>
      </w:pPr>
      <w:r>
        <w:rPr>
          <w:rFonts w:hint="eastAsia"/>
          <w:color w:val="auto"/>
        </w:rPr>
        <w:t>质量安全管理重点</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76"/>
        <w:gridCol w:w="1264"/>
        <w:gridCol w:w="2097"/>
        <w:gridCol w:w="4817"/>
      </w:tblGrid>
      <w:tr w14:paraId="57137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382" w:type="pct"/>
            <w:vAlign w:val="center"/>
          </w:tcPr>
          <w:p w14:paraId="1CF34EAA">
            <w:pPr>
              <w:pStyle w:val="45"/>
              <w:rPr>
                <w:rFonts w:hint="eastAsia"/>
                <w:color w:val="auto"/>
              </w:rPr>
            </w:pPr>
            <w:r>
              <w:rPr>
                <w:color w:val="auto"/>
              </w:rPr>
              <w:t>序号</w:t>
            </w:r>
          </w:p>
        </w:tc>
        <w:tc>
          <w:tcPr>
            <w:tcW w:w="714" w:type="pct"/>
          </w:tcPr>
          <w:p w14:paraId="3D1D9930">
            <w:pPr>
              <w:pStyle w:val="45"/>
              <w:rPr>
                <w:rFonts w:hint="eastAsia"/>
                <w:color w:val="auto"/>
              </w:rPr>
            </w:pPr>
            <w:r>
              <w:rPr>
                <w:rFonts w:hint="eastAsia"/>
                <w:color w:val="auto"/>
              </w:rPr>
              <w:t>项目</w:t>
            </w:r>
          </w:p>
        </w:tc>
        <w:tc>
          <w:tcPr>
            <w:tcW w:w="1184" w:type="pct"/>
          </w:tcPr>
          <w:p w14:paraId="338AA094">
            <w:pPr>
              <w:pStyle w:val="45"/>
              <w:rPr>
                <w:rFonts w:hint="eastAsia"/>
                <w:color w:val="auto"/>
              </w:rPr>
            </w:pPr>
            <w:r>
              <w:rPr>
                <w:rFonts w:hint="eastAsia"/>
                <w:color w:val="auto"/>
              </w:rPr>
              <w:t>重点、难点分析</w:t>
            </w:r>
          </w:p>
        </w:tc>
        <w:tc>
          <w:tcPr>
            <w:tcW w:w="2720" w:type="pct"/>
          </w:tcPr>
          <w:p w14:paraId="683F14F2">
            <w:pPr>
              <w:pStyle w:val="45"/>
              <w:rPr>
                <w:rFonts w:hint="eastAsia"/>
                <w:color w:val="auto"/>
              </w:rPr>
            </w:pPr>
            <w:r>
              <w:rPr>
                <w:rFonts w:hint="eastAsia"/>
                <w:color w:val="auto"/>
              </w:rPr>
              <w:t>解决方案</w:t>
            </w:r>
          </w:p>
        </w:tc>
      </w:tr>
      <w:tr w14:paraId="029AF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2" w:type="pct"/>
            <w:vAlign w:val="center"/>
          </w:tcPr>
          <w:p w14:paraId="20D015CD">
            <w:pPr>
              <w:pStyle w:val="45"/>
              <w:rPr>
                <w:rFonts w:hint="eastAsia"/>
                <w:color w:val="auto"/>
              </w:rPr>
            </w:pPr>
            <w:r>
              <w:rPr>
                <w:color w:val="auto"/>
              </w:rPr>
              <w:t>1</w:t>
            </w:r>
          </w:p>
        </w:tc>
        <w:tc>
          <w:tcPr>
            <w:tcW w:w="714" w:type="pct"/>
            <w:vMerge w:val="restart"/>
            <w:vAlign w:val="center"/>
          </w:tcPr>
          <w:p w14:paraId="69E11723">
            <w:pPr>
              <w:pStyle w:val="45"/>
              <w:rPr>
                <w:rFonts w:hint="eastAsia"/>
                <w:color w:val="auto"/>
              </w:rPr>
            </w:pPr>
            <w:r>
              <w:rPr>
                <w:color w:val="auto"/>
              </w:rPr>
              <w:t>安全管理</w:t>
            </w:r>
            <w:r>
              <w:rPr>
                <w:rFonts w:hint="eastAsia"/>
                <w:color w:val="auto"/>
              </w:rPr>
              <w:t>重点、难点</w:t>
            </w:r>
          </w:p>
        </w:tc>
        <w:tc>
          <w:tcPr>
            <w:tcW w:w="1184" w:type="pct"/>
            <w:vAlign w:val="center"/>
          </w:tcPr>
          <w:p w14:paraId="7B41865C">
            <w:pPr>
              <w:pStyle w:val="47"/>
              <w:ind w:firstLine="420"/>
              <w:rPr>
                <w:color w:val="auto"/>
              </w:rPr>
            </w:pPr>
            <w:r>
              <w:rPr>
                <w:color w:val="auto"/>
              </w:rPr>
              <w:t>施工周期</w:t>
            </w:r>
            <w:r>
              <w:rPr>
                <w:rFonts w:hint="eastAsia"/>
                <w:color w:val="auto"/>
              </w:rPr>
              <w:t>内</w:t>
            </w:r>
          </w:p>
          <w:p w14:paraId="1BCC5FCD">
            <w:pPr>
              <w:pStyle w:val="47"/>
              <w:ind w:firstLine="420"/>
              <w:rPr>
                <w:color w:val="auto"/>
              </w:rPr>
            </w:pPr>
            <w:r>
              <w:rPr>
                <w:rFonts w:hint="eastAsia"/>
                <w:color w:val="auto"/>
              </w:rPr>
              <w:t>各</w:t>
            </w:r>
            <w:r>
              <w:rPr>
                <w:color w:val="auto"/>
              </w:rPr>
              <w:t>专业</w:t>
            </w:r>
            <w:r>
              <w:rPr>
                <w:rFonts w:hint="eastAsia"/>
                <w:color w:val="auto"/>
              </w:rPr>
              <w:t>工程众多</w:t>
            </w:r>
          </w:p>
        </w:tc>
        <w:tc>
          <w:tcPr>
            <w:tcW w:w="2720" w:type="pct"/>
            <w:vAlign w:val="center"/>
          </w:tcPr>
          <w:p w14:paraId="0A83F000">
            <w:pPr>
              <w:pStyle w:val="47"/>
              <w:ind w:firstLine="420"/>
              <w:rPr>
                <w:color w:val="auto"/>
              </w:rPr>
            </w:pPr>
            <w:r>
              <w:rPr>
                <w:color w:val="auto"/>
              </w:rPr>
              <w:t>建立健全安全组织机构、安全保证体系及总承包安全管理制度，实现自上而下立体式全方位管理。</w:t>
            </w:r>
          </w:p>
        </w:tc>
      </w:tr>
      <w:tr w14:paraId="18E4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2" w:type="pct"/>
            <w:vAlign w:val="center"/>
          </w:tcPr>
          <w:p w14:paraId="0CFB5B24">
            <w:pPr>
              <w:pStyle w:val="45"/>
              <w:rPr>
                <w:rFonts w:hint="eastAsia"/>
                <w:color w:val="auto"/>
              </w:rPr>
            </w:pPr>
            <w:r>
              <w:rPr>
                <w:color w:val="auto"/>
              </w:rPr>
              <w:t>2</w:t>
            </w:r>
          </w:p>
        </w:tc>
        <w:tc>
          <w:tcPr>
            <w:tcW w:w="714" w:type="pct"/>
            <w:vMerge w:val="continue"/>
          </w:tcPr>
          <w:p w14:paraId="21E42131">
            <w:pPr>
              <w:pStyle w:val="45"/>
              <w:rPr>
                <w:rFonts w:hint="eastAsia"/>
                <w:color w:val="auto"/>
              </w:rPr>
            </w:pPr>
          </w:p>
        </w:tc>
        <w:tc>
          <w:tcPr>
            <w:tcW w:w="1184" w:type="pct"/>
            <w:vAlign w:val="center"/>
          </w:tcPr>
          <w:p w14:paraId="47DA063E">
            <w:pPr>
              <w:pStyle w:val="47"/>
              <w:ind w:firstLine="420"/>
              <w:rPr>
                <w:color w:val="auto"/>
              </w:rPr>
            </w:pPr>
            <w:r>
              <w:rPr>
                <w:rFonts w:hint="eastAsia"/>
                <w:color w:val="auto"/>
              </w:rPr>
              <w:t>高空作业安全风险大</w:t>
            </w:r>
          </w:p>
        </w:tc>
        <w:tc>
          <w:tcPr>
            <w:tcW w:w="2720" w:type="pct"/>
            <w:vAlign w:val="center"/>
          </w:tcPr>
          <w:p w14:paraId="122E64FC">
            <w:pPr>
              <w:pStyle w:val="47"/>
              <w:ind w:firstLine="420"/>
              <w:rPr>
                <w:color w:val="auto"/>
              </w:rPr>
            </w:pPr>
            <w:r>
              <w:rPr>
                <w:rFonts w:hint="eastAsia"/>
                <w:color w:val="auto"/>
              </w:rPr>
              <w:t>施工高峰期时，各楼层各专业施工人员多，</w:t>
            </w:r>
            <w:r>
              <w:rPr>
                <w:color w:val="auto"/>
              </w:rPr>
              <w:t>工具、材料种类多、高空转运频繁，易发生高处坠人、坠物等风险。做好“三宝”、“四口</w:t>
            </w:r>
            <w:r>
              <w:rPr>
                <w:rFonts w:hint="eastAsia"/>
                <w:color w:val="auto"/>
              </w:rPr>
              <w:t>”、“五</w:t>
            </w:r>
            <w:r>
              <w:rPr>
                <w:color w:val="auto"/>
              </w:rPr>
              <w:t>临边</w:t>
            </w:r>
            <w:r>
              <w:rPr>
                <w:rFonts w:hint="eastAsia"/>
                <w:color w:val="auto"/>
              </w:rPr>
              <w:t>”</w:t>
            </w:r>
            <w:r>
              <w:rPr>
                <w:color w:val="auto"/>
              </w:rPr>
              <w:t>防护，</w:t>
            </w:r>
            <w:r>
              <w:rPr>
                <w:rFonts w:hint="eastAsia"/>
                <w:color w:val="auto"/>
              </w:rPr>
              <w:t>每日安全巡查</w:t>
            </w:r>
            <w:r>
              <w:rPr>
                <w:color w:val="auto"/>
              </w:rPr>
              <w:t>，</w:t>
            </w:r>
            <w:r>
              <w:rPr>
                <w:rFonts w:hint="eastAsia"/>
                <w:color w:val="auto"/>
              </w:rPr>
              <w:t>每周至少一次</w:t>
            </w:r>
            <w:r>
              <w:rPr>
                <w:color w:val="auto"/>
              </w:rPr>
              <w:t>安全</w:t>
            </w:r>
            <w:r>
              <w:rPr>
                <w:rFonts w:hint="eastAsia"/>
                <w:color w:val="auto"/>
              </w:rPr>
              <w:t>大</w:t>
            </w:r>
            <w:r>
              <w:rPr>
                <w:color w:val="auto"/>
              </w:rPr>
              <w:t>检查。</w:t>
            </w:r>
          </w:p>
        </w:tc>
      </w:tr>
      <w:tr w14:paraId="5107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2" w:type="pct"/>
            <w:vAlign w:val="center"/>
          </w:tcPr>
          <w:p w14:paraId="1EBD3ACA">
            <w:pPr>
              <w:pStyle w:val="45"/>
              <w:rPr>
                <w:rFonts w:hint="eastAsia"/>
                <w:color w:val="auto"/>
              </w:rPr>
            </w:pPr>
            <w:r>
              <w:rPr>
                <w:color w:val="auto"/>
              </w:rPr>
              <w:t>3</w:t>
            </w:r>
          </w:p>
        </w:tc>
        <w:tc>
          <w:tcPr>
            <w:tcW w:w="714" w:type="pct"/>
            <w:vMerge w:val="continue"/>
          </w:tcPr>
          <w:p w14:paraId="5C8524DB">
            <w:pPr>
              <w:pStyle w:val="45"/>
              <w:rPr>
                <w:rFonts w:hint="eastAsia"/>
                <w:color w:val="auto"/>
              </w:rPr>
            </w:pPr>
          </w:p>
        </w:tc>
        <w:tc>
          <w:tcPr>
            <w:tcW w:w="1184" w:type="pct"/>
            <w:vAlign w:val="center"/>
          </w:tcPr>
          <w:p w14:paraId="7AE3DEB7">
            <w:pPr>
              <w:pStyle w:val="47"/>
              <w:ind w:firstLine="420"/>
              <w:rPr>
                <w:color w:val="auto"/>
              </w:rPr>
            </w:pPr>
            <w:r>
              <w:rPr>
                <w:rFonts w:hint="eastAsia"/>
                <w:color w:val="auto"/>
              </w:rPr>
              <w:t>施工用电、电气、电焊作业多，分布广，消防风险大</w:t>
            </w:r>
          </w:p>
        </w:tc>
        <w:tc>
          <w:tcPr>
            <w:tcW w:w="2720" w:type="pct"/>
            <w:vAlign w:val="center"/>
          </w:tcPr>
          <w:p w14:paraId="12E407AC">
            <w:pPr>
              <w:pStyle w:val="47"/>
              <w:ind w:firstLine="420"/>
              <w:rPr>
                <w:color w:val="auto"/>
              </w:rPr>
            </w:pPr>
            <w:r>
              <w:rPr>
                <w:rFonts w:hint="eastAsia"/>
                <w:color w:val="auto"/>
              </w:rPr>
              <w:t>配备</w:t>
            </w:r>
            <w:r>
              <w:rPr>
                <w:color w:val="auto"/>
              </w:rPr>
              <w:t>5</w:t>
            </w:r>
            <w:r>
              <w:rPr>
                <w:rFonts w:hint="eastAsia"/>
                <w:color w:val="auto"/>
              </w:rPr>
              <w:t>年工龄以上电工、电焊工</w:t>
            </w:r>
            <w:r>
              <w:rPr>
                <w:color w:val="auto"/>
              </w:rPr>
              <w:t>，</w:t>
            </w:r>
            <w:r>
              <w:rPr>
                <w:rFonts w:hint="eastAsia"/>
                <w:color w:val="auto"/>
              </w:rPr>
              <w:t>执行</w:t>
            </w:r>
            <w:r>
              <w:rPr>
                <w:color w:val="auto"/>
              </w:rPr>
              <w:t>安全用电及电器设备维修制度，进场安全教育</w:t>
            </w:r>
            <w:r>
              <w:rPr>
                <w:rFonts w:hint="eastAsia"/>
                <w:color w:val="auto"/>
              </w:rPr>
              <w:t>覆盖率100%，定期进行</w:t>
            </w:r>
            <w:r>
              <w:rPr>
                <w:color w:val="auto"/>
              </w:rPr>
              <w:t>安全用电培训</w:t>
            </w:r>
            <w:r>
              <w:rPr>
                <w:rFonts w:hint="eastAsia"/>
                <w:color w:val="auto"/>
              </w:rPr>
              <w:t>。专设2名库管员管理</w:t>
            </w:r>
            <w:r>
              <w:rPr>
                <w:color w:val="auto"/>
              </w:rPr>
              <w:t>易燃品</w:t>
            </w:r>
            <w:r>
              <w:rPr>
                <w:rFonts w:hint="eastAsia"/>
                <w:color w:val="auto"/>
              </w:rPr>
              <w:t>。</w:t>
            </w:r>
            <w:r>
              <w:rPr>
                <w:color w:val="auto"/>
              </w:rPr>
              <w:t>配备足够</w:t>
            </w:r>
            <w:r>
              <w:rPr>
                <w:rFonts w:hint="eastAsia"/>
                <w:color w:val="auto"/>
              </w:rPr>
              <w:t>有效的防火</w:t>
            </w:r>
            <w:r>
              <w:rPr>
                <w:color w:val="auto"/>
              </w:rPr>
              <w:t>器材</w:t>
            </w:r>
            <w:r>
              <w:rPr>
                <w:rFonts w:hint="eastAsia"/>
                <w:color w:val="auto"/>
              </w:rPr>
              <w:t>，定期进行消防演练。</w:t>
            </w:r>
          </w:p>
        </w:tc>
      </w:tr>
      <w:tr w14:paraId="71BD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382" w:type="pct"/>
            <w:vAlign w:val="center"/>
          </w:tcPr>
          <w:p w14:paraId="15D49D5A">
            <w:pPr>
              <w:pStyle w:val="45"/>
              <w:rPr>
                <w:rFonts w:hint="eastAsia"/>
                <w:color w:val="auto"/>
              </w:rPr>
            </w:pPr>
            <w:r>
              <w:rPr>
                <w:rFonts w:hint="eastAsia"/>
                <w:color w:val="auto"/>
              </w:rPr>
              <w:t>4</w:t>
            </w:r>
          </w:p>
        </w:tc>
        <w:tc>
          <w:tcPr>
            <w:tcW w:w="714" w:type="pct"/>
            <w:vAlign w:val="center"/>
          </w:tcPr>
          <w:p w14:paraId="18A54337">
            <w:pPr>
              <w:pStyle w:val="45"/>
              <w:rPr>
                <w:rFonts w:hint="eastAsia"/>
                <w:color w:val="auto"/>
              </w:rPr>
            </w:pPr>
            <w:r>
              <w:rPr>
                <w:rFonts w:hint="eastAsia"/>
                <w:color w:val="auto"/>
              </w:rPr>
              <w:t>质量管理重点</w:t>
            </w:r>
          </w:p>
        </w:tc>
        <w:tc>
          <w:tcPr>
            <w:tcW w:w="1184" w:type="pct"/>
            <w:vAlign w:val="center"/>
          </w:tcPr>
          <w:p w14:paraId="17104D54">
            <w:pPr>
              <w:pStyle w:val="47"/>
              <w:ind w:firstLine="420"/>
              <w:rPr>
                <w:color w:val="auto"/>
              </w:rPr>
            </w:pPr>
            <w:r>
              <w:rPr>
                <w:rFonts w:hint="eastAsia"/>
                <w:color w:val="auto"/>
              </w:rPr>
              <w:t>工程质量争创海南省“绿岛杯”，质量控制是项目管理重点</w:t>
            </w:r>
          </w:p>
        </w:tc>
        <w:tc>
          <w:tcPr>
            <w:tcW w:w="2720" w:type="pct"/>
            <w:vAlign w:val="center"/>
          </w:tcPr>
          <w:p w14:paraId="677359C4">
            <w:pPr>
              <w:pStyle w:val="47"/>
              <w:ind w:firstLine="420"/>
              <w:rPr>
                <w:color w:val="auto"/>
              </w:rPr>
            </w:pPr>
            <w:r>
              <w:rPr>
                <w:rFonts w:hint="eastAsia"/>
                <w:color w:val="auto"/>
              </w:rPr>
              <w:t>（1）开工之初就编制创优策划并报送监理、甲方审批，施工过程中按创优策划执行，做好过程创优。</w:t>
            </w:r>
          </w:p>
          <w:p w14:paraId="4F47B4A1">
            <w:pPr>
              <w:pStyle w:val="47"/>
              <w:ind w:firstLine="420"/>
              <w:rPr>
                <w:color w:val="auto"/>
              </w:rPr>
            </w:pPr>
            <w:r>
              <w:rPr>
                <w:rFonts w:hint="eastAsia"/>
                <w:color w:val="auto"/>
              </w:rPr>
              <w:t>（2）成立以项目经理为组长、各部门负责人为分组组长、项目全体管理人员、分包队伍负责人为组员的质量创优领导小组。</w:t>
            </w:r>
          </w:p>
          <w:p w14:paraId="0CE96B12">
            <w:pPr>
              <w:pStyle w:val="47"/>
              <w:ind w:firstLine="420"/>
              <w:rPr>
                <w:color w:val="auto"/>
              </w:rPr>
            </w:pPr>
            <w:r>
              <w:rPr>
                <w:rFonts w:hint="eastAsia"/>
                <w:color w:val="auto"/>
              </w:rPr>
              <w:t>（3）邀请质监站领导到项目进行创优培训。</w:t>
            </w:r>
          </w:p>
        </w:tc>
      </w:tr>
    </w:tbl>
    <w:p w14:paraId="0321F23E">
      <w:pPr>
        <w:rPr>
          <w:color w:val="auto"/>
        </w:rPr>
      </w:pPr>
    </w:p>
    <w:p w14:paraId="4856F5C9">
      <w:pPr>
        <w:rPr>
          <w:color w:val="auto"/>
        </w:rPr>
        <w:sectPr>
          <w:headerReference r:id="rId19" w:type="default"/>
          <w:pgSz w:w="11906" w:h="16838"/>
          <w:pgMar w:top="1440" w:right="1361" w:bottom="1440" w:left="1701" w:header="851" w:footer="992" w:gutter="0"/>
          <w:cols w:space="425" w:num="1"/>
          <w:docGrid w:type="lines" w:linePitch="326" w:charSpace="0"/>
        </w:sectPr>
      </w:pPr>
    </w:p>
    <w:p w14:paraId="4B2001E1">
      <w:pPr>
        <w:pStyle w:val="3"/>
        <w:rPr>
          <w:color w:val="auto"/>
        </w:rPr>
      </w:pPr>
      <w:bookmarkStart w:id="55" w:name="_Toc531112469"/>
      <w:bookmarkStart w:id="56" w:name="_Toc28250"/>
      <w:r>
        <w:rPr>
          <w:rFonts w:hint="eastAsia"/>
          <w:color w:val="auto"/>
        </w:rPr>
        <w:t>施工部署</w:t>
      </w:r>
      <w:bookmarkEnd w:id="55"/>
      <w:bookmarkEnd w:id="56"/>
    </w:p>
    <w:p w14:paraId="25F4E7C3">
      <w:pPr>
        <w:pStyle w:val="4"/>
        <w:ind w:firstLine="482"/>
        <w:rPr>
          <w:color w:val="auto"/>
        </w:rPr>
      </w:pPr>
      <w:bookmarkStart w:id="57" w:name="_Toc531112470"/>
      <w:bookmarkStart w:id="58" w:name="_Toc15344"/>
      <w:r>
        <w:rPr>
          <w:rFonts w:hint="eastAsia"/>
          <w:color w:val="auto"/>
        </w:rPr>
        <w:t>工程目标</w:t>
      </w:r>
      <w:bookmarkEnd w:id="57"/>
      <w:bookmarkEnd w:id="58"/>
    </w:p>
    <w:p w14:paraId="3F6BE135">
      <w:pPr>
        <w:pStyle w:val="5"/>
        <w:rPr>
          <w:color w:val="auto"/>
        </w:rPr>
      </w:pPr>
      <w:bookmarkStart w:id="59" w:name="_Toc531112471"/>
      <w:bookmarkStart w:id="60" w:name="_Toc8544"/>
      <w:r>
        <w:rPr>
          <w:rFonts w:hint="eastAsia"/>
          <w:color w:val="auto"/>
        </w:rPr>
        <w:t>质量目标</w:t>
      </w:r>
      <w:bookmarkEnd w:id="59"/>
      <w:bookmarkEnd w:id="60"/>
    </w:p>
    <w:p w14:paraId="28AB7F07">
      <w:pPr>
        <w:rPr>
          <w:color w:val="auto"/>
        </w:rPr>
      </w:pPr>
      <w:r>
        <w:rPr>
          <w:rFonts w:hint="eastAsia"/>
          <w:color w:val="auto"/>
        </w:rPr>
        <w:t>本工程质量要求达到合格标准，符合国家、行业、地方现行颁布的建筑与安装工程质量验收标准及规范要求，满足符合工务署标准的合格工程，当合同约定的质量要求与相关法律、法规、规范和技术标准矛盾时，以较严格的要求为准。</w:t>
      </w:r>
    </w:p>
    <w:p w14:paraId="5635020A">
      <w:pPr>
        <w:rPr>
          <w:color w:val="auto"/>
        </w:rPr>
      </w:pPr>
      <w:r>
        <w:rPr>
          <w:rFonts w:hint="eastAsia"/>
          <w:color w:val="auto"/>
        </w:rPr>
        <w:t>确保获得海南省优质工程“绿岛杯”。</w:t>
      </w:r>
    </w:p>
    <w:p w14:paraId="4A9C12F2">
      <w:pPr>
        <w:pStyle w:val="5"/>
        <w:rPr>
          <w:color w:val="auto"/>
        </w:rPr>
      </w:pPr>
      <w:bookmarkStart w:id="61" w:name="_Toc531112472"/>
      <w:bookmarkStart w:id="62" w:name="_Toc17446"/>
      <w:r>
        <w:rPr>
          <w:rFonts w:hint="eastAsia"/>
          <w:color w:val="auto"/>
        </w:rPr>
        <w:t>工期目标</w:t>
      </w:r>
      <w:bookmarkEnd w:id="61"/>
      <w:bookmarkEnd w:id="62"/>
    </w:p>
    <w:p w14:paraId="608FBB88">
      <w:pPr>
        <w:rPr>
          <w:color w:val="auto"/>
        </w:rPr>
      </w:pPr>
      <w:r>
        <w:rPr>
          <w:rFonts w:hint="eastAsia"/>
          <w:color w:val="auto"/>
        </w:rPr>
        <w:t>合同计划开工日期：拟定开工日期未明确。</w:t>
      </w:r>
    </w:p>
    <w:p w14:paraId="051A46A6">
      <w:pPr>
        <w:rPr>
          <w:color w:val="auto"/>
        </w:rPr>
      </w:pPr>
      <w:r>
        <w:rPr>
          <w:rFonts w:hint="eastAsia"/>
          <w:color w:val="auto"/>
        </w:rPr>
        <w:t>合同计划竣工日期：20</w:t>
      </w:r>
      <w:r>
        <w:rPr>
          <w:color w:val="auto"/>
        </w:rPr>
        <w:t>22</w:t>
      </w:r>
      <w:r>
        <w:rPr>
          <w:rFonts w:hint="eastAsia"/>
          <w:color w:val="auto"/>
        </w:rPr>
        <w:t>年</w:t>
      </w:r>
      <w:r>
        <w:rPr>
          <w:color w:val="auto"/>
        </w:rPr>
        <w:t>07</w:t>
      </w:r>
      <w:r>
        <w:rPr>
          <w:rFonts w:hint="eastAsia"/>
          <w:color w:val="auto"/>
        </w:rPr>
        <w:t>月</w:t>
      </w:r>
      <w:r>
        <w:rPr>
          <w:color w:val="auto"/>
        </w:rPr>
        <w:t>31</w:t>
      </w:r>
      <w:r>
        <w:rPr>
          <w:rFonts w:hint="eastAsia"/>
          <w:color w:val="auto"/>
        </w:rPr>
        <w:t>日。</w:t>
      </w:r>
    </w:p>
    <w:p w14:paraId="5C14F38B">
      <w:pPr>
        <w:rPr>
          <w:color w:val="auto"/>
        </w:rPr>
      </w:pPr>
      <w:r>
        <w:rPr>
          <w:rFonts w:hint="eastAsia"/>
          <w:color w:val="auto"/>
        </w:rPr>
        <w:t>合同工期：共计</w:t>
      </w:r>
      <w:r>
        <w:rPr>
          <w:color w:val="auto"/>
        </w:rPr>
        <w:t>600</w:t>
      </w:r>
      <w:r>
        <w:rPr>
          <w:rFonts w:hint="eastAsia"/>
          <w:color w:val="auto"/>
        </w:rPr>
        <w:t>日历天。</w:t>
      </w:r>
    </w:p>
    <w:p w14:paraId="2ACFFFE7">
      <w:pPr>
        <w:pStyle w:val="5"/>
        <w:rPr>
          <w:color w:val="auto"/>
        </w:rPr>
      </w:pPr>
      <w:bookmarkStart w:id="63" w:name="_Toc531112473"/>
      <w:bookmarkStart w:id="64" w:name="_Toc27011"/>
      <w:r>
        <w:rPr>
          <w:rFonts w:hint="eastAsia"/>
          <w:color w:val="auto"/>
        </w:rPr>
        <w:t>安全目标</w:t>
      </w:r>
      <w:bookmarkEnd w:id="63"/>
      <w:bookmarkEnd w:id="64"/>
    </w:p>
    <w:p w14:paraId="089903AF">
      <w:pPr>
        <w:rPr>
          <w:color w:val="auto"/>
        </w:rPr>
      </w:pPr>
      <w:r>
        <w:rPr>
          <w:rFonts w:hint="eastAsia"/>
          <w:color w:val="auto"/>
        </w:rPr>
        <w:t>安全施工目标：零工亡，零投诉，重大隐患受控；经理部安全管理标杆项目；。</w:t>
      </w:r>
    </w:p>
    <w:p w14:paraId="712EFDFA">
      <w:pPr>
        <w:pStyle w:val="5"/>
        <w:rPr>
          <w:color w:val="auto"/>
        </w:rPr>
      </w:pPr>
      <w:bookmarkStart w:id="65" w:name="_Toc531112474"/>
      <w:bookmarkStart w:id="66" w:name="_Toc31626"/>
      <w:r>
        <w:rPr>
          <w:rFonts w:hint="eastAsia"/>
          <w:color w:val="auto"/>
        </w:rPr>
        <w:t>文明施工目标</w:t>
      </w:r>
      <w:bookmarkEnd w:id="65"/>
      <w:bookmarkEnd w:id="66"/>
    </w:p>
    <w:p w14:paraId="32D262DF">
      <w:pPr>
        <w:rPr>
          <w:color w:val="auto"/>
        </w:rPr>
      </w:pPr>
      <w:r>
        <w:rPr>
          <w:rFonts w:hint="eastAsia"/>
          <w:color w:val="auto"/>
        </w:rPr>
        <w:t>海南省安全文明标准化工地。</w:t>
      </w:r>
    </w:p>
    <w:p w14:paraId="4C27D303">
      <w:pPr>
        <w:pStyle w:val="5"/>
        <w:rPr>
          <w:color w:val="auto"/>
        </w:rPr>
      </w:pPr>
      <w:bookmarkStart w:id="67" w:name="_Toc32144"/>
      <w:r>
        <w:rPr>
          <w:rFonts w:hint="eastAsia"/>
          <w:color w:val="auto"/>
        </w:rPr>
        <w:t>成本目标</w:t>
      </w:r>
      <w:bookmarkEnd w:id="67"/>
    </w:p>
    <w:p w14:paraId="2ED6F74D">
      <w:pPr>
        <w:pStyle w:val="54"/>
        <w:rPr>
          <w:color w:val="auto"/>
        </w:rPr>
      </w:pPr>
      <w:r>
        <w:rPr>
          <w:rFonts w:hint="eastAsia"/>
          <w:color w:val="auto"/>
        </w:rPr>
        <w:t>成本目标</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436"/>
      </w:tblGrid>
      <w:tr w14:paraId="78860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093" w:type="dxa"/>
            <w:vAlign w:val="center"/>
          </w:tcPr>
          <w:p w14:paraId="07DA1D51">
            <w:pPr>
              <w:pStyle w:val="45"/>
              <w:rPr>
                <w:rFonts w:hint="eastAsia"/>
                <w:color w:val="auto"/>
              </w:rPr>
            </w:pPr>
            <w:r>
              <w:rPr>
                <w:rFonts w:hint="eastAsia"/>
                <w:color w:val="auto"/>
              </w:rPr>
              <w:t>主材</w:t>
            </w:r>
          </w:p>
        </w:tc>
        <w:tc>
          <w:tcPr>
            <w:tcW w:w="6436" w:type="dxa"/>
          </w:tcPr>
          <w:p w14:paraId="55A365D2">
            <w:pPr>
              <w:pStyle w:val="45"/>
              <w:rPr>
                <w:rFonts w:hint="eastAsia"/>
                <w:color w:val="auto"/>
              </w:rPr>
            </w:pPr>
            <w:r>
              <w:rPr>
                <w:rFonts w:hint="eastAsia"/>
                <w:color w:val="auto"/>
              </w:rPr>
              <w:t>/</w:t>
            </w:r>
          </w:p>
        </w:tc>
      </w:tr>
      <w:tr w14:paraId="6A4E0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2093" w:type="dxa"/>
            <w:vAlign w:val="center"/>
          </w:tcPr>
          <w:p w14:paraId="48FC119B">
            <w:pPr>
              <w:pStyle w:val="45"/>
              <w:rPr>
                <w:rFonts w:hint="eastAsia"/>
                <w:color w:val="auto"/>
              </w:rPr>
            </w:pPr>
            <w:r>
              <w:rPr>
                <w:rFonts w:hint="eastAsia"/>
                <w:color w:val="auto"/>
              </w:rPr>
              <w:t>周转架料（建面）</w:t>
            </w:r>
          </w:p>
        </w:tc>
        <w:tc>
          <w:tcPr>
            <w:tcW w:w="6436" w:type="dxa"/>
          </w:tcPr>
          <w:p w14:paraId="093C5322">
            <w:pPr>
              <w:pStyle w:val="45"/>
              <w:rPr>
                <w:rFonts w:hint="eastAsia"/>
                <w:color w:val="auto"/>
              </w:rPr>
            </w:pPr>
            <w:r>
              <w:rPr>
                <w:rFonts w:hint="eastAsia"/>
                <w:color w:val="auto"/>
              </w:rPr>
              <w:t>/</w:t>
            </w:r>
          </w:p>
        </w:tc>
      </w:tr>
      <w:tr w14:paraId="6745B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2093" w:type="dxa"/>
            <w:vAlign w:val="center"/>
          </w:tcPr>
          <w:p w14:paraId="4D9A0778">
            <w:pPr>
              <w:pStyle w:val="45"/>
              <w:rPr>
                <w:rFonts w:hint="eastAsia"/>
                <w:color w:val="auto"/>
              </w:rPr>
            </w:pPr>
            <w:r>
              <w:rPr>
                <w:rFonts w:hint="eastAsia"/>
                <w:color w:val="auto"/>
              </w:rPr>
              <w:t>现场管理费</w:t>
            </w:r>
          </w:p>
        </w:tc>
        <w:tc>
          <w:tcPr>
            <w:tcW w:w="6436" w:type="dxa"/>
          </w:tcPr>
          <w:p w14:paraId="291D6202">
            <w:pPr>
              <w:pStyle w:val="45"/>
              <w:rPr>
                <w:rFonts w:hint="eastAsia"/>
                <w:color w:val="auto"/>
              </w:rPr>
            </w:pPr>
            <w:r>
              <w:rPr>
                <w:rFonts w:hint="eastAsia"/>
                <w:color w:val="auto"/>
              </w:rPr>
              <w:t xml:space="preserve">/  </w:t>
            </w:r>
          </w:p>
        </w:tc>
      </w:tr>
      <w:tr w14:paraId="3BAE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jc w:val="center"/>
        </w:trPr>
        <w:tc>
          <w:tcPr>
            <w:tcW w:w="2093" w:type="dxa"/>
            <w:vAlign w:val="center"/>
          </w:tcPr>
          <w:p w14:paraId="77AEE6BA">
            <w:pPr>
              <w:pStyle w:val="45"/>
              <w:rPr>
                <w:rFonts w:hint="eastAsia"/>
                <w:color w:val="auto"/>
              </w:rPr>
            </w:pPr>
            <w:r>
              <w:rPr>
                <w:rFonts w:hint="eastAsia"/>
                <w:color w:val="auto"/>
              </w:rPr>
              <w:t>临建费用</w:t>
            </w:r>
          </w:p>
        </w:tc>
        <w:tc>
          <w:tcPr>
            <w:tcW w:w="6436" w:type="dxa"/>
          </w:tcPr>
          <w:p w14:paraId="0BD66A08">
            <w:pPr>
              <w:pStyle w:val="45"/>
              <w:rPr>
                <w:rFonts w:hint="eastAsia"/>
                <w:color w:val="auto"/>
              </w:rPr>
            </w:pPr>
            <w:r>
              <w:rPr>
                <w:rFonts w:hint="eastAsia"/>
                <w:color w:val="auto"/>
              </w:rPr>
              <w:t>/</w:t>
            </w:r>
          </w:p>
        </w:tc>
      </w:tr>
    </w:tbl>
    <w:p w14:paraId="2B381CAD">
      <w:pPr>
        <w:pStyle w:val="5"/>
        <w:rPr>
          <w:color w:val="auto"/>
        </w:rPr>
      </w:pPr>
      <w:bookmarkStart w:id="68" w:name="_Toc21474"/>
      <w:r>
        <w:rPr>
          <w:rFonts w:hint="eastAsia"/>
          <w:color w:val="auto"/>
        </w:rPr>
        <w:t>其他目标</w:t>
      </w:r>
      <w:bookmarkEnd w:id="68"/>
    </w:p>
    <w:p w14:paraId="22B0D039">
      <w:pPr>
        <w:pStyle w:val="54"/>
        <w:rPr>
          <w:color w:val="auto"/>
        </w:rPr>
      </w:pPr>
      <w:r>
        <w:rPr>
          <w:rFonts w:hint="eastAsia"/>
          <w:color w:val="auto"/>
        </w:rPr>
        <w:t>其他目标</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570"/>
        <w:gridCol w:w="2200"/>
        <w:gridCol w:w="4942"/>
      </w:tblGrid>
      <w:tr w14:paraId="696F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17" w:type="dxa"/>
            <w:vAlign w:val="center"/>
          </w:tcPr>
          <w:p w14:paraId="7430D719">
            <w:pPr>
              <w:pStyle w:val="45"/>
              <w:rPr>
                <w:rFonts w:hint="eastAsia"/>
                <w:color w:val="auto"/>
              </w:rPr>
            </w:pPr>
            <w:r>
              <w:rPr>
                <w:rFonts w:hint="eastAsia"/>
                <w:color w:val="auto"/>
              </w:rPr>
              <w:t>序号</w:t>
            </w:r>
          </w:p>
        </w:tc>
        <w:tc>
          <w:tcPr>
            <w:tcW w:w="2770" w:type="dxa"/>
            <w:gridSpan w:val="2"/>
            <w:vAlign w:val="center"/>
          </w:tcPr>
          <w:p w14:paraId="10B8C35C">
            <w:pPr>
              <w:pStyle w:val="45"/>
              <w:rPr>
                <w:rFonts w:hint="eastAsia"/>
                <w:color w:val="auto"/>
              </w:rPr>
            </w:pPr>
            <w:r>
              <w:rPr>
                <w:rFonts w:hint="eastAsia"/>
                <w:color w:val="auto"/>
              </w:rPr>
              <w:t>名目</w:t>
            </w:r>
          </w:p>
        </w:tc>
        <w:tc>
          <w:tcPr>
            <w:tcW w:w="4942" w:type="dxa"/>
            <w:vAlign w:val="center"/>
          </w:tcPr>
          <w:p w14:paraId="1B2B5BD8">
            <w:pPr>
              <w:pStyle w:val="45"/>
              <w:rPr>
                <w:rFonts w:hint="eastAsia"/>
                <w:color w:val="auto"/>
              </w:rPr>
            </w:pPr>
            <w:r>
              <w:rPr>
                <w:rFonts w:hint="eastAsia"/>
                <w:color w:val="auto"/>
              </w:rPr>
              <w:t>管理目标</w:t>
            </w:r>
          </w:p>
        </w:tc>
      </w:tr>
      <w:tr w14:paraId="5C4EA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jc w:val="center"/>
        </w:trPr>
        <w:tc>
          <w:tcPr>
            <w:tcW w:w="817" w:type="dxa"/>
            <w:vMerge w:val="restart"/>
            <w:vAlign w:val="center"/>
          </w:tcPr>
          <w:p w14:paraId="678C12DE">
            <w:pPr>
              <w:pStyle w:val="45"/>
              <w:rPr>
                <w:rFonts w:hint="eastAsia"/>
                <w:color w:val="auto"/>
              </w:rPr>
            </w:pPr>
            <w:r>
              <w:rPr>
                <w:rFonts w:hint="eastAsia"/>
                <w:color w:val="auto"/>
              </w:rPr>
              <w:t>1</w:t>
            </w:r>
          </w:p>
        </w:tc>
        <w:tc>
          <w:tcPr>
            <w:tcW w:w="570" w:type="dxa"/>
            <w:vMerge w:val="restart"/>
            <w:vAlign w:val="center"/>
          </w:tcPr>
          <w:p w14:paraId="03BCC497">
            <w:pPr>
              <w:pStyle w:val="45"/>
              <w:rPr>
                <w:rFonts w:hint="eastAsia"/>
                <w:color w:val="auto"/>
              </w:rPr>
            </w:pPr>
            <w:r>
              <w:rPr>
                <w:rFonts w:hint="eastAsia"/>
                <w:color w:val="auto"/>
              </w:rPr>
              <w:t>科技管理</w:t>
            </w:r>
          </w:p>
        </w:tc>
        <w:tc>
          <w:tcPr>
            <w:tcW w:w="2200" w:type="dxa"/>
            <w:vAlign w:val="center"/>
          </w:tcPr>
          <w:p w14:paraId="7BCE8495">
            <w:pPr>
              <w:pStyle w:val="45"/>
              <w:rPr>
                <w:rFonts w:hint="eastAsia"/>
                <w:color w:val="auto"/>
              </w:rPr>
            </w:pPr>
            <w:r>
              <w:rPr>
                <w:rFonts w:hint="eastAsia"/>
                <w:color w:val="auto"/>
              </w:rPr>
              <w:t>科技示范目标</w:t>
            </w:r>
          </w:p>
        </w:tc>
        <w:tc>
          <w:tcPr>
            <w:tcW w:w="4942" w:type="dxa"/>
          </w:tcPr>
          <w:p w14:paraId="3CC13D04">
            <w:pPr>
              <w:pStyle w:val="45"/>
              <w:rPr>
                <w:rFonts w:hint="eastAsia"/>
                <w:color w:val="auto"/>
              </w:rPr>
            </w:pPr>
            <w:r>
              <w:rPr>
                <w:rFonts w:hint="eastAsia"/>
                <w:color w:val="auto"/>
              </w:rPr>
              <w:t>获得省级科技示范工程</w:t>
            </w:r>
          </w:p>
        </w:tc>
      </w:tr>
      <w:tr w14:paraId="5C63D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17" w:type="dxa"/>
            <w:vMerge w:val="continue"/>
            <w:vAlign w:val="center"/>
          </w:tcPr>
          <w:p w14:paraId="50DFA31F">
            <w:pPr>
              <w:pStyle w:val="45"/>
              <w:rPr>
                <w:rFonts w:hint="eastAsia"/>
                <w:color w:val="auto"/>
              </w:rPr>
            </w:pPr>
          </w:p>
        </w:tc>
        <w:tc>
          <w:tcPr>
            <w:tcW w:w="570" w:type="dxa"/>
            <w:vMerge w:val="continue"/>
            <w:vAlign w:val="center"/>
          </w:tcPr>
          <w:p w14:paraId="2E81BEA5">
            <w:pPr>
              <w:pStyle w:val="45"/>
              <w:rPr>
                <w:rFonts w:hint="eastAsia"/>
                <w:color w:val="auto"/>
              </w:rPr>
            </w:pPr>
          </w:p>
        </w:tc>
        <w:tc>
          <w:tcPr>
            <w:tcW w:w="2200" w:type="dxa"/>
            <w:vAlign w:val="center"/>
          </w:tcPr>
          <w:p w14:paraId="427B8660">
            <w:pPr>
              <w:pStyle w:val="45"/>
              <w:rPr>
                <w:rFonts w:hint="eastAsia"/>
                <w:color w:val="auto"/>
              </w:rPr>
            </w:pPr>
            <w:r>
              <w:rPr>
                <w:rFonts w:hint="eastAsia"/>
                <w:color w:val="auto"/>
              </w:rPr>
              <w:t>技术总结目标</w:t>
            </w:r>
          </w:p>
        </w:tc>
        <w:tc>
          <w:tcPr>
            <w:tcW w:w="4942" w:type="dxa"/>
            <w:vAlign w:val="center"/>
          </w:tcPr>
          <w:p w14:paraId="17DEE0D4">
            <w:pPr>
              <w:pStyle w:val="45"/>
              <w:rPr>
                <w:rFonts w:hint="eastAsia"/>
                <w:color w:val="auto"/>
              </w:rPr>
            </w:pPr>
            <w:r>
              <w:rPr>
                <w:rFonts w:hint="eastAsia"/>
                <w:color w:val="auto"/>
              </w:rPr>
              <w:t>关键技术总结1项</w:t>
            </w:r>
          </w:p>
        </w:tc>
      </w:tr>
      <w:tr w14:paraId="6DAC8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17" w:type="dxa"/>
            <w:vMerge w:val="continue"/>
            <w:vAlign w:val="center"/>
          </w:tcPr>
          <w:p w14:paraId="7C5E57FD">
            <w:pPr>
              <w:pStyle w:val="45"/>
              <w:rPr>
                <w:rFonts w:hint="eastAsia"/>
                <w:color w:val="auto"/>
              </w:rPr>
            </w:pPr>
          </w:p>
        </w:tc>
        <w:tc>
          <w:tcPr>
            <w:tcW w:w="570" w:type="dxa"/>
            <w:vMerge w:val="continue"/>
            <w:vAlign w:val="center"/>
          </w:tcPr>
          <w:p w14:paraId="4A626E69">
            <w:pPr>
              <w:pStyle w:val="45"/>
              <w:rPr>
                <w:rFonts w:hint="eastAsia"/>
                <w:color w:val="auto"/>
              </w:rPr>
            </w:pPr>
          </w:p>
        </w:tc>
        <w:tc>
          <w:tcPr>
            <w:tcW w:w="2200" w:type="dxa"/>
            <w:vAlign w:val="center"/>
          </w:tcPr>
          <w:p w14:paraId="3D328265">
            <w:pPr>
              <w:pStyle w:val="45"/>
              <w:rPr>
                <w:rFonts w:hint="eastAsia"/>
                <w:color w:val="auto"/>
              </w:rPr>
            </w:pPr>
            <w:r>
              <w:rPr>
                <w:rFonts w:hint="eastAsia"/>
                <w:color w:val="auto"/>
              </w:rPr>
              <w:t>工法</w:t>
            </w:r>
          </w:p>
        </w:tc>
        <w:tc>
          <w:tcPr>
            <w:tcW w:w="4942" w:type="dxa"/>
          </w:tcPr>
          <w:p w14:paraId="55C124C5">
            <w:pPr>
              <w:pStyle w:val="45"/>
              <w:rPr>
                <w:rFonts w:hint="eastAsia"/>
                <w:color w:val="auto"/>
              </w:rPr>
            </w:pPr>
            <w:r>
              <w:rPr>
                <w:rFonts w:hint="eastAsia"/>
                <w:color w:val="auto"/>
              </w:rPr>
              <w:t>力争1项</w:t>
            </w:r>
          </w:p>
        </w:tc>
      </w:tr>
      <w:tr w14:paraId="4A71F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17" w:type="dxa"/>
            <w:vMerge w:val="continue"/>
            <w:vAlign w:val="center"/>
          </w:tcPr>
          <w:p w14:paraId="1012BD92">
            <w:pPr>
              <w:pStyle w:val="45"/>
              <w:rPr>
                <w:rFonts w:hint="eastAsia"/>
                <w:color w:val="auto"/>
              </w:rPr>
            </w:pPr>
          </w:p>
        </w:tc>
        <w:tc>
          <w:tcPr>
            <w:tcW w:w="570" w:type="dxa"/>
            <w:vMerge w:val="continue"/>
            <w:vAlign w:val="center"/>
          </w:tcPr>
          <w:p w14:paraId="39FF4C34">
            <w:pPr>
              <w:pStyle w:val="45"/>
              <w:rPr>
                <w:rFonts w:hint="eastAsia"/>
                <w:color w:val="auto"/>
              </w:rPr>
            </w:pPr>
          </w:p>
        </w:tc>
        <w:tc>
          <w:tcPr>
            <w:tcW w:w="2200" w:type="dxa"/>
            <w:vAlign w:val="center"/>
          </w:tcPr>
          <w:p w14:paraId="121B2948">
            <w:pPr>
              <w:pStyle w:val="45"/>
              <w:rPr>
                <w:rFonts w:hint="eastAsia"/>
                <w:color w:val="auto"/>
              </w:rPr>
            </w:pPr>
            <w:r>
              <w:rPr>
                <w:rFonts w:hint="eastAsia"/>
                <w:color w:val="auto"/>
              </w:rPr>
              <w:t>专利</w:t>
            </w:r>
          </w:p>
        </w:tc>
        <w:tc>
          <w:tcPr>
            <w:tcW w:w="4942" w:type="dxa"/>
            <w:vAlign w:val="center"/>
          </w:tcPr>
          <w:p w14:paraId="370B6016">
            <w:pPr>
              <w:pStyle w:val="45"/>
              <w:rPr>
                <w:rFonts w:hint="eastAsia"/>
                <w:color w:val="auto"/>
              </w:rPr>
            </w:pPr>
            <w:r>
              <w:rPr>
                <w:rFonts w:hint="eastAsia"/>
                <w:color w:val="auto"/>
              </w:rPr>
              <w:t>力争1项</w:t>
            </w:r>
          </w:p>
        </w:tc>
      </w:tr>
      <w:tr w14:paraId="497B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17" w:type="dxa"/>
            <w:vMerge w:val="continue"/>
            <w:vAlign w:val="center"/>
          </w:tcPr>
          <w:p w14:paraId="111A87CA">
            <w:pPr>
              <w:pStyle w:val="45"/>
              <w:rPr>
                <w:rFonts w:hint="eastAsia"/>
                <w:color w:val="auto"/>
              </w:rPr>
            </w:pPr>
          </w:p>
        </w:tc>
        <w:tc>
          <w:tcPr>
            <w:tcW w:w="570" w:type="dxa"/>
            <w:vMerge w:val="continue"/>
            <w:vAlign w:val="center"/>
          </w:tcPr>
          <w:p w14:paraId="41D811DF">
            <w:pPr>
              <w:pStyle w:val="45"/>
              <w:rPr>
                <w:rFonts w:hint="eastAsia"/>
                <w:color w:val="auto"/>
              </w:rPr>
            </w:pPr>
          </w:p>
        </w:tc>
        <w:tc>
          <w:tcPr>
            <w:tcW w:w="2200" w:type="dxa"/>
            <w:vAlign w:val="center"/>
          </w:tcPr>
          <w:p w14:paraId="1932686A">
            <w:pPr>
              <w:pStyle w:val="45"/>
              <w:rPr>
                <w:rFonts w:hint="eastAsia"/>
                <w:color w:val="auto"/>
              </w:rPr>
            </w:pPr>
            <w:r>
              <w:rPr>
                <w:rFonts w:hint="eastAsia"/>
                <w:color w:val="auto"/>
              </w:rPr>
              <w:t>QC</w:t>
            </w:r>
          </w:p>
        </w:tc>
        <w:tc>
          <w:tcPr>
            <w:tcW w:w="4942" w:type="dxa"/>
          </w:tcPr>
          <w:p w14:paraId="3DDC5A2A">
            <w:pPr>
              <w:pStyle w:val="45"/>
              <w:rPr>
                <w:rFonts w:hint="eastAsia"/>
                <w:color w:val="auto"/>
              </w:rPr>
            </w:pPr>
            <w:r>
              <w:rPr>
                <w:rFonts w:hint="eastAsia"/>
                <w:color w:val="auto"/>
              </w:rPr>
              <w:t>力争1项</w:t>
            </w:r>
          </w:p>
        </w:tc>
      </w:tr>
      <w:tr w14:paraId="617E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17" w:type="dxa"/>
            <w:vMerge w:val="continue"/>
            <w:vAlign w:val="center"/>
          </w:tcPr>
          <w:p w14:paraId="2C3A4B50">
            <w:pPr>
              <w:pStyle w:val="45"/>
              <w:rPr>
                <w:rFonts w:hint="eastAsia"/>
                <w:color w:val="auto"/>
              </w:rPr>
            </w:pPr>
          </w:p>
        </w:tc>
        <w:tc>
          <w:tcPr>
            <w:tcW w:w="570" w:type="dxa"/>
            <w:vMerge w:val="continue"/>
            <w:vAlign w:val="center"/>
          </w:tcPr>
          <w:p w14:paraId="5367F72E">
            <w:pPr>
              <w:pStyle w:val="45"/>
              <w:rPr>
                <w:rFonts w:hint="eastAsia"/>
                <w:color w:val="auto"/>
              </w:rPr>
            </w:pPr>
          </w:p>
        </w:tc>
        <w:tc>
          <w:tcPr>
            <w:tcW w:w="2200" w:type="dxa"/>
            <w:vAlign w:val="center"/>
          </w:tcPr>
          <w:p w14:paraId="5682859D">
            <w:pPr>
              <w:pStyle w:val="45"/>
              <w:rPr>
                <w:rFonts w:hint="eastAsia"/>
                <w:color w:val="auto"/>
              </w:rPr>
            </w:pPr>
            <w:r>
              <w:rPr>
                <w:rFonts w:hint="eastAsia"/>
                <w:color w:val="auto"/>
              </w:rPr>
              <w:t>论文</w:t>
            </w:r>
          </w:p>
        </w:tc>
        <w:tc>
          <w:tcPr>
            <w:tcW w:w="4942" w:type="dxa"/>
          </w:tcPr>
          <w:p w14:paraId="684CB312">
            <w:pPr>
              <w:pStyle w:val="45"/>
              <w:rPr>
                <w:rFonts w:hint="eastAsia"/>
                <w:color w:val="auto"/>
              </w:rPr>
            </w:pPr>
            <w:r>
              <w:rPr>
                <w:rFonts w:hint="eastAsia"/>
                <w:color w:val="auto"/>
              </w:rPr>
              <w:t>力争1篇</w:t>
            </w:r>
          </w:p>
        </w:tc>
      </w:tr>
      <w:tr w14:paraId="4682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817" w:type="dxa"/>
            <w:vMerge w:val="continue"/>
            <w:vAlign w:val="center"/>
          </w:tcPr>
          <w:p w14:paraId="53E53400">
            <w:pPr>
              <w:pStyle w:val="45"/>
              <w:rPr>
                <w:rFonts w:hint="eastAsia"/>
                <w:color w:val="auto"/>
              </w:rPr>
            </w:pPr>
          </w:p>
        </w:tc>
        <w:tc>
          <w:tcPr>
            <w:tcW w:w="570" w:type="dxa"/>
            <w:vMerge w:val="continue"/>
            <w:vAlign w:val="center"/>
          </w:tcPr>
          <w:p w14:paraId="1B08B839">
            <w:pPr>
              <w:pStyle w:val="45"/>
              <w:rPr>
                <w:rFonts w:hint="eastAsia"/>
                <w:color w:val="auto"/>
              </w:rPr>
            </w:pPr>
          </w:p>
        </w:tc>
        <w:tc>
          <w:tcPr>
            <w:tcW w:w="2200" w:type="dxa"/>
            <w:vAlign w:val="center"/>
          </w:tcPr>
          <w:p w14:paraId="38901C7A">
            <w:pPr>
              <w:pStyle w:val="45"/>
              <w:rPr>
                <w:rFonts w:hint="eastAsia"/>
                <w:color w:val="auto"/>
              </w:rPr>
            </w:pPr>
            <w:r>
              <w:rPr>
                <w:rFonts w:hint="eastAsia"/>
                <w:color w:val="auto"/>
              </w:rPr>
              <w:t>施组</w:t>
            </w:r>
          </w:p>
        </w:tc>
        <w:tc>
          <w:tcPr>
            <w:tcW w:w="4942" w:type="dxa"/>
          </w:tcPr>
          <w:p w14:paraId="0BA14FE3">
            <w:pPr>
              <w:pStyle w:val="45"/>
              <w:rPr>
                <w:rFonts w:hint="eastAsia"/>
                <w:color w:val="auto"/>
              </w:rPr>
            </w:pPr>
            <w:r>
              <w:rPr>
                <w:rFonts w:hint="eastAsia"/>
                <w:color w:val="auto"/>
              </w:rPr>
              <w:t>力争1项</w:t>
            </w:r>
          </w:p>
        </w:tc>
      </w:tr>
      <w:tr w14:paraId="21256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17" w:type="dxa"/>
            <w:vAlign w:val="center"/>
          </w:tcPr>
          <w:p w14:paraId="1419B38E">
            <w:pPr>
              <w:pStyle w:val="45"/>
              <w:rPr>
                <w:rFonts w:hint="eastAsia"/>
                <w:color w:val="auto"/>
              </w:rPr>
            </w:pPr>
            <w:r>
              <w:rPr>
                <w:color w:val="auto"/>
              </w:rPr>
              <w:t>2</w:t>
            </w:r>
          </w:p>
        </w:tc>
        <w:tc>
          <w:tcPr>
            <w:tcW w:w="2770" w:type="dxa"/>
            <w:gridSpan w:val="2"/>
            <w:vAlign w:val="center"/>
          </w:tcPr>
          <w:p w14:paraId="3909FF11">
            <w:pPr>
              <w:pStyle w:val="45"/>
              <w:rPr>
                <w:rFonts w:hint="eastAsia"/>
                <w:color w:val="auto"/>
              </w:rPr>
            </w:pPr>
            <w:r>
              <w:rPr>
                <w:rFonts w:hint="eastAsia"/>
                <w:color w:val="auto"/>
              </w:rPr>
              <w:t>人才</w:t>
            </w:r>
            <w:r>
              <w:rPr>
                <w:color w:val="auto"/>
              </w:rPr>
              <w:t>培养目标</w:t>
            </w:r>
          </w:p>
        </w:tc>
        <w:tc>
          <w:tcPr>
            <w:tcW w:w="4942" w:type="dxa"/>
            <w:vAlign w:val="center"/>
          </w:tcPr>
          <w:p w14:paraId="4F8AF6A8">
            <w:pPr>
              <w:pStyle w:val="45"/>
              <w:rPr>
                <w:rFonts w:hint="eastAsia"/>
                <w:color w:val="auto"/>
              </w:rPr>
            </w:pPr>
            <w:r>
              <w:rPr>
                <w:rFonts w:hint="eastAsia"/>
                <w:color w:val="auto"/>
              </w:rPr>
              <w:t>新员工培养人数不少于</w:t>
            </w:r>
            <w:r>
              <w:rPr>
                <w:color w:val="auto"/>
                <w:u w:val="single"/>
              </w:rPr>
              <w:t>4</w:t>
            </w:r>
            <w:r>
              <w:rPr>
                <w:rFonts w:hint="eastAsia"/>
                <w:color w:val="auto"/>
              </w:rPr>
              <w:t>个、项目班子培养人数不少于</w:t>
            </w:r>
            <w:r>
              <w:rPr>
                <w:color w:val="auto"/>
                <w:u w:val="single"/>
              </w:rPr>
              <w:t>4</w:t>
            </w:r>
            <w:r>
              <w:rPr>
                <w:rFonts w:hint="eastAsia"/>
                <w:color w:val="auto"/>
              </w:rPr>
              <w:t>个。</w:t>
            </w:r>
          </w:p>
        </w:tc>
      </w:tr>
      <w:tr w14:paraId="768C3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817" w:type="dxa"/>
            <w:vAlign w:val="center"/>
          </w:tcPr>
          <w:p w14:paraId="343F3DCE">
            <w:pPr>
              <w:pStyle w:val="45"/>
              <w:rPr>
                <w:rFonts w:hint="eastAsia"/>
                <w:color w:val="auto"/>
              </w:rPr>
            </w:pPr>
            <w:r>
              <w:rPr>
                <w:color w:val="auto"/>
              </w:rPr>
              <w:t>3</w:t>
            </w:r>
          </w:p>
        </w:tc>
        <w:tc>
          <w:tcPr>
            <w:tcW w:w="2770" w:type="dxa"/>
            <w:gridSpan w:val="2"/>
            <w:vAlign w:val="center"/>
          </w:tcPr>
          <w:p w14:paraId="7932C6FF">
            <w:pPr>
              <w:pStyle w:val="45"/>
              <w:rPr>
                <w:rFonts w:hint="eastAsia"/>
                <w:color w:val="auto"/>
              </w:rPr>
            </w:pPr>
            <w:r>
              <w:rPr>
                <w:rFonts w:hint="eastAsia"/>
                <w:color w:val="auto"/>
              </w:rPr>
              <w:t>市场营销</w:t>
            </w:r>
            <w:r>
              <w:rPr>
                <w:color w:val="auto"/>
              </w:rPr>
              <w:t>目标</w:t>
            </w:r>
          </w:p>
        </w:tc>
        <w:tc>
          <w:tcPr>
            <w:tcW w:w="4942" w:type="dxa"/>
            <w:vAlign w:val="center"/>
          </w:tcPr>
          <w:p w14:paraId="2C092990">
            <w:pPr>
              <w:pStyle w:val="45"/>
              <w:rPr>
                <w:rFonts w:hint="eastAsia"/>
                <w:color w:val="auto"/>
              </w:rPr>
            </w:pPr>
            <w:r>
              <w:rPr>
                <w:rFonts w:hint="eastAsia"/>
                <w:color w:val="auto"/>
              </w:rPr>
              <w:t>维护</w:t>
            </w:r>
            <w:r>
              <w:rPr>
                <w:color w:val="auto"/>
              </w:rPr>
              <w:t>战略合作，</w:t>
            </w:r>
            <w:r>
              <w:rPr>
                <w:rFonts w:hint="eastAsia"/>
                <w:color w:val="auto"/>
              </w:rPr>
              <w:t>顺利承接</w:t>
            </w:r>
            <w:r>
              <w:rPr>
                <w:color w:val="auto"/>
              </w:rPr>
              <w:t>周边项目</w:t>
            </w:r>
          </w:p>
        </w:tc>
      </w:tr>
      <w:tr w14:paraId="34FEC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817" w:type="dxa"/>
            <w:vAlign w:val="center"/>
          </w:tcPr>
          <w:p w14:paraId="7BF80388">
            <w:pPr>
              <w:pStyle w:val="45"/>
              <w:rPr>
                <w:rFonts w:hint="eastAsia"/>
                <w:color w:val="auto"/>
              </w:rPr>
            </w:pPr>
            <w:r>
              <w:rPr>
                <w:color w:val="auto"/>
              </w:rPr>
              <w:t>4</w:t>
            </w:r>
          </w:p>
        </w:tc>
        <w:tc>
          <w:tcPr>
            <w:tcW w:w="2770" w:type="dxa"/>
            <w:gridSpan w:val="2"/>
            <w:vAlign w:val="center"/>
          </w:tcPr>
          <w:p w14:paraId="74AC7C80">
            <w:pPr>
              <w:pStyle w:val="45"/>
              <w:rPr>
                <w:rFonts w:hint="eastAsia"/>
                <w:color w:val="auto"/>
              </w:rPr>
            </w:pPr>
            <w:r>
              <w:rPr>
                <w:rFonts w:hint="eastAsia"/>
                <w:color w:val="auto"/>
              </w:rPr>
              <w:t>党群工作目标</w:t>
            </w:r>
          </w:p>
        </w:tc>
        <w:tc>
          <w:tcPr>
            <w:tcW w:w="4942" w:type="dxa"/>
            <w:vAlign w:val="center"/>
          </w:tcPr>
          <w:p w14:paraId="183143B2">
            <w:pPr>
              <w:pStyle w:val="45"/>
              <w:rPr>
                <w:rFonts w:hint="eastAsia"/>
                <w:color w:val="auto"/>
              </w:rPr>
            </w:pPr>
            <w:r>
              <w:rPr>
                <w:rFonts w:ascii="Times New Roman" w:hAnsi="Times New Roman"/>
                <w:color w:val="auto"/>
              </w:rPr>
              <w:t>打造党员示范岗1个</w:t>
            </w:r>
          </w:p>
        </w:tc>
      </w:tr>
      <w:tr w14:paraId="7AF3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17" w:type="dxa"/>
            <w:vAlign w:val="center"/>
          </w:tcPr>
          <w:p w14:paraId="2E230AF4">
            <w:pPr>
              <w:pStyle w:val="45"/>
              <w:rPr>
                <w:rFonts w:hint="eastAsia"/>
                <w:color w:val="auto"/>
              </w:rPr>
            </w:pPr>
            <w:r>
              <w:rPr>
                <w:color w:val="auto"/>
              </w:rPr>
              <w:t>5</w:t>
            </w:r>
          </w:p>
        </w:tc>
        <w:tc>
          <w:tcPr>
            <w:tcW w:w="2770" w:type="dxa"/>
            <w:gridSpan w:val="2"/>
            <w:vAlign w:val="center"/>
          </w:tcPr>
          <w:p w14:paraId="11680357">
            <w:pPr>
              <w:pStyle w:val="45"/>
              <w:rPr>
                <w:rFonts w:hint="eastAsia"/>
                <w:color w:val="auto"/>
              </w:rPr>
            </w:pPr>
            <w:r>
              <w:rPr>
                <w:rFonts w:hint="eastAsia"/>
                <w:color w:val="auto"/>
              </w:rPr>
              <w:t>施工总承包管理成果输出目标</w:t>
            </w:r>
          </w:p>
        </w:tc>
        <w:tc>
          <w:tcPr>
            <w:tcW w:w="4942" w:type="dxa"/>
            <w:vAlign w:val="center"/>
          </w:tcPr>
          <w:p w14:paraId="5E54EC22">
            <w:pPr>
              <w:pStyle w:val="45"/>
              <w:rPr>
                <w:rFonts w:hint="eastAsia"/>
                <w:color w:val="auto"/>
              </w:rPr>
            </w:pPr>
            <w:r>
              <w:rPr>
                <w:rFonts w:hint="eastAsia"/>
                <w:color w:val="auto"/>
              </w:rPr>
              <w:t>/</w:t>
            </w:r>
          </w:p>
        </w:tc>
      </w:tr>
      <w:tr w14:paraId="1DB35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jc w:val="center"/>
        </w:trPr>
        <w:tc>
          <w:tcPr>
            <w:tcW w:w="817" w:type="dxa"/>
            <w:vAlign w:val="center"/>
          </w:tcPr>
          <w:p w14:paraId="71F85943">
            <w:pPr>
              <w:pStyle w:val="45"/>
              <w:rPr>
                <w:rFonts w:hint="eastAsia"/>
                <w:color w:val="auto"/>
              </w:rPr>
            </w:pPr>
            <w:r>
              <w:rPr>
                <w:color w:val="auto"/>
              </w:rPr>
              <w:t>6</w:t>
            </w:r>
          </w:p>
        </w:tc>
        <w:tc>
          <w:tcPr>
            <w:tcW w:w="2770" w:type="dxa"/>
            <w:gridSpan w:val="2"/>
            <w:vAlign w:val="center"/>
          </w:tcPr>
          <w:p w14:paraId="5F85593F">
            <w:pPr>
              <w:pStyle w:val="45"/>
              <w:rPr>
                <w:rFonts w:hint="eastAsia"/>
                <w:color w:val="auto"/>
              </w:rPr>
            </w:pPr>
            <w:r>
              <w:rPr>
                <w:rFonts w:hint="eastAsia"/>
                <w:color w:val="auto"/>
              </w:rPr>
              <w:t>BIM管理目标</w:t>
            </w:r>
          </w:p>
        </w:tc>
        <w:tc>
          <w:tcPr>
            <w:tcW w:w="4942" w:type="dxa"/>
            <w:vAlign w:val="center"/>
          </w:tcPr>
          <w:p w14:paraId="19BDB41C">
            <w:pPr>
              <w:pStyle w:val="45"/>
              <w:rPr>
                <w:rFonts w:hint="eastAsia"/>
                <w:color w:val="auto"/>
              </w:rPr>
            </w:pPr>
            <w:r>
              <w:rPr>
                <w:color w:val="auto"/>
              </w:rPr>
              <w:t>分阶段建立BIM三维模型，</w:t>
            </w:r>
            <w:r>
              <w:rPr>
                <w:rFonts w:hint="eastAsia"/>
                <w:color w:val="auto"/>
              </w:rPr>
              <w:t>达到施工</w:t>
            </w:r>
            <w:r>
              <w:rPr>
                <w:color w:val="auto"/>
              </w:rPr>
              <w:t>推演</w:t>
            </w:r>
          </w:p>
        </w:tc>
      </w:tr>
      <w:tr w14:paraId="2A48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17" w:type="dxa"/>
            <w:vAlign w:val="center"/>
          </w:tcPr>
          <w:p w14:paraId="0339CA2D">
            <w:pPr>
              <w:pStyle w:val="45"/>
              <w:rPr>
                <w:rFonts w:hint="eastAsia"/>
                <w:color w:val="auto"/>
              </w:rPr>
            </w:pPr>
            <w:r>
              <w:rPr>
                <w:color w:val="auto"/>
              </w:rPr>
              <w:t>7</w:t>
            </w:r>
          </w:p>
        </w:tc>
        <w:tc>
          <w:tcPr>
            <w:tcW w:w="2770" w:type="dxa"/>
            <w:gridSpan w:val="2"/>
            <w:vAlign w:val="center"/>
          </w:tcPr>
          <w:p w14:paraId="5B0DE162">
            <w:pPr>
              <w:pStyle w:val="45"/>
              <w:rPr>
                <w:rFonts w:hint="eastAsia"/>
                <w:color w:val="auto"/>
              </w:rPr>
            </w:pPr>
            <w:r>
              <w:rPr>
                <w:rFonts w:hint="eastAsia"/>
                <w:color w:val="auto"/>
              </w:rPr>
              <w:t>其他管理目标</w:t>
            </w:r>
          </w:p>
        </w:tc>
        <w:tc>
          <w:tcPr>
            <w:tcW w:w="4942" w:type="dxa"/>
            <w:vAlign w:val="center"/>
          </w:tcPr>
          <w:p w14:paraId="3E8C5FEB">
            <w:pPr>
              <w:pStyle w:val="45"/>
              <w:rPr>
                <w:rFonts w:hint="eastAsia"/>
                <w:color w:val="auto"/>
              </w:rPr>
            </w:pPr>
            <w:r>
              <w:rPr>
                <w:rFonts w:hint="eastAsia"/>
                <w:color w:val="auto"/>
              </w:rPr>
              <w:t>/</w:t>
            </w:r>
          </w:p>
        </w:tc>
      </w:tr>
    </w:tbl>
    <w:p w14:paraId="3E3F63B8">
      <w:pPr>
        <w:pStyle w:val="4"/>
        <w:ind w:firstLine="482"/>
        <w:rPr>
          <w:color w:val="auto"/>
        </w:rPr>
      </w:pPr>
      <w:bookmarkStart w:id="69" w:name="_Toc531112475"/>
      <w:bookmarkStart w:id="70" w:name="_Toc28081"/>
      <w:r>
        <w:rPr>
          <w:rFonts w:hint="eastAsia"/>
          <w:color w:val="auto"/>
        </w:rPr>
        <w:t>项目部组织机构</w:t>
      </w:r>
      <w:bookmarkEnd w:id="69"/>
      <w:bookmarkEnd w:id="70"/>
    </w:p>
    <w:p w14:paraId="20E1652F">
      <w:pPr>
        <w:pStyle w:val="5"/>
        <w:rPr>
          <w:color w:val="auto"/>
        </w:rPr>
      </w:pPr>
      <w:bookmarkStart w:id="71" w:name="_Toc531112476"/>
      <w:bookmarkStart w:id="72" w:name="_Toc29733"/>
      <w:r>
        <w:rPr>
          <w:rFonts w:hint="eastAsia"/>
          <w:color w:val="auto"/>
        </w:rPr>
        <w:t>项目部组织机构的设置</w:t>
      </w:r>
      <w:bookmarkEnd w:id="71"/>
      <w:bookmarkEnd w:id="72"/>
    </w:p>
    <w:p w14:paraId="01F37FAA">
      <w:pPr>
        <w:rPr>
          <w:color w:val="auto"/>
        </w:rPr>
      </w:pPr>
      <w:r>
        <w:rPr>
          <w:rFonts w:hint="eastAsia"/>
          <w:color w:val="auto"/>
        </w:rPr>
        <w:t>为确保本工程各项管理目标和服务目标的实现，本着结构合理、精干高效的原则，我司将设立“</w:t>
      </w:r>
      <w:r>
        <w:rPr>
          <w:rFonts w:hint="eastAsia"/>
          <w:color w:val="auto"/>
          <w:lang w:val="en-US" w:eastAsia="zh-CN"/>
        </w:rPr>
        <w:t>xx</w:t>
      </w:r>
      <w:r>
        <w:rPr>
          <w:rFonts w:hint="eastAsia"/>
          <w:color w:val="auto"/>
        </w:rPr>
        <w:t>三亚崖州湾科技城公共教学区EPC项目部”，项目部为三维矩阵式式组织机构，以便充分利用企业资源。选派综合素质高、具有丰富的同类工程施工经验的各个专业人员组成项目管理团队，全面负责现场施工组织。项目管理机构实行项目经理负责制，项目班子在我司的直接监督与指导下，履行施工管理的权力和义务，负责工程的计划、组织、指挥、协调和控制，代表法人全面履约。</w:t>
      </w:r>
    </w:p>
    <w:p w14:paraId="75754A16">
      <w:pPr>
        <w:pStyle w:val="5"/>
        <w:rPr>
          <w:color w:val="auto"/>
        </w:rPr>
      </w:pPr>
      <w:bookmarkStart w:id="73" w:name="_Toc531112477"/>
      <w:bookmarkStart w:id="74" w:name="_Toc9874"/>
      <w:r>
        <w:rPr>
          <w:rFonts w:hint="eastAsia"/>
          <w:color w:val="auto"/>
        </w:rPr>
        <w:t>各专业管理人员的设置与分工</w:t>
      </w:r>
      <w:bookmarkEnd w:id="73"/>
      <w:bookmarkEnd w:id="74"/>
    </w:p>
    <w:p w14:paraId="2FA82A14">
      <w:pPr>
        <w:pStyle w:val="6"/>
        <w:numPr>
          <w:ilvl w:val="3"/>
          <w:numId w:val="7"/>
        </w:numPr>
        <w:ind w:firstLine="480"/>
        <w:rPr>
          <w:color w:val="auto"/>
        </w:rPr>
      </w:pPr>
      <w:r>
        <w:rPr>
          <w:rFonts w:hint="eastAsia"/>
          <w:color w:val="auto"/>
        </w:rPr>
        <w:t>项目管理人员设置</w:t>
      </w:r>
    </w:p>
    <w:p w14:paraId="61630406">
      <w:pPr>
        <w:pStyle w:val="54"/>
        <w:rPr>
          <w:color w:val="auto"/>
        </w:rPr>
      </w:pPr>
      <w:r>
        <w:rPr>
          <w:rFonts w:hint="eastAsia"/>
          <w:color w:val="auto"/>
        </w:rPr>
        <w:t>项目部主要管理人员配置计划表</w:t>
      </w:r>
    </w:p>
    <w:tbl>
      <w:tblPr>
        <w:tblStyle w:val="29"/>
        <w:tblW w:w="5000" w:type="pct"/>
        <w:jc w:val="center"/>
        <w:tblLayout w:type="fixed"/>
        <w:tblCellMar>
          <w:top w:w="0" w:type="dxa"/>
          <w:left w:w="108" w:type="dxa"/>
          <w:bottom w:w="0" w:type="dxa"/>
          <w:right w:w="108" w:type="dxa"/>
        </w:tblCellMar>
      </w:tblPr>
      <w:tblGrid>
        <w:gridCol w:w="1504"/>
        <w:gridCol w:w="1085"/>
        <w:gridCol w:w="1566"/>
        <w:gridCol w:w="1656"/>
        <w:gridCol w:w="2181"/>
        <w:gridCol w:w="1068"/>
      </w:tblGrid>
      <w:tr w14:paraId="7A5561D0">
        <w:tblPrEx>
          <w:tblCellMar>
            <w:top w:w="0" w:type="dxa"/>
            <w:left w:w="108" w:type="dxa"/>
            <w:bottom w:w="0" w:type="dxa"/>
            <w:right w:w="108" w:type="dxa"/>
          </w:tblCellMar>
        </w:tblPrEx>
        <w:trPr>
          <w:cantSplit/>
          <w:trHeight w:val="454" w:hRule="atLeast"/>
          <w:jc w:val="center"/>
        </w:trPr>
        <w:tc>
          <w:tcPr>
            <w:tcW w:w="830" w:type="pct"/>
            <w:vMerge w:val="restart"/>
            <w:tcBorders>
              <w:top w:val="single" w:color="auto" w:sz="4" w:space="0"/>
              <w:left w:val="single" w:color="auto" w:sz="4" w:space="0"/>
              <w:bottom w:val="single" w:color="auto" w:sz="4" w:space="0"/>
              <w:right w:val="single" w:color="auto" w:sz="4" w:space="0"/>
            </w:tcBorders>
            <w:vAlign w:val="center"/>
          </w:tcPr>
          <w:p w14:paraId="2E9E5450">
            <w:pPr>
              <w:pStyle w:val="74"/>
              <w:rPr>
                <w:color w:val="auto"/>
              </w:rPr>
            </w:pPr>
            <w:r>
              <w:rPr>
                <w:rFonts w:hint="eastAsia"/>
                <w:color w:val="auto"/>
              </w:rPr>
              <w:t>职务</w:t>
            </w:r>
          </w:p>
        </w:tc>
        <w:tc>
          <w:tcPr>
            <w:tcW w:w="599" w:type="pct"/>
            <w:vMerge w:val="restart"/>
            <w:tcBorders>
              <w:top w:val="single" w:color="auto" w:sz="4" w:space="0"/>
              <w:left w:val="nil"/>
              <w:bottom w:val="single" w:color="auto" w:sz="4" w:space="0"/>
              <w:right w:val="single" w:color="auto" w:sz="4" w:space="0"/>
            </w:tcBorders>
            <w:vAlign w:val="center"/>
          </w:tcPr>
          <w:p w14:paraId="0B155DC1">
            <w:pPr>
              <w:pStyle w:val="74"/>
              <w:rPr>
                <w:color w:val="auto"/>
              </w:rPr>
            </w:pPr>
            <w:r>
              <w:rPr>
                <w:rFonts w:hint="eastAsia"/>
                <w:color w:val="auto"/>
              </w:rPr>
              <w:t>姓名</w:t>
            </w:r>
          </w:p>
        </w:tc>
        <w:tc>
          <w:tcPr>
            <w:tcW w:w="2982" w:type="pct"/>
            <w:gridSpan w:val="3"/>
            <w:tcBorders>
              <w:top w:val="single" w:color="auto" w:sz="4" w:space="0"/>
              <w:left w:val="nil"/>
              <w:bottom w:val="single" w:color="auto" w:sz="4" w:space="0"/>
              <w:right w:val="single" w:color="auto" w:sz="4" w:space="0"/>
            </w:tcBorders>
            <w:vAlign w:val="center"/>
          </w:tcPr>
          <w:p w14:paraId="4DBA5CAD">
            <w:pPr>
              <w:pStyle w:val="74"/>
              <w:rPr>
                <w:color w:val="auto"/>
              </w:rPr>
            </w:pPr>
            <w:r>
              <w:rPr>
                <w:rFonts w:hint="eastAsia"/>
                <w:color w:val="auto"/>
              </w:rPr>
              <w:t>执业或职业资格证明</w:t>
            </w:r>
          </w:p>
        </w:tc>
        <w:tc>
          <w:tcPr>
            <w:tcW w:w="589" w:type="pct"/>
            <w:tcBorders>
              <w:top w:val="single" w:color="auto" w:sz="4" w:space="0"/>
              <w:left w:val="nil"/>
              <w:bottom w:val="single" w:color="auto" w:sz="4" w:space="0"/>
              <w:right w:val="single" w:color="auto" w:sz="4" w:space="0"/>
            </w:tcBorders>
            <w:vAlign w:val="center"/>
          </w:tcPr>
          <w:p w14:paraId="01822F18">
            <w:pPr>
              <w:pStyle w:val="74"/>
              <w:rPr>
                <w:color w:val="auto"/>
              </w:rPr>
            </w:pPr>
            <w:r>
              <w:rPr>
                <w:rFonts w:hint="eastAsia"/>
                <w:color w:val="auto"/>
              </w:rPr>
              <w:t>备注</w:t>
            </w:r>
          </w:p>
        </w:tc>
      </w:tr>
      <w:tr w14:paraId="75F931B8">
        <w:tblPrEx>
          <w:tblCellMar>
            <w:top w:w="0" w:type="dxa"/>
            <w:left w:w="108" w:type="dxa"/>
            <w:bottom w:w="0" w:type="dxa"/>
            <w:right w:w="108" w:type="dxa"/>
          </w:tblCellMar>
        </w:tblPrEx>
        <w:trPr>
          <w:cantSplit/>
          <w:trHeight w:val="454" w:hRule="atLeast"/>
          <w:jc w:val="center"/>
        </w:trPr>
        <w:tc>
          <w:tcPr>
            <w:tcW w:w="830" w:type="pct"/>
            <w:vMerge w:val="continue"/>
            <w:tcBorders>
              <w:top w:val="single" w:color="auto" w:sz="4" w:space="0"/>
              <w:left w:val="single" w:color="auto" w:sz="4" w:space="0"/>
              <w:bottom w:val="single" w:color="auto" w:sz="4" w:space="0"/>
              <w:right w:val="single" w:color="auto" w:sz="4" w:space="0"/>
            </w:tcBorders>
            <w:vAlign w:val="center"/>
          </w:tcPr>
          <w:p w14:paraId="38966E50">
            <w:pPr>
              <w:pStyle w:val="74"/>
              <w:rPr>
                <w:color w:val="auto"/>
              </w:rPr>
            </w:pPr>
          </w:p>
        </w:tc>
        <w:tc>
          <w:tcPr>
            <w:tcW w:w="599" w:type="pct"/>
            <w:vMerge w:val="continue"/>
            <w:tcBorders>
              <w:top w:val="single" w:color="auto" w:sz="4" w:space="0"/>
              <w:left w:val="nil"/>
              <w:bottom w:val="single" w:color="auto" w:sz="4" w:space="0"/>
              <w:right w:val="single" w:color="auto" w:sz="4" w:space="0"/>
            </w:tcBorders>
            <w:vAlign w:val="center"/>
          </w:tcPr>
          <w:p w14:paraId="7E12BAEA">
            <w:pPr>
              <w:pStyle w:val="74"/>
              <w:rPr>
                <w:color w:val="auto"/>
              </w:rPr>
            </w:pPr>
          </w:p>
        </w:tc>
        <w:tc>
          <w:tcPr>
            <w:tcW w:w="864" w:type="pct"/>
            <w:tcBorders>
              <w:top w:val="single" w:color="auto" w:sz="4" w:space="0"/>
              <w:left w:val="nil"/>
              <w:bottom w:val="single" w:color="auto" w:sz="4" w:space="0"/>
              <w:right w:val="single" w:color="auto" w:sz="4" w:space="0"/>
            </w:tcBorders>
            <w:vAlign w:val="center"/>
          </w:tcPr>
          <w:p w14:paraId="2F99AAA1">
            <w:pPr>
              <w:pStyle w:val="74"/>
              <w:rPr>
                <w:color w:val="auto"/>
              </w:rPr>
            </w:pPr>
            <w:r>
              <w:rPr>
                <w:rFonts w:hint="eastAsia"/>
                <w:color w:val="auto"/>
              </w:rPr>
              <w:t>证书名称</w:t>
            </w:r>
          </w:p>
        </w:tc>
        <w:tc>
          <w:tcPr>
            <w:tcW w:w="914" w:type="pct"/>
            <w:tcBorders>
              <w:top w:val="single" w:color="auto" w:sz="4" w:space="0"/>
              <w:left w:val="nil"/>
              <w:bottom w:val="single" w:color="auto" w:sz="4" w:space="0"/>
              <w:right w:val="single" w:color="auto" w:sz="4" w:space="0"/>
            </w:tcBorders>
            <w:vAlign w:val="center"/>
          </w:tcPr>
          <w:p w14:paraId="3533B3A3">
            <w:pPr>
              <w:pStyle w:val="74"/>
              <w:rPr>
                <w:color w:val="auto"/>
              </w:rPr>
            </w:pPr>
            <w:r>
              <w:rPr>
                <w:rFonts w:hint="eastAsia"/>
                <w:color w:val="auto"/>
              </w:rPr>
              <w:t>证号</w:t>
            </w:r>
          </w:p>
        </w:tc>
        <w:tc>
          <w:tcPr>
            <w:tcW w:w="1204" w:type="pct"/>
            <w:tcBorders>
              <w:top w:val="single" w:color="auto" w:sz="4" w:space="0"/>
              <w:left w:val="nil"/>
              <w:bottom w:val="single" w:color="auto" w:sz="4" w:space="0"/>
              <w:right w:val="single" w:color="auto" w:sz="4" w:space="0"/>
            </w:tcBorders>
            <w:vAlign w:val="center"/>
          </w:tcPr>
          <w:p w14:paraId="1B7F4331">
            <w:pPr>
              <w:pStyle w:val="74"/>
              <w:rPr>
                <w:color w:val="auto"/>
              </w:rPr>
            </w:pPr>
            <w:r>
              <w:rPr>
                <w:rFonts w:hint="eastAsia"/>
                <w:color w:val="auto"/>
              </w:rPr>
              <w:t>专业</w:t>
            </w:r>
          </w:p>
        </w:tc>
        <w:tc>
          <w:tcPr>
            <w:tcW w:w="589" w:type="pct"/>
            <w:tcBorders>
              <w:top w:val="single" w:color="auto" w:sz="4" w:space="0"/>
              <w:left w:val="nil"/>
              <w:bottom w:val="single" w:color="auto" w:sz="4" w:space="0"/>
              <w:right w:val="single" w:color="auto" w:sz="4" w:space="0"/>
            </w:tcBorders>
            <w:vAlign w:val="center"/>
          </w:tcPr>
          <w:p w14:paraId="7C417382">
            <w:pPr>
              <w:pStyle w:val="74"/>
              <w:rPr>
                <w:color w:val="auto"/>
              </w:rPr>
            </w:pPr>
            <w:r>
              <w:rPr>
                <w:rFonts w:hint="eastAsia"/>
                <w:color w:val="auto"/>
              </w:rPr>
              <w:t>学历</w:t>
            </w:r>
          </w:p>
        </w:tc>
      </w:tr>
      <w:tr w14:paraId="34420ADB">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73F54478">
            <w:pPr>
              <w:pStyle w:val="74"/>
              <w:rPr>
                <w:color w:val="auto"/>
              </w:rPr>
            </w:pPr>
            <w:r>
              <w:rPr>
                <w:rFonts w:hint="eastAsia"/>
                <w:color w:val="auto"/>
              </w:rPr>
              <w:t>项目经理</w:t>
            </w:r>
          </w:p>
        </w:tc>
        <w:tc>
          <w:tcPr>
            <w:tcW w:w="599" w:type="pct"/>
            <w:tcBorders>
              <w:top w:val="single" w:color="auto" w:sz="4" w:space="0"/>
              <w:left w:val="nil"/>
              <w:bottom w:val="single" w:color="auto" w:sz="4" w:space="0"/>
              <w:right w:val="single" w:color="auto" w:sz="4" w:space="0"/>
            </w:tcBorders>
            <w:vAlign w:val="center"/>
          </w:tcPr>
          <w:p w14:paraId="2350ADB3">
            <w:pPr>
              <w:pStyle w:val="74"/>
              <w:rPr>
                <w:color w:val="auto"/>
              </w:rPr>
            </w:pPr>
            <w:r>
              <w:rPr>
                <w:rFonts w:ascii="宋体" w:hAnsi="宋体"/>
                <w:color w:val="auto"/>
              </w:rPr>
              <w:t>林海</w:t>
            </w:r>
            <w:r>
              <w:rPr>
                <w:color w:val="auto"/>
              </w:rPr>
              <w:t xml:space="preserve"> </w:t>
            </w:r>
          </w:p>
        </w:tc>
        <w:tc>
          <w:tcPr>
            <w:tcW w:w="864" w:type="pct"/>
            <w:tcBorders>
              <w:top w:val="single" w:color="auto" w:sz="4" w:space="0"/>
              <w:left w:val="nil"/>
              <w:bottom w:val="single" w:color="auto" w:sz="4" w:space="0"/>
              <w:right w:val="single" w:color="auto" w:sz="4" w:space="0"/>
            </w:tcBorders>
            <w:vAlign w:val="center"/>
          </w:tcPr>
          <w:p w14:paraId="69247A7A">
            <w:pPr>
              <w:pStyle w:val="74"/>
              <w:rPr>
                <w:rFonts w:cs="Calibri"/>
                <w:color w:val="auto"/>
                <w:szCs w:val="21"/>
              </w:rPr>
            </w:pPr>
            <w:r>
              <w:rPr>
                <w:rFonts w:ascii="宋体" w:hAnsi="宋体"/>
                <w:color w:val="auto"/>
              </w:rPr>
              <w:t>一级建造师证</w:t>
            </w:r>
            <w:r>
              <w:rPr>
                <w:color w:val="auto"/>
              </w:rPr>
              <w:t xml:space="preserve"> </w:t>
            </w:r>
          </w:p>
        </w:tc>
        <w:tc>
          <w:tcPr>
            <w:tcW w:w="914" w:type="pct"/>
            <w:tcBorders>
              <w:top w:val="single" w:color="auto" w:sz="4" w:space="0"/>
              <w:left w:val="nil"/>
              <w:bottom w:val="single" w:color="auto" w:sz="4" w:space="0"/>
              <w:right w:val="single" w:color="auto" w:sz="4" w:space="0"/>
            </w:tcBorders>
            <w:vAlign w:val="center"/>
          </w:tcPr>
          <w:p w14:paraId="377B7AFB">
            <w:pPr>
              <w:pStyle w:val="74"/>
              <w:rPr>
                <w:rFonts w:cs="Calibri"/>
                <w:color w:val="auto"/>
                <w:szCs w:val="21"/>
              </w:rPr>
            </w:pPr>
            <w:r>
              <w:rPr>
                <w:rFonts w:ascii="宋体" w:hAnsi="宋体"/>
                <w:color w:val="auto"/>
              </w:rPr>
              <w:t>鄂</w:t>
            </w:r>
            <w:r>
              <w:rPr>
                <w:color w:val="auto"/>
              </w:rPr>
              <w:t xml:space="preserve"> 142192001019</w:t>
            </w:r>
          </w:p>
        </w:tc>
        <w:tc>
          <w:tcPr>
            <w:tcW w:w="1204" w:type="pct"/>
            <w:tcBorders>
              <w:top w:val="single" w:color="auto" w:sz="4" w:space="0"/>
              <w:left w:val="nil"/>
              <w:bottom w:val="single" w:color="auto" w:sz="4" w:space="0"/>
              <w:right w:val="single" w:color="auto" w:sz="4" w:space="0"/>
            </w:tcBorders>
            <w:vAlign w:val="center"/>
          </w:tcPr>
          <w:p w14:paraId="1729AECD">
            <w:pPr>
              <w:pStyle w:val="74"/>
              <w:rPr>
                <w:rFonts w:cs="Calibri"/>
                <w:color w:val="auto"/>
                <w:szCs w:val="21"/>
              </w:rPr>
            </w:pPr>
            <w:r>
              <w:rPr>
                <w:rFonts w:ascii="宋体" w:hAnsi="宋体"/>
                <w:color w:val="auto"/>
              </w:rPr>
              <w:t>建筑工程</w:t>
            </w:r>
          </w:p>
        </w:tc>
        <w:tc>
          <w:tcPr>
            <w:tcW w:w="589" w:type="pct"/>
            <w:tcBorders>
              <w:top w:val="single" w:color="auto" w:sz="4" w:space="0"/>
              <w:left w:val="nil"/>
              <w:bottom w:val="single" w:color="auto" w:sz="4" w:space="0"/>
              <w:right w:val="single" w:color="auto" w:sz="4" w:space="0"/>
            </w:tcBorders>
            <w:vAlign w:val="center"/>
          </w:tcPr>
          <w:p w14:paraId="3523AA1E">
            <w:pPr>
              <w:pStyle w:val="74"/>
              <w:rPr>
                <w:color w:val="auto"/>
              </w:rPr>
            </w:pPr>
            <w:r>
              <w:rPr>
                <w:rFonts w:hint="eastAsia"/>
                <w:color w:val="auto"/>
              </w:rPr>
              <w:t>本科</w:t>
            </w:r>
          </w:p>
        </w:tc>
      </w:tr>
      <w:tr w14:paraId="04217E4A">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64A731BF">
            <w:pPr>
              <w:pStyle w:val="74"/>
              <w:rPr>
                <w:color w:val="auto"/>
              </w:rPr>
            </w:pPr>
            <w:r>
              <w:rPr>
                <w:rFonts w:hint="eastAsia"/>
                <w:color w:val="auto"/>
              </w:rPr>
              <w:t>项目副经理</w:t>
            </w:r>
          </w:p>
        </w:tc>
        <w:tc>
          <w:tcPr>
            <w:tcW w:w="599" w:type="pct"/>
            <w:tcBorders>
              <w:top w:val="single" w:color="auto" w:sz="4" w:space="0"/>
              <w:left w:val="nil"/>
              <w:bottom w:val="single" w:color="auto" w:sz="4" w:space="0"/>
              <w:right w:val="single" w:color="auto" w:sz="4" w:space="0"/>
            </w:tcBorders>
            <w:vAlign w:val="center"/>
          </w:tcPr>
          <w:p w14:paraId="7D2C6372">
            <w:pPr>
              <w:pStyle w:val="74"/>
              <w:rPr>
                <w:color w:val="auto"/>
              </w:rPr>
            </w:pPr>
            <w:r>
              <w:rPr>
                <w:rFonts w:hint="eastAsia"/>
                <w:color w:val="auto"/>
              </w:rPr>
              <w:t>吴豪</w:t>
            </w:r>
          </w:p>
        </w:tc>
        <w:tc>
          <w:tcPr>
            <w:tcW w:w="864" w:type="pct"/>
            <w:tcBorders>
              <w:top w:val="single" w:color="auto" w:sz="4" w:space="0"/>
              <w:left w:val="nil"/>
              <w:bottom w:val="single" w:color="auto" w:sz="4" w:space="0"/>
              <w:right w:val="single" w:color="auto" w:sz="4" w:space="0"/>
            </w:tcBorders>
            <w:vAlign w:val="center"/>
          </w:tcPr>
          <w:p w14:paraId="2AEFFE4F">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53FBD3C5">
            <w:pPr>
              <w:pStyle w:val="74"/>
              <w:rPr>
                <w:color w:val="auto"/>
              </w:rPr>
            </w:pPr>
            <w:r>
              <w:rPr>
                <w:rFonts w:hint="eastAsia"/>
                <w:color w:val="auto"/>
              </w:rPr>
              <w:t>/</w:t>
            </w:r>
          </w:p>
        </w:tc>
        <w:tc>
          <w:tcPr>
            <w:tcW w:w="1204" w:type="pct"/>
            <w:tcBorders>
              <w:top w:val="single" w:color="auto" w:sz="4" w:space="0"/>
              <w:left w:val="nil"/>
              <w:bottom w:val="single" w:color="auto" w:sz="4" w:space="0"/>
              <w:right w:val="single" w:color="auto" w:sz="4" w:space="0"/>
            </w:tcBorders>
            <w:vAlign w:val="center"/>
          </w:tcPr>
          <w:p w14:paraId="7EF819CF">
            <w:pPr>
              <w:pStyle w:val="74"/>
              <w:rPr>
                <w:color w:val="auto"/>
              </w:rPr>
            </w:pPr>
            <w:r>
              <w:rPr>
                <w:rFonts w:hint="eastAsia"/>
                <w:color w:val="auto"/>
              </w:rPr>
              <w:t>土木工程</w:t>
            </w:r>
          </w:p>
        </w:tc>
        <w:tc>
          <w:tcPr>
            <w:tcW w:w="589" w:type="pct"/>
            <w:tcBorders>
              <w:top w:val="single" w:color="auto" w:sz="4" w:space="0"/>
              <w:left w:val="nil"/>
              <w:bottom w:val="single" w:color="auto" w:sz="4" w:space="0"/>
              <w:right w:val="single" w:color="auto" w:sz="4" w:space="0"/>
            </w:tcBorders>
            <w:vAlign w:val="center"/>
          </w:tcPr>
          <w:p w14:paraId="0F0313F6">
            <w:pPr>
              <w:pStyle w:val="74"/>
              <w:rPr>
                <w:color w:val="auto"/>
              </w:rPr>
            </w:pPr>
            <w:r>
              <w:rPr>
                <w:rFonts w:hint="eastAsia"/>
                <w:color w:val="auto"/>
              </w:rPr>
              <w:t>本科</w:t>
            </w:r>
          </w:p>
        </w:tc>
      </w:tr>
      <w:tr w14:paraId="468761EB">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13F6A006">
            <w:pPr>
              <w:pStyle w:val="74"/>
              <w:rPr>
                <w:color w:val="auto"/>
              </w:rPr>
            </w:pPr>
            <w:r>
              <w:rPr>
                <w:rFonts w:hint="eastAsia"/>
                <w:color w:val="auto"/>
              </w:rPr>
              <w:t>技术负责人</w:t>
            </w:r>
          </w:p>
        </w:tc>
        <w:tc>
          <w:tcPr>
            <w:tcW w:w="599" w:type="pct"/>
            <w:tcBorders>
              <w:top w:val="single" w:color="auto" w:sz="4" w:space="0"/>
              <w:left w:val="nil"/>
              <w:bottom w:val="single" w:color="auto" w:sz="4" w:space="0"/>
              <w:right w:val="single" w:color="auto" w:sz="4" w:space="0"/>
            </w:tcBorders>
            <w:vAlign w:val="center"/>
          </w:tcPr>
          <w:p w14:paraId="7765B010">
            <w:pPr>
              <w:pStyle w:val="74"/>
              <w:rPr>
                <w:color w:val="auto"/>
              </w:rPr>
            </w:pPr>
            <w:r>
              <w:rPr>
                <w:rFonts w:ascii="宋体" w:hAnsi="宋体"/>
                <w:color w:val="auto"/>
              </w:rPr>
              <w:t>江礼锋</w:t>
            </w:r>
          </w:p>
        </w:tc>
        <w:tc>
          <w:tcPr>
            <w:tcW w:w="864" w:type="pct"/>
            <w:tcBorders>
              <w:top w:val="single" w:color="auto" w:sz="4" w:space="0"/>
              <w:left w:val="nil"/>
              <w:bottom w:val="single" w:color="auto" w:sz="4" w:space="0"/>
              <w:right w:val="single" w:color="auto" w:sz="4" w:space="0"/>
            </w:tcBorders>
            <w:vAlign w:val="center"/>
          </w:tcPr>
          <w:p w14:paraId="13204443">
            <w:pPr>
              <w:pStyle w:val="74"/>
              <w:rPr>
                <w:color w:val="auto"/>
              </w:rPr>
            </w:pPr>
            <w:r>
              <w:rPr>
                <w:rFonts w:ascii="宋体" w:hAnsi="宋体"/>
                <w:color w:val="auto"/>
              </w:rPr>
              <w:t>高级工程师</w:t>
            </w:r>
          </w:p>
        </w:tc>
        <w:tc>
          <w:tcPr>
            <w:tcW w:w="914" w:type="pct"/>
            <w:tcBorders>
              <w:top w:val="single" w:color="auto" w:sz="4" w:space="0"/>
              <w:left w:val="nil"/>
              <w:bottom w:val="single" w:color="auto" w:sz="4" w:space="0"/>
              <w:right w:val="single" w:color="auto" w:sz="4" w:space="0"/>
            </w:tcBorders>
          </w:tcPr>
          <w:p w14:paraId="57E767ED">
            <w:pPr>
              <w:pStyle w:val="74"/>
              <w:rPr>
                <w:color w:val="auto"/>
              </w:rPr>
            </w:pPr>
            <w:r>
              <w:rPr>
                <w:rFonts w:hint="eastAsia"/>
                <w:color w:val="auto"/>
                <w:szCs w:val="21"/>
              </w:rPr>
              <w:t xml:space="preserve">（2015）1103417 </w:t>
            </w:r>
          </w:p>
        </w:tc>
        <w:tc>
          <w:tcPr>
            <w:tcW w:w="1204" w:type="pct"/>
            <w:tcBorders>
              <w:top w:val="single" w:color="auto" w:sz="4" w:space="0"/>
              <w:left w:val="nil"/>
              <w:bottom w:val="single" w:color="auto" w:sz="4" w:space="0"/>
              <w:right w:val="single" w:color="auto" w:sz="4" w:space="0"/>
            </w:tcBorders>
          </w:tcPr>
          <w:p w14:paraId="638AC1AB">
            <w:pPr>
              <w:pStyle w:val="74"/>
              <w:rPr>
                <w:color w:val="auto"/>
              </w:rPr>
            </w:pPr>
            <w:r>
              <w:rPr>
                <w:rFonts w:hint="eastAsia"/>
                <w:color w:val="auto"/>
                <w:szCs w:val="21"/>
              </w:rPr>
              <w:t xml:space="preserve">建筑工程 </w:t>
            </w:r>
          </w:p>
        </w:tc>
        <w:tc>
          <w:tcPr>
            <w:tcW w:w="589" w:type="pct"/>
            <w:tcBorders>
              <w:top w:val="single" w:color="auto" w:sz="4" w:space="0"/>
              <w:left w:val="nil"/>
              <w:bottom w:val="single" w:color="auto" w:sz="4" w:space="0"/>
              <w:right w:val="single" w:color="auto" w:sz="4" w:space="0"/>
            </w:tcBorders>
            <w:vAlign w:val="center"/>
          </w:tcPr>
          <w:p w14:paraId="5D349D67">
            <w:pPr>
              <w:pStyle w:val="74"/>
              <w:rPr>
                <w:color w:val="auto"/>
              </w:rPr>
            </w:pPr>
            <w:r>
              <w:rPr>
                <w:rFonts w:hint="eastAsia"/>
                <w:color w:val="auto"/>
              </w:rPr>
              <w:t>本科</w:t>
            </w:r>
          </w:p>
        </w:tc>
      </w:tr>
      <w:tr w14:paraId="603877BF">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52C4449E">
            <w:pPr>
              <w:pStyle w:val="74"/>
              <w:rPr>
                <w:color w:val="auto"/>
              </w:rPr>
            </w:pPr>
            <w:r>
              <w:rPr>
                <w:rFonts w:hint="eastAsia"/>
                <w:color w:val="auto"/>
              </w:rPr>
              <w:t>商务总监</w:t>
            </w:r>
          </w:p>
        </w:tc>
        <w:tc>
          <w:tcPr>
            <w:tcW w:w="599" w:type="pct"/>
            <w:tcBorders>
              <w:top w:val="single" w:color="auto" w:sz="4" w:space="0"/>
              <w:left w:val="nil"/>
              <w:bottom w:val="single" w:color="auto" w:sz="4" w:space="0"/>
              <w:right w:val="single" w:color="auto" w:sz="4" w:space="0"/>
            </w:tcBorders>
            <w:vAlign w:val="center"/>
          </w:tcPr>
          <w:p w14:paraId="4E894FD8">
            <w:pPr>
              <w:pStyle w:val="74"/>
              <w:rPr>
                <w:color w:val="auto"/>
              </w:rPr>
            </w:pPr>
            <w:r>
              <w:rPr>
                <w:rFonts w:hint="eastAsia"/>
                <w:color w:val="auto"/>
              </w:rPr>
              <w:t>韩垣毅</w:t>
            </w:r>
          </w:p>
        </w:tc>
        <w:tc>
          <w:tcPr>
            <w:tcW w:w="864" w:type="pct"/>
            <w:tcBorders>
              <w:top w:val="single" w:color="auto" w:sz="4" w:space="0"/>
              <w:left w:val="nil"/>
              <w:bottom w:val="single" w:color="auto" w:sz="4" w:space="0"/>
              <w:right w:val="single" w:color="auto" w:sz="4" w:space="0"/>
            </w:tcBorders>
            <w:vAlign w:val="center"/>
          </w:tcPr>
          <w:p w14:paraId="04C8E145">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2976D8B4">
            <w:pPr>
              <w:pStyle w:val="74"/>
              <w:rPr>
                <w:color w:val="auto"/>
              </w:rPr>
            </w:pPr>
            <w:r>
              <w:rPr>
                <w:color w:val="auto"/>
              </w:rPr>
              <w:t>/</w:t>
            </w:r>
          </w:p>
        </w:tc>
        <w:tc>
          <w:tcPr>
            <w:tcW w:w="1204" w:type="pct"/>
            <w:tcBorders>
              <w:top w:val="single" w:color="auto" w:sz="4" w:space="0"/>
              <w:left w:val="nil"/>
              <w:bottom w:val="single" w:color="auto" w:sz="4" w:space="0"/>
              <w:right w:val="single" w:color="auto" w:sz="4" w:space="0"/>
            </w:tcBorders>
            <w:vAlign w:val="center"/>
          </w:tcPr>
          <w:p w14:paraId="4F64338D">
            <w:pPr>
              <w:pStyle w:val="74"/>
              <w:rPr>
                <w:color w:val="auto"/>
              </w:rPr>
            </w:pPr>
            <w:r>
              <w:rPr>
                <w:rFonts w:hint="eastAsia"/>
                <w:color w:val="auto"/>
              </w:rPr>
              <w:t>工程管理</w:t>
            </w:r>
          </w:p>
        </w:tc>
        <w:tc>
          <w:tcPr>
            <w:tcW w:w="589" w:type="pct"/>
            <w:tcBorders>
              <w:top w:val="single" w:color="auto" w:sz="4" w:space="0"/>
              <w:left w:val="nil"/>
              <w:bottom w:val="single" w:color="auto" w:sz="4" w:space="0"/>
              <w:right w:val="single" w:color="auto" w:sz="4" w:space="0"/>
            </w:tcBorders>
            <w:vAlign w:val="center"/>
          </w:tcPr>
          <w:p w14:paraId="521A90F9">
            <w:pPr>
              <w:pStyle w:val="74"/>
              <w:rPr>
                <w:color w:val="auto"/>
              </w:rPr>
            </w:pPr>
            <w:r>
              <w:rPr>
                <w:rFonts w:hint="eastAsia"/>
                <w:color w:val="auto"/>
              </w:rPr>
              <w:t>本科</w:t>
            </w:r>
          </w:p>
        </w:tc>
      </w:tr>
      <w:tr w14:paraId="0CDB89A1">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7156CBAD">
            <w:pPr>
              <w:pStyle w:val="74"/>
              <w:rPr>
                <w:color w:val="auto"/>
              </w:rPr>
            </w:pPr>
            <w:r>
              <w:rPr>
                <w:rFonts w:hint="eastAsia"/>
                <w:color w:val="auto"/>
              </w:rPr>
              <w:t>质量总监</w:t>
            </w:r>
          </w:p>
        </w:tc>
        <w:tc>
          <w:tcPr>
            <w:tcW w:w="599" w:type="pct"/>
            <w:tcBorders>
              <w:top w:val="single" w:color="auto" w:sz="4" w:space="0"/>
              <w:left w:val="nil"/>
              <w:bottom w:val="single" w:color="auto" w:sz="4" w:space="0"/>
              <w:right w:val="single" w:color="auto" w:sz="4" w:space="0"/>
            </w:tcBorders>
            <w:vAlign w:val="center"/>
          </w:tcPr>
          <w:p w14:paraId="29D09E44">
            <w:pPr>
              <w:pStyle w:val="74"/>
              <w:rPr>
                <w:rFonts w:cs="Calibri"/>
                <w:color w:val="auto"/>
                <w:szCs w:val="21"/>
              </w:rPr>
            </w:pPr>
            <w:r>
              <w:rPr>
                <w:rFonts w:ascii="宋体" w:hAnsi="宋体"/>
                <w:color w:val="auto"/>
              </w:rPr>
              <w:t>居华</w:t>
            </w:r>
            <w:r>
              <w:rPr>
                <w:color w:val="auto"/>
              </w:rPr>
              <w:t xml:space="preserve"> </w:t>
            </w:r>
          </w:p>
        </w:tc>
        <w:tc>
          <w:tcPr>
            <w:tcW w:w="864" w:type="pct"/>
            <w:tcBorders>
              <w:top w:val="single" w:color="auto" w:sz="4" w:space="0"/>
              <w:left w:val="nil"/>
              <w:bottom w:val="single" w:color="auto" w:sz="4" w:space="0"/>
              <w:right w:val="single" w:color="auto" w:sz="4" w:space="0"/>
            </w:tcBorders>
            <w:vAlign w:val="center"/>
          </w:tcPr>
          <w:p w14:paraId="43545844">
            <w:pPr>
              <w:pStyle w:val="74"/>
              <w:rPr>
                <w:rFonts w:cs="Calibri"/>
                <w:color w:val="auto"/>
                <w:szCs w:val="21"/>
              </w:rPr>
            </w:pPr>
            <w:r>
              <w:rPr>
                <w:rFonts w:ascii="宋体" w:hAnsi="宋体"/>
                <w:color w:val="auto"/>
              </w:rPr>
              <w:t>工程师</w:t>
            </w:r>
            <w:r>
              <w:rPr>
                <w:color w:val="auto"/>
              </w:rPr>
              <w:t xml:space="preserve"> </w:t>
            </w:r>
          </w:p>
        </w:tc>
        <w:tc>
          <w:tcPr>
            <w:tcW w:w="914" w:type="pct"/>
            <w:tcBorders>
              <w:top w:val="single" w:color="auto" w:sz="4" w:space="0"/>
              <w:left w:val="nil"/>
              <w:bottom w:val="single" w:color="auto" w:sz="4" w:space="0"/>
              <w:right w:val="single" w:color="auto" w:sz="4" w:space="0"/>
            </w:tcBorders>
          </w:tcPr>
          <w:p w14:paraId="15CB0013">
            <w:pPr>
              <w:pStyle w:val="74"/>
              <w:rPr>
                <w:color w:val="auto"/>
              </w:rPr>
            </w:pPr>
            <w:r>
              <w:rPr>
                <w:rFonts w:hint="eastAsia"/>
                <w:color w:val="auto"/>
                <w:szCs w:val="21"/>
              </w:rPr>
              <w:t xml:space="preserve">C1430352 </w:t>
            </w:r>
          </w:p>
        </w:tc>
        <w:tc>
          <w:tcPr>
            <w:tcW w:w="1204" w:type="pct"/>
            <w:tcBorders>
              <w:top w:val="single" w:color="auto" w:sz="4" w:space="0"/>
              <w:left w:val="nil"/>
              <w:bottom w:val="single" w:color="auto" w:sz="4" w:space="0"/>
              <w:right w:val="single" w:color="auto" w:sz="4" w:space="0"/>
            </w:tcBorders>
          </w:tcPr>
          <w:p w14:paraId="27CE8470">
            <w:pPr>
              <w:pStyle w:val="74"/>
              <w:rPr>
                <w:color w:val="auto"/>
              </w:rPr>
            </w:pPr>
            <w:r>
              <w:rPr>
                <w:rFonts w:hint="eastAsia"/>
                <w:color w:val="auto"/>
                <w:szCs w:val="21"/>
              </w:rPr>
              <w:t xml:space="preserve">工民建 </w:t>
            </w:r>
          </w:p>
        </w:tc>
        <w:tc>
          <w:tcPr>
            <w:tcW w:w="589" w:type="pct"/>
            <w:tcBorders>
              <w:top w:val="single" w:color="auto" w:sz="4" w:space="0"/>
              <w:left w:val="nil"/>
              <w:bottom w:val="single" w:color="auto" w:sz="4" w:space="0"/>
              <w:right w:val="single" w:color="auto" w:sz="4" w:space="0"/>
            </w:tcBorders>
            <w:vAlign w:val="center"/>
          </w:tcPr>
          <w:p w14:paraId="38BB849F">
            <w:pPr>
              <w:pStyle w:val="74"/>
              <w:rPr>
                <w:color w:val="auto"/>
              </w:rPr>
            </w:pPr>
            <w:r>
              <w:rPr>
                <w:rFonts w:hint="eastAsia"/>
                <w:color w:val="auto"/>
              </w:rPr>
              <w:t>本科</w:t>
            </w:r>
          </w:p>
        </w:tc>
      </w:tr>
      <w:tr w14:paraId="383C758F">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5D3B8C00">
            <w:pPr>
              <w:pStyle w:val="74"/>
              <w:rPr>
                <w:color w:val="auto"/>
              </w:rPr>
            </w:pPr>
            <w:r>
              <w:rPr>
                <w:rFonts w:hint="eastAsia"/>
                <w:color w:val="auto"/>
              </w:rPr>
              <w:t>安全总监</w:t>
            </w:r>
          </w:p>
        </w:tc>
        <w:tc>
          <w:tcPr>
            <w:tcW w:w="599" w:type="pct"/>
            <w:tcBorders>
              <w:top w:val="single" w:color="auto" w:sz="4" w:space="0"/>
              <w:left w:val="nil"/>
              <w:bottom w:val="single" w:color="auto" w:sz="4" w:space="0"/>
              <w:right w:val="single" w:color="auto" w:sz="4" w:space="0"/>
            </w:tcBorders>
            <w:vAlign w:val="center"/>
          </w:tcPr>
          <w:p w14:paraId="5076C3C6">
            <w:pPr>
              <w:pStyle w:val="74"/>
              <w:rPr>
                <w:rFonts w:cs="Calibri"/>
                <w:color w:val="auto"/>
                <w:szCs w:val="21"/>
              </w:rPr>
            </w:pPr>
            <w:r>
              <w:rPr>
                <w:rFonts w:ascii="宋体" w:hAnsi="宋体"/>
                <w:color w:val="auto"/>
              </w:rPr>
              <w:t>陈子勋</w:t>
            </w:r>
          </w:p>
        </w:tc>
        <w:tc>
          <w:tcPr>
            <w:tcW w:w="864" w:type="pct"/>
            <w:tcBorders>
              <w:top w:val="single" w:color="auto" w:sz="4" w:space="0"/>
              <w:left w:val="nil"/>
              <w:bottom w:val="single" w:color="auto" w:sz="4" w:space="0"/>
              <w:right w:val="single" w:color="auto" w:sz="4" w:space="0"/>
            </w:tcBorders>
            <w:vAlign w:val="center"/>
          </w:tcPr>
          <w:p w14:paraId="774172B8">
            <w:pPr>
              <w:pStyle w:val="74"/>
              <w:rPr>
                <w:color w:val="auto"/>
              </w:rPr>
            </w:pPr>
            <w:r>
              <w:rPr>
                <w:rFonts w:hint="eastAsia"/>
                <w:color w:val="auto"/>
              </w:rPr>
              <w:t>安全员证</w:t>
            </w:r>
          </w:p>
        </w:tc>
        <w:tc>
          <w:tcPr>
            <w:tcW w:w="914" w:type="pct"/>
            <w:tcBorders>
              <w:top w:val="single" w:color="auto" w:sz="4" w:space="0"/>
              <w:left w:val="nil"/>
              <w:bottom w:val="single" w:color="auto" w:sz="4" w:space="0"/>
              <w:right w:val="single" w:color="auto" w:sz="4" w:space="0"/>
            </w:tcBorders>
          </w:tcPr>
          <w:p w14:paraId="24DAFD59">
            <w:pPr>
              <w:pStyle w:val="74"/>
              <w:rPr>
                <w:color w:val="auto"/>
                <w:kern w:val="0"/>
                <w:szCs w:val="21"/>
              </w:rPr>
            </w:pPr>
            <w:r>
              <w:rPr>
                <w:rFonts w:hint="eastAsia"/>
                <w:color w:val="auto"/>
                <w:szCs w:val="21"/>
              </w:rPr>
              <w:t>鄂建安</w:t>
            </w:r>
          </w:p>
          <w:p w14:paraId="00360698">
            <w:pPr>
              <w:pStyle w:val="74"/>
              <w:rPr>
                <w:color w:val="auto"/>
              </w:rPr>
            </w:pPr>
            <w:r>
              <w:rPr>
                <w:rFonts w:hint="eastAsia"/>
                <w:color w:val="auto"/>
                <w:szCs w:val="21"/>
              </w:rPr>
              <w:t xml:space="preserve">C2(2019)0010132 </w:t>
            </w:r>
          </w:p>
        </w:tc>
        <w:tc>
          <w:tcPr>
            <w:tcW w:w="1204" w:type="pct"/>
            <w:tcBorders>
              <w:top w:val="single" w:color="auto" w:sz="4" w:space="0"/>
              <w:left w:val="nil"/>
              <w:bottom w:val="single" w:color="auto" w:sz="4" w:space="0"/>
              <w:right w:val="single" w:color="auto" w:sz="4" w:space="0"/>
            </w:tcBorders>
            <w:vAlign w:val="center"/>
          </w:tcPr>
          <w:p w14:paraId="33A79EBB">
            <w:pPr>
              <w:pStyle w:val="74"/>
              <w:rPr>
                <w:color w:val="auto"/>
              </w:rPr>
            </w:pPr>
            <w:r>
              <w:rPr>
                <w:rFonts w:hint="eastAsia"/>
                <w:color w:val="auto"/>
                <w:szCs w:val="21"/>
              </w:rPr>
              <w:t>工程管理</w:t>
            </w:r>
          </w:p>
        </w:tc>
        <w:tc>
          <w:tcPr>
            <w:tcW w:w="589" w:type="pct"/>
            <w:tcBorders>
              <w:top w:val="single" w:color="auto" w:sz="4" w:space="0"/>
              <w:left w:val="nil"/>
              <w:bottom w:val="single" w:color="auto" w:sz="4" w:space="0"/>
              <w:right w:val="single" w:color="auto" w:sz="4" w:space="0"/>
            </w:tcBorders>
            <w:vAlign w:val="center"/>
          </w:tcPr>
          <w:p w14:paraId="4081378A">
            <w:pPr>
              <w:pStyle w:val="74"/>
              <w:rPr>
                <w:color w:val="auto"/>
              </w:rPr>
            </w:pPr>
            <w:r>
              <w:rPr>
                <w:rFonts w:hint="eastAsia"/>
                <w:color w:val="auto"/>
              </w:rPr>
              <w:t>本科</w:t>
            </w:r>
          </w:p>
        </w:tc>
      </w:tr>
      <w:tr w14:paraId="7965C7A9">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0276D348">
            <w:pPr>
              <w:pStyle w:val="74"/>
              <w:rPr>
                <w:color w:val="auto"/>
              </w:rPr>
            </w:pPr>
            <w:r>
              <w:rPr>
                <w:rFonts w:hint="eastAsia"/>
                <w:color w:val="auto"/>
              </w:rPr>
              <w:t>设计总监</w:t>
            </w:r>
          </w:p>
        </w:tc>
        <w:tc>
          <w:tcPr>
            <w:tcW w:w="599" w:type="pct"/>
            <w:tcBorders>
              <w:top w:val="single" w:color="auto" w:sz="4" w:space="0"/>
              <w:left w:val="nil"/>
              <w:bottom w:val="single" w:color="auto" w:sz="4" w:space="0"/>
              <w:right w:val="single" w:color="auto" w:sz="4" w:space="0"/>
            </w:tcBorders>
            <w:vAlign w:val="center"/>
          </w:tcPr>
          <w:p w14:paraId="23942CF3">
            <w:pPr>
              <w:pStyle w:val="74"/>
              <w:rPr>
                <w:color w:val="auto"/>
              </w:rPr>
            </w:pPr>
            <w:r>
              <w:rPr>
                <w:rFonts w:hint="eastAsia"/>
                <w:color w:val="auto"/>
              </w:rPr>
              <w:t>符 昊</w:t>
            </w:r>
          </w:p>
        </w:tc>
        <w:tc>
          <w:tcPr>
            <w:tcW w:w="864" w:type="pct"/>
            <w:tcBorders>
              <w:top w:val="single" w:color="auto" w:sz="4" w:space="0"/>
              <w:left w:val="nil"/>
              <w:bottom w:val="single" w:color="auto" w:sz="4" w:space="0"/>
              <w:right w:val="single" w:color="auto" w:sz="4" w:space="0"/>
            </w:tcBorders>
            <w:vAlign w:val="center"/>
          </w:tcPr>
          <w:p w14:paraId="068D3E2D">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7396EAEF">
            <w:pPr>
              <w:pStyle w:val="74"/>
              <w:rPr>
                <w:color w:val="auto"/>
              </w:rPr>
            </w:pPr>
            <w:r>
              <w:rPr>
                <w:rFonts w:hint="eastAsia"/>
                <w:color w:val="auto"/>
              </w:rPr>
              <w:t>/</w:t>
            </w:r>
          </w:p>
        </w:tc>
        <w:tc>
          <w:tcPr>
            <w:tcW w:w="1204" w:type="pct"/>
            <w:tcBorders>
              <w:top w:val="single" w:color="auto" w:sz="4" w:space="0"/>
              <w:left w:val="nil"/>
              <w:bottom w:val="single" w:color="auto" w:sz="4" w:space="0"/>
              <w:right w:val="single" w:color="auto" w:sz="4" w:space="0"/>
            </w:tcBorders>
            <w:vAlign w:val="center"/>
          </w:tcPr>
          <w:p w14:paraId="7FBFC191">
            <w:pPr>
              <w:pStyle w:val="74"/>
              <w:rPr>
                <w:color w:val="auto"/>
              </w:rPr>
            </w:pPr>
            <w:r>
              <w:rPr>
                <w:rFonts w:hint="eastAsia"/>
                <w:color w:val="auto"/>
              </w:rPr>
              <w:t>建筑学</w:t>
            </w:r>
          </w:p>
        </w:tc>
        <w:tc>
          <w:tcPr>
            <w:tcW w:w="589" w:type="pct"/>
            <w:tcBorders>
              <w:top w:val="single" w:color="auto" w:sz="4" w:space="0"/>
              <w:left w:val="nil"/>
              <w:bottom w:val="single" w:color="auto" w:sz="4" w:space="0"/>
              <w:right w:val="single" w:color="auto" w:sz="4" w:space="0"/>
            </w:tcBorders>
            <w:vAlign w:val="center"/>
          </w:tcPr>
          <w:p w14:paraId="7A71C37F">
            <w:pPr>
              <w:pStyle w:val="74"/>
              <w:rPr>
                <w:color w:val="auto"/>
              </w:rPr>
            </w:pPr>
            <w:r>
              <w:rPr>
                <w:rFonts w:hint="eastAsia"/>
                <w:color w:val="auto"/>
              </w:rPr>
              <w:t>本科</w:t>
            </w:r>
          </w:p>
        </w:tc>
      </w:tr>
      <w:tr w14:paraId="75D8E7E6">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50A98738">
            <w:pPr>
              <w:pStyle w:val="74"/>
              <w:rPr>
                <w:color w:val="auto"/>
              </w:rPr>
            </w:pPr>
            <w:r>
              <w:rPr>
                <w:rFonts w:hint="eastAsia"/>
                <w:color w:val="auto"/>
              </w:rPr>
              <w:t>施工员</w:t>
            </w:r>
          </w:p>
        </w:tc>
        <w:tc>
          <w:tcPr>
            <w:tcW w:w="599" w:type="pct"/>
            <w:tcBorders>
              <w:top w:val="single" w:color="auto" w:sz="4" w:space="0"/>
              <w:left w:val="nil"/>
              <w:bottom w:val="single" w:color="auto" w:sz="4" w:space="0"/>
              <w:right w:val="single" w:color="auto" w:sz="4" w:space="0"/>
            </w:tcBorders>
            <w:vAlign w:val="center"/>
          </w:tcPr>
          <w:p w14:paraId="12B54DAE">
            <w:pPr>
              <w:pStyle w:val="74"/>
              <w:rPr>
                <w:color w:val="auto"/>
              </w:rPr>
            </w:pPr>
            <w:r>
              <w:rPr>
                <w:rFonts w:ascii="宋体" w:hAnsi="宋体"/>
                <w:color w:val="auto"/>
              </w:rPr>
              <w:t>娄能利</w:t>
            </w:r>
          </w:p>
        </w:tc>
        <w:tc>
          <w:tcPr>
            <w:tcW w:w="864" w:type="pct"/>
            <w:tcBorders>
              <w:top w:val="single" w:color="auto" w:sz="4" w:space="0"/>
              <w:left w:val="nil"/>
              <w:bottom w:val="single" w:color="auto" w:sz="4" w:space="0"/>
              <w:right w:val="single" w:color="auto" w:sz="4" w:space="0"/>
            </w:tcBorders>
            <w:vAlign w:val="center"/>
          </w:tcPr>
          <w:p w14:paraId="5071D9FC">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3AC48737">
            <w:pPr>
              <w:pStyle w:val="74"/>
              <w:rPr>
                <w:color w:val="auto"/>
              </w:rPr>
            </w:pPr>
            <w:r>
              <w:rPr>
                <w:color w:val="auto"/>
              </w:rPr>
              <w:t>/</w:t>
            </w:r>
          </w:p>
        </w:tc>
        <w:tc>
          <w:tcPr>
            <w:tcW w:w="1204" w:type="pct"/>
            <w:tcBorders>
              <w:top w:val="single" w:color="auto" w:sz="4" w:space="0"/>
              <w:left w:val="nil"/>
              <w:bottom w:val="single" w:color="auto" w:sz="4" w:space="0"/>
              <w:right w:val="single" w:color="auto" w:sz="4" w:space="0"/>
            </w:tcBorders>
            <w:vAlign w:val="center"/>
          </w:tcPr>
          <w:p w14:paraId="20842DB0">
            <w:pPr>
              <w:pStyle w:val="74"/>
              <w:rPr>
                <w:color w:val="auto"/>
              </w:rPr>
            </w:pPr>
            <w:r>
              <w:rPr>
                <w:rFonts w:ascii="宋体" w:hAnsi="宋体"/>
                <w:color w:val="auto"/>
              </w:rPr>
              <w:t>电气及其自动化</w:t>
            </w:r>
          </w:p>
        </w:tc>
        <w:tc>
          <w:tcPr>
            <w:tcW w:w="589" w:type="pct"/>
            <w:tcBorders>
              <w:top w:val="single" w:color="auto" w:sz="4" w:space="0"/>
              <w:left w:val="nil"/>
              <w:bottom w:val="single" w:color="auto" w:sz="4" w:space="0"/>
              <w:right w:val="single" w:color="auto" w:sz="4" w:space="0"/>
            </w:tcBorders>
            <w:vAlign w:val="center"/>
          </w:tcPr>
          <w:p w14:paraId="09D97136">
            <w:pPr>
              <w:pStyle w:val="74"/>
              <w:rPr>
                <w:color w:val="auto"/>
              </w:rPr>
            </w:pPr>
            <w:r>
              <w:rPr>
                <w:rFonts w:hint="eastAsia"/>
                <w:color w:val="auto"/>
              </w:rPr>
              <w:t>本科</w:t>
            </w:r>
          </w:p>
        </w:tc>
      </w:tr>
      <w:tr w14:paraId="1D096338">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1D45671B">
            <w:pPr>
              <w:pStyle w:val="74"/>
              <w:rPr>
                <w:color w:val="auto"/>
              </w:rPr>
            </w:pPr>
            <w:r>
              <w:rPr>
                <w:rFonts w:hint="eastAsia"/>
                <w:color w:val="auto"/>
              </w:rPr>
              <w:t>施工员</w:t>
            </w:r>
          </w:p>
        </w:tc>
        <w:tc>
          <w:tcPr>
            <w:tcW w:w="599" w:type="pct"/>
            <w:tcBorders>
              <w:top w:val="single" w:color="auto" w:sz="4" w:space="0"/>
              <w:left w:val="nil"/>
              <w:bottom w:val="single" w:color="auto" w:sz="4" w:space="0"/>
              <w:right w:val="single" w:color="auto" w:sz="4" w:space="0"/>
            </w:tcBorders>
            <w:vAlign w:val="center"/>
          </w:tcPr>
          <w:p w14:paraId="0A9136BA">
            <w:pPr>
              <w:pStyle w:val="74"/>
              <w:rPr>
                <w:color w:val="auto"/>
              </w:rPr>
            </w:pPr>
            <w:r>
              <w:rPr>
                <w:rFonts w:ascii="宋体" w:hAnsi="宋体"/>
                <w:color w:val="auto"/>
              </w:rPr>
              <w:t>乔金玉</w:t>
            </w:r>
          </w:p>
        </w:tc>
        <w:tc>
          <w:tcPr>
            <w:tcW w:w="864" w:type="pct"/>
            <w:tcBorders>
              <w:top w:val="single" w:color="auto" w:sz="4" w:space="0"/>
              <w:left w:val="nil"/>
              <w:bottom w:val="single" w:color="auto" w:sz="4" w:space="0"/>
              <w:right w:val="single" w:color="auto" w:sz="4" w:space="0"/>
            </w:tcBorders>
            <w:vAlign w:val="center"/>
          </w:tcPr>
          <w:p w14:paraId="7FED2EB8">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49264F0A">
            <w:pPr>
              <w:pStyle w:val="74"/>
              <w:rPr>
                <w:rFonts w:cs="Calibri"/>
                <w:color w:val="auto"/>
                <w:szCs w:val="21"/>
              </w:rPr>
            </w:pPr>
            <w:r>
              <w:rPr>
                <w:color w:val="auto"/>
              </w:rPr>
              <w:t>A1732695</w:t>
            </w:r>
          </w:p>
          <w:p w14:paraId="5DB318C2">
            <w:pPr>
              <w:pStyle w:val="74"/>
              <w:rPr>
                <w:color w:val="auto"/>
              </w:rPr>
            </w:pPr>
          </w:p>
        </w:tc>
        <w:tc>
          <w:tcPr>
            <w:tcW w:w="1204" w:type="pct"/>
            <w:tcBorders>
              <w:top w:val="single" w:color="auto" w:sz="4" w:space="0"/>
              <w:left w:val="nil"/>
              <w:bottom w:val="single" w:color="auto" w:sz="4" w:space="0"/>
              <w:right w:val="single" w:color="auto" w:sz="4" w:space="0"/>
            </w:tcBorders>
            <w:vAlign w:val="center"/>
          </w:tcPr>
          <w:p w14:paraId="3AC9BA6C">
            <w:pPr>
              <w:pStyle w:val="74"/>
              <w:rPr>
                <w:color w:val="auto"/>
              </w:rPr>
            </w:pPr>
            <w:r>
              <w:rPr>
                <w:rFonts w:ascii="宋体" w:hAnsi="宋体"/>
                <w:color w:val="auto"/>
              </w:rPr>
              <w:t>工业与民用建筑</w:t>
            </w:r>
          </w:p>
        </w:tc>
        <w:tc>
          <w:tcPr>
            <w:tcW w:w="589" w:type="pct"/>
            <w:tcBorders>
              <w:top w:val="single" w:color="auto" w:sz="4" w:space="0"/>
              <w:left w:val="nil"/>
              <w:bottom w:val="single" w:color="auto" w:sz="4" w:space="0"/>
              <w:right w:val="single" w:color="auto" w:sz="4" w:space="0"/>
            </w:tcBorders>
            <w:vAlign w:val="center"/>
          </w:tcPr>
          <w:p w14:paraId="680182F2">
            <w:pPr>
              <w:pStyle w:val="74"/>
              <w:rPr>
                <w:color w:val="auto"/>
              </w:rPr>
            </w:pPr>
            <w:r>
              <w:rPr>
                <w:rFonts w:hint="eastAsia"/>
                <w:color w:val="auto"/>
              </w:rPr>
              <w:t>本科</w:t>
            </w:r>
          </w:p>
        </w:tc>
      </w:tr>
      <w:tr w14:paraId="43AA2858">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0C302500">
            <w:pPr>
              <w:pStyle w:val="74"/>
              <w:rPr>
                <w:color w:val="auto"/>
              </w:rPr>
            </w:pPr>
            <w:r>
              <w:rPr>
                <w:rFonts w:hint="eastAsia"/>
                <w:color w:val="auto"/>
              </w:rPr>
              <w:t>劳务管理员</w:t>
            </w:r>
          </w:p>
        </w:tc>
        <w:tc>
          <w:tcPr>
            <w:tcW w:w="599" w:type="pct"/>
            <w:tcBorders>
              <w:top w:val="single" w:color="auto" w:sz="4" w:space="0"/>
              <w:left w:val="nil"/>
              <w:bottom w:val="single" w:color="auto" w:sz="4" w:space="0"/>
              <w:right w:val="single" w:color="auto" w:sz="4" w:space="0"/>
            </w:tcBorders>
            <w:vAlign w:val="center"/>
          </w:tcPr>
          <w:p w14:paraId="2E0839AF">
            <w:pPr>
              <w:pStyle w:val="74"/>
              <w:rPr>
                <w:color w:val="auto"/>
              </w:rPr>
            </w:pPr>
            <w:r>
              <w:rPr>
                <w:rFonts w:hint="eastAsia"/>
                <w:color w:val="auto"/>
              </w:rPr>
              <w:t>符 雯</w:t>
            </w:r>
          </w:p>
        </w:tc>
        <w:tc>
          <w:tcPr>
            <w:tcW w:w="864" w:type="pct"/>
            <w:tcBorders>
              <w:top w:val="single" w:color="auto" w:sz="4" w:space="0"/>
              <w:left w:val="nil"/>
              <w:bottom w:val="single" w:color="auto" w:sz="4" w:space="0"/>
              <w:right w:val="single" w:color="auto" w:sz="4" w:space="0"/>
            </w:tcBorders>
            <w:vAlign w:val="center"/>
          </w:tcPr>
          <w:p w14:paraId="0C99A965">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7E0451B8">
            <w:pPr>
              <w:pStyle w:val="74"/>
              <w:rPr>
                <w:color w:val="auto"/>
              </w:rPr>
            </w:pPr>
            <w:r>
              <w:rPr>
                <w:rFonts w:hint="eastAsia"/>
                <w:color w:val="auto"/>
              </w:rPr>
              <w:t>/</w:t>
            </w:r>
          </w:p>
        </w:tc>
        <w:tc>
          <w:tcPr>
            <w:tcW w:w="1204" w:type="pct"/>
            <w:tcBorders>
              <w:top w:val="single" w:color="auto" w:sz="4" w:space="0"/>
              <w:left w:val="nil"/>
              <w:bottom w:val="single" w:color="auto" w:sz="4" w:space="0"/>
              <w:right w:val="single" w:color="auto" w:sz="4" w:space="0"/>
            </w:tcBorders>
            <w:vAlign w:val="center"/>
          </w:tcPr>
          <w:p w14:paraId="06BFEB5F">
            <w:pPr>
              <w:pStyle w:val="74"/>
              <w:rPr>
                <w:color w:val="auto"/>
              </w:rPr>
            </w:pPr>
            <w:r>
              <w:rPr>
                <w:rFonts w:hint="eastAsia"/>
                <w:color w:val="auto"/>
              </w:rPr>
              <w:t>遥感科学与技术</w:t>
            </w:r>
          </w:p>
        </w:tc>
        <w:tc>
          <w:tcPr>
            <w:tcW w:w="589" w:type="pct"/>
            <w:tcBorders>
              <w:top w:val="single" w:color="auto" w:sz="4" w:space="0"/>
              <w:left w:val="nil"/>
              <w:bottom w:val="single" w:color="auto" w:sz="4" w:space="0"/>
              <w:right w:val="single" w:color="auto" w:sz="4" w:space="0"/>
            </w:tcBorders>
            <w:vAlign w:val="center"/>
          </w:tcPr>
          <w:p w14:paraId="0BB541CE">
            <w:pPr>
              <w:pStyle w:val="74"/>
              <w:rPr>
                <w:color w:val="auto"/>
              </w:rPr>
            </w:pPr>
            <w:r>
              <w:rPr>
                <w:rFonts w:hint="eastAsia"/>
                <w:color w:val="auto"/>
              </w:rPr>
              <w:t>本科</w:t>
            </w:r>
          </w:p>
        </w:tc>
      </w:tr>
      <w:tr w14:paraId="1ECDF8A0">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71DA8DC2">
            <w:pPr>
              <w:pStyle w:val="74"/>
              <w:rPr>
                <w:color w:val="auto"/>
              </w:rPr>
            </w:pPr>
            <w:r>
              <w:rPr>
                <w:rFonts w:hint="eastAsia"/>
                <w:color w:val="auto"/>
              </w:rPr>
              <w:t>测量员</w:t>
            </w:r>
          </w:p>
        </w:tc>
        <w:tc>
          <w:tcPr>
            <w:tcW w:w="599" w:type="pct"/>
            <w:tcBorders>
              <w:top w:val="single" w:color="auto" w:sz="4" w:space="0"/>
              <w:left w:val="nil"/>
              <w:bottom w:val="single" w:color="auto" w:sz="4" w:space="0"/>
              <w:right w:val="single" w:color="auto" w:sz="4" w:space="0"/>
            </w:tcBorders>
            <w:vAlign w:val="center"/>
          </w:tcPr>
          <w:p w14:paraId="687D4ADA">
            <w:pPr>
              <w:pStyle w:val="74"/>
              <w:rPr>
                <w:color w:val="auto"/>
              </w:rPr>
            </w:pPr>
            <w:r>
              <w:rPr>
                <w:rFonts w:hint="eastAsia"/>
                <w:color w:val="auto"/>
              </w:rPr>
              <w:t>杨研生</w:t>
            </w:r>
          </w:p>
        </w:tc>
        <w:tc>
          <w:tcPr>
            <w:tcW w:w="864" w:type="pct"/>
            <w:tcBorders>
              <w:top w:val="single" w:color="auto" w:sz="4" w:space="0"/>
              <w:left w:val="nil"/>
              <w:bottom w:val="single" w:color="auto" w:sz="4" w:space="0"/>
              <w:right w:val="single" w:color="auto" w:sz="4" w:space="0"/>
            </w:tcBorders>
            <w:vAlign w:val="center"/>
          </w:tcPr>
          <w:p w14:paraId="29AD854F">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00DFE1B3">
            <w:pPr>
              <w:pStyle w:val="74"/>
              <w:rPr>
                <w:color w:val="auto"/>
              </w:rPr>
            </w:pPr>
            <w:r>
              <w:rPr>
                <w:color w:val="auto"/>
              </w:rPr>
              <w:t>/</w:t>
            </w:r>
          </w:p>
        </w:tc>
        <w:tc>
          <w:tcPr>
            <w:tcW w:w="1204" w:type="pct"/>
            <w:tcBorders>
              <w:top w:val="single" w:color="auto" w:sz="4" w:space="0"/>
              <w:left w:val="nil"/>
              <w:bottom w:val="single" w:color="auto" w:sz="4" w:space="0"/>
              <w:right w:val="single" w:color="auto" w:sz="4" w:space="0"/>
            </w:tcBorders>
            <w:vAlign w:val="center"/>
          </w:tcPr>
          <w:p w14:paraId="27E233C5">
            <w:pPr>
              <w:pStyle w:val="74"/>
              <w:rPr>
                <w:color w:val="auto"/>
              </w:rPr>
            </w:pPr>
            <w:r>
              <w:rPr>
                <w:rFonts w:hint="eastAsia"/>
                <w:color w:val="auto"/>
              </w:rPr>
              <w:t>测绘工程</w:t>
            </w:r>
          </w:p>
        </w:tc>
        <w:tc>
          <w:tcPr>
            <w:tcW w:w="589" w:type="pct"/>
            <w:tcBorders>
              <w:top w:val="single" w:color="auto" w:sz="4" w:space="0"/>
              <w:left w:val="nil"/>
              <w:bottom w:val="single" w:color="auto" w:sz="4" w:space="0"/>
              <w:right w:val="single" w:color="auto" w:sz="4" w:space="0"/>
            </w:tcBorders>
            <w:vAlign w:val="center"/>
          </w:tcPr>
          <w:p w14:paraId="2BE8D8B2">
            <w:pPr>
              <w:pStyle w:val="74"/>
              <w:rPr>
                <w:color w:val="auto"/>
              </w:rPr>
            </w:pPr>
            <w:r>
              <w:rPr>
                <w:rFonts w:hint="eastAsia"/>
                <w:color w:val="auto"/>
              </w:rPr>
              <w:t>本科</w:t>
            </w:r>
          </w:p>
        </w:tc>
      </w:tr>
      <w:tr w14:paraId="09282C1A">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5EC7C6B0">
            <w:pPr>
              <w:pStyle w:val="74"/>
              <w:rPr>
                <w:color w:val="auto"/>
              </w:rPr>
            </w:pPr>
            <w:r>
              <w:rPr>
                <w:rFonts w:hint="eastAsia"/>
                <w:color w:val="auto"/>
              </w:rPr>
              <w:t>机电施工员</w:t>
            </w:r>
          </w:p>
        </w:tc>
        <w:tc>
          <w:tcPr>
            <w:tcW w:w="599" w:type="pct"/>
            <w:tcBorders>
              <w:top w:val="single" w:color="auto" w:sz="4" w:space="0"/>
              <w:left w:val="nil"/>
              <w:bottom w:val="single" w:color="auto" w:sz="4" w:space="0"/>
              <w:right w:val="single" w:color="auto" w:sz="4" w:space="0"/>
            </w:tcBorders>
            <w:vAlign w:val="center"/>
          </w:tcPr>
          <w:p w14:paraId="311E24BE">
            <w:pPr>
              <w:pStyle w:val="74"/>
              <w:rPr>
                <w:color w:val="auto"/>
              </w:rPr>
            </w:pPr>
            <w:r>
              <w:rPr>
                <w:rFonts w:hint="eastAsia"/>
                <w:color w:val="auto"/>
              </w:rPr>
              <w:t>彭咏齐</w:t>
            </w:r>
          </w:p>
        </w:tc>
        <w:tc>
          <w:tcPr>
            <w:tcW w:w="864" w:type="pct"/>
            <w:tcBorders>
              <w:top w:val="single" w:color="auto" w:sz="4" w:space="0"/>
              <w:left w:val="nil"/>
              <w:bottom w:val="single" w:color="auto" w:sz="4" w:space="0"/>
              <w:right w:val="single" w:color="auto" w:sz="4" w:space="0"/>
            </w:tcBorders>
            <w:vAlign w:val="center"/>
          </w:tcPr>
          <w:p w14:paraId="6C74643D">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4836627C">
            <w:pPr>
              <w:pStyle w:val="74"/>
              <w:rPr>
                <w:color w:val="auto"/>
              </w:rPr>
            </w:pPr>
            <w:r>
              <w:rPr>
                <w:color w:val="auto"/>
              </w:rPr>
              <w:t>/</w:t>
            </w:r>
          </w:p>
        </w:tc>
        <w:tc>
          <w:tcPr>
            <w:tcW w:w="1204" w:type="pct"/>
            <w:tcBorders>
              <w:top w:val="single" w:color="auto" w:sz="4" w:space="0"/>
              <w:left w:val="nil"/>
              <w:bottom w:val="single" w:color="auto" w:sz="4" w:space="0"/>
              <w:right w:val="single" w:color="auto" w:sz="4" w:space="0"/>
            </w:tcBorders>
            <w:vAlign w:val="center"/>
          </w:tcPr>
          <w:p w14:paraId="696CFF4B">
            <w:pPr>
              <w:pStyle w:val="74"/>
              <w:rPr>
                <w:color w:val="auto"/>
              </w:rPr>
            </w:pPr>
            <w:r>
              <w:rPr>
                <w:rFonts w:hint="eastAsia"/>
                <w:color w:val="auto"/>
              </w:rPr>
              <w:t>机电一体化</w:t>
            </w:r>
          </w:p>
        </w:tc>
        <w:tc>
          <w:tcPr>
            <w:tcW w:w="589" w:type="pct"/>
            <w:tcBorders>
              <w:top w:val="single" w:color="auto" w:sz="4" w:space="0"/>
              <w:left w:val="nil"/>
              <w:bottom w:val="single" w:color="auto" w:sz="4" w:space="0"/>
              <w:right w:val="single" w:color="auto" w:sz="4" w:space="0"/>
            </w:tcBorders>
            <w:vAlign w:val="center"/>
          </w:tcPr>
          <w:p w14:paraId="158ACEB1">
            <w:pPr>
              <w:pStyle w:val="74"/>
              <w:rPr>
                <w:color w:val="auto"/>
              </w:rPr>
            </w:pPr>
            <w:r>
              <w:rPr>
                <w:rFonts w:hint="eastAsia"/>
                <w:color w:val="auto"/>
              </w:rPr>
              <w:t>本科</w:t>
            </w:r>
          </w:p>
        </w:tc>
      </w:tr>
      <w:tr w14:paraId="0EBD36AB">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6530A614">
            <w:pPr>
              <w:pStyle w:val="74"/>
              <w:rPr>
                <w:color w:val="auto"/>
              </w:rPr>
            </w:pPr>
            <w:r>
              <w:rPr>
                <w:rFonts w:hint="eastAsia"/>
                <w:color w:val="auto"/>
              </w:rPr>
              <w:t>材料员</w:t>
            </w:r>
          </w:p>
        </w:tc>
        <w:tc>
          <w:tcPr>
            <w:tcW w:w="599" w:type="pct"/>
            <w:tcBorders>
              <w:top w:val="single" w:color="auto" w:sz="4" w:space="0"/>
              <w:left w:val="nil"/>
              <w:bottom w:val="single" w:color="auto" w:sz="4" w:space="0"/>
              <w:right w:val="single" w:color="auto" w:sz="4" w:space="0"/>
            </w:tcBorders>
            <w:vAlign w:val="center"/>
          </w:tcPr>
          <w:p w14:paraId="166035CB">
            <w:pPr>
              <w:pStyle w:val="74"/>
              <w:rPr>
                <w:color w:val="auto"/>
              </w:rPr>
            </w:pPr>
            <w:r>
              <w:rPr>
                <w:rFonts w:hint="eastAsia"/>
                <w:color w:val="auto"/>
              </w:rPr>
              <w:t>蒙思平</w:t>
            </w:r>
          </w:p>
        </w:tc>
        <w:tc>
          <w:tcPr>
            <w:tcW w:w="864" w:type="pct"/>
            <w:tcBorders>
              <w:top w:val="single" w:color="auto" w:sz="4" w:space="0"/>
              <w:left w:val="nil"/>
              <w:bottom w:val="single" w:color="auto" w:sz="4" w:space="0"/>
              <w:right w:val="single" w:color="auto" w:sz="4" w:space="0"/>
            </w:tcBorders>
            <w:vAlign w:val="center"/>
          </w:tcPr>
          <w:p w14:paraId="03FC6F23">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064042A6">
            <w:pPr>
              <w:pStyle w:val="74"/>
              <w:rPr>
                <w:color w:val="auto"/>
              </w:rPr>
            </w:pPr>
            <w:r>
              <w:rPr>
                <w:color w:val="auto"/>
              </w:rPr>
              <w:t>/</w:t>
            </w:r>
          </w:p>
        </w:tc>
        <w:tc>
          <w:tcPr>
            <w:tcW w:w="1204" w:type="pct"/>
            <w:tcBorders>
              <w:top w:val="single" w:color="auto" w:sz="4" w:space="0"/>
              <w:left w:val="nil"/>
              <w:bottom w:val="single" w:color="auto" w:sz="4" w:space="0"/>
              <w:right w:val="single" w:color="auto" w:sz="4" w:space="0"/>
            </w:tcBorders>
            <w:vAlign w:val="center"/>
          </w:tcPr>
          <w:p w14:paraId="6A497EDE">
            <w:pPr>
              <w:pStyle w:val="74"/>
              <w:rPr>
                <w:color w:val="auto"/>
              </w:rPr>
            </w:pPr>
            <w:r>
              <w:rPr>
                <w:rFonts w:hint="eastAsia"/>
                <w:color w:val="auto"/>
              </w:rPr>
              <w:t>建筑环境与设备工程</w:t>
            </w:r>
          </w:p>
        </w:tc>
        <w:tc>
          <w:tcPr>
            <w:tcW w:w="589" w:type="pct"/>
            <w:tcBorders>
              <w:top w:val="single" w:color="auto" w:sz="4" w:space="0"/>
              <w:left w:val="nil"/>
              <w:bottom w:val="single" w:color="auto" w:sz="4" w:space="0"/>
              <w:right w:val="single" w:color="auto" w:sz="4" w:space="0"/>
            </w:tcBorders>
            <w:vAlign w:val="center"/>
          </w:tcPr>
          <w:p w14:paraId="2094FD11">
            <w:pPr>
              <w:pStyle w:val="74"/>
              <w:rPr>
                <w:color w:val="auto"/>
              </w:rPr>
            </w:pPr>
            <w:r>
              <w:rPr>
                <w:rFonts w:hint="eastAsia"/>
                <w:color w:val="auto"/>
              </w:rPr>
              <w:t>本科</w:t>
            </w:r>
          </w:p>
        </w:tc>
      </w:tr>
      <w:tr w14:paraId="55F35CB9">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0BE6E829">
            <w:pPr>
              <w:pStyle w:val="74"/>
              <w:rPr>
                <w:color w:val="auto"/>
              </w:rPr>
            </w:pPr>
            <w:r>
              <w:rPr>
                <w:rFonts w:hint="eastAsia"/>
                <w:color w:val="auto"/>
              </w:rPr>
              <w:t>技术员</w:t>
            </w:r>
          </w:p>
        </w:tc>
        <w:tc>
          <w:tcPr>
            <w:tcW w:w="599" w:type="pct"/>
            <w:tcBorders>
              <w:top w:val="single" w:color="auto" w:sz="4" w:space="0"/>
              <w:left w:val="nil"/>
              <w:bottom w:val="single" w:color="auto" w:sz="4" w:space="0"/>
              <w:right w:val="single" w:color="auto" w:sz="4" w:space="0"/>
            </w:tcBorders>
            <w:vAlign w:val="center"/>
          </w:tcPr>
          <w:p w14:paraId="34651C8D">
            <w:pPr>
              <w:pStyle w:val="74"/>
              <w:rPr>
                <w:color w:val="auto"/>
              </w:rPr>
            </w:pPr>
            <w:r>
              <w:rPr>
                <w:color w:val="auto"/>
              </w:rPr>
              <w:t>陈冠光</w:t>
            </w:r>
          </w:p>
        </w:tc>
        <w:tc>
          <w:tcPr>
            <w:tcW w:w="864" w:type="pct"/>
            <w:tcBorders>
              <w:top w:val="single" w:color="auto" w:sz="4" w:space="0"/>
              <w:left w:val="nil"/>
              <w:bottom w:val="single" w:color="auto" w:sz="4" w:space="0"/>
              <w:right w:val="single" w:color="auto" w:sz="4" w:space="0"/>
            </w:tcBorders>
            <w:vAlign w:val="center"/>
          </w:tcPr>
          <w:p w14:paraId="260514C8">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2BFB020B">
            <w:pPr>
              <w:pStyle w:val="74"/>
              <w:rPr>
                <w:color w:val="auto"/>
              </w:rPr>
            </w:pPr>
            <w:r>
              <w:rPr>
                <w:color w:val="auto"/>
              </w:rPr>
              <w:t>/</w:t>
            </w:r>
          </w:p>
        </w:tc>
        <w:tc>
          <w:tcPr>
            <w:tcW w:w="1204" w:type="pct"/>
            <w:tcBorders>
              <w:top w:val="single" w:color="auto" w:sz="4" w:space="0"/>
              <w:left w:val="nil"/>
              <w:bottom w:val="single" w:color="auto" w:sz="4" w:space="0"/>
              <w:right w:val="single" w:color="auto" w:sz="4" w:space="0"/>
            </w:tcBorders>
            <w:vAlign w:val="center"/>
          </w:tcPr>
          <w:p w14:paraId="578A1B1D">
            <w:pPr>
              <w:pStyle w:val="74"/>
              <w:rPr>
                <w:color w:val="auto"/>
              </w:rPr>
            </w:pPr>
            <w:r>
              <w:rPr>
                <w:rFonts w:hint="eastAsia"/>
                <w:color w:val="auto"/>
              </w:rPr>
              <w:t>土木工程</w:t>
            </w:r>
          </w:p>
        </w:tc>
        <w:tc>
          <w:tcPr>
            <w:tcW w:w="589" w:type="pct"/>
            <w:tcBorders>
              <w:top w:val="single" w:color="auto" w:sz="4" w:space="0"/>
              <w:left w:val="nil"/>
              <w:bottom w:val="single" w:color="auto" w:sz="4" w:space="0"/>
              <w:right w:val="single" w:color="auto" w:sz="4" w:space="0"/>
            </w:tcBorders>
            <w:vAlign w:val="center"/>
          </w:tcPr>
          <w:p w14:paraId="683F0D6F">
            <w:pPr>
              <w:pStyle w:val="74"/>
              <w:rPr>
                <w:color w:val="auto"/>
              </w:rPr>
            </w:pPr>
            <w:r>
              <w:rPr>
                <w:rFonts w:hint="eastAsia"/>
                <w:color w:val="auto"/>
              </w:rPr>
              <w:t>本科</w:t>
            </w:r>
          </w:p>
        </w:tc>
      </w:tr>
      <w:tr w14:paraId="1A43DE7E">
        <w:tblPrEx>
          <w:tblCellMar>
            <w:top w:w="0" w:type="dxa"/>
            <w:left w:w="108" w:type="dxa"/>
            <w:bottom w:w="0" w:type="dxa"/>
            <w:right w:w="108" w:type="dxa"/>
          </w:tblCellMar>
        </w:tblPrEx>
        <w:trPr>
          <w:trHeight w:val="454" w:hRule="atLeast"/>
          <w:jc w:val="center"/>
        </w:trPr>
        <w:tc>
          <w:tcPr>
            <w:tcW w:w="830" w:type="pct"/>
            <w:tcBorders>
              <w:top w:val="single" w:color="auto" w:sz="4" w:space="0"/>
              <w:left w:val="single" w:color="auto" w:sz="4" w:space="0"/>
              <w:bottom w:val="single" w:color="auto" w:sz="4" w:space="0"/>
              <w:right w:val="single" w:color="auto" w:sz="4" w:space="0"/>
            </w:tcBorders>
            <w:vAlign w:val="center"/>
          </w:tcPr>
          <w:p w14:paraId="743919A5">
            <w:pPr>
              <w:pStyle w:val="74"/>
              <w:rPr>
                <w:color w:val="auto"/>
              </w:rPr>
            </w:pPr>
            <w:r>
              <w:rPr>
                <w:rFonts w:hint="eastAsia"/>
                <w:color w:val="auto"/>
              </w:rPr>
              <w:t>预算员</w:t>
            </w:r>
          </w:p>
        </w:tc>
        <w:tc>
          <w:tcPr>
            <w:tcW w:w="599" w:type="pct"/>
            <w:tcBorders>
              <w:top w:val="single" w:color="auto" w:sz="4" w:space="0"/>
              <w:left w:val="nil"/>
              <w:bottom w:val="single" w:color="auto" w:sz="4" w:space="0"/>
              <w:right w:val="single" w:color="auto" w:sz="4" w:space="0"/>
            </w:tcBorders>
            <w:vAlign w:val="center"/>
          </w:tcPr>
          <w:p w14:paraId="4D99B31F">
            <w:pPr>
              <w:pStyle w:val="74"/>
              <w:rPr>
                <w:color w:val="auto"/>
              </w:rPr>
            </w:pPr>
            <w:r>
              <w:rPr>
                <w:rFonts w:hint="eastAsia"/>
                <w:color w:val="auto"/>
              </w:rPr>
              <w:t>蔡雨婷</w:t>
            </w:r>
          </w:p>
        </w:tc>
        <w:tc>
          <w:tcPr>
            <w:tcW w:w="864" w:type="pct"/>
            <w:tcBorders>
              <w:top w:val="single" w:color="auto" w:sz="4" w:space="0"/>
              <w:left w:val="nil"/>
              <w:bottom w:val="single" w:color="auto" w:sz="4" w:space="0"/>
              <w:right w:val="single" w:color="auto" w:sz="4" w:space="0"/>
            </w:tcBorders>
            <w:vAlign w:val="center"/>
          </w:tcPr>
          <w:p w14:paraId="1C79808F">
            <w:pPr>
              <w:pStyle w:val="74"/>
              <w:rPr>
                <w:color w:val="auto"/>
              </w:rPr>
            </w:pPr>
            <w:r>
              <w:rPr>
                <w:rFonts w:hint="eastAsia"/>
                <w:color w:val="auto"/>
              </w:rPr>
              <w:t>岗位证</w:t>
            </w:r>
          </w:p>
        </w:tc>
        <w:tc>
          <w:tcPr>
            <w:tcW w:w="914" w:type="pct"/>
            <w:tcBorders>
              <w:top w:val="single" w:color="auto" w:sz="4" w:space="0"/>
              <w:left w:val="nil"/>
              <w:bottom w:val="single" w:color="auto" w:sz="4" w:space="0"/>
              <w:right w:val="single" w:color="auto" w:sz="4" w:space="0"/>
            </w:tcBorders>
            <w:vAlign w:val="center"/>
          </w:tcPr>
          <w:p w14:paraId="7C45AEAF">
            <w:pPr>
              <w:pStyle w:val="74"/>
              <w:rPr>
                <w:color w:val="auto"/>
              </w:rPr>
            </w:pPr>
            <w:r>
              <w:rPr>
                <w:rFonts w:hint="eastAsia"/>
                <w:color w:val="auto"/>
              </w:rPr>
              <w:t>/</w:t>
            </w:r>
          </w:p>
        </w:tc>
        <w:tc>
          <w:tcPr>
            <w:tcW w:w="1204" w:type="pct"/>
            <w:tcBorders>
              <w:top w:val="single" w:color="auto" w:sz="4" w:space="0"/>
              <w:left w:val="nil"/>
              <w:bottom w:val="single" w:color="auto" w:sz="4" w:space="0"/>
              <w:right w:val="single" w:color="auto" w:sz="4" w:space="0"/>
            </w:tcBorders>
            <w:vAlign w:val="center"/>
          </w:tcPr>
          <w:p w14:paraId="184B6D62">
            <w:pPr>
              <w:pStyle w:val="74"/>
              <w:rPr>
                <w:color w:val="auto"/>
              </w:rPr>
            </w:pPr>
            <w:r>
              <w:rPr>
                <w:rFonts w:hint="eastAsia"/>
                <w:color w:val="auto"/>
              </w:rPr>
              <w:t>土木工程</w:t>
            </w:r>
          </w:p>
        </w:tc>
        <w:tc>
          <w:tcPr>
            <w:tcW w:w="589" w:type="pct"/>
            <w:tcBorders>
              <w:top w:val="single" w:color="auto" w:sz="4" w:space="0"/>
              <w:left w:val="nil"/>
              <w:bottom w:val="single" w:color="auto" w:sz="4" w:space="0"/>
              <w:right w:val="single" w:color="auto" w:sz="4" w:space="0"/>
            </w:tcBorders>
            <w:vAlign w:val="center"/>
          </w:tcPr>
          <w:p w14:paraId="20AFFB2E">
            <w:pPr>
              <w:pStyle w:val="74"/>
              <w:rPr>
                <w:color w:val="auto"/>
              </w:rPr>
            </w:pPr>
            <w:r>
              <w:rPr>
                <w:rFonts w:hint="eastAsia"/>
                <w:color w:val="auto"/>
              </w:rPr>
              <w:t>本科</w:t>
            </w:r>
          </w:p>
        </w:tc>
      </w:tr>
    </w:tbl>
    <w:p w14:paraId="38BB45E4">
      <w:pPr>
        <w:pStyle w:val="6"/>
        <w:numPr>
          <w:ilvl w:val="3"/>
          <w:numId w:val="7"/>
        </w:numPr>
        <w:ind w:firstLine="480"/>
        <w:rPr>
          <w:color w:val="auto"/>
        </w:rPr>
      </w:pPr>
      <w:r>
        <w:rPr>
          <w:rFonts w:hint="eastAsia"/>
          <w:color w:val="auto"/>
        </w:rPr>
        <w:t>项目领导班子及岗位职责</w:t>
      </w:r>
    </w:p>
    <w:p w14:paraId="03750590">
      <w:pPr>
        <w:pStyle w:val="54"/>
        <w:rPr>
          <w:color w:val="auto"/>
        </w:rPr>
      </w:pPr>
      <w:r>
        <w:rPr>
          <w:rFonts w:hint="eastAsia"/>
          <w:color w:val="auto"/>
        </w:rPr>
        <w:t>部门职责一览表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2"/>
        <w:gridCol w:w="1297"/>
        <w:gridCol w:w="6909"/>
      </w:tblGrid>
      <w:tr w14:paraId="106DE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shd w:val="clear" w:color="auto" w:fill="00B0F0"/>
            <w:tcMar>
              <w:left w:w="57" w:type="dxa"/>
              <w:right w:w="57" w:type="dxa"/>
            </w:tcMar>
            <w:vAlign w:val="center"/>
          </w:tcPr>
          <w:p w14:paraId="3B630E99">
            <w:pPr>
              <w:pStyle w:val="69"/>
              <w:rPr>
                <w:rFonts w:hint="eastAsia"/>
                <w:color w:val="auto"/>
              </w:rPr>
            </w:pPr>
            <w:r>
              <w:rPr>
                <w:rFonts w:hint="eastAsia"/>
                <w:color w:val="auto"/>
              </w:rPr>
              <w:t>序号</w:t>
            </w:r>
          </w:p>
        </w:tc>
        <w:tc>
          <w:tcPr>
            <w:tcW w:w="724" w:type="pct"/>
            <w:tcBorders>
              <w:top w:val="single" w:color="auto" w:sz="4" w:space="0"/>
              <w:left w:val="single" w:color="auto" w:sz="4" w:space="0"/>
              <w:bottom w:val="single" w:color="auto" w:sz="4" w:space="0"/>
              <w:right w:val="single" w:color="auto" w:sz="4" w:space="0"/>
            </w:tcBorders>
            <w:shd w:val="clear" w:color="auto" w:fill="00B0F0"/>
            <w:tcMar>
              <w:top w:w="28" w:type="dxa"/>
              <w:left w:w="57" w:type="dxa"/>
              <w:bottom w:w="28" w:type="dxa"/>
              <w:right w:w="57" w:type="dxa"/>
            </w:tcMar>
            <w:vAlign w:val="center"/>
          </w:tcPr>
          <w:p w14:paraId="6233E0A4">
            <w:pPr>
              <w:pStyle w:val="69"/>
              <w:rPr>
                <w:rFonts w:hint="eastAsia"/>
                <w:color w:val="auto"/>
              </w:rPr>
            </w:pPr>
            <w:r>
              <w:rPr>
                <w:rFonts w:hint="eastAsia"/>
                <w:color w:val="auto"/>
              </w:rPr>
              <w:t>重要岗位</w:t>
            </w:r>
          </w:p>
        </w:tc>
        <w:tc>
          <w:tcPr>
            <w:tcW w:w="3856" w:type="pct"/>
            <w:tcBorders>
              <w:top w:val="single" w:color="auto" w:sz="4" w:space="0"/>
              <w:left w:val="single" w:color="auto" w:sz="4" w:space="0"/>
              <w:bottom w:val="single" w:color="auto" w:sz="4" w:space="0"/>
              <w:right w:val="single" w:color="auto" w:sz="4" w:space="0"/>
            </w:tcBorders>
            <w:shd w:val="clear" w:color="auto" w:fill="00B0F0"/>
            <w:tcMar>
              <w:left w:w="57" w:type="dxa"/>
              <w:right w:w="57" w:type="dxa"/>
            </w:tcMar>
            <w:vAlign w:val="center"/>
          </w:tcPr>
          <w:p w14:paraId="7B3DE458">
            <w:pPr>
              <w:pStyle w:val="69"/>
              <w:rPr>
                <w:rFonts w:hint="eastAsia"/>
                <w:color w:val="auto"/>
              </w:rPr>
            </w:pPr>
            <w:r>
              <w:rPr>
                <w:rFonts w:hint="eastAsia"/>
                <w:color w:val="auto"/>
              </w:rPr>
              <w:t>岗位权责</w:t>
            </w:r>
          </w:p>
        </w:tc>
      </w:tr>
      <w:tr w14:paraId="2C63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6402676D">
            <w:pPr>
              <w:pStyle w:val="69"/>
              <w:rPr>
                <w:rFonts w:hint="eastAsia"/>
                <w:color w:val="auto"/>
              </w:rPr>
            </w:pPr>
            <w:r>
              <w:rPr>
                <w:rFonts w:hint="eastAsia"/>
                <w:color w:val="auto"/>
              </w:rPr>
              <w:t>1</w:t>
            </w:r>
          </w:p>
        </w:tc>
        <w:tc>
          <w:tcPr>
            <w:tcW w:w="724" w:type="pct"/>
            <w:tcBorders>
              <w:top w:val="single" w:color="auto" w:sz="4" w:space="0"/>
              <w:left w:val="single" w:color="auto" w:sz="4" w:space="0"/>
              <w:bottom w:val="single" w:color="auto" w:sz="4" w:space="0"/>
              <w:right w:val="single" w:color="auto" w:sz="4" w:space="0"/>
            </w:tcBorders>
            <w:tcMar>
              <w:top w:w="28" w:type="dxa"/>
              <w:left w:w="57" w:type="dxa"/>
              <w:bottom w:w="28" w:type="dxa"/>
              <w:right w:w="57" w:type="dxa"/>
            </w:tcMar>
            <w:vAlign w:val="center"/>
          </w:tcPr>
          <w:p w14:paraId="4B46B4BC">
            <w:pPr>
              <w:pStyle w:val="69"/>
              <w:rPr>
                <w:rFonts w:hint="eastAsia"/>
                <w:color w:val="auto"/>
              </w:rPr>
            </w:pPr>
            <w:r>
              <w:rPr>
                <w:rFonts w:hint="eastAsia"/>
                <w:color w:val="auto"/>
              </w:rPr>
              <w:t>项目经理</w:t>
            </w:r>
          </w:p>
        </w:tc>
        <w:tc>
          <w:tcPr>
            <w:tcW w:w="3856"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2907EF7">
            <w:pPr>
              <w:pStyle w:val="67"/>
              <w:ind w:firstLine="420"/>
              <w:rPr>
                <w:rFonts w:hint="eastAsia"/>
                <w:color w:val="auto"/>
              </w:rPr>
            </w:pPr>
            <w:r>
              <w:rPr>
                <w:rFonts w:hint="eastAsia"/>
                <w:color w:val="auto"/>
              </w:rPr>
              <w:t>制定项目管理规章制度，明确项目部各部门和岗位职责，领导项目管理开展工作。</w:t>
            </w:r>
          </w:p>
        </w:tc>
      </w:tr>
      <w:tr w14:paraId="0A28C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0727B6F6">
            <w:pPr>
              <w:pStyle w:val="69"/>
              <w:rPr>
                <w:rFonts w:hint="eastAsia"/>
                <w:color w:val="auto"/>
              </w:rPr>
            </w:pPr>
            <w:r>
              <w:rPr>
                <w:rFonts w:hint="eastAsia"/>
                <w:color w:val="auto"/>
              </w:rPr>
              <w:t>2</w:t>
            </w:r>
          </w:p>
        </w:tc>
        <w:tc>
          <w:tcPr>
            <w:tcW w:w="724" w:type="pct"/>
            <w:tcBorders>
              <w:top w:val="single" w:color="auto" w:sz="4" w:space="0"/>
              <w:left w:val="single" w:color="auto" w:sz="4" w:space="0"/>
              <w:bottom w:val="single" w:color="auto" w:sz="4" w:space="0"/>
              <w:right w:val="single" w:color="auto" w:sz="4" w:space="0"/>
            </w:tcBorders>
            <w:tcMar>
              <w:top w:w="28" w:type="dxa"/>
              <w:left w:w="57" w:type="dxa"/>
              <w:bottom w:w="28" w:type="dxa"/>
              <w:right w:w="57" w:type="dxa"/>
            </w:tcMar>
            <w:vAlign w:val="center"/>
          </w:tcPr>
          <w:p w14:paraId="19A2BEA8">
            <w:pPr>
              <w:pStyle w:val="69"/>
              <w:rPr>
                <w:rFonts w:hint="eastAsia"/>
                <w:color w:val="auto"/>
              </w:rPr>
            </w:pPr>
            <w:r>
              <w:rPr>
                <w:rFonts w:hint="eastAsia"/>
                <w:color w:val="auto"/>
              </w:rPr>
              <w:t>项目副经理</w:t>
            </w:r>
          </w:p>
        </w:tc>
        <w:tc>
          <w:tcPr>
            <w:tcW w:w="3856"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378EADB">
            <w:pPr>
              <w:pStyle w:val="67"/>
              <w:ind w:firstLine="420"/>
              <w:rPr>
                <w:rFonts w:hint="eastAsia"/>
                <w:color w:val="auto"/>
              </w:rPr>
            </w:pPr>
            <w:r>
              <w:rPr>
                <w:rFonts w:hint="eastAsia"/>
                <w:color w:val="auto"/>
              </w:rPr>
              <w:t>1.主持编制项目管理方案，组织实施项目管理的目标与方针。批准各分专业分包单位实施方案与管理方案，并监督协调其实施行为。</w:t>
            </w:r>
          </w:p>
          <w:p w14:paraId="20D69366">
            <w:pPr>
              <w:pStyle w:val="67"/>
              <w:ind w:firstLine="420"/>
              <w:rPr>
                <w:rFonts w:hint="eastAsia"/>
                <w:color w:val="auto"/>
              </w:rPr>
            </w:pPr>
            <w:r>
              <w:rPr>
                <w:rFonts w:hint="eastAsia"/>
                <w:color w:val="auto"/>
              </w:rPr>
              <w:t>2.及时协调与分包之间的关系，组织召开与分包的各类协调会议，解决与分包之间的矛盾和问题。</w:t>
            </w:r>
          </w:p>
          <w:p w14:paraId="62E1809A">
            <w:pPr>
              <w:pStyle w:val="67"/>
              <w:ind w:firstLine="420"/>
              <w:rPr>
                <w:rFonts w:hint="eastAsia"/>
                <w:color w:val="auto"/>
              </w:rPr>
            </w:pPr>
            <w:r>
              <w:rPr>
                <w:rFonts w:hint="eastAsia"/>
                <w:color w:val="auto"/>
              </w:rPr>
              <w:t>3.与业主、监理保持经常接触，解决随时出现的各种问题。积极处理好与项目所在地政府部门及周边关系。</w:t>
            </w:r>
          </w:p>
          <w:p w14:paraId="000F77E7">
            <w:pPr>
              <w:pStyle w:val="67"/>
              <w:ind w:firstLine="420"/>
              <w:rPr>
                <w:rFonts w:hint="eastAsia"/>
                <w:color w:val="auto"/>
              </w:rPr>
            </w:pPr>
            <w:r>
              <w:rPr>
                <w:rFonts w:hint="eastAsia"/>
                <w:color w:val="auto"/>
              </w:rPr>
              <w:t>4.全面负责整个工程总承包的日常事务，对工程的质量、安全、进度、合约、资金等全面负责。</w:t>
            </w:r>
          </w:p>
          <w:p w14:paraId="6C77983B">
            <w:pPr>
              <w:pStyle w:val="67"/>
              <w:ind w:firstLine="420"/>
              <w:rPr>
                <w:rFonts w:hint="eastAsia"/>
                <w:color w:val="auto"/>
              </w:rPr>
            </w:pPr>
            <w:r>
              <w:rPr>
                <w:rFonts w:hint="eastAsia"/>
                <w:color w:val="auto"/>
              </w:rPr>
              <w:t>5.负责项目党工团建设和管理。</w:t>
            </w:r>
          </w:p>
          <w:p w14:paraId="4317FBEE">
            <w:pPr>
              <w:pStyle w:val="67"/>
              <w:ind w:firstLine="420"/>
              <w:rPr>
                <w:rFonts w:hint="eastAsia"/>
                <w:color w:val="auto"/>
              </w:rPr>
            </w:pPr>
            <w:r>
              <w:rPr>
                <w:rFonts w:hint="eastAsia"/>
                <w:color w:val="auto"/>
              </w:rPr>
              <w:t>6.负责项目后勤保障管理、劳资与CI管理、宣传接待、公共关系协调及信息化管理等。</w:t>
            </w:r>
          </w:p>
        </w:tc>
      </w:tr>
      <w:tr w14:paraId="05DD5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589B49D0">
            <w:pPr>
              <w:pStyle w:val="69"/>
              <w:rPr>
                <w:rFonts w:hint="eastAsia"/>
                <w:color w:val="auto"/>
              </w:rPr>
            </w:pPr>
            <w:r>
              <w:rPr>
                <w:rFonts w:hint="eastAsia"/>
                <w:color w:val="auto"/>
              </w:rPr>
              <w:t>3</w:t>
            </w:r>
          </w:p>
        </w:tc>
        <w:tc>
          <w:tcPr>
            <w:tcW w:w="724" w:type="pct"/>
            <w:tcBorders>
              <w:top w:val="single" w:color="auto" w:sz="4" w:space="0"/>
              <w:left w:val="single" w:color="auto" w:sz="4" w:space="0"/>
              <w:bottom w:val="single" w:color="auto" w:sz="4" w:space="0"/>
              <w:right w:val="single" w:color="auto" w:sz="4" w:space="0"/>
            </w:tcBorders>
            <w:tcMar>
              <w:top w:w="28" w:type="dxa"/>
              <w:left w:w="57" w:type="dxa"/>
              <w:bottom w:w="28" w:type="dxa"/>
              <w:right w:w="57" w:type="dxa"/>
            </w:tcMar>
            <w:vAlign w:val="center"/>
          </w:tcPr>
          <w:p w14:paraId="586B9856">
            <w:pPr>
              <w:pStyle w:val="69"/>
              <w:rPr>
                <w:rFonts w:hint="eastAsia"/>
                <w:color w:val="auto"/>
              </w:rPr>
            </w:pPr>
            <w:r>
              <w:rPr>
                <w:rFonts w:hint="eastAsia"/>
                <w:color w:val="auto"/>
              </w:rPr>
              <w:t>技术总工</w:t>
            </w:r>
          </w:p>
        </w:tc>
        <w:tc>
          <w:tcPr>
            <w:tcW w:w="3856"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32C00B09">
            <w:pPr>
              <w:pStyle w:val="67"/>
              <w:ind w:firstLine="420"/>
              <w:rPr>
                <w:rFonts w:hint="eastAsia"/>
                <w:color w:val="auto"/>
              </w:rPr>
            </w:pPr>
            <w:r>
              <w:rPr>
                <w:rFonts w:hint="eastAsia"/>
                <w:color w:val="auto"/>
              </w:rPr>
              <w:t>1、深化设计部和BIM与信息中心，负责总承包项目部的深化设计、技术及BIM与信息工作。</w:t>
            </w:r>
          </w:p>
          <w:p w14:paraId="0C743269">
            <w:pPr>
              <w:pStyle w:val="67"/>
              <w:ind w:firstLine="420"/>
              <w:rPr>
                <w:rFonts w:hint="eastAsia"/>
                <w:color w:val="auto"/>
              </w:rPr>
            </w:pPr>
            <w:r>
              <w:rPr>
                <w:rFonts w:hint="eastAsia"/>
                <w:color w:val="auto"/>
              </w:rPr>
              <w:t>2.审核各分包商的施工组织设计与施工方案，并协调各分包商之间的技术问题。</w:t>
            </w:r>
          </w:p>
          <w:p w14:paraId="60BEAD53">
            <w:pPr>
              <w:pStyle w:val="67"/>
              <w:ind w:firstLine="420"/>
              <w:rPr>
                <w:rFonts w:hint="eastAsia"/>
                <w:color w:val="auto"/>
              </w:rPr>
            </w:pPr>
            <w:r>
              <w:rPr>
                <w:rFonts w:hint="eastAsia"/>
                <w:color w:val="auto"/>
              </w:rPr>
              <w:t>3.与设计、监理保持经常沟通，保证设计、监理的要求与指令在各分包商中贯彻实施。</w:t>
            </w:r>
          </w:p>
          <w:p w14:paraId="0E0C386D">
            <w:pPr>
              <w:pStyle w:val="67"/>
              <w:ind w:firstLine="420"/>
              <w:rPr>
                <w:rFonts w:hint="eastAsia"/>
                <w:color w:val="auto"/>
              </w:rPr>
            </w:pPr>
            <w:r>
              <w:rPr>
                <w:rFonts w:hint="eastAsia"/>
                <w:color w:val="auto"/>
              </w:rPr>
              <w:t>4.组织对本项目的关键技术难题进行科技攻关，进行新工艺、新技术的研究，确保本项目顺利进行，以及及时组织技术人员解决工程施工中出现的技术问题。</w:t>
            </w:r>
          </w:p>
        </w:tc>
      </w:tr>
      <w:tr w14:paraId="74D6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75DD909">
            <w:pPr>
              <w:pStyle w:val="69"/>
              <w:rPr>
                <w:rFonts w:hint="eastAsia"/>
                <w:color w:val="auto"/>
              </w:rPr>
            </w:pPr>
            <w:r>
              <w:rPr>
                <w:rFonts w:hint="eastAsia"/>
                <w:color w:val="auto"/>
              </w:rPr>
              <w:t>4</w:t>
            </w:r>
          </w:p>
        </w:tc>
        <w:tc>
          <w:tcPr>
            <w:tcW w:w="724" w:type="pct"/>
            <w:tcBorders>
              <w:top w:val="single" w:color="auto" w:sz="4" w:space="0"/>
              <w:left w:val="single" w:color="auto" w:sz="4" w:space="0"/>
              <w:bottom w:val="single" w:color="auto" w:sz="4" w:space="0"/>
              <w:right w:val="single" w:color="auto" w:sz="4" w:space="0"/>
            </w:tcBorders>
            <w:tcMar>
              <w:top w:w="28" w:type="dxa"/>
              <w:left w:w="57" w:type="dxa"/>
              <w:bottom w:w="28" w:type="dxa"/>
              <w:right w:w="57" w:type="dxa"/>
            </w:tcMar>
            <w:vAlign w:val="center"/>
          </w:tcPr>
          <w:p w14:paraId="065BF48E">
            <w:pPr>
              <w:pStyle w:val="69"/>
              <w:rPr>
                <w:rFonts w:hint="eastAsia"/>
                <w:color w:val="auto"/>
              </w:rPr>
            </w:pPr>
            <w:r>
              <w:rPr>
                <w:rFonts w:hint="eastAsia"/>
                <w:color w:val="auto"/>
              </w:rPr>
              <w:t>安全总监</w:t>
            </w:r>
          </w:p>
        </w:tc>
        <w:tc>
          <w:tcPr>
            <w:tcW w:w="3856"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10C1AD9A">
            <w:pPr>
              <w:pStyle w:val="67"/>
              <w:ind w:firstLine="420"/>
              <w:rPr>
                <w:rFonts w:hint="eastAsia"/>
                <w:color w:val="auto"/>
              </w:rPr>
            </w:pPr>
            <w:r>
              <w:rPr>
                <w:color w:val="auto"/>
              </w:rPr>
              <w:t>1</w:t>
            </w:r>
            <w:r>
              <w:rPr>
                <w:rFonts w:hint="eastAsia"/>
                <w:color w:val="auto"/>
              </w:rPr>
              <w:t>、建立健全本项目的安全生产保证体系、监督体系、管理制度；</w:t>
            </w:r>
          </w:p>
          <w:p w14:paraId="712DA164">
            <w:pPr>
              <w:pStyle w:val="67"/>
              <w:ind w:firstLine="420"/>
              <w:rPr>
                <w:rFonts w:hint="eastAsia"/>
                <w:color w:val="auto"/>
              </w:rPr>
            </w:pPr>
            <w:r>
              <w:rPr>
                <w:color w:val="auto"/>
              </w:rPr>
              <w:t>2</w:t>
            </w:r>
            <w:r>
              <w:rPr>
                <w:rFonts w:hint="eastAsia"/>
                <w:color w:val="auto"/>
              </w:rPr>
              <w:t>、督促各职能部门履行安全生产职责;监督安全生产责任制及安全生产管理制度的落实和执行；</w:t>
            </w:r>
          </w:p>
          <w:p w14:paraId="7E957F39">
            <w:pPr>
              <w:pStyle w:val="67"/>
              <w:ind w:firstLine="420"/>
              <w:rPr>
                <w:rFonts w:hint="eastAsia"/>
                <w:color w:val="auto"/>
              </w:rPr>
            </w:pPr>
            <w:r>
              <w:rPr>
                <w:color w:val="auto"/>
              </w:rPr>
              <w:t>3</w:t>
            </w:r>
            <w:r>
              <w:rPr>
                <w:rFonts w:hint="eastAsia"/>
                <w:color w:val="auto"/>
              </w:rPr>
              <w:t>、组织、参与项目各项安全生产活动和定期、不定期安全检查工作。</w:t>
            </w:r>
          </w:p>
          <w:p w14:paraId="483E9E53">
            <w:pPr>
              <w:pStyle w:val="67"/>
              <w:ind w:firstLine="420"/>
              <w:rPr>
                <w:rFonts w:hint="eastAsia"/>
                <w:color w:val="auto"/>
              </w:rPr>
            </w:pPr>
            <w:r>
              <w:rPr>
                <w:color w:val="auto"/>
              </w:rPr>
              <w:t>4</w:t>
            </w:r>
            <w:r>
              <w:rPr>
                <w:rFonts w:hint="eastAsia"/>
                <w:color w:val="auto"/>
              </w:rPr>
              <w:t>、定期组织安全会议报告本单位安全生产情况，及时报告安全生产重大事项；</w:t>
            </w:r>
          </w:p>
          <w:p w14:paraId="254CB04B">
            <w:pPr>
              <w:pStyle w:val="67"/>
              <w:ind w:firstLine="420"/>
              <w:rPr>
                <w:rFonts w:hint="eastAsia"/>
                <w:color w:val="auto"/>
              </w:rPr>
            </w:pPr>
            <w:r>
              <w:rPr>
                <w:color w:val="auto"/>
              </w:rPr>
              <w:t>5</w:t>
            </w:r>
            <w:r>
              <w:rPr>
                <w:rFonts w:hint="eastAsia"/>
                <w:color w:val="auto"/>
              </w:rPr>
              <w:t>、督促安全员每天进行项目安全巡查，制止违章指挥和违章作业，做好安全生产日记；</w:t>
            </w:r>
          </w:p>
          <w:p w14:paraId="0A13F46E">
            <w:pPr>
              <w:pStyle w:val="67"/>
              <w:ind w:firstLine="420"/>
              <w:rPr>
                <w:rFonts w:hint="eastAsia"/>
                <w:color w:val="auto"/>
              </w:rPr>
            </w:pPr>
            <w:r>
              <w:rPr>
                <w:color w:val="auto"/>
              </w:rPr>
              <w:t>6</w:t>
            </w:r>
            <w:r>
              <w:rPr>
                <w:rFonts w:hint="eastAsia"/>
                <w:color w:val="auto"/>
              </w:rPr>
              <w:t>、开展事故隐患排查整改、危险源辨识、评估、监控、特种作业和特种设备的安全许可、劳动防护用品的发放使用、应急管理体系的建立运行和应急预案演练等环境、职业健康安全管理活动;</w:t>
            </w:r>
          </w:p>
          <w:p w14:paraId="3A94E8DE">
            <w:pPr>
              <w:pStyle w:val="67"/>
              <w:ind w:firstLine="420"/>
              <w:rPr>
                <w:rFonts w:hint="eastAsia"/>
                <w:color w:val="auto"/>
              </w:rPr>
            </w:pPr>
            <w:r>
              <w:rPr>
                <w:rFonts w:hint="eastAsia"/>
                <w:color w:val="auto"/>
              </w:rPr>
              <w:t>7、组织或参加安全事故的调查处理，监督处理决定的落实；</w:t>
            </w:r>
          </w:p>
          <w:p w14:paraId="7DB65C5E">
            <w:pPr>
              <w:pStyle w:val="67"/>
              <w:ind w:firstLine="420"/>
              <w:rPr>
                <w:rFonts w:hint="eastAsia"/>
                <w:color w:val="auto"/>
              </w:rPr>
            </w:pPr>
            <w:r>
              <w:rPr>
                <w:rFonts w:hint="eastAsia"/>
                <w:color w:val="auto"/>
              </w:rPr>
              <w:t>8、负责审定项目部安全费用投入计划，监督安全费用投入的有效实施;</w:t>
            </w:r>
          </w:p>
          <w:p w14:paraId="58028C8A">
            <w:pPr>
              <w:pStyle w:val="67"/>
              <w:ind w:firstLine="420"/>
              <w:rPr>
                <w:rFonts w:hint="eastAsia"/>
                <w:color w:val="auto"/>
              </w:rPr>
            </w:pPr>
            <w:r>
              <w:rPr>
                <w:color w:val="auto"/>
              </w:rPr>
              <w:t>9</w:t>
            </w:r>
            <w:r>
              <w:rPr>
                <w:rFonts w:hint="eastAsia"/>
                <w:color w:val="auto"/>
              </w:rPr>
              <w:t>、督促分包单位建立健全安全生产管理制度，包括安全责任制，安全检查制，安全教育制并定期或不定期的进行检查。</w:t>
            </w:r>
          </w:p>
        </w:tc>
      </w:tr>
      <w:tr w14:paraId="184C3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629A7889">
            <w:pPr>
              <w:pStyle w:val="69"/>
              <w:rPr>
                <w:rFonts w:hint="eastAsia"/>
                <w:color w:val="auto"/>
              </w:rPr>
            </w:pPr>
            <w:r>
              <w:rPr>
                <w:rFonts w:hint="eastAsia"/>
                <w:color w:val="auto"/>
              </w:rPr>
              <w:t>5</w:t>
            </w:r>
          </w:p>
        </w:tc>
        <w:tc>
          <w:tcPr>
            <w:tcW w:w="724" w:type="pct"/>
            <w:tcBorders>
              <w:top w:val="single" w:color="auto" w:sz="4" w:space="0"/>
              <w:left w:val="single" w:color="auto" w:sz="4" w:space="0"/>
              <w:bottom w:val="single" w:color="auto" w:sz="4" w:space="0"/>
              <w:right w:val="single" w:color="auto" w:sz="4" w:space="0"/>
            </w:tcBorders>
            <w:tcMar>
              <w:top w:w="28" w:type="dxa"/>
              <w:left w:w="57" w:type="dxa"/>
              <w:bottom w:w="28" w:type="dxa"/>
              <w:right w:w="57" w:type="dxa"/>
            </w:tcMar>
            <w:vAlign w:val="center"/>
          </w:tcPr>
          <w:p w14:paraId="5B0F1CF9">
            <w:pPr>
              <w:pStyle w:val="69"/>
              <w:rPr>
                <w:rFonts w:hint="eastAsia"/>
                <w:color w:val="auto"/>
              </w:rPr>
            </w:pPr>
            <w:r>
              <w:rPr>
                <w:rFonts w:hint="eastAsia"/>
                <w:color w:val="auto"/>
              </w:rPr>
              <w:t>质量总监</w:t>
            </w:r>
          </w:p>
        </w:tc>
        <w:tc>
          <w:tcPr>
            <w:tcW w:w="3856"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6DD76A4D">
            <w:pPr>
              <w:pStyle w:val="67"/>
              <w:ind w:firstLine="420"/>
              <w:rPr>
                <w:rFonts w:hint="eastAsia"/>
                <w:color w:val="auto"/>
              </w:rPr>
            </w:pPr>
            <w:r>
              <w:rPr>
                <w:color w:val="auto"/>
              </w:rPr>
              <w:t>1</w:t>
            </w:r>
            <w:r>
              <w:rPr>
                <w:rFonts w:hint="eastAsia"/>
                <w:color w:val="auto"/>
              </w:rPr>
              <w:t>、贯彻国家及地方的有关工程施工规范、工艺标准、质量标准，严格执行质量检验评审标准，行使质量否决权；</w:t>
            </w:r>
          </w:p>
          <w:p w14:paraId="7C15F0BF">
            <w:pPr>
              <w:pStyle w:val="67"/>
              <w:ind w:firstLine="420"/>
              <w:rPr>
                <w:rFonts w:hint="eastAsia"/>
                <w:color w:val="auto"/>
              </w:rPr>
            </w:pPr>
            <w:r>
              <w:rPr>
                <w:color w:val="auto"/>
              </w:rPr>
              <w:t>2</w:t>
            </w:r>
            <w:r>
              <w:rPr>
                <w:rFonts w:hint="eastAsia"/>
                <w:color w:val="auto"/>
              </w:rPr>
              <w:t>、参加定期和不定期质量检查，以及项目总工组织的质量联查，做好检查中的具体实测实量，做好检查记录，保证检查记录有检查部位、整改措施、整改人和整改时间，做好资料消项反馈；</w:t>
            </w:r>
          </w:p>
          <w:p w14:paraId="70C1DB6D">
            <w:pPr>
              <w:pStyle w:val="67"/>
              <w:ind w:firstLine="420"/>
              <w:rPr>
                <w:rFonts w:hint="eastAsia"/>
                <w:color w:val="auto"/>
              </w:rPr>
            </w:pPr>
            <w:r>
              <w:rPr>
                <w:color w:val="auto"/>
              </w:rPr>
              <w:t>3</w:t>
            </w:r>
            <w:r>
              <w:rPr>
                <w:rFonts w:hint="eastAsia"/>
                <w:color w:val="auto"/>
              </w:rPr>
              <w:t>、严格贯彻执行工程施工及验收规范、工程质量检验评定标准。监督“三工序”、“三检制”与“样板制”的等质量制度的落实，参与分部分项工程的质量评审和验收；掌握和督促检查质量责任制在各分包单位的落实情况，对于责任制落实不好的分包单位要及时纠正和反映，提出改进措施；</w:t>
            </w:r>
          </w:p>
          <w:p w14:paraId="580BD12B">
            <w:pPr>
              <w:pStyle w:val="67"/>
              <w:ind w:firstLine="420"/>
              <w:rPr>
                <w:rFonts w:hint="eastAsia"/>
                <w:color w:val="auto"/>
              </w:rPr>
            </w:pPr>
            <w:r>
              <w:rPr>
                <w:color w:val="auto"/>
              </w:rPr>
              <w:t>4</w:t>
            </w:r>
            <w:r>
              <w:rPr>
                <w:rFonts w:hint="eastAsia"/>
                <w:color w:val="auto"/>
              </w:rPr>
              <w:t>、参加定期综合检查，对分包单位施工质量进行检查、评分。6.真实填写每日质量工作日报,每天用“日检表”反映质量问题，对“日检表”查出的隐患，必须发整改通知。负责与主管领导联系处理较大的质量技术问题，超过整改时间未整改(同时无整改计划或整改计划不落实)，必须按规定罚款及签发强令整改通知；</w:t>
            </w:r>
          </w:p>
          <w:p w14:paraId="5864401A">
            <w:pPr>
              <w:pStyle w:val="67"/>
              <w:ind w:firstLine="420"/>
              <w:rPr>
                <w:rFonts w:hint="eastAsia"/>
                <w:color w:val="auto"/>
              </w:rPr>
            </w:pPr>
            <w:r>
              <w:rPr>
                <w:color w:val="auto"/>
              </w:rPr>
              <w:t>5</w:t>
            </w:r>
            <w:r>
              <w:rPr>
                <w:rFonts w:hint="eastAsia"/>
                <w:color w:val="auto"/>
              </w:rPr>
              <w:t>、根据质量管理目标，负责分解质量目标，编制项目《过程检验计划》，增加施工预控能力和过程中的检查，并结合实际情况，制定《质量通病预控措施》与《质量奖罚制度》；</w:t>
            </w:r>
          </w:p>
          <w:p w14:paraId="18FC0B5A">
            <w:pPr>
              <w:pStyle w:val="67"/>
              <w:ind w:firstLine="420"/>
              <w:rPr>
                <w:rFonts w:hint="eastAsia"/>
                <w:color w:val="auto"/>
              </w:rPr>
            </w:pPr>
            <w:r>
              <w:rPr>
                <w:color w:val="auto"/>
              </w:rPr>
              <w:t>6</w:t>
            </w:r>
            <w:r>
              <w:rPr>
                <w:rFonts w:hint="eastAsia"/>
                <w:color w:val="auto"/>
              </w:rPr>
              <w:t>、按规定和标准健全质量台账，评定单位工程质量，向项目经理提供质量动态管理情况。</w:t>
            </w:r>
          </w:p>
        </w:tc>
      </w:tr>
      <w:tr w14:paraId="5665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0"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3DE87A96">
            <w:pPr>
              <w:pStyle w:val="69"/>
              <w:rPr>
                <w:rFonts w:hint="eastAsia"/>
                <w:color w:val="auto"/>
              </w:rPr>
            </w:pPr>
            <w:r>
              <w:rPr>
                <w:rFonts w:hint="eastAsia"/>
                <w:color w:val="auto"/>
              </w:rPr>
              <w:t>6</w:t>
            </w:r>
          </w:p>
        </w:tc>
        <w:tc>
          <w:tcPr>
            <w:tcW w:w="724" w:type="pct"/>
            <w:tcBorders>
              <w:top w:val="single" w:color="auto" w:sz="4" w:space="0"/>
              <w:left w:val="single" w:color="auto" w:sz="4" w:space="0"/>
              <w:bottom w:val="single" w:color="auto" w:sz="4" w:space="0"/>
              <w:right w:val="single" w:color="auto" w:sz="4" w:space="0"/>
            </w:tcBorders>
            <w:tcMar>
              <w:top w:w="28" w:type="dxa"/>
              <w:left w:w="57" w:type="dxa"/>
              <w:bottom w:w="28" w:type="dxa"/>
              <w:right w:w="57" w:type="dxa"/>
            </w:tcMar>
            <w:vAlign w:val="center"/>
          </w:tcPr>
          <w:p w14:paraId="1AB3B0AD">
            <w:pPr>
              <w:pStyle w:val="69"/>
              <w:rPr>
                <w:rFonts w:hint="eastAsia"/>
                <w:color w:val="auto"/>
              </w:rPr>
            </w:pPr>
            <w:r>
              <w:rPr>
                <w:rFonts w:hint="eastAsia"/>
                <w:color w:val="auto"/>
              </w:rPr>
              <w:t>商务总监</w:t>
            </w:r>
          </w:p>
        </w:tc>
        <w:tc>
          <w:tcPr>
            <w:tcW w:w="3856" w:type="pct"/>
            <w:tcBorders>
              <w:top w:val="single" w:color="auto" w:sz="4" w:space="0"/>
              <w:left w:val="single" w:color="auto" w:sz="4" w:space="0"/>
              <w:bottom w:val="single" w:color="auto" w:sz="4" w:space="0"/>
              <w:right w:val="single" w:color="auto" w:sz="4" w:space="0"/>
            </w:tcBorders>
            <w:tcMar>
              <w:left w:w="57" w:type="dxa"/>
              <w:right w:w="57" w:type="dxa"/>
            </w:tcMar>
            <w:vAlign w:val="center"/>
          </w:tcPr>
          <w:p w14:paraId="7A8D8AB3">
            <w:pPr>
              <w:pStyle w:val="67"/>
              <w:ind w:firstLine="420"/>
              <w:rPr>
                <w:rFonts w:hint="eastAsia"/>
                <w:color w:val="auto"/>
              </w:rPr>
            </w:pPr>
            <w:r>
              <w:rPr>
                <w:rFonts w:hint="eastAsia"/>
                <w:color w:val="auto"/>
              </w:rPr>
              <w:t>1、参与业主合同谈判，认真研究与分析合同条款，降低风险；</w:t>
            </w:r>
          </w:p>
          <w:p w14:paraId="230EFB87">
            <w:pPr>
              <w:pStyle w:val="67"/>
              <w:ind w:firstLine="420"/>
              <w:rPr>
                <w:rFonts w:hint="eastAsia"/>
                <w:color w:val="auto"/>
              </w:rPr>
            </w:pPr>
            <w:r>
              <w:rPr>
                <w:rFonts w:hint="eastAsia"/>
                <w:color w:val="auto"/>
              </w:rPr>
              <w:t>2、组织编制分供和分承包合同，组织项目合同评审及交底工作；</w:t>
            </w:r>
          </w:p>
          <w:p w14:paraId="10D41F52">
            <w:pPr>
              <w:pStyle w:val="67"/>
              <w:ind w:firstLine="420"/>
              <w:rPr>
                <w:rFonts w:hint="eastAsia"/>
                <w:color w:val="auto"/>
              </w:rPr>
            </w:pPr>
            <w:r>
              <w:rPr>
                <w:rFonts w:hint="eastAsia"/>
                <w:color w:val="auto"/>
              </w:rPr>
              <w:t>3、牵头组织、积极推进分承包方和分供方招标工作，并按计划组织实施；</w:t>
            </w:r>
          </w:p>
          <w:p w14:paraId="34C245E3">
            <w:pPr>
              <w:pStyle w:val="67"/>
              <w:ind w:firstLine="420"/>
              <w:rPr>
                <w:rFonts w:hint="eastAsia"/>
                <w:color w:val="auto"/>
              </w:rPr>
            </w:pPr>
            <w:r>
              <w:rPr>
                <w:rFonts w:hint="eastAsia"/>
                <w:color w:val="auto"/>
              </w:rPr>
              <w:t>4、掌握施工动态，负责及时组织和办理索赔工作；</w:t>
            </w:r>
          </w:p>
          <w:p w14:paraId="1BFFD8AE">
            <w:pPr>
              <w:pStyle w:val="67"/>
              <w:ind w:firstLine="420"/>
              <w:rPr>
                <w:rFonts w:hint="eastAsia"/>
                <w:color w:val="auto"/>
              </w:rPr>
            </w:pPr>
            <w:r>
              <w:rPr>
                <w:rFonts w:hint="eastAsia"/>
                <w:color w:val="auto"/>
              </w:rPr>
              <w:t>5、负责编制项目预算制造成本实施计划并负责检查计划的落实，对执行情况及时反馈总结；</w:t>
            </w:r>
          </w:p>
          <w:p w14:paraId="41283C10">
            <w:pPr>
              <w:pStyle w:val="67"/>
              <w:ind w:firstLine="420"/>
              <w:rPr>
                <w:rFonts w:hint="eastAsia"/>
                <w:color w:val="auto"/>
              </w:rPr>
            </w:pPr>
            <w:r>
              <w:rPr>
                <w:rFonts w:hint="eastAsia"/>
                <w:color w:val="auto"/>
              </w:rPr>
              <w:t>6、负责期间成本分析及工程成本分析；</w:t>
            </w:r>
          </w:p>
          <w:p w14:paraId="3F951C23">
            <w:pPr>
              <w:pStyle w:val="67"/>
              <w:ind w:firstLine="420"/>
              <w:rPr>
                <w:rFonts w:hint="eastAsia"/>
                <w:color w:val="auto"/>
              </w:rPr>
            </w:pPr>
            <w:r>
              <w:rPr>
                <w:rFonts w:hint="eastAsia"/>
                <w:color w:val="auto"/>
              </w:rPr>
              <w:t>7、负责审定项目部编制的物资设备采购供应计划。</w:t>
            </w:r>
          </w:p>
        </w:tc>
      </w:tr>
    </w:tbl>
    <w:p w14:paraId="0490FDF2">
      <w:pPr>
        <w:pStyle w:val="6"/>
        <w:ind w:firstLine="480"/>
        <w:rPr>
          <w:color w:val="auto"/>
        </w:rPr>
      </w:pPr>
      <w:bookmarkStart w:id="75" w:name="_Toc41068056"/>
      <w:r>
        <w:rPr>
          <w:rFonts w:hint="eastAsia"/>
          <w:color w:val="auto"/>
        </w:rPr>
        <w:t>项目职能部门及岗位职责</w:t>
      </w:r>
      <w:bookmarkEnd w:id="75"/>
    </w:p>
    <w:p w14:paraId="496ADA78">
      <w:pPr>
        <w:ind w:firstLine="422"/>
        <w:jc w:val="center"/>
        <w:rPr>
          <w:b/>
          <w:bCs/>
          <w:color w:val="auto"/>
          <w:sz w:val="21"/>
          <w:szCs w:val="16"/>
        </w:rPr>
      </w:pPr>
      <w:bookmarkStart w:id="76" w:name="_Hlk40857408"/>
      <w:r>
        <w:rPr>
          <w:rFonts w:hint="eastAsia"/>
          <w:b/>
          <w:bCs/>
          <w:color w:val="auto"/>
          <w:sz w:val="21"/>
          <w:szCs w:val="16"/>
        </w:rPr>
        <w:t>表5.3</w:t>
      </w:r>
      <w:r>
        <w:rPr>
          <w:b/>
          <w:bCs/>
          <w:color w:val="auto"/>
          <w:sz w:val="21"/>
          <w:szCs w:val="16"/>
        </w:rPr>
        <w:t xml:space="preserve"> </w:t>
      </w:r>
      <w:r>
        <w:rPr>
          <w:rFonts w:hint="eastAsia"/>
          <w:b/>
          <w:bCs/>
          <w:color w:val="auto"/>
          <w:sz w:val="21"/>
          <w:szCs w:val="16"/>
        </w:rPr>
        <w:t>部门职责一览表</w:t>
      </w:r>
    </w:p>
    <w:bookmarkEnd w:id="76"/>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964"/>
        <w:gridCol w:w="7302"/>
      </w:tblGrid>
      <w:tr w14:paraId="23BB4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shd w:val="clear" w:color="auto" w:fill="00B0F0"/>
            <w:vAlign w:val="center"/>
          </w:tcPr>
          <w:p w14:paraId="234C1838">
            <w:pPr>
              <w:pStyle w:val="69"/>
              <w:rPr>
                <w:rFonts w:hint="eastAsia"/>
                <w:color w:val="auto"/>
              </w:rPr>
            </w:pPr>
            <w:r>
              <w:rPr>
                <w:rFonts w:hint="eastAsia"/>
                <w:color w:val="auto"/>
              </w:rPr>
              <w:t>序号</w:t>
            </w:r>
          </w:p>
        </w:tc>
        <w:tc>
          <w:tcPr>
            <w:tcW w:w="532" w:type="pct"/>
            <w:tcBorders>
              <w:top w:val="single" w:color="auto" w:sz="4" w:space="0"/>
              <w:left w:val="single" w:color="auto" w:sz="4" w:space="0"/>
              <w:bottom w:val="single" w:color="auto" w:sz="4" w:space="0"/>
              <w:right w:val="single" w:color="auto" w:sz="4" w:space="0"/>
            </w:tcBorders>
            <w:shd w:val="clear" w:color="auto" w:fill="00B0F0"/>
            <w:vAlign w:val="center"/>
          </w:tcPr>
          <w:p w14:paraId="3949E207">
            <w:pPr>
              <w:pStyle w:val="69"/>
              <w:rPr>
                <w:rFonts w:hint="eastAsia"/>
                <w:color w:val="auto"/>
              </w:rPr>
            </w:pPr>
            <w:r>
              <w:rPr>
                <w:rFonts w:hint="eastAsia"/>
                <w:color w:val="auto"/>
              </w:rPr>
              <w:t>部门</w:t>
            </w:r>
          </w:p>
        </w:tc>
        <w:tc>
          <w:tcPr>
            <w:tcW w:w="4030" w:type="pct"/>
            <w:tcBorders>
              <w:top w:val="single" w:color="auto" w:sz="4" w:space="0"/>
              <w:left w:val="single" w:color="auto" w:sz="4" w:space="0"/>
              <w:bottom w:val="single" w:color="auto" w:sz="4" w:space="0"/>
              <w:right w:val="single" w:color="auto" w:sz="4" w:space="0"/>
            </w:tcBorders>
            <w:shd w:val="clear" w:color="auto" w:fill="00B0F0"/>
            <w:vAlign w:val="center"/>
          </w:tcPr>
          <w:p w14:paraId="6270FD88">
            <w:pPr>
              <w:pStyle w:val="69"/>
              <w:rPr>
                <w:rFonts w:hint="eastAsia"/>
                <w:color w:val="auto"/>
              </w:rPr>
            </w:pPr>
            <w:r>
              <w:rPr>
                <w:rFonts w:hint="eastAsia"/>
                <w:color w:val="auto"/>
              </w:rPr>
              <w:t>主要职责</w:t>
            </w:r>
          </w:p>
        </w:tc>
      </w:tr>
      <w:tr w14:paraId="7BD84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62807BF9">
            <w:pPr>
              <w:pStyle w:val="69"/>
              <w:rPr>
                <w:rFonts w:hint="eastAsia"/>
                <w:color w:val="auto"/>
              </w:rPr>
            </w:pPr>
            <w:r>
              <w:rPr>
                <w:rFonts w:hint="eastAsia"/>
                <w:color w:val="auto"/>
              </w:rPr>
              <w:t>1</w:t>
            </w:r>
          </w:p>
        </w:tc>
        <w:tc>
          <w:tcPr>
            <w:tcW w:w="532" w:type="pct"/>
            <w:tcBorders>
              <w:top w:val="single" w:color="auto" w:sz="4" w:space="0"/>
              <w:left w:val="single" w:color="auto" w:sz="4" w:space="0"/>
              <w:bottom w:val="single" w:color="auto" w:sz="4" w:space="0"/>
              <w:right w:val="single" w:color="auto" w:sz="4" w:space="0"/>
            </w:tcBorders>
            <w:vAlign w:val="center"/>
          </w:tcPr>
          <w:p w14:paraId="7620E5CE">
            <w:pPr>
              <w:pStyle w:val="69"/>
              <w:rPr>
                <w:rFonts w:hint="eastAsia"/>
                <w:color w:val="auto"/>
              </w:rPr>
            </w:pPr>
            <w:r>
              <w:rPr>
                <w:rFonts w:hint="eastAsia"/>
                <w:color w:val="auto"/>
              </w:rPr>
              <w:t>技术部</w:t>
            </w:r>
          </w:p>
        </w:tc>
        <w:tc>
          <w:tcPr>
            <w:tcW w:w="4030" w:type="pct"/>
            <w:tcBorders>
              <w:top w:val="single" w:color="auto" w:sz="4" w:space="0"/>
              <w:left w:val="single" w:color="auto" w:sz="4" w:space="0"/>
              <w:bottom w:val="single" w:color="auto" w:sz="4" w:space="0"/>
              <w:right w:val="single" w:color="auto" w:sz="4" w:space="0"/>
            </w:tcBorders>
            <w:vAlign w:val="center"/>
          </w:tcPr>
          <w:p w14:paraId="671D14AF">
            <w:pPr>
              <w:pStyle w:val="67"/>
              <w:ind w:firstLine="420"/>
              <w:rPr>
                <w:rFonts w:hint="eastAsia"/>
                <w:color w:val="auto"/>
              </w:rPr>
            </w:pPr>
            <w:r>
              <w:rPr>
                <w:rFonts w:hint="eastAsia"/>
                <w:color w:val="auto"/>
              </w:rPr>
              <w:t>内业技术工作：</w:t>
            </w:r>
          </w:p>
          <w:p w14:paraId="61AF595C">
            <w:pPr>
              <w:pStyle w:val="67"/>
              <w:ind w:firstLine="420"/>
              <w:rPr>
                <w:rFonts w:hint="eastAsia"/>
                <w:color w:val="auto"/>
              </w:rPr>
            </w:pPr>
            <w:r>
              <w:rPr>
                <w:rFonts w:hint="eastAsia"/>
                <w:color w:val="auto"/>
              </w:rPr>
              <w:t>（1）负责项目施工的技术管理工作；</w:t>
            </w:r>
          </w:p>
          <w:p w14:paraId="1F040BD2">
            <w:pPr>
              <w:pStyle w:val="67"/>
              <w:ind w:firstLine="420"/>
              <w:rPr>
                <w:rFonts w:hint="eastAsia"/>
                <w:color w:val="auto"/>
              </w:rPr>
            </w:pPr>
            <w:r>
              <w:rPr>
                <w:rFonts w:hint="eastAsia"/>
                <w:color w:val="auto"/>
              </w:rPr>
              <w:t>（2）负责组织各类主要技术方案的编制工作，统筹设计变更、技术方案审定工作。</w:t>
            </w:r>
          </w:p>
          <w:p w14:paraId="79463241">
            <w:pPr>
              <w:pStyle w:val="67"/>
              <w:ind w:firstLine="420"/>
              <w:rPr>
                <w:rFonts w:hint="eastAsia"/>
                <w:color w:val="auto"/>
              </w:rPr>
            </w:pPr>
            <w:r>
              <w:rPr>
                <w:rFonts w:hint="eastAsia"/>
                <w:color w:val="auto"/>
              </w:rPr>
              <w:t>（3）负责施工过程中的结构预控验算，施工过程中的结构变形监测，施工过程中的试验检测，施工过程中的施工测量管理等工作。</w:t>
            </w:r>
          </w:p>
          <w:p w14:paraId="1502E5F2">
            <w:pPr>
              <w:pStyle w:val="67"/>
              <w:ind w:firstLine="420"/>
              <w:rPr>
                <w:rFonts w:hint="eastAsia"/>
                <w:color w:val="auto"/>
              </w:rPr>
            </w:pPr>
            <w:r>
              <w:rPr>
                <w:rFonts w:hint="eastAsia"/>
                <w:color w:val="auto"/>
              </w:rPr>
              <w:t>（4）负责技术文件收发、归档，技术资料的收集整理工作，负责项目阶段交验和竣工交验，竣工档案资料的收集、审核、移交工作。</w:t>
            </w:r>
          </w:p>
          <w:p w14:paraId="2B3C31FB">
            <w:pPr>
              <w:pStyle w:val="67"/>
              <w:ind w:firstLine="420"/>
              <w:rPr>
                <w:rFonts w:hint="eastAsia"/>
                <w:color w:val="auto"/>
              </w:rPr>
            </w:pPr>
            <w:r>
              <w:rPr>
                <w:rFonts w:hint="eastAsia"/>
                <w:color w:val="auto"/>
              </w:rPr>
              <w:t>（5）负责参加专业工程的竣工验收工作，加具有关意见，指导各专业施工单位整理工程资料，使其能满足评优申报要求和档案接收要求。</w:t>
            </w:r>
          </w:p>
          <w:p w14:paraId="3F564572">
            <w:pPr>
              <w:pStyle w:val="67"/>
              <w:ind w:firstLine="420"/>
              <w:rPr>
                <w:rFonts w:hint="eastAsia"/>
                <w:color w:val="auto"/>
              </w:rPr>
            </w:pPr>
            <w:r>
              <w:rPr>
                <w:rFonts w:hint="eastAsia"/>
                <w:color w:val="auto"/>
              </w:rPr>
              <w:t>（6）负责协助项目总工进行新技术、新材料、新工艺在本项目的推广和科技成果的总结工作。</w:t>
            </w:r>
          </w:p>
          <w:p w14:paraId="6BB30964">
            <w:pPr>
              <w:pStyle w:val="67"/>
              <w:ind w:firstLine="420"/>
              <w:rPr>
                <w:rFonts w:hint="eastAsia"/>
                <w:color w:val="auto"/>
              </w:rPr>
            </w:pPr>
            <w:r>
              <w:rPr>
                <w:rFonts w:hint="eastAsia"/>
                <w:color w:val="auto"/>
              </w:rPr>
              <w:t>计划协调工作：</w:t>
            </w:r>
          </w:p>
          <w:p w14:paraId="4E7C3F82">
            <w:pPr>
              <w:pStyle w:val="67"/>
              <w:ind w:firstLine="420"/>
              <w:rPr>
                <w:rFonts w:hint="eastAsia"/>
                <w:color w:val="auto"/>
              </w:rPr>
            </w:pPr>
            <w:r>
              <w:rPr>
                <w:rFonts w:hint="eastAsia"/>
                <w:color w:val="auto"/>
              </w:rPr>
              <w:t>（1）负责编制施工进度总控计划及职责范围内的分级进度计划，同时根据工程施工进度计划及时编制符合实际情况的调整进度计划。</w:t>
            </w:r>
          </w:p>
          <w:p w14:paraId="0F9D3393">
            <w:pPr>
              <w:pStyle w:val="67"/>
              <w:ind w:firstLine="420"/>
              <w:rPr>
                <w:rFonts w:hint="eastAsia"/>
                <w:color w:val="auto"/>
              </w:rPr>
            </w:pPr>
            <w:r>
              <w:rPr>
                <w:rFonts w:hint="eastAsia"/>
                <w:color w:val="auto"/>
              </w:rPr>
              <w:t>（2）负责审核各专业分包商的施工进度计划，对各专业分包商的进度计划的实施过程进行监控，并根据反馈信息及时发现问题。</w:t>
            </w:r>
          </w:p>
          <w:p w14:paraId="1CD03D9C">
            <w:pPr>
              <w:pStyle w:val="67"/>
              <w:ind w:firstLine="420"/>
              <w:rPr>
                <w:rFonts w:hint="eastAsia"/>
                <w:color w:val="auto"/>
              </w:rPr>
            </w:pPr>
            <w:r>
              <w:rPr>
                <w:rFonts w:hint="eastAsia"/>
                <w:color w:val="auto"/>
              </w:rPr>
              <w:t>（3）负责提请和安排项目的内部生产协调例会，协调各专业分单位之间的施工问题，建立合理完善的施工秩序。</w:t>
            </w:r>
          </w:p>
        </w:tc>
      </w:tr>
      <w:tr w14:paraId="61798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342CCFC4">
            <w:pPr>
              <w:pStyle w:val="69"/>
              <w:rPr>
                <w:rFonts w:hint="eastAsia"/>
                <w:color w:val="auto"/>
              </w:rPr>
            </w:pPr>
            <w:r>
              <w:rPr>
                <w:rFonts w:hint="eastAsia"/>
                <w:color w:val="auto"/>
              </w:rPr>
              <w:t>2</w:t>
            </w:r>
          </w:p>
        </w:tc>
        <w:tc>
          <w:tcPr>
            <w:tcW w:w="532" w:type="pct"/>
            <w:tcBorders>
              <w:top w:val="single" w:color="auto" w:sz="4" w:space="0"/>
              <w:left w:val="single" w:color="auto" w:sz="4" w:space="0"/>
              <w:bottom w:val="single" w:color="auto" w:sz="4" w:space="0"/>
              <w:right w:val="single" w:color="auto" w:sz="4" w:space="0"/>
            </w:tcBorders>
            <w:vAlign w:val="center"/>
          </w:tcPr>
          <w:p w14:paraId="362B7170">
            <w:pPr>
              <w:pStyle w:val="69"/>
              <w:rPr>
                <w:rFonts w:hint="eastAsia"/>
                <w:color w:val="auto"/>
              </w:rPr>
            </w:pPr>
            <w:r>
              <w:rPr>
                <w:rFonts w:hint="eastAsia"/>
                <w:color w:val="auto"/>
              </w:rPr>
              <w:t>质量部</w:t>
            </w:r>
          </w:p>
        </w:tc>
        <w:tc>
          <w:tcPr>
            <w:tcW w:w="4030" w:type="pct"/>
            <w:tcBorders>
              <w:top w:val="single" w:color="auto" w:sz="4" w:space="0"/>
              <w:left w:val="single" w:color="auto" w:sz="4" w:space="0"/>
              <w:bottom w:val="single" w:color="auto" w:sz="4" w:space="0"/>
              <w:right w:val="single" w:color="auto" w:sz="4" w:space="0"/>
            </w:tcBorders>
            <w:vAlign w:val="center"/>
          </w:tcPr>
          <w:p w14:paraId="3BABAA5B">
            <w:pPr>
              <w:pStyle w:val="67"/>
              <w:ind w:firstLine="420"/>
              <w:rPr>
                <w:rFonts w:hint="eastAsia"/>
                <w:color w:val="auto"/>
              </w:rPr>
            </w:pPr>
            <w:r>
              <w:rPr>
                <w:rFonts w:hint="eastAsia"/>
                <w:color w:val="auto"/>
              </w:rPr>
              <w:t>（1）贯彻国家有关工程施工规范、工艺标准、质量标准，确保工程总体质量目标和阶段质量目标的实现；</w:t>
            </w:r>
          </w:p>
          <w:p w14:paraId="43B348A3">
            <w:pPr>
              <w:pStyle w:val="67"/>
              <w:ind w:firstLine="420"/>
              <w:rPr>
                <w:rFonts w:hint="eastAsia"/>
                <w:color w:val="auto"/>
              </w:rPr>
            </w:pPr>
            <w:r>
              <w:rPr>
                <w:rFonts w:hint="eastAsia"/>
                <w:color w:val="auto"/>
              </w:rPr>
              <w:t>（2）负责组织编制项目质量计划并监督实施，将项目质量目标的进行分解落实，加强过程控制和日常管理，保证项目质量保证体系有效运行。</w:t>
            </w:r>
          </w:p>
          <w:p w14:paraId="4FF67E6A">
            <w:pPr>
              <w:pStyle w:val="67"/>
              <w:ind w:firstLine="420"/>
              <w:rPr>
                <w:rFonts w:hint="eastAsia"/>
                <w:color w:val="auto"/>
              </w:rPr>
            </w:pPr>
            <w:r>
              <w:rPr>
                <w:rFonts w:hint="eastAsia"/>
                <w:color w:val="auto"/>
              </w:rPr>
              <w:t>（3）负责实施项目过程中工程质量的质检工作，加强各分部分项工程的质量控制，对达不到质量要求的部位行使“一票否决权”，并进行整改。</w:t>
            </w:r>
          </w:p>
          <w:p w14:paraId="3E5C833F">
            <w:pPr>
              <w:pStyle w:val="67"/>
              <w:ind w:firstLine="420"/>
              <w:rPr>
                <w:rFonts w:hint="eastAsia"/>
                <w:color w:val="auto"/>
              </w:rPr>
            </w:pPr>
            <w:r>
              <w:rPr>
                <w:rFonts w:hint="eastAsia"/>
                <w:color w:val="auto"/>
              </w:rPr>
              <w:t>（4）加强对个专业分包商的质量检查和监督，确保各专业分包商的质量符合规范要求。</w:t>
            </w:r>
          </w:p>
          <w:p w14:paraId="7E23E073">
            <w:pPr>
              <w:pStyle w:val="67"/>
              <w:ind w:firstLine="420"/>
              <w:rPr>
                <w:rFonts w:hint="eastAsia"/>
                <w:color w:val="auto"/>
              </w:rPr>
            </w:pPr>
            <w:r>
              <w:rPr>
                <w:rFonts w:hint="eastAsia"/>
                <w:color w:val="auto"/>
              </w:rPr>
              <w:t>（5）负责工程创优和评奖的策划、组织、资料准备和日常管理工作。</w:t>
            </w:r>
          </w:p>
          <w:p w14:paraId="41669071">
            <w:pPr>
              <w:pStyle w:val="67"/>
              <w:ind w:firstLine="420"/>
              <w:rPr>
                <w:rFonts w:hint="eastAsia"/>
                <w:color w:val="auto"/>
              </w:rPr>
            </w:pPr>
            <w:r>
              <w:rPr>
                <w:rFonts w:hint="eastAsia"/>
                <w:color w:val="auto"/>
              </w:rPr>
              <w:t>（6）负责工程竣工后的工程的竣工验收备案工作，在自检合格的基础上向业主提交工程质量合格证明书，并提请业主组织工程竣工验收。</w:t>
            </w:r>
          </w:p>
          <w:p w14:paraId="16C011D9">
            <w:pPr>
              <w:pStyle w:val="67"/>
              <w:ind w:firstLine="420"/>
              <w:rPr>
                <w:rFonts w:hint="eastAsia"/>
                <w:color w:val="auto"/>
              </w:rPr>
            </w:pPr>
            <w:r>
              <w:rPr>
                <w:rFonts w:hint="eastAsia"/>
                <w:color w:val="auto"/>
              </w:rPr>
              <w:t>（7）参与相关分包商和供应商的选择和日常管理工作；</w:t>
            </w:r>
          </w:p>
        </w:tc>
      </w:tr>
      <w:tr w14:paraId="3413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0D498A2C">
            <w:pPr>
              <w:pStyle w:val="69"/>
              <w:rPr>
                <w:rFonts w:hint="eastAsia"/>
                <w:color w:val="auto"/>
              </w:rPr>
            </w:pPr>
            <w:r>
              <w:rPr>
                <w:rFonts w:hint="eastAsia"/>
                <w:color w:val="auto"/>
              </w:rPr>
              <w:t>3</w:t>
            </w:r>
          </w:p>
        </w:tc>
        <w:tc>
          <w:tcPr>
            <w:tcW w:w="532" w:type="pct"/>
            <w:tcBorders>
              <w:top w:val="single" w:color="auto" w:sz="4" w:space="0"/>
              <w:left w:val="single" w:color="auto" w:sz="4" w:space="0"/>
              <w:bottom w:val="single" w:color="auto" w:sz="4" w:space="0"/>
              <w:right w:val="single" w:color="auto" w:sz="4" w:space="0"/>
            </w:tcBorders>
            <w:vAlign w:val="center"/>
          </w:tcPr>
          <w:p w14:paraId="594664FE">
            <w:pPr>
              <w:pStyle w:val="69"/>
              <w:rPr>
                <w:rFonts w:hint="eastAsia"/>
                <w:color w:val="auto"/>
              </w:rPr>
            </w:pPr>
            <w:r>
              <w:rPr>
                <w:rFonts w:hint="eastAsia"/>
                <w:color w:val="auto"/>
              </w:rPr>
              <w:t>商务部</w:t>
            </w:r>
          </w:p>
        </w:tc>
        <w:tc>
          <w:tcPr>
            <w:tcW w:w="4030" w:type="pct"/>
            <w:tcBorders>
              <w:top w:val="single" w:color="auto" w:sz="4" w:space="0"/>
              <w:left w:val="single" w:color="auto" w:sz="4" w:space="0"/>
              <w:bottom w:val="single" w:color="auto" w:sz="4" w:space="0"/>
              <w:right w:val="single" w:color="auto" w:sz="4" w:space="0"/>
            </w:tcBorders>
            <w:vAlign w:val="center"/>
          </w:tcPr>
          <w:p w14:paraId="7C9D4826">
            <w:pPr>
              <w:pStyle w:val="67"/>
              <w:ind w:firstLine="420"/>
              <w:rPr>
                <w:rFonts w:hint="eastAsia"/>
                <w:color w:val="auto"/>
              </w:rPr>
            </w:pPr>
            <w:r>
              <w:rPr>
                <w:rFonts w:hint="eastAsia"/>
                <w:color w:val="auto"/>
              </w:rPr>
              <w:t>（1）负责项目预算成本的编制及施工成本控制工作，工程款清付工作及项目分包招标文件的编制工作。</w:t>
            </w:r>
          </w:p>
          <w:p w14:paraId="38E5DEE1">
            <w:pPr>
              <w:pStyle w:val="67"/>
              <w:ind w:firstLine="420"/>
              <w:rPr>
                <w:rFonts w:hint="eastAsia"/>
                <w:color w:val="auto"/>
              </w:rPr>
            </w:pPr>
            <w:r>
              <w:rPr>
                <w:rFonts w:hint="eastAsia"/>
                <w:color w:val="auto"/>
              </w:rPr>
              <w:t>（2）负责与业主和分包的结算工作，编制项目月度请款、分包付款文件。</w:t>
            </w:r>
          </w:p>
          <w:p w14:paraId="65A427FE">
            <w:pPr>
              <w:pStyle w:val="67"/>
              <w:ind w:firstLine="420"/>
              <w:rPr>
                <w:rFonts w:hint="eastAsia"/>
                <w:color w:val="auto"/>
              </w:rPr>
            </w:pPr>
            <w:r>
              <w:rPr>
                <w:rFonts w:hint="eastAsia"/>
                <w:color w:val="auto"/>
              </w:rPr>
              <w:t>（3）负责项目合同管理、造价确定、准备竣工决算报告其他与商务方面的工作。</w:t>
            </w:r>
          </w:p>
          <w:p w14:paraId="659F1556">
            <w:pPr>
              <w:pStyle w:val="67"/>
              <w:ind w:firstLine="420"/>
              <w:rPr>
                <w:rFonts w:hint="eastAsia"/>
                <w:color w:val="auto"/>
              </w:rPr>
            </w:pPr>
            <w:r>
              <w:rPr>
                <w:rFonts w:hint="eastAsia"/>
                <w:color w:val="auto"/>
              </w:rPr>
              <w:t>（4）具体负责项目预算成本的编制和成本控制工作；</w:t>
            </w:r>
          </w:p>
          <w:p w14:paraId="23026AD2">
            <w:pPr>
              <w:pStyle w:val="67"/>
              <w:ind w:firstLine="420"/>
              <w:rPr>
                <w:rFonts w:hint="eastAsia"/>
                <w:color w:val="auto"/>
              </w:rPr>
            </w:pPr>
            <w:r>
              <w:rPr>
                <w:rFonts w:hint="eastAsia"/>
                <w:color w:val="auto"/>
              </w:rPr>
              <w:t>（5）具体负责本项目分包招标文件的编制工作；</w:t>
            </w:r>
          </w:p>
          <w:p w14:paraId="2EC8C751">
            <w:pPr>
              <w:pStyle w:val="67"/>
              <w:ind w:firstLine="420"/>
              <w:rPr>
                <w:rFonts w:hint="eastAsia"/>
                <w:color w:val="auto"/>
              </w:rPr>
            </w:pPr>
            <w:r>
              <w:rPr>
                <w:rFonts w:hint="eastAsia"/>
                <w:color w:val="auto"/>
              </w:rPr>
              <w:t>（6）具体负责分包商选择工作；</w:t>
            </w:r>
          </w:p>
          <w:p w14:paraId="67933DC6">
            <w:pPr>
              <w:pStyle w:val="67"/>
              <w:ind w:firstLine="420"/>
              <w:rPr>
                <w:rFonts w:hint="eastAsia"/>
                <w:color w:val="auto"/>
              </w:rPr>
            </w:pPr>
            <w:r>
              <w:rPr>
                <w:rFonts w:hint="eastAsia"/>
                <w:color w:val="auto"/>
              </w:rPr>
              <w:t>（7）参与供应商的选择工作；</w:t>
            </w:r>
          </w:p>
          <w:p w14:paraId="16B5BC7C">
            <w:pPr>
              <w:pStyle w:val="67"/>
              <w:ind w:firstLine="420"/>
              <w:rPr>
                <w:rFonts w:hint="eastAsia"/>
                <w:color w:val="auto"/>
              </w:rPr>
            </w:pPr>
            <w:r>
              <w:rPr>
                <w:rFonts w:hint="eastAsia"/>
                <w:color w:val="auto"/>
              </w:rPr>
              <w:t>（8）参与项目质量保证计划的编制工作；配合财务编制开支预算和资金计划；</w:t>
            </w:r>
          </w:p>
          <w:p w14:paraId="550C9592">
            <w:pPr>
              <w:pStyle w:val="67"/>
              <w:ind w:firstLine="420"/>
              <w:rPr>
                <w:rFonts w:hint="eastAsia"/>
                <w:color w:val="auto"/>
              </w:rPr>
            </w:pPr>
            <w:r>
              <w:rPr>
                <w:rFonts w:hint="eastAsia"/>
                <w:color w:val="auto"/>
              </w:rPr>
              <w:t>（9）具体负责与业主和分包的结算工作，编制项目月度请款、分包付款文件；</w:t>
            </w:r>
          </w:p>
          <w:p w14:paraId="5ED2E88A">
            <w:pPr>
              <w:pStyle w:val="67"/>
              <w:ind w:firstLine="420"/>
              <w:rPr>
                <w:rFonts w:hint="eastAsia"/>
                <w:color w:val="auto"/>
              </w:rPr>
            </w:pPr>
            <w:r>
              <w:rPr>
                <w:rFonts w:hint="eastAsia"/>
                <w:color w:val="auto"/>
              </w:rPr>
              <w:t>（10）具体负责项目合同管理、造价确定等事务的日常工作；</w:t>
            </w:r>
          </w:p>
          <w:p w14:paraId="5C2FE28D">
            <w:pPr>
              <w:pStyle w:val="67"/>
              <w:ind w:firstLine="420"/>
              <w:rPr>
                <w:rFonts w:hint="eastAsia"/>
                <w:color w:val="auto"/>
              </w:rPr>
            </w:pPr>
            <w:r>
              <w:rPr>
                <w:rFonts w:hint="eastAsia"/>
                <w:color w:val="auto"/>
              </w:rPr>
              <w:t>（11）与财务一道，负责准备竣工决算报告其他与商务方面的工作。</w:t>
            </w:r>
          </w:p>
        </w:tc>
      </w:tr>
      <w:tr w14:paraId="033F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5FE74143">
            <w:pPr>
              <w:pStyle w:val="69"/>
              <w:rPr>
                <w:rFonts w:hint="eastAsia"/>
                <w:color w:val="auto"/>
              </w:rPr>
            </w:pPr>
            <w:r>
              <w:rPr>
                <w:rFonts w:hint="eastAsia"/>
                <w:color w:val="auto"/>
              </w:rPr>
              <w:t>4</w:t>
            </w:r>
          </w:p>
        </w:tc>
        <w:tc>
          <w:tcPr>
            <w:tcW w:w="532" w:type="pct"/>
            <w:tcBorders>
              <w:top w:val="single" w:color="auto" w:sz="4" w:space="0"/>
              <w:left w:val="single" w:color="auto" w:sz="4" w:space="0"/>
              <w:bottom w:val="single" w:color="auto" w:sz="4" w:space="0"/>
              <w:right w:val="single" w:color="auto" w:sz="4" w:space="0"/>
            </w:tcBorders>
            <w:vAlign w:val="center"/>
          </w:tcPr>
          <w:p w14:paraId="45BF85C0">
            <w:pPr>
              <w:pStyle w:val="69"/>
              <w:rPr>
                <w:rFonts w:hint="eastAsia"/>
                <w:color w:val="auto"/>
              </w:rPr>
            </w:pPr>
            <w:r>
              <w:rPr>
                <w:rFonts w:hint="eastAsia"/>
                <w:color w:val="auto"/>
              </w:rPr>
              <w:t>工程部</w:t>
            </w:r>
          </w:p>
        </w:tc>
        <w:tc>
          <w:tcPr>
            <w:tcW w:w="4030" w:type="pct"/>
            <w:tcBorders>
              <w:top w:val="single" w:color="auto" w:sz="4" w:space="0"/>
              <w:left w:val="single" w:color="auto" w:sz="4" w:space="0"/>
              <w:bottom w:val="single" w:color="auto" w:sz="4" w:space="0"/>
              <w:right w:val="single" w:color="auto" w:sz="4" w:space="0"/>
            </w:tcBorders>
            <w:vAlign w:val="center"/>
          </w:tcPr>
          <w:p w14:paraId="5F7AEB7E">
            <w:pPr>
              <w:pStyle w:val="67"/>
              <w:ind w:firstLine="420"/>
              <w:rPr>
                <w:rFonts w:hint="eastAsia"/>
                <w:color w:val="auto"/>
              </w:rPr>
            </w:pPr>
            <w:r>
              <w:rPr>
                <w:rFonts w:hint="eastAsia"/>
                <w:color w:val="auto"/>
              </w:rPr>
              <w:t>（1）负责工程的生产组织、进度计划落实、施工方案的实施、工序协调、质量控制等工作；</w:t>
            </w:r>
          </w:p>
          <w:p w14:paraId="09A92B53">
            <w:pPr>
              <w:pStyle w:val="67"/>
              <w:ind w:firstLine="420"/>
              <w:rPr>
                <w:rFonts w:hint="eastAsia"/>
                <w:color w:val="auto"/>
              </w:rPr>
            </w:pPr>
            <w:r>
              <w:rPr>
                <w:rFonts w:hint="eastAsia"/>
                <w:color w:val="auto"/>
              </w:rPr>
              <w:t>（2）负责结合进度计划及其保证措施，对资源投入、劳动力安排、材料设备进出场等问题提出计划报项目部审定；</w:t>
            </w:r>
          </w:p>
          <w:p w14:paraId="39EFCDDE">
            <w:pPr>
              <w:pStyle w:val="67"/>
              <w:ind w:firstLine="420"/>
              <w:rPr>
                <w:rFonts w:hint="eastAsia"/>
                <w:color w:val="auto"/>
              </w:rPr>
            </w:pPr>
            <w:r>
              <w:rPr>
                <w:rFonts w:hint="eastAsia"/>
                <w:color w:val="auto"/>
              </w:rPr>
              <w:t>（3）负责参与编制项目质量计划、各类施工技术方案、项目职业健康安全管理计划、环境管理计划；</w:t>
            </w:r>
          </w:p>
          <w:p w14:paraId="3FB998C3">
            <w:pPr>
              <w:pStyle w:val="67"/>
              <w:ind w:firstLine="420"/>
              <w:rPr>
                <w:rFonts w:hint="eastAsia"/>
                <w:color w:val="auto"/>
              </w:rPr>
            </w:pPr>
            <w:r>
              <w:rPr>
                <w:rFonts w:hint="eastAsia"/>
                <w:color w:val="auto"/>
              </w:rPr>
              <w:t>（4）负责现场施工的管理控制工作和与业主、监理工程师联系进行混凝土工程检验批、分部分项工程、隐蔽工程等中间过程的检查和验收。</w:t>
            </w:r>
          </w:p>
          <w:p w14:paraId="4E2645E2">
            <w:pPr>
              <w:pStyle w:val="67"/>
              <w:ind w:firstLine="420"/>
              <w:rPr>
                <w:rFonts w:hint="eastAsia"/>
                <w:color w:val="auto"/>
              </w:rPr>
            </w:pPr>
            <w:r>
              <w:rPr>
                <w:rFonts w:hint="eastAsia"/>
                <w:color w:val="auto"/>
              </w:rPr>
              <w:t>（5）负责施工协调管理工作。</w:t>
            </w:r>
          </w:p>
          <w:p w14:paraId="2D53CF29">
            <w:pPr>
              <w:pStyle w:val="67"/>
              <w:ind w:firstLine="420"/>
              <w:rPr>
                <w:rFonts w:hint="eastAsia"/>
                <w:color w:val="auto"/>
              </w:rPr>
            </w:pPr>
            <w:r>
              <w:rPr>
                <w:rFonts w:hint="eastAsia"/>
                <w:color w:val="auto"/>
              </w:rPr>
              <w:t>（6）负责统筹协调管理各专业分包商的施工进度、质量、安全及文明施工等工作。</w:t>
            </w:r>
          </w:p>
        </w:tc>
      </w:tr>
      <w:tr w14:paraId="03F75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299A9406">
            <w:pPr>
              <w:pStyle w:val="69"/>
              <w:rPr>
                <w:rFonts w:hint="eastAsia"/>
                <w:color w:val="auto"/>
              </w:rPr>
            </w:pPr>
            <w:r>
              <w:rPr>
                <w:rFonts w:hint="eastAsia"/>
                <w:color w:val="auto"/>
              </w:rPr>
              <w:t>5</w:t>
            </w:r>
          </w:p>
        </w:tc>
        <w:tc>
          <w:tcPr>
            <w:tcW w:w="532" w:type="pct"/>
            <w:tcBorders>
              <w:top w:val="single" w:color="auto" w:sz="4" w:space="0"/>
              <w:left w:val="single" w:color="auto" w:sz="4" w:space="0"/>
              <w:bottom w:val="single" w:color="auto" w:sz="4" w:space="0"/>
              <w:right w:val="single" w:color="auto" w:sz="4" w:space="0"/>
            </w:tcBorders>
            <w:vAlign w:val="center"/>
          </w:tcPr>
          <w:p w14:paraId="2A2D7124">
            <w:pPr>
              <w:pStyle w:val="69"/>
              <w:rPr>
                <w:rFonts w:hint="eastAsia"/>
                <w:color w:val="auto"/>
              </w:rPr>
            </w:pPr>
            <w:r>
              <w:rPr>
                <w:rFonts w:hint="eastAsia"/>
                <w:color w:val="auto"/>
              </w:rPr>
              <w:t>物资部</w:t>
            </w:r>
          </w:p>
        </w:tc>
        <w:tc>
          <w:tcPr>
            <w:tcW w:w="4030" w:type="pct"/>
            <w:tcBorders>
              <w:top w:val="single" w:color="auto" w:sz="4" w:space="0"/>
              <w:left w:val="single" w:color="auto" w:sz="4" w:space="0"/>
              <w:bottom w:val="single" w:color="auto" w:sz="4" w:space="0"/>
              <w:right w:val="single" w:color="auto" w:sz="4" w:space="0"/>
            </w:tcBorders>
            <w:vAlign w:val="center"/>
          </w:tcPr>
          <w:p w14:paraId="2C5A3D15">
            <w:pPr>
              <w:pStyle w:val="67"/>
              <w:ind w:firstLine="420"/>
              <w:rPr>
                <w:rFonts w:hint="eastAsia"/>
                <w:color w:val="auto"/>
              </w:rPr>
            </w:pPr>
            <w:r>
              <w:rPr>
                <w:rFonts w:hint="eastAsia"/>
                <w:color w:val="auto"/>
              </w:rPr>
              <w:t>（1）负责项目物资设备的采购和供应工作，负责与公司总部后方采购供应支持的协调联系工作。</w:t>
            </w:r>
          </w:p>
          <w:p w14:paraId="1CE621A7">
            <w:pPr>
              <w:pStyle w:val="67"/>
              <w:ind w:firstLine="420"/>
              <w:rPr>
                <w:rFonts w:hint="eastAsia"/>
                <w:color w:val="auto"/>
              </w:rPr>
            </w:pPr>
            <w:r>
              <w:rPr>
                <w:rFonts w:hint="eastAsia"/>
                <w:color w:val="auto"/>
              </w:rPr>
              <w:t>（2）与业主相应部分建立良好的信息沟通，保证甲供、甲控材料依照进度计划安排，及时招标、及时进场等工作。</w:t>
            </w:r>
          </w:p>
          <w:p w14:paraId="43A5C109">
            <w:pPr>
              <w:pStyle w:val="67"/>
              <w:ind w:firstLine="420"/>
              <w:rPr>
                <w:rFonts w:hint="eastAsia"/>
                <w:color w:val="auto"/>
              </w:rPr>
            </w:pPr>
            <w:r>
              <w:rPr>
                <w:rFonts w:hint="eastAsia"/>
                <w:color w:val="auto"/>
              </w:rPr>
              <w:t>（3）负责要求各专业分包商及时报送材料采购计划，材料报审资料，及时采购和进场工程所需的各种材料，并对材料进行检验，保证质量。</w:t>
            </w:r>
          </w:p>
          <w:p w14:paraId="48EB470B">
            <w:pPr>
              <w:pStyle w:val="67"/>
              <w:ind w:firstLine="420"/>
              <w:rPr>
                <w:rFonts w:hint="eastAsia"/>
                <w:color w:val="auto"/>
              </w:rPr>
            </w:pPr>
            <w:r>
              <w:rPr>
                <w:rFonts w:hint="eastAsia"/>
                <w:color w:val="auto"/>
              </w:rPr>
              <w:t>（4）具体负责项目物资设备的采购和供应工作，为招投标经济文件准备提供基础物资价格数据；</w:t>
            </w:r>
          </w:p>
          <w:p w14:paraId="0511437F">
            <w:pPr>
              <w:pStyle w:val="67"/>
              <w:ind w:firstLine="420"/>
              <w:rPr>
                <w:rFonts w:hint="eastAsia"/>
                <w:color w:val="auto"/>
              </w:rPr>
            </w:pPr>
            <w:r>
              <w:rPr>
                <w:rFonts w:hint="eastAsia"/>
                <w:color w:val="auto"/>
              </w:rPr>
              <w:t>（5）具体负责项目物资采购计划、进场计划和统计工作；</w:t>
            </w:r>
          </w:p>
          <w:p w14:paraId="02571218">
            <w:pPr>
              <w:pStyle w:val="67"/>
              <w:ind w:firstLine="420"/>
              <w:rPr>
                <w:rFonts w:hint="eastAsia"/>
                <w:color w:val="auto"/>
              </w:rPr>
            </w:pPr>
            <w:r>
              <w:rPr>
                <w:rFonts w:hint="eastAsia"/>
                <w:color w:val="auto"/>
              </w:rPr>
              <w:t>（6）具体负责本项目物资采购招标文件的编制工作和供应商的选择工作；负责供应商的日常管理工作；</w:t>
            </w:r>
          </w:p>
          <w:p w14:paraId="615DC39C">
            <w:pPr>
              <w:pStyle w:val="67"/>
              <w:ind w:firstLine="420"/>
              <w:rPr>
                <w:rFonts w:hint="eastAsia"/>
                <w:color w:val="auto"/>
              </w:rPr>
            </w:pPr>
            <w:r>
              <w:rPr>
                <w:rFonts w:hint="eastAsia"/>
                <w:color w:val="auto"/>
              </w:rPr>
              <w:t>（7）在向供应商订货时，明确要求供应商提供的材料有发货单据、材质证明及合格证，对材料的名称、规格、型号等标识清楚。</w:t>
            </w:r>
          </w:p>
          <w:p w14:paraId="65262DE9">
            <w:pPr>
              <w:pStyle w:val="67"/>
              <w:ind w:firstLine="420"/>
              <w:rPr>
                <w:rFonts w:hint="eastAsia"/>
                <w:color w:val="auto"/>
              </w:rPr>
            </w:pPr>
            <w:r>
              <w:rPr>
                <w:rFonts w:hint="eastAsia"/>
                <w:color w:val="auto"/>
              </w:rPr>
              <w:t>（8）参与项目质量保证计划的编制工作；配合财务编制资金计划；</w:t>
            </w:r>
          </w:p>
          <w:p w14:paraId="04BC2641">
            <w:pPr>
              <w:pStyle w:val="67"/>
              <w:ind w:firstLine="420"/>
              <w:rPr>
                <w:rFonts w:hint="eastAsia"/>
                <w:color w:val="auto"/>
              </w:rPr>
            </w:pPr>
            <w:r>
              <w:rPr>
                <w:rFonts w:hint="eastAsia"/>
                <w:color w:val="auto"/>
              </w:rPr>
              <w:t>（9）负责进口物资的检验、报关、清关业务；</w:t>
            </w:r>
          </w:p>
          <w:p w14:paraId="41144096">
            <w:pPr>
              <w:pStyle w:val="67"/>
              <w:ind w:firstLine="420"/>
              <w:rPr>
                <w:rFonts w:hint="eastAsia"/>
                <w:color w:val="auto"/>
              </w:rPr>
            </w:pPr>
            <w:r>
              <w:rPr>
                <w:rFonts w:hint="eastAsia"/>
                <w:color w:val="auto"/>
              </w:rPr>
              <w:t>（10）具体负责与公司总部后方采购供应支持的协调联系工作；</w:t>
            </w:r>
          </w:p>
          <w:p w14:paraId="40FEA471">
            <w:pPr>
              <w:pStyle w:val="67"/>
              <w:ind w:firstLine="420"/>
              <w:rPr>
                <w:rFonts w:hint="eastAsia"/>
                <w:color w:val="auto"/>
              </w:rPr>
            </w:pPr>
            <w:r>
              <w:rPr>
                <w:rFonts w:hint="eastAsia"/>
                <w:color w:val="auto"/>
              </w:rPr>
              <w:t>（11）及时准确地为施工生产部门提供呈报业主和监理工程师审批的各类材料样品。</w:t>
            </w:r>
          </w:p>
        </w:tc>
      </w:tr>
      <w:tr w14:paraId="07CB0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42C7B31B">
            <w:pPr>
              <w:pStyle w:val="69"/>
              <w:rPr>
                <w:rFonts w:hint="eastAsia"/>
                <w:color w:val="auto"/>
              </w:rPr>
            </w:pPr>
            <w:r>
              <w:rPr>
                <w:rFonts w:hint="eastAsia"/>
                <w:color w:val="auto"/>
              </w:rPr>
              <w:t>6</w:t>
            </w:r>
          </w:p>
        </w:tc>
        <w:tc>
          <w:tcPr>
            <w:tcW w:w="532" w:type="pct"/>
            <w:tcBorders>
              <w:top w:val="single" w:color="auto" w:sz="4" w:space="0"/>
              <w:left w:val="single" w:color="auto" w:sz="4" w:space="0"/>
              <w:bottom w:val="single" w:color="auto" w:sz="4" w:space="0"/>
              <w:right w:val="single" w:color="auto" w:sz="4" w:space="0"/>
            </w:tcBorders>
            <w:vAlign w:val="center"/>
          </w:tcPr>
          <w:p w14:paraId="022EE4DC">
            <w:pPr>
              <w:pStyle w:val="69"/>
              <w:rPr>
                <w:rFonts w:hint="eastAsia"/>
                <w:color w:val="auto"/>
              </w:rPr>
            </w:pPr>
            <w:r>
              <w:rPr>
                <w:rFonts w:hint="eastAsia"/>
                <w:color w:val="auto"/>
              </w:rPr>
              <w:t>机电部</w:t>
            </w:r>
          </w:p>
        </w:tc>
        <w:tc>
          <w:tcPr>
            <w:tcW w:w="4030" w:type="pct"/>
            <w:tcBorders>
              <w:top w:val="single" w:color="auto" w:sz="4" w:space="0"/>
              <w:left w:val="single" w:color="auto" w:sz="4" w:space="0"/>
              <w:bottom w:val="single" w:color="auto" w:sz="4" w:space="0"/>
              <w:right w:val="single" w:color="auto" w:sz="4" w:space="0"/>
            </w:tcBorders>
            <w:vAlign w:val="center"/>
          </w:tcPr>
          <w:p w14:paraId="5C0E7B6D">
            <w:pPr>
              <w:pStyle w:val="67"/>
              <w:ind w:firstLine="420"/>
              <w:rPr>
                <w:rFonts w:hint="eastAsia"/>
                <w:color w:val="auto"/>
              </w:rPr>
            </w:pPr>
            <w:r>
              <w:rPr>
                <w:rFonts w:hint="eastAsia"/>
                <w:color w:val="auto"/>
              </w:rPr>
              <w:t>（1）负责机电、消防的施工管理协调。</w:t>
            </w:r>
          </w:p>
          <w:p w14:paraId="32A1E496">
            <w:pPr>
              <w:pStyle w:val="67"/>
              <w:ind w:firstLine="420"/>
              <w:rPr>
                <w:rFonts w:hint="eastAsia"/>
                <w:color w:val="auto"/>
              </w:rPr>
            </w:pPr>
            <w:r>
              <w:rPr>
                <w:rFonts w:hint="eastAsia"/>
                <w:color w:val="auto"/>
              </w:rPr>
              <w:t>（2）负责现场用电、照明等管理工作。</w:t>
            </w:r>
          </w:p>
        </w:tc>
      </w:tr>
      <w:tr w14:paraId="09D98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13B54625">
            <w:pPr>
              <w:pStyle w:val="69"/>
              <w:rPr>
                <w:rFonts w:hint="eastAsia"/>
                <w:color w:val="auto"/>
              </w:rPr>
            </w:pPr>
            <w:r>
              <w:rPr>
                <w:rFonts w:hint="eastAsia"/>
                <w:color w:val="auto"/>
              </w:rPr>
              <w:t>7</w:t>
            </w:r>
          </w:p>
        </w:tc>
        <w:tc>
          <w:tcPr>
            <w:tcW w:w="532" w:type="pct"/>
            <w:tcBorders>
              <w:top w:val="single" w:color="auto" w:sz="4" w:space="0"/>
              <w:left w:val="single" w:color="auto" w:sz="4" w:space="0"/>
              <w:bottom w:val="single" w:color="auto" w:sz="4" w:space="0"/>
              <w:right w:val="single" w:color="auto" w:sz="4" w:space="0"/>
            </w:tcBorders>
            <w:vAlign w:val="center"/>
          </w:tcPr>
          <w:p w14:paraId="2C50C0D9">
            <w:pPr>
              <w:pStyle w:val="69"/>
              <w:rPr>
                <w:rFonts w:hint="eastAsia"/>
                <w:color w:val="auto"/>
              </w:rPr>
            </w:pPr>
            <w:r>
              <w:rPr>
                <w:rFonts w:hint="eastAsia"/>
                <w:color w:val="auto"/>
              </w:rPr>
              <w:t>安监部</w:t>
            </w:r>
          </w:p>
        </w:tc>
        <w:tc>
          <w:tcPr>
            <w:tcW w:w="4030" w:type="pct"/>
            <w:tcBorders>
              <w:top w:val="single" w:color="auto" w:sz="4" w:space="0"/>
              <w:left w:val="single" w:color="auto" w:sz="4" w:space="0"/>
              <w:bottom w:val="single" w:color="auto" w:sz="4" w:space="0"/>
              <w:right w:val="single" w:color="auto" w:sz="4" w:space="0"/>
            </w:tcBorders>
            <w:vAlign w:val="center"/>
          </w:tcPr>
          <w:p w14:paraId="310322A5">
            <w:pPr>
              <w:pStyle w:val="67"/>
              <w:ind w:firstLine="420"/>
              <w:rPr>
                <w:rFonts w:hint="eastAsia"/>
                <w:color w:val="auto"/>
              </w:rPr>
            </w:pPr>
            <w:r>
              <w:rPr>
                <w:rFonts w:hint="eastAsia"/>
                <w:color w:val="auto"/>
              </w:rPr>
              <w:t>（</w:t>
            </w:r>
            <w:r>
              <w:rPr>
                <w:color w:val="auto"/>
              </w:rPr>
              <w:t>1</w:t>
            </w:r>
            <w:r>
              <w:rPr>
                <w:rFonts w:hint="eastAsia"/>
                <w:color w:val="auto"/>
              </w:rPr>
              <w:t>）负责项目安全生产、文明施工和环境保护工作。</w:t>
            </w:r>
          </w:p>
          <w:p w14:paraId="6054D74D">
            <w:pPr>
              <w:pStyle w:val="67"/>
              <w:ind w:firstLine="420"/>
              <w:rPr>
                <w:rFonts w:hint="eastAsia"/>
                <w:color w:val="auto"/>
              </w:rPr>
            </w:pPr>
            <w:r>
              <w:rPr>
                <w:rFonts w:hint="eastAsia"/>
                <w:color w:val="auto"/>
              </w:rPr>
              <w:t>（</w:t>
            </w:r>
            <w:r>
              <w:rPr>
                <w:color w:val="auto"/>
              </w:rPr>
              <w:t>2</w:t>
            </w:r>
            <w:r>
              <w:rPr>
                <w:rFonts w:hint="eastAsia"/>
                <w:color w:val="auto"/>
              </w:rPr>
              <w:t>）负责编制项目职业健康安全管理计划、环境管理计划和管理制度并监督实施，制定员工安全培训计划，并负责组织实施。</w:t>
            </w:r>
          </w:p>
          <w:p w14:paraId="31D48A21">
            <w:pPr>
              <w:pStyle w:val="67"/>
              <w:ind w:firstLine="420"/>
              <w:rPr>
                <w:rFonts w:hint="eastAsia"/>
                <w:color w:val="auto"/>
              </w:rPr>
            </w:pPr>
            <w:r>
              <w:rPr>
                <w:rFonts w:hint="eastAsia"/>
                <w:color w:val="auto"/>
              </w:rPr>
              <w:t>（3）负责每周的全员安全生产例会，定期和不定期组织安全生产和文明施工的检查，加强安全监督管理、消除施工现场安全隐患。</w:t>
            </w:r>
          </w:p>
          <w:p w14:paraId="41C3CFB5">
            <w:pPr>
              <w:pStyle w:val="67"/>
              <w:ind w:firstLine="420"/>
              <w:rPr>
                <w:rFonts w:hint="eastAsia"/>
                <w:color w:val="auto"/>
              </w:rPr>
            </w:pPr>
            <w:r>
              <w:rPr>
                <w:rFonts w:hint="eastAsia"/>
                <w:color w:val="auto"/>
              </w:rPr>
              <w:t>（4）负责项目安全应急预案的编制，进行安全应急演练，保证项目施工生产的正常进行。</w:t>
            </w:r>
          </w:p>
          <w:p w14:paraId="100423AE">
            <w:pPr>
              <w:pStyle w:val="67"/>
              <w:ind w:firstLine="420"/>
              <w:rPr>
                <w:rFonts w:hint="eastAsia"/>
                <w:color w:val="auto"/>
              </w:rPr>
            </w:pPr>
            <w:r>
              <w:rPr>
                <w:rFonts w:hint="eastAsia"/>
                <w:color w:val="auto"/>
              </w:rPr>
              <w:t>（5）负责对各专业分包商的安全监督和管理工作，督促个专业分包商作好安全防护工作，消除施工过程中的安全隐患，确保安全生产。</w:t>
            </w:r>
          </w:p>
        </w:tc>
      </w:tr>
      <w:tr w14:paraId="230FF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78B48F3A">
            <w:pPr>
              <w:pStyle w:val="69"/>
              <w:rPr>
                <w:rFonts w:hint="eastAsia"/>
                <w:color w:val="auto"/>
              </w:rPr>
            </w:pPr>
            <w:r>
              <w:rPr>
                <w:rFonts w:hint="eastAsia"/>
                <w:color w:val="auto"/>
              </w:rPr>
              <w:t>8</w:t>
            </w:r>
          </w:p>
        </w:tc>
        <w:tc>
          <w:tcPr>
            <w:tcW w:w="532" w:type="pct"/>
            <w:tcBorders>
              <w:top w:val="single" w:color="auto" w:sz="4" w:space="0"/>
              <w:left w:val="single" w:color="auto" w:sz="4" w:space="0"/>
              <w:bottom w:val="single" w:color="auto" w:sz="4" w:space="0"/>
              <w:right w:val="single" w:color="auto" w:sz="4" w:space="0"/>
            </w:tcBorders>
            <w:vAlign w:val="center"/>
          </w:tcPr>
          <w:p w14:paraId="41E79271">
            <w:pPr>
              <w:pStyle w:val="69"/>
              <w:rPr>
                <w:rFonts w:hint="eastAsia"/>
                <w:color w:val="auto"/>
              </w:rPr>
            </w:pPr>
            <w:r>
              <w:rPr>
                <w:rFonts w:hint="eastAsia"/>
                <w:color w:val="auto"/>
              </w:rPr>
              <w:t>设计部</w:t>
            </w:r>
          </w:p>
        </w:tc>
        <w:tc>
          <w:tcPr>
            <w:tcW w:w="4030" w:type="pct"/>
            <w:tcBorders>
              <w:top w:val="single" w:color="auto" w:sz="4" w:space="0"/>
              <w:left w:val="single" w:color="auto" w:sz="4" w:space="0"/>
              <w:bottom w:val="single" w:color="auto" w:sz="4" w:space="0"/>
              <w:right w:val="single" w:color="auto" w:sz="4" w:space="0"/>
            </w:tcBorders>
            <w:vAlign w:val="center"/>
          </w:tcPr>
          <w:p w14:paraId="6BE9C1F4">
            <w:pPr>
              <w:pStyle w:val="67"/>
              <w:ind w:firstLine="420"/>
              <w:rPr>
                <w:rFonts w:hint="eastAsia"/>
                <w:color w:val="auto"/>
              </w:rPr>
            </w:pPr>
            <w:r>
              <w:rPr>
                <w:rFonts w:hint="eastAsia"/>
                <w:color w:val="auto"/>
              </w:rPr>
              <w:t>（</w:t>
            </w:r>
            <w:r>
              <w:rPr>
                <w:color w:val="auto"/>
              </w:rPr>
              <w:t>1</w:t>
            </w:r>
            <w:r>
              <w:rPr>
                <w:rFonts w:hint="eastAsia"/>
                <w:color w:val="auto"/>
              </w:rPr>
              <w:t>）一次设计优化、二次深化设计、PC 构件设计、BIM深化设计。</w:t>
            </w:r>
          </w:p>
          <w:p w14:paraId="01C2A3BB">
            <w:pPr>
              <w:pStyle w:val="67"/>
              <w:ind w:firstLine="420"/>
              <w:rPr>
                <w:rFonts w:hint="eastAsia"/>
                <w:color w:val="auto"/>
              </w:rPr>
            </w:pPr>
            <w:r>
              <w:rPr>
                <w:rFonts w:hint="eastAsia"/>
                <w:color w:val="auto"/>
              </w:rPr>
              <w:t>（</w:t>
            </w:r>
            <w:r>
              <w:rPr>
                <w:color w:val="auto"/>
              </w:rPr>
              <w:t>2</w:t>
            </w:r>
            <w:r>
              <w:rPr>
                <w:rFonts w:hint="eastAsia"/>
                <w:color w:val="auto"/>
              </w:rPr>
              <w:t>）两图融合、一体化施工、永临结合策划。</w:t>
            </w:r>
          </w:p>
        </w:tc>
      </w:tr>
      <w:tr w14:paraId="75D86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tcBorders>
              <w:top w:val="single" w:color="auto" w:sz="4" w:space="0"/>
              <w:left w:val="single" w:color="auto" w:sz="4" w:space="0"/>
              <w:bottom w:val="single" w:color="auto" w:sz="4" w:space="0"/>
              <w:right w:val="single" w:color="auto" w:sz="4" w:space="0"/>
            </w:tcBorders>
            <w:vAlign w:val="center"/>
          </w:tcPr>
          <w:p w14:paraId="370DAC3B">
            <w:pPr>
              <w:pStyle w:val="69"/>
              <w:rPr>
                <w:rFonts w:hint="eastAsia"/>
                <w:color w:val="auto"/>
              </w:rPr>
            </w:pPr>
            <w:r>
              <w:rPr>
                <w:color w:val="auto"/>
              </w:rPr>
              <w:t>9</w:t>
            </w:r>
          </w:p>
        </w:tc>
        <w:tc>
          <w:tcPr>
            <w:tcW w:w="532" w:type="pct"/>
            <w:tcBorders>
              <w:top w:val="single" w:color="auto" w:sz="4" w:space="0"/>
              <w:left w:val="single" w:color="auto" w:sz="4" w:space="0"/>
              <w:bottom w:val="single" w:color="auto" w:sz="4" w:space="0"/>
              <w:right w:val="single" w:color="auto" w:sz="4" w:space="0"/>
            </w:tcBorders>
            <w:vAlign w:val="center"/>
          </w:tcPr>
          <w:p w14:paraId="22952C73">
            <w:pPr>
              <w:pStyle w:val="69"/>
              <w:rPr>
                <w:rFonts w:hint="eastAsia"/>
                <w:color w:val="auto"/>
              </w:rPr>
            </w:pPr>
            <w:r>
              <w:rPr>
                <w:rFonts w:hint="eastAsia"/>
                <w:color w:val="auto"/>
              </w:rPr>
              <w:t>办公室</w:t>
            </w:r>
          </w:p>
        </w:tc>
        <w:tc>
          <w:tcPr>
            <w:tcW w:w="4030" w:type="pct"/>
            <w:tcBorders>
              <w:top w:val="single" w:color="auto" w:sz="4" w:space="0"/>
              <w:left w:val="single" w:color="auto" w:sz="4" w:space="0"/>
              <w:bottom w:val="single" w:color="auto" w:sz="4" w:space="0"/>
              <w:right w:val="single" w:color="auto" w:sz="4" w:space="0"/>
            </w:tcBorders>
            <w:vAlign w:val="center"/>
          </w:tcPr>
          <w:p w14:paraId="4FD70986">
            <w:pPr>
              <w:pStyle w:val="67"/>
              <w:ind w:firstLine="420"/>
              <w:rPr>
                <w:rFonts w:hint="eastAsia"/>
                <w:color w:val="auto"/>
              </w:rPr>
            </w:pPr>
            <w:r>
              <w:rPr>
                <w:rFonts w:hint="eastAsia"/>
                <w:color w:val="auto"/>
              </w:rPr>
              <w:t>（1）负责项目综合事务的管理，做好施工现场的安全保卫，后勤管理，对外协调等方面的工作。</w:t>
            </w:r>
          </w:p>
          <w:p w14:paraId="07953A0B">
            <w:pPr>
              <w:pStyle w:val="67"/>
              <w:ind w:firstLine="420"/>
              <w:rPr>
                <w:rFonts w:hint="eastAsia"/>
                <w:color w:val="auto"/>
              </w:rPr>
            </w:pPr>
            <w:r>
              <w:rPr>
                <w:rFonts w:hint="eastAsia"/>
                <w:color w:val="auto"/>
              </w:rPr>
              <w:t>（2）负责项目人员的调动及日常管理；</w:t>
            </w:r>
          </w:p>
          <w:p w14:paraId="02E05BBE">
            <w:pPr>
              <w:pStyle w:val="67"/>
              <w:ind w:firstLine="420"/>
              <w:rPr>
                <w:rFonts w:hint="eastAsia"/>
                <w:color w:val="auto"/>
              </w:rPr>
            </w:pPr>
            <w:r>
              <w:rPr>
                <w:rFonts w:hint="eastAsia"/>
                <w:color w:val="auto"/>
              </w:rPr>
              <w:t>（3）负责项目所有来往书信、文件、图纸、电子邮件、影像资料的收发、签转、打印、登记、归档工作；</w:t>
            </w:r>
          </w:p>
          <w:p w14:paraId="742C2DC9">
            <w:pPr>
              <w:pStyle w:val="67"/>
              <w:ind w:firstLine="420"/>
              <w:rPr>
                <w:rFonts w:hint="eastAsia"/>
                <w:color w:val="auto"/>
              </w:rPr>
            </w:pPr>
            <w:r>
              <w:rPr>
                <w:rFonts w:hint="eastAsia"/>
                <w:color w:val="auto"/>
              </w:rPr>
              <w:t>（4）建立文件分级传阅保密制度；</w:t>
            </w:r>
          </w:p>
          <w:p w14:paraId="5DE566D7">
            <w:pPr>
              <w:pStyle w:val="67"/>
              <w:ind w:firstLine="420"/>
              <w:rPr>
                <w:rFonts w:hint="eastAsia"/>
                <w:color w:val="auto"/>
              </w:rPr>
            </w:pPr>
            <w:r>
              <w:rPr>
                <w:rFonts w:hint="eastAsia"/>
                <w:color w:val="auto"/>
              </w:rPr>
              <w:t>（5）建立文档传阅流程，确保文件传阅安全、可靠,归档及时、完整，严格控制文件拷贝；</w:t>
            </w:r>
          </w:p>
          <w:p w14:paraId="44A72963">
            <w:pPr>
              <w:pStyle w:val="67"/>
              <w:ind w:firstLine="420"/>
              <w:rPr>
                <w:rFonts w:hint="eastAsia"/>
                <w:color w:val="auto"/>
              </w:rPr>
            </w:pPr>
            <w:r>
              <w:rPr>
                <w:rFonts w:hint="eastAsia"/>
                <w:color w:val="auto"/>
              </w:rPr>
              <w:t>（6）负责宣传接待等对外事务工作；</w:t>
            </w:r>
          </w:p>
          <w:p w14:paraId="5BEB884A">
            <w:pPr>
              <w:pStyle w:val="67"/>
              <w:ind w:firstLine="420"/>
              <w:rPr>
                <w:rFonts w:hint="eastAsia"/>
                <w:color w:val="auto"/>
              </w:rPr>
            </w:pPr>
            <w:r>
              <w:rPr>
                <w:rFonts w:hint="eastAsia"/>
                <w:color w:val="auto"/>
              </w:rPr>
              <w:t>（7）负责项目的后勤服务工作及对所有分包商相关工作的管理。</w:t>
            </w:r>
          </w:p>
        </w:tc>
      </w:tr>
    </w:tbl>
    <w:p w14:paraId="0A6B64E1">
      <w:pPr>
        <w:pStyle w:val="4"/>
        <w:ind w:firstLine="482"/>
        <w:rPr>
          <w:color w:val="auto"/>
        </w:rPr>
      </w:pPr>
      <w:bookmarkStart w:id="77" w:name="_Toc14746"/>
      <w:bookmarkStart w:id="78" w:name="_Toc531112478"/>
      <w:r>
        <w:rPr>
          <w:rFonts w:hint="eastAsia"/>
          <w:color w:val="auto"/>
        </w:rPr>
        <w:t>施工流水段的划分及施工工艺流程</w:t>
      </w:r>
      <w:bookmarkEnd w:id="77"/>
      <w:bookmarkEnd w:id="78"/>
    </w:p>
    <w:p w14:paraId="5509C1E9">
      <w:pPr>
        <w:pStyle w:val="5"/>
        <w:rPr>
          <w:color w:val="auto"/>
        </w:rPr>
      </w:pPr>
      <w:bookmarkStart w:id="79" w:name="_Toc20103"/>
      <w:r>
        <w:rPr>
          <w:rFonts w:hint="eastAsia"/>
          <w:color w:val="auto"/>
        </w:rPr>
        <w:t>施工平面划分及流水</w:t>
      </w:r>
      <w:bookmarkEnd w:id="79"/>
    </w:p>
    <w:p w14:paraId="7260EDFE">
      <w:pPr>
        <w:rPr>
          <w:color w:val="auto"/>
        </w:rPr>
      </w:pPr>
      <w:r>
        <w:rPr>
          <w:rFonts w:hint="eastAsia"/>
          <w:color w:val="auto"/>
        </w:rPr>
        <w:t>基坑支护阶段，将支护桩划分为1~4区，每个区平行施工，优先插入1区支护桩施工；将工程桩划分为ABC三个区，每个区平行施工，优先插入A区工程桩施工。具体见下图：</w:t>
      </w:r>
    </w:p>
    <w:p w14:paraId="0B972E20">
      <w:pPr>
        <w:jc w:val="center"/>
        <w:rPr>
          <w:color w:val="auto"/>
        </w:rPr>
      </w:pPr>
      <w:r>
        <w:rPr>
          <w:color w:val="auto"/>
        </w:rPr>
        <w:drawing>
          <wp:inline distT="0" distB="0" distL="0" distR="0">
            <wp:extent cx="3634105" cy="3752850"/>
            <wp:effectExtent l="0" t="0" r="4445" b="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35"/>
                    <a:stretch>
                      <a:fillRect/>
                    </a:stretch>
                  </pic:blipFill>
                  <pic:spPr>
                    <a:xfrm>
                      <a:off x="0" y="0"/>
                      <a:ext cx="3644105" cy="3762557"/>
                    </a:xfrm>
                    <a:prstGeom prst="rect">
                      <a:avLst/>
                    </a:prstGeom>
                  </pic:spPr>
                </pic:pic>
              </a:graphicData>
            </a:graphic>
          </wp:inline>
        </w:drawing>
      </w:r>
    </w:p>
    <w:p w14:paraId="41D1370D">
      <w:pPr>
        <w:pStyle w:val="53"/>
        <w:rPr>
          <w:color w:val="auto"/>
        </w:rPr>
      </w:pPr>
      <w:r>
        <w:rPr>
          <w:color w:val="auto"/>
        </w:rPr>
        <w:t>施工流水段划分图</w:t>
      </w:r>
    </w:p>
    <w:p w14:paraId="1239B4C2">
      <w:pPr>
        <w:rPr>
          <w:color w:val="auto"/>
        </w:rPr>
      </w:pPr>
      <w:r>
        <w:rPr>
          <w:rFonts w:hint="eastAsia"/>
          <w:color w:val="auto"/>
        </w:rPr>
        <w:t>土石方开挖阶段：将该阶段划分为ABC三个区，每个区平行施工；</w:t>
      </w:r>
    </w:p>
    <w:p w14:paraId="4AD83172">
      <w:pPr>
        <w:jc w:val="center"/>
        <w:rPr>
          <w:color w:val="auto"/>
        </w:rPr>
      </w:pPr>
      <w:r>
        <w:rPr>
          <w:color w:val="auto"/>
        </w:rPr>
        <w:drawing>
          <wp:inline distT="0" distB="0" distL="0" distR="0">
            <wp:extent cx="3767455" cy="3505200"/>
            <wp:effectExtent l="0" t="0" r="4445" b="0"/>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36"/>
                    <a:stretch>
                      <a:fillRect/>
                    </a:stretch>
                  </pic:blipFill>
                  <pic:spPr>
                    <a:xfrm>
                      <a:off x="0" y="0"/>
                      <a:ext cx="3775843" cy="3512525"/>
                    </a:xfrm>
                    <a:prstGeom prst="rect">
                      <a:avLst/>
                    </a:prstGeom>
                  </pic:spPr>
                </pic:pic>
              </a:graphicData>
            </a:graphic>
          </wp:inline>
        </w:drawing>
      </w:r>
    </w:p>
    <w:p w14:paraId="62EDBA61">
      <w:pPr>
        <w:pStyle w:val="53"/>
        <w:rPr>
          <w:color w:val="auto"/>
        </w:rPr>
      </w:pPr>
      <w:r>
        <w:rPr>
          <w:color w:val="auto"/>
        </w:rPr>
        <w:t>施工流水段划分图</w:t>
      </w:r>
    </w:p>
    <w:p w14:paraId="5513FE84">
      <w:pPr>
        <w:jc w:val="left"/>
        <w:rPr>
          <w:color w:val="auto"/>
        </w:rPr>
      </w:pPr>
      <w:r>
        <w:rPr>
          <w:rFonts w:hint="eastAsia"/>
          <w:color w:val="auto"/>
        </w:rPr>
        <w:t>地下室施工阶段：划分为3个大区，并根据后浇带划分为16个仓块，进行跳仓施工段，顺序为：</w:t>
      </w:r>
      <w:r>
        <w:rPr>
          <w:rFonts w:hint="eastAsia"/>
          <w:color w:val="auto"/>
        </w:rPr>
        <w:cr/>
      </w:r>
      <w:r>
        <w:rPr>
          <w:color w:val="auto"/>
        </w:rPr>
        <w:t xml:space="preserve">     </w:t>
      </w:r>
      <w:r>
        <w:rPr>
          <w:rFonts w:hint="eastAsia"/>
          <w:color w:val="auto"/>
        </w:rPr>
        <w:t>①队伍1：B-2仓→A-7仓→A-5仓→A-4仓→A-6仓及A-2仓→A-3仓→B-3仓→A-1仓→B-4仓</w:t>
      </w:r>
    </w:p>
    <w:p w14:paraId="7B1801A4">
      <w:pPr>
        <w:jc w:val="left"/>
        <w:rPr>
          <w:color w:val="auto"/>
        </w:rPr>
      </w:pPr>
      <w:r>
        <w:rPr>
          <w:rFonts w:hint="eastAsia"/>
          <w:color w:val="auto"/>
        </w:rPr>
        <w:t xml:space="preserve"> ②队伍2：C-5仓→C-3仓→C-2仓及C-4仓→C-1仓→B-1仓</w:t>
      </w:r>
      <w:r>
        <w:rPr>
          <w:color w:val="auto"/>
        </w:rPr>
        <w:cr/>
      </w:r>
    </w:p>
    <w:p w14:paraId="6303DBCC">
      <w:pPr>
        <w:jc w:val="center"/>
        <w:rPr>
          <w:color w:val="auto"/>
        </w:rPr>
      </w:pPr>
      <w:r>
        <w:rPr>
          <w:color w:val="auto"/>
        </w:rPr>
        <w:drawing>
          <wp:inline distT="0" distB="0" distL="0" distR="0">
            <wp:extent cx="2914015" cy="2600325"/>
            <wp:effectExtent l="0" t="0" r="635" b="0"/>
            <wp:docPr id="2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5"/>
                    <pic:cNvPicPr>
                      <a:picLocks noChangeAspect="1"/>
                    </pic:cNvPicPr>
                  </pic:nvPicPr>
                  <pic:blipFill>
                    <a:blip r:embed="rId37"/>
                    <a:stretch>
                      <a:fillRect/>
                    </a:stretch>
                  </pic:blipFill>
                  <pic:spPr>
                    <a:xfrm>
                      <a:off x="0" y="0"/>
                      <a:ext cx="2926208" cy="2610663"/>
                    </a:xfrm>
                    <a:prstGeom prst="rect">
                      <a:avLst/>
                    </a:prstGeom>
                  </pic:spPr>
                </pic:pic>
              </a:graphicData>
            </a:graphic>
          </wp:inline>
        </w:drawing>
      </w:r>
    </w:p>
    <w:p w14:paraId="26141E9E">
      <w:pPr>
        <w:pStyle w:val="53"/>
        <w:rPr>
          <w:color w:val="auto"/>
        </w:rPr>
      </w:pPr>
      <w:r>
        <w:rPr>
          <w:color w:val="auto"/>
        </w:rPr>
        <w:t>施工流水段划分图</w:t>
      </w:r>
    </w:p>
    <w:p w14:paraId="6CE75063">
      <w:pPr>
        <w:rPr>
          <w:color w:val="auto"/>
        </w:rPr>
      </w:pPr>
      <w:r>
        <w:rPr>
          <w:rFonts w:hint="eastAsia"/>
          <w:color w:val="auto"/>
        </w:rPr>
        <w:t>主体结构施工阶段：将主楼及裙楼划分为4个区，整体施工顺序：教学楼北楼→教学楼南楼→综合服务楼→会议中心。</w:t>
      </w:r>
      <w:r>
        <w:rPr>
          <w:color w:val="auto"/>
        </w:rPr>
        <w:cr/>
      </w:r>
    </w:p>
    <w:p w14:paraId="0103E0A0">
      <w:pPr>
        <w:jc w:val="center"/>
        <w:rPr>
          <w:color w:val="auto"/>
        </w:rPr>
      </w:pPr>
      <w:r>
        <w:rPr>
          <w:color w:val="auto"/>
        </w:rPr>
        <w:drawing>
          <wp:inline distT="0" distB="0" distL="0" distR="0">
            <wp:extent cx="2689860" cy="2543175"/>
            <wp:effectExtent l="0" t="0" r="0" b="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38"/>
                    <a:stretch>
                      <a:fillRect/>
                    </a:stretch>
                  </pic:blipFill>
                  <pic:spPr>
                    <a:xfrm>
                      <a:off x="0" y="0"/>
                      <a:ext cx="2706020" cy="2558142"/>
                    </a:xfrm>
                    <a:prstGeom prst="rect">
                      <a:avLst/>
                    </a:prstGeom>
                  </pic:spPr>
                </pic:pic>
              </a:graphicData>
            </a:graphic>
          </wp:inline>
        </w:drawing>
      </w:r>
    </w:p>
    <w:p w14:paraId="0CCD1AF1">
      <w:pPr>
        <w:pStyle w:val="53"/>
        <w:rPr>
          <w:color w:val="auto"/>
        </w:rPr>
      </w:pPr>
      <w:r>
        <w:rPr>
          <w:color w:val="auto"/>
        </w:rPr>
        <w:t>施工流水段划分图</w:t>
      </w:r>
    </w:p>
    <w:p w14:paraId="338F4799">
      <w:pPr>
        <w:pStyle w:val="5"/>
        <w:rPr>
          <w:color w:val="auto"/>
        </w:rPr>
      </w:pPr>
      <w:bookmarkStart w:id="80" w:name="_Toc32482"/>
      <w:r>
        <w:rPr>
          <w:rFonts w:hint="eastAsia"/>
          <w:color w:val="auto"/>
        </w:rPr>
        <w:t>施工工艺流程</w:t>
      </w:r>
      <w:bookmarkEnd w:id="80"/>
    </w:p>
    <w:p w14:paraId="1ABA98D4">
      <w:pPr>
        <w:rPr>
          <w:color w:val="auto"/>
        </w:rPr>
      </w:pPr>
      <w:r>
        <w:rPr>
          <w:rFonts w:hint="eastAsia"/>
          <w:color w:val="auto"/>
        </w:rPr>
        <w:t>根据本工程整体施工特点，需加快前期桩基、地下室结构及主体结构施工，后期室内公共精装修及专业设备安装等将是本工程后期施工的关键，合理、及时插入施工是确保工程整体投入使用的关键。</w:t>
      </w:r>
    </w:p>
    <w:p w14:paraId="0385CFDA">
      <w:pPr>
        <w:pStyle w:val="6"/>
        <w:ind w:firstLine="480"/>
        <w:rPr>
          <w:color w:val="auto"/>
        </w:rPr>
      </w:pPr>
      <w:r>
        <w:rPr>
          <w:rFonts w:hint="eastAsia"/>
          <w:color w:val="auto"/>
        </w:rPr>
        <w:t>地下结构施工流程</w:t>
      </w:r>
    </w:p>
    <w:p w14:paraId="3F839D53">
      <w:pPr>
        <w:rPr>
          <w:color w:val="auto"/>
        </w:rPr>
      </w:pPr>
      <w:r>
        <w:rPr>
          <w:rFonts w:hint="eastAsia"/>
          <w:color w:val="auto"/>
        </w:rPr>
        <w:t>桩基施工（含桩基检测）→基坑开挖→基坑支护→垫层浇筑、承台砖胎膜砌筑→砖胎模侧壁抹灰→底板防水及桩头防水→防水保护层→底板钢筋绑扎→底板插筋安装→底板侧模安装及混凝土浇筑→地下室各层剪力墙、柱钢筋绑扎→地下室各层满堂架支设→地下室各层模板安装→地下室各层剪力墙、柱、顶板混凝土浇筑。</w:t>
      </w:r>
    </w:p>
    <w:p w14:paraId="3737410C">
      <w:pPr>
        <w:pStyle w:val="6"/>
        <w:ind w:firstLine="480"/>
        <w:rPr>
          <w:color w:val="auto"/>
        </w:rPr>
      </w:pPr>
      <w:r>
        <w:rPr>
          <w:rFonts w:hint="eastAsia"/>
          <w:color w:val="auto"/>
        </w:rPr>
        <w:t>地上结构施工流程</w:t>
      </w:r>
    </w:p>
    <w:p w14:paraId="5DC73AE1">
      <w:pPr>
        <w:pStyle w:val="49"/>
        <w:rPr>
          <w:rFonts w:hint="eastAsia"/>
          <w:color w:val="auto"/>
        </w:rPr>
      </w:pPr>
      <w:r>
        <w:rPr>
          <w:color w:val="auto"/>
        </w:rPr>
        <w:drawing>
          <wp:inline distT="0" distB="0" distL="0" distR="0">
            <wp:extent cx="3936365" cy="4037330"/>
            <wp:effectExtent l="0" t="0" r="6985" b="12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39" cstate="print">
                      <a:extLst>
                        <a:ext uri="{28A0092B-C50C-407E-A947-70E740481C1C}">
                          <a14:useLocalDpi xmlns:a14="http://schemas.microsoft.com/office/drawing/2010/main" val="0"/>
                        </a:ext>
                      </a:extLst>
                    </a:blip>
                    <a:srcRect l="3827" t="-1054" r="-545" b="1953"/>
                    <a:stretch>
                      <a:fillRect/>
                    </a:stretch>
                  </pic:blipFill>
                  <pic:spPr>
                    <a:xfrm>
                      <a:off x="0" y="0"/>
                      <a:ext cx="3956417" cy="4057864"/>
                    </a:xfrm>
                    <a:prstGeom prst="rect">
                      <a:avLst/>
                    </a:prstGeom>
                    <a:noFill/>
                    <a:ln>
                      <a:noFill/>
                    </a:ln>
                  </pic:spPr>
                </pic:pic>
              </a:graphicData>
            </a:graphic>
          </wp:inline>
        </w:drawing>
      </w:r>
    </w:p>
    <w:p w14:paraId="3F2ABB8E">
      <w:pPr>
        <w:pStyle w:val="53"/>
        <w:rPr>
          <w:color w:val="auto"/>
        </w:rPr>
        <w:sectPr>
          <w:headerReference r:id="rId20" w:type="default"/>
          <w:pgSz w:w="11906" w:h="16838"/>
          <w:pgMar w:top="1440" w:right="1361" w:bottom="1440" w:left="1701" w:header="851" w:footer="992" w:gutter="0"/>
          <w:cols w:space="425" w:num="1"/>
          <w:docGrid w:type="lines" w:linePitch="326" w:charSpace="0"/>
        </w:sectPr>
      </w:pPr>
      <w:r>
        <w:rPr>
          <w:rFonts w:hint="eastAsia"/>
          <w:color w:val="auto"/>
        </w:rPr>
        <w:t>地上结构施工流程</w:t>
      </w:r>
    </w:p>
    <w:p w14:paraId="656A0D0D">
      <w:pPr>
        <w:pStyle w:val="4"/>
        <w:ind w:firstLine="482"/>
        <w:rPr>
          <w:color w:val="auto"/>
        </w:rPr>
      </w:pPr>
      <w:bookmarkStart w:id="81" w:name="_Toc21723"/>
      <w:bookmarkStart w:id="82" w:name="_Toc531112479"/>
      <w:r>
        <w:rPr>
          <w:rFonts w:hint="eastAsia"/>
          <w:color w:val="auto"/>
        </w:rPr>
        <w:t>招采策划</w:t>
      </w:r>
      <w:bookmarkEnd w:id="81"/>
    </w:p>
    <w:p w14:paraId="30839D17">
      <w:pPr>
        <w:pStyle w:val="5"/>
        <w:rPr>
          <w:color w:val="auto"/>
        </w:rPr>
      </w:pPr>
      <w:bookmarkStart w:id="83" w:name="_Toc16516"/>
      <w:r>
        <w:rPr>
          <w:rFonts w:hint="eastAsia"/>
          <w:color w:val="auto"/>
        </w:rPr>
        <w:t>招采策划大纲</w:t>
      </w:r>
      <w:bookmarkEnd w:id="83"/>
    </w:p>
    <w:tbl>
      <w:tblPr>
        <w:tblStyle w:val="29"/>
        <w:tblW w:w="172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5" w:type="dxa"/>
          <w:left w:w="108" w:type="dxa"/>
          <w:bottom w:w="0" w:type="dxa"/>
          <w:right w:w="108" w:type="dxa"/>
        </w:tblCellMar>
      </w:tblPr>
      <w:tblGrid>
        <w:gridCol w:w="704"/>
        <w:gridCol w:w="3544"/>
        <w:gridCol w:w="13042"/>
      </w:tblGrid>
      <w:tr w14:paraId="41B9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135" w:hRule="atLeast"/>
          <w:jc w:val="center"/>
        </w:trPr>
        <w:tc>
          <w:tcPr>
            <w:tcW w:w="704" w:type="dxa"/>
            <w:noWrap/>
            <w:vAlign w:val="center"/>
          </w:tcPr>
          <w:p w14:paraId="442E4E60">
            <w:pPr>
              <w:widowControl/>
              <w:spacing w:line="240" w:lineRule="auto"/>
              <w:ind w:firstLine="0" w:firstLineChars="0"/>
              <w:jc w:val="center"/>
              <w:rPr>
                <w:rFonts w:hint="eastAsia" w:ascii="宋体" w:hAnsi="宋体" w:cs="宋体"/>
                <w:b/>
                <w:bCs/>
                <w:color w:val="auto"/>
                <w:kern w:val="0"/>
                <w:szCs w:val="24"/>
              </w:rPr>
            </w:pPr>
            <w:r>
              <w:rPr>
                <w:rFonts w:hint="eastAsia" w:ascii="宋体" w:hAnsi="宋体" w:cs="宋体"/>
                <w:b/>
                <w:bCs/>
                <w:color w:val="auto"/>
                <w:kern w:val="0"/>
                <w:szCs w:val="24"/>
              </w:rPr>
              <w:t>序号</w:t>
            </w:r>
          </w:p>
        </w:tc>
        <w:tc>
          <w:tcPr>
            <w:tcW w:w="3544" w:type="dxa"/>
            <w:vAlign w:val="center"/>
          </w:tcPr>
          <w:p w14:paraId="3F819C9B">
            <w:pPr>
              <w:widowControl/>
              <w:spacing w:line="240" w:lineRule="auto"/>
              <w:ind w:firstLine="0" w:firstLineChars="0"/>
              <w:jc w:val="center"/>
              <w:rPr>
                <w:rFonts w:hint="eastAsia" w:ascii="宋体" w:hAnsi="宋体" w:cs="宋体"/>
                <w:b/>
                <w:bCs/>
                <w:color w:val="auto"/>
                <w:kern w:val="0"/>
                <w:szCs w:val="24"/>
              </w:rPr>
            </w:pPr>
            <w:r>
              <w:rPr>
                <w:rFonts w:hint="eastAsia" w:ascii="宋体" w:hAnsi="宋体" w:cs="宋体"/>
                <w:b/>
                <w:bCs/>
                <w:color w:val="auto"/>
                <w:kern w:val="0"/>
                <w:szCs w:val="24"/>
              </w:rPr>
              <w:t>策划内容</w:t>
            </w:r>
          </w:p>
        </w:tc>
        <w:tc>
          <w:tcPr>
            <w:tcW w:w="13042" w:type="dxa"/>
            <w:noWrap/>
            <w:vAlign w:val="center"/>
          </w:tcPr>
          <w:p w14:paraId="6A61B714">
            <w:pPr>
              <w:widowControl/>
              <w:spacing w:line="240" w:lineRule="auto"/>
              <w:ind w:firstLine="0" w:firstLineChars="0"/>
              <w:jc w:val="center"/>
              <w:rPr>
                <w:rFonts w:hint="eastAsia" w:ascii="宋体" w:hAnsi="宋体" w:cs="宋体"/>
                <w:b/>
                <w:bCs/>
                <w:color w:val="auto"/>
                <w:kern w:val="0"/>
                <w:szCs w:val="24"/>
              </w:rPr>
            </w:pPr>
            <w:r>
              <w:rPr>
                <w:rFonts w:hint="eastAsia" w:ascii="宋体" w:hAnsi="宋体" w:cs="宋体"/>
                <w:b/>
                <w:bCs/>
                <w:color w:val="auto"/>
                <w:kern w:val="0"/>
                <w:szCs w:val="24"/>
              </w:rPr>
              <w:t>策划明细</w:t>
            </w:r>
          </w:p>
        </w:tc>
      </w:tr>
      <w:tr w14:paraId="2A75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3614" w:hRule="atLeast"/>
          <w:jc w:val="center"/>
        </w:trPr>
        <w:tc>
          <w:tcPr>
            <w:tcW w:w="704" w:type="dxa"/>
            <w:noWrap/>
            <w:vAlign w:val="center"/>
          </w:tcPr>
          <w:p w14:paraId="02826BF2">
            <w:pPr>
              <w:widowControl/>
              <w:spacing w:line="240" w:lineRule="auto"/>
              <w:ind w:firstLine="0" w:firstLineChars="0"/>
              <w:jc w:val="center"/>
              <w:rPr>
                <w:rFonts w:hint="eastAsia" w:ascii="宋体" w:hAnsi="宋体" w:cs="宋体"/>
                <w:color w:val="auto"/>
                <w:kern w:val="0"/>
                <w:szCs w:val="24"/>
              </w:rPr>
            </w:pPr>
            <w:r>
              <w:rPr>
                <w:rFonts w:hint="eastAsia" w:ascii="宋体" w:hAnsi="宋体" w:cs="宋体"/>
                <w:color w:val="auto"/>
                <w:kern w:val="0"/>
                <w:szCs w:val="24"/>
              </w:rPr>
              <w:t>1</w:t>
            </w:r>
          </w:p>
        </w:tc>
        <w:tc>
          <w:tcPr>
            <w:tcW w:w="3544" w:type="dxa"/>
            <w:vAlign w:val="center"/>
          </w:tcPr>
          <w:p w14:paraId="6073C3CE">
            <w:pPr>
              <w:widowControl/>
              <w:spacing w:line="240" w:lineRule="auto"/>
              <w:ind w:firstLine="0" w:firstLineChars="0"/>
              <w:jc w:val="center"/>
              <w:rPr>
                <w:rFonts w:hint="eastAsia" w:ascii="宋体" w:hAnsi="宋体" w:cs="宋体"/>
                <w:color w:val="auto"/>
                <w:kern w:val="0"/>
                <w:szCs w:val="24"/>
              </w:rPr>
            </w:pPr>
            <w:r>
              <w:rPr>
                <w:rFonts w:hint="eastAsia" w:ascii="宋体" w:hAnsi="宋体" w:cs="宋体"/>
                <w:color w:val="auto"/>
                <w:kern w:val="0"/>
                <w:szCs w:val="24"/>
              </w:rPr>
              <w:t>合约包划分及调整情况</w:t>
            </w:r>
          </w:p>
        </w:tc>
        <w:tc>
          <w:tcPr>
            <w:tcW w:w="13042" w:type="dxa"/>
            <w:vAlign w:val="center"/>
          </w:tcPr>
          <w:p w14:paraId="542BAC13">
            <w:pPr>
              <w:widowControl/>
              <w:spacing w:line="240" w:lineRule="auto"/>
              <w:jc w:val="left"/>
              <w:rPr>
                <w:rFonts w:hint="eastAsia" w:ascii="宋体" w:hAnsi="宋体" w:cs="宋体"/>
                <w:color w:val="auto"/>
                <w:kern w:val="0"/>
                <w:szCs w:val="24"/>
              </w:rPr>
            </w:pPr>
            <w:r>
              <w:rPr>
                <w:rFonts w:hint="eastAsia" w:ascii="宋体" w:hAnsi="宋体" w:cs="宋体"/>
                <w:color w:val="auto"/>
                <w:kern w:val="0"/>
                <w:szCs w:val="24"/>
              </w:rPr>
              <w:t>经过梳理，项目合约包有58项，劳务分包4项，专业分包31项，甲分包6项，物资分包12项，设备分包5项。</w:t>
            </w:r>
            <w:r>
              <w:rPr>
                <w:rFonts w:hint="eastAsia" w:ascii="宋体" w:hAnsi="宋体" w:cs="宋体"/>
                <w:color w:val="auto"/>
                <w:kern w:val="0"/>
                <w:szCs w:val="24"/>
              </w:rPr>
              <w:br w:type="textWrapping"/>
            </w:r>
            <w:r>
              <w:rPr>
                <w:rFonts w:hint="eastAsia" w:ascii="宋体" w:hAnsi="宋体" w:cs="宋体"/>
                <w:color w:val="auto"/>
                <w:kern w:val="0"/>
                <w:szCs w:val="24"/>
              </w:rPr>
              <w:t>劳务分包为：1、临建工程；2、外架工程；3、主体结构工程；4、砌体二次结构及初装修工程</w:t>
            </w:r>
            <w:r>
              <w:rPr>
                <w:rFonts w:hint="eastAsia" w:ascii="宋体" w:hAnsi="宋体" w:cs="宋体"/>
                <w:color w:val="auto"/>
                <w:kern w:val="0"/>
                <w:szCs w:val="24"/>
              </w:rPr>
              <w:br w:type="textWrapping"/>
            </w:r>
            <w:r>
              <w:rPr>
                <w:rFonts w:hint="eastAsia" w:ascii="宋体" w:hAnsi="宋体" w:cs="宋体"/>
                <w:color w:val="auto"/>
                <w:kern w:val="0"/>
                <w:szCs w:val="24"/>
              </w:rPr>
              <w:t>专业分包为：1.保温工程；2.防水工程；3.人防；4.主材检测；5.智慧工地；6.BIM应用；7.轻质隔墙；8.桩基工程；9.弱电；10.智能化；11.空调及通风；12.电梯；13.教具；14.厨具；15.充电桩；16.舞台；17.泳池；18.柴油发电机；19.饮水机；20.太阳能热水系统；21.标识标牌；22.停车管理；23.钢结构；24.体育设施；25.变压器/高低压配电箱；26.场地清表工程；27.篮球场、足球场、排球场；28.400m田径跑道；29.窗帘+不锈钢防格栅盗窗等；30.主席台、看台。31.防火门。</w:t>
            </w:r>
            <w:r>
              <w:rPr>
                <w:rFonts w:hint="eastAsia" w:ascii="宋体" w:hAnsi="宋体" w:cs="宋体"/>
                <w:color w:val="auto"/>
                <w:kern w:val="0"/>
                <w:szCs w:val="24"/>
              </w:rPr>
              <w:br w:type="textWrapping"/>
            </w:r>
            <w:r>
              <w:rPr>
                <w:rFonts w:hint="eastAsia" w:ascii="宋体" w:hAnsi="宋体" w:cs="宋体"/>
                <w:color w:val="auto"/>
                <w:kern w:val="0"/>
                <w:szCs w:val="24"/>
              </w:rPr>
              <w:t>甲分包：1.土方及基坑支护；2.室外工程（园林、供电外线接入）；3.强电、给排水；4.消防工程；5.外装；6.精装修。</w:t>
            </w:r>
            <w:r>
              <w:rPr>
                <w:rFonts w:hint="eastAsia" w:ascii="宋体" w:hAnsi="宋体" w:cs="宋体"/>
                <w:color w:val="auto"/>
                <w:kern w:val="0"/>
                <w:szCs w:val="24"/>
              </w:rPr>
              <w:br w:type="textWrapping"/>
            </w:r>
            <w:r>
              <w:rPr>
                <w:rFonts w:hint="eastAsia" w:ascii="宋体" w:hAnsi="宋体" w:cs="宋体"/>
                <w:color w:val="auto"/>
                <w:kern w:val="0"/>
                <w:szCs w:val="24"/>
              </w:rPr>
              <w:t>物资采购为：1、钢筋；2、混凝土；3、板房、集装箱；4、料具；5.普通混凝土空心砌块、灰砂砖、空心砖、加气块；6、装配式；7、水泥；8、商品砂浆；9、零星材料；10、外加剂；11、挤塑板、止水钢板、沟盖板；12、钢丝网、钢板网、安全网等；</w:t>
            </w:r>
            <w:r>
              <w:rPr>
                <w:rFonts w:hint="eastAsia" w:ascii="宋体" w:hAnsi="宋体" w:cs="宋体"/>
                <w:color w:val="auto"/>
                <w:kern w:val="0"/>
                <w:szCs w:val="24"/>
              </w:rPr>
              <w:br w:type="textWrapping"/>
            </w:r>
            <w:r>
              <w:rPr>
                <w:rFonts w:hint="eastAsia" w:ascii="宋体" w:hAnsi="宋体" w:cs="宋体"/>
                <w:color w:val="auto"/>
                <w:kern w:val="0"/>
                <w:szCs w:val="24"/>
              </w:rPr>
              <w:t>设备分包为：1.塔吊；2、施工电梯（含物料提升机）；3、汽车泵、车载泵；4、运输车/汽车吊；5、其他零星机械。</w:t>
            </w:r>
          </w:p>
        </w:tc>
      </w:tr>
      <w:tr w14:paraId="7E161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1261" w:hRule="atLeast"/>
          <w:jc w:val="center"/>
        </w:trPr>
        <w:tc>
          <w:tcPr>
            <w:tcW w:w="704" w:type="dxa"/>
            <w:noWrap/>
            <w:vAlign w:val="center"/>
          </w:tcPr>
          <w:p w14:paraId="6DDF5190">
            <w:pPr>
              <w:widowControl/>
              <w:spacing w:line="240" w:lineRule="auto"/>
              <w:ind w:firstLine="0" w:firstLineChars="0"/>
              <w:jc w:val="center"/>
              <w:rPr>
                <w:rFonts w:hint="eastAsia" w:ascii="宋体" w:hAnsi="宋体" w:cs="宋体"/>
                <w:color w:val="auto"/>
                <w:kern w:val="0"/>
                <w:szCs w:val="24"/>
              </w:rPr>
            </w:pPr>
            <w:r>
              <w:rPr>
                <w:rFonts w:hint="eastAsia" w:ascii="宋体" w:hAnsi="宋体" w:cs="宋体"/>
                <w:color w:val="auto"/>
                <w:kern w:val="0"/>
                <w:szCs w:val="24"/>
              </w:rPr>
              <w:t>2</w:t>
            </w:r>
          </w:p>
        </w:tc>
        <w:tc>
          <w:tcPr>
            <w:tcW w:w="3544" w:type="dxa"/>
            <w:vAlign w:val="center"/>
          </w:tcPr>
          <w:p w14:paraId="2B48EB43">
            <w:pPr>
              <w:widowControl/>
              <w:spacing w:line="240" w:lineRule="auto"/>
              <w:ind w:firstLine="0" w:firstLineChars="0"/>
              <w:jc w:val="center"/>
              <w:rPr>
                <w:rFonts w:hint="eastAsia" w:ascii="宋体" w:hAnsi="宋体" w:cs="宋体"/>
                <w:color w:val="auto"/>
                <w:kern w:val="0"/>
                <w:szCs w:val="24"/>
              </w:rPr>
            </w:pPr>
            <w:r>
              <w:rPr>
                <w:rFonts w:hint="eastAsia" w:ascii="宋体" w:hAnsi="宋体" w:cs="宋体"/>
                <w:color w:val="auto"/>
                <w:kern w:val="0"/>
                <w:szCs w:val="24"/>
              </w:rPr>
              <w:t>整体招采计划编制情况</w:t>
            </w:r>
          </w:p>
        </w:tc>
        <w:tc>
          <w:tcPr>
            <w:tcW w:w="13042" w:type="dxa"/>
            <w:vAlign w:val="center"/>
          </w:tcPr>
          <w:p w14:paraId="27763D30">
            <w:pPr>
              <w:widowControl/>
              <w:spacing w:line="240" w:lineRule="auto"/>
              <w:ind w:firstLine="0" w:firstLineChars="0"/>
              <w:jc w:val="left"/>
              <w:rPr>
                <w:rFonts w:hint="eastAsia" w:ascii="宋体" w:hAnsi="宋体" w:cs="宋体"/>
                <w:color w:val="auto"/>
                <w:kern w:val="0"/>
                <w:szCs w:val="24"/>
              </w:rPr>
            </w:pPr>
            <w:r>
              <w:rPr>
                <w:rFonts w:hint="eastAsia" w:ascii="宋体" w:hAnsi="宋体" w:cs="宋体"/>
                <w:color w:val="auto"/>
                <w:kern w:val="0"/>
                <w:szCs w:val="24"/>
              </w:rPr>
              <w:t>1、项目整体招采计划结合项目实际情况编制，现场的流水施工、设计院出图顺序；</w:t>
            </w:r>
            <w:r>
              <w:rPr>
                <w:rFonts w:hint="eastAsia" w:ascii="宋体" w:hAnsi="宋体" w:cs="宋体"/>
                <w:color w:val="auto"/>
                <w:kern w:val="0"/>
                <w:szCs w:val="24"/>
              </w:rPr>
              <w:br w:type="textWrapping"/>
            </w:r>
            <w:r>
              <w:rPr>
                <w:rFonts w:hint="eastAsia" w:ascii="宋体" w:hAnsi="宋体" w:cs="宋体"/>
                <w:color w:val="auto"/>
                <w:kern w:val="0"/>
                <w:szCs w:val="24"/>
              </w:rPr>
              <w:t>2、目前设计院图纸滞后，桩基图出了一部分，主体结构图有6、7号楼，导致现在目前招采清单编制有较大问题，比如接下来准备招采弱电、人防、防火等，但是无相应图纸。</w:t>
            </w:r>
            <w:r>
              <w:rPr>
                <w:rFonts w:hint="eastAsia" w:ascii="宋体" w:hAnsi="宋体" w:cs="宋体"/>
                <w:color w:val="auto"/>
                <w:kern w:val="0"/>
                <w:szCs w:val="24"/>
              </w:rPr>
              <w:br w:type="textWrapping"/>
            </w:r>
            <w:r>
              <w:rPr>
                <w:rFonts w:hint="eastAsia" w:ascii="宋体" w:hAnsi="宋体" w:cs="宋体"/>
                <w:color w:val="auto"/>
                <w:kern w:val="0"/>
                <w:szCs w:val="24"/>
              </w:rPr>
              <w:t>3、招采前置在缺少图纸的情况下，会导致清单有漏项风险、工程量也无法准确计算。</w:t>
            </w:r>
          </w:p>
        </w:tc>
      </w:tr>
      <w:tr w14:paraId="64C36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08" w:type="dxa"/>
            <w:bottom w:w="0" w:type="dxa"/>
            <w:right w:w="108" w:type="dxa"/>
          </w:tblCellMar>
        </w:tblPrEx>
        <w:trPr>
          <w:trHeight w:val="498" w:hRule="atLeast"/>
          <w:jc w:val="center"/>
        </w:trPr>
        <w:tc>
          <w:tcPr>
            <w:tcW w:w="704" w:type="dxa"/>
            <w:noWrap/>
            <w:vAlign w:val="center"/>
          </w:tcPr>
          <w:p w14:paraId="30992ABD">
            <w:pPr>
              <w:widowControl/>
              <w:spacing w:line="240" w:lineRule="auto"/>
              <w:ind w:firstLine="0" w:firstLineChars="0"/>
              <w:jc w:val="center"/>
              <w:rPr>
                <w:rFonts w:hint="eastAsia" w:ascii="宋体" w:hAnsi="宋体" w:cs="宋体"/>
                <w:color w:val="auto"/>
                <w:kern w:val="0"/>
                <w:szCs w:val="24"/>
              </w:rPr>
            </w:pPr>
            <w:r>
              <w:rPr>
                <w:rFonts w:hint="eastAsia" w:ascii="宋体" w:hAnsi="宋体" w:cs="宋体"/>
                <w:color w:val="auto"/>
                <w:kern w:val="0"/>
                <w:szCs w:val="24"/>
              </w:rPr>
              <w:t>3</w:t>
            </w:r>
          </w:p>
        </w:tc>
        <w:tc>
          <w:tcPr>
            <w:tcW w:w="3544" w:type="dxa"/>
            <w:vAlign w:val="center"/>
          </w:tcPr>
          <w:p w14:paraId="7F096B59">
            <w:pPr>
              <w:widowControl/>
              <w:spacing w:line="240" w:lineRule="auto"/>
              <w:ind w:firstLine="0" w:firstLineChars="0"/>
              <w:jc w:val="center"/>
              <w:rPr>
                <w:rFonts w:hint="eastAsia" w:ascii="宋体" w:hAnsi="宋体" w:cs="宋体"/>
                <w:color w:val="auto"/>
                <w:kern w:val="0"/>
                <w:szCs w:val="24"/>
              </w:rPr>
            </w:pPr>
            <w:r>
              <w:rPr>
                <w:rFonts w:hint="eastAsia" w:ascii="宋体" w:hAnsi="宋体" w:cs="宋体"/>
                <w:color w:val="auto"/>
                <w:kern w:val="0"/>
                <w:szCs w:val="24"/>
              </w:rPr>
              <w:t>重点分包工程的策划指引情况</w:t>
            </w:r>
            <w:r>
              <w:rPr>
                <w:rFonts w:hint="eastAsia" w:ascii="宋体" w:hAnsi="宋体" w:cs="宋体"/>
                <w:color w:val="auto"/>
                <w:kern w:val="0"/>
                <w:szCs w:val="24"/>
              </w:rPr>
              <w:br w:type="textWrapping"/>
            </w:r>
            <w:r>
              <w:rPr>
                <w:rFonts w:hint="eastAsia" w:ascii="宋体" w:hAnsi="宋体" w:cs="宋体"/>
                <w:color w:val="auto"/>
                <w:kern w:val="0"/>
                <w:szCs w:val="24"/>
              </w:rPr>
              <w:t>（含招采前置因素固化）</w:t>
            </w:r>
          </w:p>
        </w:tc>
        <w:tc>
          <w:tcPr>
            <w:tcW w:w="13042" w:type="dxa"/>
            <w:vAlign w:val="center"/>
          </w:tcPr>
          <w:p w14:paraId="27683B9B">
            <w:pPr>
              <w:widowControl/>
              <w:spacing w:line="240" w:lineRule="auto"/>
              <w:ind w:firstLine="0" w:firstLineChars="0"/>
              <w:jc w:val="left"/>
              <w:rPr>
                <w:rFonts w:hint="eastAsia" w:ascii="宋体" w:hAnsi="宋体" w:cs="宋体"/>
                <w:color w:val="auto"/>
                <w:kern w:val="0"/>
                <w:szCs w:val="24"/>
              </w:rPr>
            </w:pPr>
            <w:r>
              <w:rPr>
                <w:rFonts w:hint="eastAsia" w:ascii="宋体" w:hAnsi="宋体" w:cs="宋体"/>
                <w:color w:val="auto"/>
                <w:kern w:val="0"/>
                <w:szCs w:val="24"/>
              </w:rPr>
              <w:t>1、目前教具、厨具、舞台设备等专业分包，需要深化设计后，再指导设计院设计，保证我方的掌握主动权。</w:t>
            </w:r>
            <w:r>
              <w:rPr>
                <w:rFonts w:hint="eastAsia" w:ascii="宋体" w:hAnsi="宋体" w:cs="宋体"/>
                <w:color w:val="auto"/>
                <w:kern w:val="0"/>
                <w:szCs w:val="24"/>
              </w:rPr>
              <w:br w:type="textWrapping"/>
            </w:r>
            <w:r>
              <w:rPr>
                <w:rFonts w:hint="eastAsia" w:ascii="宋体" w:hAnsi="宋体" w:cs="宋体"/>
                <w:color w:val="auto"/>
                <w:kern w:val="0"/>
                <w:szCs w:val="24"/>
              </w:rPr>
              <w:t>2、防水工程在前期进行了材料比选，防水卷材利润中等，但是防水效果好；水泥基防水涂料利润高；最后经过项目商务策划，选择了防水卷材、水泥基涂料、土工布三种组合材料，既保证防水质量，又保证项目利润。</w:t>
            </w:r>
            <w:r>
              <w:rPr>
                <w:rFonts w:hint="eastAsia" w:ascii="宋体" w:hAnsi="宋体" w:cs="宋体"/>
                <w:color w:val="auto"/>
                <w:kern w:val="0"/>
                <w:szCs w:val="24"/>
              </w:rPr>
              <w:br w:type="textWrapping"/>
            </w:r>
            <w:r>
              <w:rPr>
                <w:rFonts w:hint="eastAsia" w:ascii="宋体" w:hAnsi="宋体" w:cs="宋体"/>
                <w:color w:val="auto"/>
                <w:kern w:val="0"/>
                <w:szCs w:val="24"/>
              </w:rPr>
              <w:t>3、柴油发电机等设备的大小目前无法确定，在地下室施工之前，我们需要提前考虑其规格型号情况，进行招采。</w:t>
            </w:r>
          </w:p>
        </w:tc>
      </w:tr>
    </w:tbl>
    <w:p w14:paraId="38AB3B96">
      <w:pPr>
        <w:pStyle w:val="5"/>
        <w:rPr>
          <w:color w:val="auto"/>
        </w:rPr>
      </w:pPr>
      <w:bookmarkStart w:id="84" w:name="_Toc3258"/>
      <w:r>
        <w:rPr>
          <w:rFonts w:hint="eastAsia"/>
          <w:color w:val="auto"/>
        </w:rPr>
        <w:t>招采计划</w:t>
      </w:r>
      <w:bookmarkEnd w:id="84"/>
    </w:p>
    <w:tbl>
      <w:tblPr>
        <w:tblStyle w:val="29"/>
        <w:tblW w:w="13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2160"/>
        <w:gridCol w:w="1760"/>
        <w:gridCol w:w="1760"/>
        <w:gridCol w:w="1760"/>
        <w:gridCol w:w="1760"/>
        <w:gridCol w:w="1760"/>
        <w:gridCol w:w="1760"/>
      </w:tblGrid>
      <w:tr w14:paraId="28C9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blHeader/>
          <w:jc w:val="center"/>
        </w:trPr>
        <w:tc>
          <w:tcPr>
            <w:tcW w:w="1080" w:type="dxa"/>
            <w:vAlign w:val="center"/>
          </w:tcPr>
          <w:p w14:paraId="1C19AFB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序号</w:t>
            </w:r>
          </w:p>
        </w:tc>
        <w:tc>
          <w:tcPr>
            <w:tcW w:w="2160" w:type="dxa"/>
            <w:vAlign w:val="center"/>
          </w:tcPr>
          <w:p w14:paraId="2076477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一级框架</w:t>
            </w:r>
          </w:p>
        </w:tc>
        <w:tc>
          <w:tcPr>
            <w:tcW w:w="1760" w:type="dxa"/>
            <w:vAlign w:val="center"/>
          </w:tcPr>
          <w:p w14:paraId="749F4C4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二级框架</w:t>
            </w:r>
          </w:p>
        </w:tc>
        <w:tc>
          <w:tcPr>
            <w:tcW w:w="1760" w:type="dxa"/>
            <w:vAlign w:val="center"/>
          </w:tcPr>
          <w:p w14:paraId="1E3D5F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合约名称</w:t>
            </w:r>
          </w:p>
        </w:tc>
        <w:tc>
          <w:tcPr>
            <w:tcW w:w="1760" w:type="dxa"/>
            <w:vAlign w:val="center"/>
          </w:tcPr>
          <w:p w14:paraId="33778F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招采方式</w:t>
            </w:r>
          </w:p>
        </w:tc>
        <w:tc>
          <w:tcPr>
            <w:tcW w:w="1760" w:type="dxa"/>
            <w:vAlign w:val="center"/>
          </w:tcPr>
          <w:p w14:paraId="0CCB7CF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计划开标时间</w:t>
            </w:r>
          </w:p>
        </w:tc>
        <w:tc>
          <w:tcPr>
            <w:tcW w:w="1760" w:type="dxa"/>
            <w:vAlign w:val="center"/>
          </w:tcPr>
          <w:p w14:paraId="758556D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计划进场时间</w:t>
            </w:r>
          </w:p>
        </w:tc>
        <w:tc>
          <w:tcPr>
            <w:tcW w:w="1760" w:type="dxa"/>
            <w:vAlign w:val="center"/>
          </w:tcPr>
          <w:p w14:paraId="176214E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定标单位</w:t>
            </w:r>
          </w:p>
        </w:tc>
      </w:tr>
      <w:tr w14:paraId="5A70D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80" w:type="dxa"/>
            <w:vAlign w:val="center"/>
          </w:tcPr>
          <w:p w14:paraId="61ED6E6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w:t>
            </w:r>
          </w:p>
        </w:tc>
        <w:tc>
          <w:tcPr>
            <w:tcW w:w="2160" w:type="dxa"/>
            <w:vMerge w:val="restart"/>
            <w:vAlign w:val="center"/>
          </w:tcPr>
          <w:p w14:paraId="6CB2806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前期工程</w:t>
            </w:r>
          </w:p>
        </w:tc>
        <w:tc>
          <w:tcPr>
            <w:tcW w:w="1760" w:type="dxa"/>
            <w:vAlign w:val="center"/>
          </w:tcPr>
          <w:p w14:paraId="16F4AE5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劳务分包</w:t>
            </w:r>
          </w:p>
        </w:tc>
        <w:tc>
          <w:tcPr>
            <w:tcW w:w="1760" w:type="dxa"/>
            <w:vAlign w:val="center"/>
          </w:tcPr>
          <w:p w14:paraId="43D1C91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临建劳务</w:t>
            </w:r>
          </w:p>
        </w:tc>
        <w:tc>
          <w:tcPr>
            <w:tcW w:w="1760" w:type="dxa"/>
            <w:vAlign w:val="center"/>
          </w:tcPr>
          <w:p w14:paraId="621BCCF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5F92411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2021.3.15</w:t>
            </w:r>
          </w:p>
        </w:tc>
        <w:tc>
          <w:tcPr>
            <w:tcW w:w="1760" w:type="dxa"/>
            <w:vAlign w:val="center"/>
          </w:tcPr>
          <w:p w14:paraId="08D8261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2021.3.25</w:t>
            </w:r>
          </w:p>
        </w:tc>
        <w:tc>
          <w:tcPr>
            <w:tcW w:w="1760" w:type="dxa"/>
            <w:vAlign w:val="center"/>
          </w:tcPr>
          <w:p w14:paraId="673AEBB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海南荆楚明宇建筑劳务有限公司</w:t>
            </w:r>
          </w:p>
        </w:tc>
      </w:tr>
      <w:tr w14:paraId="4AD59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36248E6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w:t>
            </w:r>
          </w:p>
        </w:tc>
        <w:tc>
          <w:tcPr>
            <w:tcW w:w="2160" w:type="dxa"/>
            <w:vMerge w:val="continue"/>
            <w:vAlign w:val="center"/>
          </w:tcPr>
          <w:p w14:paraId="3378C583">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B3E0B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物资分包</w:t>
            </w:r>
          </w:p>
        </w:tc>
        <w:tc>
          <w:tcPr>
            <w:tcW w:w="1760" w:type="dxa"/>
            <w:vAlign w:val="center"/>
          </w:tcPr>
          <w:p w14:paraId="5641ABB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活动板房供应商</w:t>
            </w:r>
          </w:p>
        </w:tc>
        <w:tc>
          <w:tcPr>
            <w:tcW w:w="1760" w:type="dxa"/>
            <w:vAlign w:val="center"/>
          </w:tcPr>
          <w:p w14:paraId="3064E6F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29FE668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2021.3.26</w:t>
            </w:r>
          </w:p>
        </w:tc>
        <w:tc>
          <w:tcPr>
            <w:tcW w:w="1760" w:type="dxa"/>
            <w:vAlign w:val="center"/>
          </w:tcPr>
          <w:p w14:paraId="1FAF409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2021.4.6</w:t>
            </w:r>
          </w:p>
        </w:tc>
        <w:tc>
          <w:tcPr>
            <w:tcW w:w="1760" w:type="dxa"/>
            <w:vAlign w:val="center"/>
          </w:tcPr>
          <w:p w14:paraId="214E105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中辉绿建</w:t>
            </w:r>
          </w:p>
        </w:tc>
      </w:tr>
      <w:tr w14:paraId="66C2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0" w:type="dxa"/>
            <w:vAlign w:val="center"/>
          </w:tcPr>
          <w:p w14:paraId="7FE255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w:t>
            </w:r>
          </w:p>
        </w:tc>
        <w:tc>
          <w:tcPr>
            <w:tcW w:w="2160" w:type="dxa"/>
            <w:vMerge w:val="continue"/>
            <w:vAlign w:val="center"/>
          </w:tcPr>
          <w:p w14:paraId="28FD08D7">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E48EED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专业分包</w:t>
            </w:r>
          </w:p>
        </w:tc>
        <w:tc>
          <w:tcPr>
            <w:tcW w:w="1760" w:type="dxa"/>
            <w:vAlign w:val="center"/>
          </w:tcPr>
          <w:p w14:paraId="1F001DB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CI</w:t>
            </w:r>
          </w:p>
        </w:tc>
        <w:tc>
          <w:tcPr>
            <w:tcW w:w="1760" w:type="dxa"/>
            <w:vAlign w:val="center"/>
          </w:tcPr>
          <w:p w14:paraId="62813E1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1336CF5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2021.1.20</w:t>
            </w:r>
          </w:p>
        </w:tc>
        <w:tc>
          <w:tcPr>
            <w:tcW w:w="1760" w:type="dxa"/>
            <w:vAlign w:val="center"/>
          </w:tcPr>
          <w:p w14:paraId="38BC38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2021.2.1</w:t>
            </w:r>
          </w:p>
        </w:tc>
        <w:tc>
          <w:tcPr>
            <w:tcW w:w="1760" w:type="dxa"/>
            <w:vAlign w:val="center"/>
          </w:tcPr>
          <w:p w14:paraId="27D663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海口鸿亿广告有限公司</w:t>
            </w:r>
          </w:p>
        </w:tc>
      </w:tr>
      <w:tr w14:paraId="1DBC9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Align w:val="center"/>
          </w:tcPr>
          <w:p w14:paraId="60FE63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w:t>
            </w:r>
          </w:p>
        </w:tc>
        <w:tc>
          <w:tcPr>
            <w:tcW w:w="2160" w:type="dxa"/>
            <w:vMerge w:val="continue"/>
            <w:vAlign w:val="center"/>
          </w:tcPr>
          <w:p w14:paraId="1A414B8B">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55FBD97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服务分包</w:t>
            </w:r>
          </w:p>
        </w:tc>
        <w:tc>
          <w:tcPr>
            <w:tcW w:w="1760" w:type="dxa"/>
            <w:vAlign w:val="center"/>
          </w:tcPr>
          <w:p w14:paraId="39D310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物业服务</w:t>
            </w:r>
          </w:p>
        </w:tc>
        <w:tc>
          <w:tcPr>
            <w:tcW w:w="1760" w:type="dxa"/>
            <w:vAlign w:val="center"/>
          </w:tcPr>
          <w:p w14:paraId="7120C65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1167088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2021.1.20</w:t>
            </w:r>
          </w:p>
        </w:tc>
        <w:tc>
          <w:tcPr>
            <w:tcW w:w="1760" w:type="dxa"/>
            <w:vAlign w:val="center"/>
          </w:tcPr>
          <w:p w14:paraId="38BFBB3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2021.2.1</w:t>
            </w:r>
          </w:p>
        </w:tc>
        <w:tc>
          <w:tcPr>
            <w:tcW w:w="1760" w:type="dxa"/>
            <w:vAlign w:val="center"/>
          </w:tcPr>
          <w:p w14:paraId="2E7D734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海口宏泰物业服务有限公司</w:t>
            </w:r>
          </w:p>
        </w:tc>
      </w:tr>
      <w:tr w14:paraId="378DD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080" w:type="dxa"/>
            <w:vAlign w:val="center"/>
          </w:tcPr>
          <w:p w14:paraId="66EA7F0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w:t>
            </w:r>
          </w:p>
        </w:tc>
        <w:tc>
          <w:tcPr>
            <w:tcW w:w="2160" w:type="dxa"/>
            <w:vMerge w:val="restart"/>
            <w:vAlign w:val="center"/>
          </w:tcPr>
          <w:p w14:paraId="4D188E7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深化设计单位</w:t>
            </w:r>
          </w:p>
        </w:tc>
        <w:tc>
          <w:tcPr>
            <w:tcW w:w="1760" w:type="dxa"/>
            <w:vMerge w:val="restart"/>
            <w:vAlign w:val="center"/>
          </w:tcPr>
          <w:p w14:paraId="421DE0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w:t>
            </w:r>
          </w:p>
        </w:tc>
        <w:tc>
          <w:tcPr>
            <w:tcW w:w="1760" w:type="dxa"/>
            <w:vAlign w:val="center"/>
          </w:tcPr>
          <w:p w14:paraId="0F3DE2A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预制构件</w:t>
            </w:r>
          </w:p>
        </w:tc>
        <w:tc>
          <w:tcPr>
            <w:tcW w:w="1760" w:type="dxa"/>
            <w:vAlign w:val="center"/>
          </w:tcPr>
          <w:p w14:paraId="542C62A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45D0850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2021.6.29</w:t>
            </w:r>
          </w:p>
        </w:tc>
        <w:tc>
          <w:tcPr>
            <w:tcW w:w="1760" w:type="dxa"/>
            <w:vAlign w:val="center"/>
          </w:tcPr>
          <w:p w14:paraId="6B8CC6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2021.7.9</w:t>
            </w:r>
          </w:p>
        </w:tc>
        <w:tc>
          <w:tcPr>
            <w:tcW w:w="1760" w:type="dxa"/>
            <w:vAlign w:val="center"/>
          </w:tcPr>
          <w:p w14:paraId="12AAA5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中建科技徐州有限公司</w:t>
            </w:r>
          </w:p>
        </w:tc>
      </w:tr>
      <w:tr w14:paraId="09A2F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57A273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w:t>
            </w:r>
          </w:p>
        </w:tc>
        <w:tc>
          <w:tcPr>
            <w:tcW w:w="2160" w:type="dxa"/>
            <w:vMerge w:val="continue"/>
            <w:vAlign w:val="center"/>
          </w:tcPr>
          <w:p w14:paraId="0E440FC0">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641CF524">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45F54F5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幕墙深化设计</w:t>
            </w:r>
          </w:p>
        </w:tc>
        <w:tc>
          <w:tcPr>
            <w:tcW w:w="1760" w:type="dxa"/>
            <w:vAlign w:val="center"/>
          </w:tcPr>
          <w:p w14:paraId="6EF2116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579270D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2021.3.18</w:t>
            </w:r>
          </w:p>
        </w:tc>
        <w:tc>
          <w:tcPr>
            <w:tcW w:w="1760" w:type="dxa"/>
            <w:vAlign w:val="center"/>
          </w:tcPr>
          <w:p w14:paraId="28009D0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2021.3.28</w:t>
            </w:r>
          </w:p>
        </w:tc>
        <w:tc>
          <w:tcPr>
            <w:tcW w:w="1760" w:type="dxa"/>
            <w:vAlign w:val="center"/>
          </w:tcPr>
          <w:p w14:paraId="3A95387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羿天设计</w:t>
            </w:r>
          </w:p>
        </w:tc>
      </w:tr>
      <w:tr w14:paraId="4654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080" w:type="dxa"/>
            <w:vAlign w:val="center"/>
          </w:tcPr>
          <w:p w14:paraId="4BCB263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w:t>
            </w:r>
          </w:p>
        </w:tc>
        <w:tc>
          <w:tcPr>
            <w:tcW w:w="2160" w:type="dxa"/>
            <w:vMerge w:val="restart"/>
            <w:vAlign w:val="center"/>
          </w:tcPr>
          <w:p w14:paraId="4B85EE3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土建工程</w:t>
            </w:r>
          </w:p>
        </w:tc>
        <w:tc>
          <w:tcPr>
            <w:tcW w:w="1760" w:type="dxa"/>
            <w:vMerge w:val="restart"/>
            <w:vAlign w:val="center"/>
          </w:tcPr>
          <w:p w14:paraId="6C106C7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劳务分包</w:t>
            </w:r>
          </w:p>
        </w:tc>
        <w:tc>
          <w:tcPr>
            <w:tcW w:w="1760" w:type="dxa"/>
            <w:vAlign w:val="center"/>
          </w:tcPr>
          <w:p w14:paraId="4D1E5C8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主体劳务施工单位</w:t>
            </w:r>
          </w:p>
        </w:tc>
        <w:tc>
          <w:tcPr>
            <w:tcW w:w="1760" w:type="dxa"/>
            <w:vAlign w:val="center"/>
          </w:tcPr>
          <w:p w14:paraId="20CFDF7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61BD865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3ED79FD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711B7B4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海南琼发、武汉金鑫园</w:t>
            </w:r>
          </w:p>
        </w:tc>
      </w:tr>
      <w:tr w14:paraId="67251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Align w:val="center"/>
          </w:tcPr>
          <w:p w14:paraId="2C3649D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w:t>
            </w:r>
          </w:p>
        </w:tc>
        <w:tc>
          <w:tcPr>
            <w:tcW w:w="2160" w:type="dxa"/>
            <w:vMerge w:val="continue"/>
            <w:vAlign w:val="center"/>
          </w:tcPr>
          <w:p w14:paraId="39BB517D">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6231EB78">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0234A3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二次结构及粗装修</w:t>
            </w:r>
          </w:p>
        </w:tc>
        <w:tc>
          <w:tcPr>
            <w:tcW w:w="1760" w:type="dxa"/>
            <w:vAlign w:val="center"/>
          </w:tcPr>
          <w:p w14:paraId="54E3D25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430A093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2021.8.13</w:t>
            </w:r>
          </w:p>
        </w:tc>
        <w:tc>
          <w:tcPr>
            <w:tcW w:w="1760" w:type="dxa"/>
            <w:vAlign w:val="center"/>
          </w:tcPr>
          <w:p w14:paraId="731024C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2021.8.23</w:t>
            </w:r>
          </w:p>
        </w:tc>
        <w:tc>
          <w:tcPr>
            <w:tcW w:w="1760" w:type="dxa"/>
            <w:vAlign w:val="center"/>
          </w:tcPr>
          <w:p w14:paraId="4D5F96B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845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080" w:type="dxa"/>
            <w:vAlign w:val="center"/>
          </w:tcPr>
          <w:p w14:paraId="142483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w:t>
            </w:r>
          </w:p>
        </w:tc>
        <w:tc>
          <w:tcPr>
            <w:tcW w:w="2160" w:type="dxa"/>
            <w:vMerge w:val="continue"/>
            <w:vAlign w:val="center"/>
          </w:tcPr>
          <w:p w14:paraId="57E01FEA">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C353DCE">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190F3F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外架防护施工单位</w:t>
            </w:r>
          </w:p>
        </w:tc>
        <w:tc>
          <w:tcPr>
            <w:tcW w:w="1760" w:type="dxa"/>
            <w:vAlign w:val="center"/>
          </w:tcPr>
          <w:p w14:paraId="20EBDBF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36264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2021.5.15</w:t>
            </w:r>
          </w:p>
        </w:tc>
        <w:tc>
          <w:tcPr>
            <w:tcW w:w="1760" w:type="dxa"/>
            <w:vAlign w:val="center"/>
          </w:tcPr>
          <w:p w14:paraId="40A43D7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2021.5.25</w:t>
            </w:r>
          </w:p>
        </w:tc>
        <w:tc>
          <w:tcPr>
            <w:tcW w:w="1760" w:type="dxa"/>
            <w:vAlign w:val="center"/>
          </w:tcPr>
          <w:p w14:paraId="77D66DF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河南忠武</w:t>
            </w:r>
          </w:p>
        </w:tc>
      </w:tr>
      <w:tr w14:paraId="43502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24FDC7F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w:t>
            </w:r>
          </w:p>
        </w:tc>
        <w:tc>
          <w:tcPr>
            <w:tcW w:w="2160" w:type="dxa"/>
            <w:vMerge w:val="continue"/>
            <w:vAlign w:val="center"/>
          </w:tcPr>
          <w:p w14:paraId="36EDA4A7">
            <w:pPr>
              <w:widowControl/>
              <w:spacing w:line="240" w:lineRule="auto"/>
              <w:ind w:firstLine="0" w:firstLineChars="0"/>
              <w:jc w:val="left"/>
              <w:rPr>
                <w:rFonts w:hint="eastAsia" w:ascii="宋体" w:hAnsi="宋体" w:cs="宋体"/>
                <w:color w:val="auto"/>
                <w:kern w:val="0"/>
                <w:sz w:val="21"/>
              </w:rPr>
            </w:pPr>
          </w:p>
        </w:tc>
        <w:tc>
          <w:tcPr>
            <w:tcW w:w="1760" w:type="dxa"/>
            <w:vMerge w:val="restart"/>
            <w:vAlign w:val="center"/>
          </w:tcPr>
          <w:p w14:paraId="55D264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物资分包</w:t>
            </w:r>
          </w:p>
        </w:tc>
        <w:tc>
          <w:tcPr>
            <w:tcW w:w="1760" w:type="dxa"/>
            <w:vAlign w:val="center"/>
          </w:tcPr>
          <w:p w14:paraId="03682C7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零星材料</w:t>
            </w:r>
          </w:p>
        </w:tc>
        <w:tc>
          <w:tcPr>
            <w:tcW w:w="1760" w:type="dxa"/>
            <w:vAlign w:val="center"/>
          </w:tcPr>
          <w:p w14:paraId="4E7DE6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4EF656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2021.1.10</w:t>
            </w:r>
          </w:p>
        </w:tc>
        <w:tc>
          <w:tcPr>
            <w:tcW w:w="1760" w:type="dxa"/>
            <w:vAlign w:val="center"/>
          </w:tcPr>
          <w:p w14:paraId="5B72893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2021.1.25</w:t>
            </w:r>
          </w:p>
        </w:tc>
        <w:tc>
          <w:tcPr>
            <w:tcW w:w="1760" w:type="dxa"/>
            <w:vAlign w:val="center"/>
          </w:tcPr>
          <w:p w14:paraId="54079E4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MRO中建电子</w:t>
            </w:r>
          </w:p>
        </w:tc>
      </w:tr>
      <w:tr w14:paraId="3032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080" w:type="dxa"/>
            <w:vAlign w:val="center"/>
          </w:tcPr>
          <w:p w14:paraId="751CF97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w:t>
            </w:r>
          </w:p>
        </w:tc>
        <w:tc>
          <w:tcPr>
            <w:tcW w:w="2160" w:type="dxa"/>
            <w:vMerge w:val="continue"/>
            <w:vAlign w:val="center"/>
          </w:tcPr>
          <w:p w14:paraId="739A873E">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A43470B">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52092BA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钢筋供应商</w:t>
            </w:r>
          </w:p>
        </w:tc>
        <w:tc>
          <w:tcPr>
            <w:tcW w:w="1760" w:type="dxa"/>
            <w:vAlign w:val="center"/>
          </w:tcPr>
          <w:p w14:paraId="44DCFB3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6C9E3A6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2021.2.24</w:t>
            </w:r>
          </w:p>
        </w:tc>
        <w:tc>
          <w:tcPr>
            <w:tcW w:w="1760" w:type="dxa"/>
            <w:vAlign w:val="center"/>
          </w:tcPr>
          <w:p w14:paraId="0D328D6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2021.3.5</w:t>
            </w:r>
          </w:p>
        </w:tc>
        <w:tc>
          <w:tcPr>
            <w:tcW w:w="1760" w:type="dxa"/>
            <w:vAlign w:val="center"/>
          </w:tcPr>
          <w:p w14:paraId="676887E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上海钢银、五矿钢铁</w:t>
            </w:r>
          </w:p>
        </w:tc>
      </w:tr>
      <w:tr w14:paraId="47A2C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22FEF6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w:t>
            </w:r>
          </w:p>
        </w:tc>
        <w:tc>
          <w:tcPr>
            <w:tcW w:w="2160" w:type="dxa"/>
            <w:vMerge w:val="continue"/>
            <w:vAlign w:val="center"/>
          </w:tcPr>
          <w:p w14:paraId="2A525AF4">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3477F91D">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99CA96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混凝土供应商</w:t>
            </w:r>
          </w:p>
        </w:tc>
        <w:tc>
          <w:tcPr>
            <w:tcW w:w="1760" w:type="dxa"/>
            <w:vAlign w:val="center"/>
          </w:tcPr>
          <w:p w14:paraId="0A1B7C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5B73025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2021.2.24</w:t>
            </w:r>
          </w:p>
        </w:tc>
        <w:tc>
          <w:tcPr>
            <w:tcW w:w="1760" w:type="dxa"/>
            <w:vAlign w:val="center"/>
          </w:tcPr>
          <w:p w14:paraId="662ED5D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2021.5.10</w:t>
            </w:r>
          </w:p>
        </w:tc>
        <w:tc>
          <w:tcPr>
            <w:tcW w:w="1760" w:type="dxa"/>
            <w:vAlign w:val="center"/>
          </w:tcPr>
          <w:p w14:paraId="2DCDB4E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伟康、瑞泽</w:t>
            </w:r>
          </w:p>
        </w:tc>
      </w:tr>
      <w:tr w14:paraId="5579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4ACE7C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w:t>
            </w:r>
          </w:p>
        </w:tc>
        <w:tc>
          <w:tcPr>
            <w:tcW w:w="2160" w:type="dxa"/>
            <w:vMerge w:val="continue"/>
            <w:vAlign w:val="center"/>
          </w:tcPr>
          <w:p w14:paraId="6E7E081C">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40A047E">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F5B4C6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定型化供应商</w:t>
            </w:r>
          </w:p>
        </w:tc>
        <w:tc>
          <w:tcPr>
            <w:tcW w:w="1760" w:type="dxa"/>
            <w:vAlign w:val="center"/>
          </w:tcPr>
          <w:p w14:paraId="2C8E3A1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67588E0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2021.3.5</w:t>
            </w:r>
          </w:p>
        </w:tc>
        <w:tc>
          <w:tcPr>
            <w:tcW w:w="1760" w:type="dxa"/>
            <w:vAlign w:val="center"/>
          </w:tcPr>
          <w:p w14:paraId="4B4D896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2021.3.25</w:t>
            </w:r>
          </w:p>
        </w:tc>
        <w:tc>
          <w:tcPr>
            <w:tcW w:w="1760" w:type="dxa"/>
            <w:vAlign w:val="center"/>
          </w:tcPr>
          <w:p w14:paraId="789DB6C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武汉嘉诚顺</w:t>
            </w:r>
          </w:p>
        </w:tc>
      </w:tr>
      <w:tr w14:paraId="093C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3281BC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w:t>
            </w:r>
          </w:p>
        </w:tc>
        <w:tc>
          <w:tcPr>
            <w:tcW w:w="2160" w:type="dxa"/>
            <w:vMerge w:val="continue"/>
            <w:vAlign w:val="center"/>
          </w:tcPr>
          <w:p w14:paraId="36378AC8">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BD3F759">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5DC4B8E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防水材料供应商</w:t>
            </w:r>
          </w:p>
        </w:tc>
        <w:tc>
          <w:tcPr>
            <w:tcW w:w="1760" w:type="dxa"/>
            <w:vAlign w:val="center"/>
          </w:tcPr>
          <w:p w14:paraId="5EF5FF6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1E5521C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42FDFB6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24A2810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科顺</w:t>
            </w:r>
          </w:p>
        </w:tc>
      </w:tr>
      <w:tr w14:paraId="199B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759A17E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w:t>
            </w:r>
          </w:p>
        </w:tc>
        <w:tc>
          <w:tcPr>
            <w:tcW w:w="2160" w:type="dxa"/>
            <w:vMerge w:val="continue"/>
            <w:vAlign w:val="center"/>
          </w:tcPr>
          <w:p w14:paraId="3393CC9D">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81D78D4">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2DB136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砌体供应商</w:t>
            </w:r>
          </w:p>
        </w:tc>
        <w:tc>
          <w:tcPr>
            <w:tcW w:w="1760" w:type="dxa"/>
            <w:vAlign w:val="center"/>
          </w:tcPr>
          <w:p w14:paraId="0272A2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02D6C1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03B7F3A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430B0A6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1EF82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1022A7B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w:t>
            </w:r>
          </w:p>
        </w:tc>
        <w:tc>
          <w:tcPr>
            <w:tcW w:w="2160" w:type="dxa"/>
            <w:vMerge w:val="continue"/>
            <w:vAlign w:val="center"/>
          </w:tcPr>
          <w:p w14:paraId="1C88FB83">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E2596DF">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1319D1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砂浆供应商</w:t>
            </w:r>
          </w:p>
        </w:tc>
        <w:tc>
          <w:tcPr>
            <w:tcW w:w="1760" w:type="dxa"/>
            <w:vAlign w:val="center"/>
          </w:tcPr>
          <w:p w14:paraId="60829D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0DEBBAD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276B213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53E54E4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5CED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30A3CD8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w:t>
            </w:r>
          </w:p>
        </w:tc>
        <w:tc>
          <w:tcPr>
            <w:tcW w:w="2160" w:type="dxa"/>
            <w:vMerge w:val="continue"/>
            <w:vAlign w:val="center"/>
          </w:tcPr>
          <w:p w14:paraId="170F7A60">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7D6644E">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6D2DD5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水泥供应商</w:t>
            </w:r>
          </w:p>
        </w:tc>
        <w:tc>
          <w:tcPr>
            <w:tcW w:w="1760" w:type="dxa"/>
            <w:vAlign w:val="center"/>
          </w:tcPr>
          <w:p w14:paraId="6282977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46F8AA6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4CAE484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55168B6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072C4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2A6C08F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w:t>
            </w:r>
          </w:p>
        </w:tc>
        <w:tc>
          <w:tcPr>
            <w:tcW w:w="2160" w:type="dxa"/>
            <w:vMerge w:val="continue"/>
            <w:vAlign w:val="center"/>
          </w:tcPr>
          <w:p w14:paraId="0D9FDBF2">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8C596F3">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5F3CBF6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挤塑板供应商</w:t>
            </w:r>
          </w:p>
        </w:tc>
        <w:tc>
          <w:tcPr>
            <w:tcW w:w="1760" w:type="dxa"/>
            <w:vAlign w:val="center"/>
          </w:tcPr>
          <w:p w14:paraId="38884F3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605438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2021.7.10</w:t>
            </w:r>
          </w:p>
        </w:tc>
        <w:tc>
          <w:tcPr>
            <w:tcW w:w="1760" w:type="dxa"/>
            <w:vAlign w:val="center"/>
          </w:tcPr>
          <w:p w14:paraId="1A032E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2021.7.30</w:t>
            </w:r>
          </w:p>
        </w:tc>
        <w:tc>
          <w:tcPr>
            <w:tcW w:w="1760" w:type="dxa"/>
            <w:vAlign w:val="center"/>
          </w:tcPr>
          <w:p w14:paraId="072A91E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21C50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4925579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19</w:t>
            </w:r>
          </w:p>
        </w:tc>
        <w:tc>
          <w:tcPr>
            <w:tcW w:w="2160" w:type="dxa"/>
            <w:vMerge w:val="continue"/>
            <w:vAlign w:val="center"/>
          </w:tcPr>
          <w:p w14:paraId="389F0AA3">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867D892">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52EC2C3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安全网供应商</w:t>
            </w:r>
          </w:p>
        </w:tc>
        <w:tc>
          <w:tcPr>
            <w:tcW w:w="1760" w:type="dxa"/>
            <w:vAlign w:val="center"/>
          </w:tcPr>
          <w:p w14:paraId="4968DEE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573CCC4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2021.7.10</w:t>
            </w:r>
          </w:p>
        </w:tc>
        <w:tc>
          <w:tcPr>
            <w:tcW w:w="1760" w:type="dxa"/>
            <w:vAlign w:val="center"/>
          </w:tcPr>
          <w:p w14:paraId="52751F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2021.7.30</w:t>
            </w:r>
          </w:p>
        </w:tc>
        <w:tc>
          <w:tcPr>
            <w:tcW w:w="1760" w:type="dxa"/>
            <w:vAlign w:val="center"/>
          </w:tcPr>
          <w:p w14:paraId="72577F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6D1C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1EE902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w:t>
            </w:r>
          </w:p>
        </w:tc>
        <w:tc>
          <w:tcPr>
            <w:tcW w:w="2160" w:type="dxa"/>
            <w:vMerge w:val="continue"/>
            <w:vAlign w:val="center"/>
          </w:tcPr>
          <w:p w14:paraId="6C138A93">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4B821D0">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66F5FE8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止水钢板供应商</w:t>
            </w:r>
          </w:p>
        </w:tc>
        <w:tc>
          <w:tcPr>
            <w:tcW w:w="1760" w:type="dxa"/>
            <w:vAlign w:val="center"/>
          </w:tcPr>
          <w:p w14:paraId="063181D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44DF86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2021.6.1</w:t>
            </w:r>
          </w:p>
        </w:tc>
        <w:tc>
          <w:tcPr>
            <w:tcW w:w="1760" w:type="dxa"/>
            <w:vAlign w:val="center"/>
          </w:tcPr>
          <w:p w14:paraId="2E40751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2021.6.20</w:t>
            </w:r>
          </w:p>
        </w:tc>
        <w:tc>
          <w:tcPr>
            <w:tcW w:w="1760" w:type="dxa"/>
            <w:vAlign w:val="center"/>
          </w:tcPr>
          <w:p w14:paraId="79D7F69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2AB21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Align w:val="center"/>
          </w:tcPr>
          <w:p w14:paraId="6F18EC6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21</w:t>
            </w:r>
          </w:p>
        </w:tc>
        <w:tc>
          <w:tcPr>
            <w:tcW w:w="2160" w:type="dxa"/>
            <w:vMerge w:val="continue"/>
            <w:vAlign w:val="center"/>
          </w:tcPr>
          <w:p w14:paraId="2A32C8AC">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9493570">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8940A6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料具供应商</w:t>
            </w:r>
          </w:p>
        </w:tc>
        <w:tc>
          <w:tcPr>
            <w:tcW w:w="1760" w:type="dxa"/>
            <w:vAlign w:val="center"/>
          </w:tcPr>
          <w:p w14:paraId="326060B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366C49D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2021.5.10</w:t>
            </w:r>
          </w:p>
        </w:tc>
        <w:tc>
          <w:tcPr>
            <w:tcW w:w="1760" w:type="dxa"/>
            <w:vAlign w:val="center"/>
          </w:tcPr>
          <w:p w14:paraId="735A924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2021.5.20</w:t>
            </w:r>
          </w:p>
        </w:tc>
        <w:tc>
          <w:tcPr>
            <w:tcW w:w="1760" w:type="dxa"/>
            <w:vAlign w:val="center"/>
          </w:tcPr>
          <w:p w14:paraId="74A9A1D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深圳市福象实业有限公司</w:t>
            </w:r>
          </w:p>
        </w:tc>
      </w:tr>
      <w:tr w14:paraId="5FB54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0C23067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22</w:t>
            </w:r>
          </w:p>
        </w:tc>
        <w:tc>
          <w:tcPr>
            <w:tcW w:w="2160" w:type="dxa"/>
            <w:vMerge w:val="continue"/>
            <w:vAlign w:val="center"/>
          </w:tcPr>
          <w:p w14:paraId="36BC73C0">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6B16922">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F1B3C2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保温板供应商</w:t>
            </w:r>
          </w:p>
        </w:tc>
        <w:tc>
          <w:tcPr>
            <w:tcW w:w="1760" w:type="dxa"/>
            <w:vAlign w:val="center"/>
          </w:tcPr>
          <w:p w14:paraId="22DEA4B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集采</w:t>
            </w:r>
          </w:p>
        </w:tc>
        <w:tc>
          <w:tcPr>
            <w:tcW w:w="1760" w:type="dxa"/>
            <w:vAlign w:val="center"/>
          </w:tcPr>
          <w:p w14:paraId="5261DB7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2021.7.9</w:t>
            </w:r>
          </w:p>
        </w:tc>
        <w:tc>
          <w:tcPr>
            <w:tcW w:w="1760" w:type="dxa"/>
            <w:vAlign w:val="center"/>
          </w:tcPr>
          <w:p w14:paraId="0F2C6B8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2021.7.19</w:t>
            </w:r>
          </w:p>
        </w:tc>
        <w:tc>
          <w:tcPr>
            <w:tcW w:w="1760" w:type="dxa"/>
            <w:vAlign w:val="center"/>
          </w:tcPr>
          <w:p w14:paraId="3625B59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3BD44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080" w:type="dxa"/>
            <w:vAlign w:val="center"/>
          </w:tcPr>
          <w:p w14:paraId="47BB282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23</w:t>
            </w:r>
          </w:p>
        </w:tc>
        <w:tc>
          <w:tcPr>
            <w:tcW w:w="2160" w:type="dxa"/>
            <w:vMerge w:val="continue"/>
            <w:vAlign w:val="center"/>
          </w:tcPr>
          <w:p w14:paraId="72013683">
            <w:pPr>
              <w:widowControl/>
              <w:spacing w:line="240" w:lineRule="auto"/>
              <w:ind w:firstLine="0" w:firstLineChars="0"/>
              <w:jc w:val="left"/>
              <w:rPr>
                <w:rFonts w:hint="eastAsia" w:ascii="宋体" w:hAnsi="宋体" w:cs="宋体"/>
                <w:color w:val="auto"/>
                <w:kern w:val="0"/>
                <w:sz w:val="21"/>
              </w:rPr>
            </w:pPr>
          </w:p>
        </w:tc>
        <w:tc>
          <w:tcPr>
            <w:tcW w:w="1760" w:type="dxa"/>
            <w:vMerge w:val="restart"/>
            <w:vAlign w:val="center"/>
          </w:tcPr>
          <w:p w14:paraId="33953C9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专业分包</w:t>
            </w:r>
          </w:p>
        </w:tc>
        <w:tc>
          <w:tcPr>
            <w:tcW w:w="1760" w:type="dxa"/>
            <w:vAlign w:val="center"/>
          </w:tcPr>
          <w:p w14:paraId="7F4185F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基坑支护、降排水、土石方开挖施工单位</w:t>
            </w:r>
          </w:p>
        </w:tc>
        <w:tc>
          <w:tcPr>
            <w:tcW w:w="1760" w:type="dxa"/>
            <w:vAlign w:val="center"/>
          </w:tcPr>
          <w:p w14:paraId="0FBDB8F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7C6D99F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2021.1.20</w:t>
            </w:r>
          </w:p>
        </w:tc>
        <w:tc>
          <w:tcPr>
            <w:tcW w:w="1760" w:type="dxa"/>
            <w:vAlign w:val="center"/>
          </w:tcPr>
          <w:p w14:paraId="13B9A34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2021.2.1</w:t>
            </w:r>
          </w:p>
        </w:tc>
        <w:tc>
          <w:tcPr>
            <w:tcW w:w="1760" w:type="dxa"/>
            <w:vAlign w:val="center"/>
          </w:tcPr>
          <w:p w14:paraId="53BAAE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海南毅创建筑工程有限公司</w:t>
            </w:r>
          </w:p>
        </w:tc>
      </w:tr>
      <w:tr w14:paraId="7A61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80" w:type="dxa"/>
            <w:vAlign w:val="center"/>
          </w:tcPr>
          <w:p w14:paraId="5A8A84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24</w:t>
            </w:r>
          </w:p>
        </w:tc>
        <w:tc>
          <w:tcPr>
            <w:tcW w:w="2160" w:type="dxa"/>
            <w:vMerge w:val="continue"/>
            <w:vAlign w:val="center"/>
          </w:tcPr>
          <w:p w14:paraId="0F18B802">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257D967">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F3C127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桩基工程施工单位</w:t>
            </w:r>
          </w:p>
        </w:tc>
        <w:tc>
          <w:tcPr>
            <w:tcW w:w="1760" w:type="dxa"/>
            <w:vAlign w:val="center"/>
          </w:tcPr>
          <w:p w14:paraId="7E9E4F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A6E17D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2021.3.1</w:t>
            </w:r>
          </w:p>
        </w:tc>
        <w:tc>
          <w:tcPr>
            <w:tcW w:w="1760" w:type="dxa"/>
            <w:vAlign w:val="center"/>
          </w:tcPr>
          <w:p w14:paraId="0C9633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2021.3.10</w:t>
            </w:r>
          </w:p>
        </w:tc>
        <w:tc>
          <w:tcPr>
            <w:tcW w:w="1760" w:type="dxa"/>
            <w:vAlign w:val="center"/>
          </w:tcPr>
          <w:p w14:paraId="79317BA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深圳市蛇口招商港湾工程有限公司</w:t>
            </w:r>
          </w:p>
        </w:tc>
      </w:tr>
      <w:tr w14:paraId="49C5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05D7C48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25</w:t>
            </w:r>
          </w:p>
        </w:tc>
        <w:tc>
          <w:tcPr>
            <w:tcW w:w="2160" w:type="dxa"/>
            <w:vMerge w:val="continue"/>
            <w:vAlign w:val="center"/>
          </w:tcPr>
          <w:p w14:paraId="419AD9D7">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6CA3D76F">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648C9E5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垃圾外运单位</w:t>
            </w:r>
          </w:p>
        </w:tc>
        <w:tc>
          <w:tcPr>
            <w:tcW w:w="1760" w:type="dxa"/>
            <w:vAlign w:val="center"/>
          </w:tcPr>
          <w:p w14:paraId="01A3EB9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891D43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2021.1.20</w:t>
            </w:r>
          </w:p>
        </w:tc>
        <w:tc>
          <w:tcPr>
            <w:tcW w:w="1760" w:type="dxa"/>
            <w:vAlign w:val="center"/>
          </w:tcPr>
          <w:p w14:paraId="5D877C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2021.2.1</w:t>
            </w:r>
          </w:p>
        </w:tc>
        <w:tc>
          <w:tcPr>
            <w:tcW w:w="1760" w:type="dxa"/>
            <w:vAlign w:val="center"/>
          </w:tcPr>
          <w:p w14:paraId="31CABD1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D101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48974B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26</w:t>
            </w:r>
          </w:p>
        </w:tc>
        <w:tc>
          <w:tcPr>
            <w:tcW w:w="2160" w:type="dxa"/>
            <w:vMerge w:val="continue"/>
            <w:vAlign w:val="center"/>
          </w:tcPr>
          <w:p w14:paraId="6F3304CD">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134C1A65">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699D5A2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人防门安装单位</w:t>
            </w:r>
          </w:p>
        </w:tc>
        <w:tc>
          <w:tcPr>
            <w:tcW w:w="1760" w:type="dxa"/>
            <w:vAlign w:val="center"/>
          </w:tcPr>
          <w:p w14:paraId="54984C4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71B23B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5D9D6D1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2021.5.10</w:t>
            </w:r>
          </w:p>
        </w:tc>
        <w:tc>
          <w:tcPr>
            <w:tcW w:w="1760" w:type="dxa"/>
            <w:vAlign w:val="center"/>
          </w:tcPr>
          <w:p w14:paraId="7B6F6F5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278A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6C9D29A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w:t>
            </w:r>
          </w:p>
        </w:tc>
        <w:tc>
          <w:tcPr>
            <w:tcW w:w="2160" w:type="dxa"/>
            <w:vMerge w:val="continue"/>
            <w:vAlign w:val="center"/>
          </w:tcPr>
          <w:p w14:paraId="64543B4B">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E7392AD">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2CEB5F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主体结构检测试验单位</w:t>
            </w:r>
          </w:p>
        </w:tc>
        <w:tc>
          <w:tcPr>
            <w:tcW w:w="1760" w:type="dxa"/>
            <w:vAlign w:val="center"/>
          </w:tcPr>
          <w:p w14:paraId="4F268F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566AC1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1EE50D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2021.5.10</w:t>
            </w:r>
          </w:p>
        </w:tc>
        <w:tc>
          <w:tcPr>
            <w:tcW w:w="1760" w:type="dxa"/>
            <w:vAlign w:val="center"/>
          </w:tcPr>
          <w:p w14:paraId="54499F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科胜</w:t>
            </w:r>
          </w:p>
        </w:tc>
      </w:tr>
      <w:tr w14:paraId="0023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7798A08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28</w:t>
            </w:r>
          </w:p>
        </w:tc>
        <w:tc>
          <w:tcPr>
            <w:tcW w:w="2160" w:type="dxa"/>
            <w:vMerge w:val="continue"/>
            <w:vAlign w:val="center"/>
          </w:tcPr>
          <w:p w14:paraId="3553BC94">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687649B6">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1CF6C4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人防单位</w:t>
            </w:r>
          </w:p>
        </w:tc>
        <w:tc>
          <w:tcPr>
            <w:tcW w:w="1760" w:type="dxa"/>
            <w:vAlign w:val="center"/>
          </w:tcPr>
          <w:p w14:paraId="41CC070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4B359AD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2021.6.10</w:t>
            </w:r>
          </w:p>
        </w:tc>
        <w:tc>
          <w:tcPr>
            <w:tcW w:w="1760" w:type="dxa"/>
            <w:vAlign w:val="center"/>
          </w:tcPr>
          <w:p w14:paraId="6282E08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2021.6.30</w:t>
            </w:r>
          </w:p>
        </w:tc>
        <w:tc>
          <w:tcPr>
            <w:tcW w:w="1760" w:type="dxa"/>
            <w:vAlign w:val="center"/>
          </w:tcPr>
          <w:p w14:paraId="51ECAFD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永昶兴人防</w:t>
            </w:r>
          </w:p>
        </w:tc>
      </w:tr>
      <w:tr w14:paraId="302C7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80" w:type="dxa"/>
            <w:vAlign w:val="center"/>
          </w:tcPr>
          <w:p w14:paraId="5BDCB44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29</w:t>
            </w:r>
          </w:p>
        </w:tc>
        <w:tc>
          <w:tcPr>
            <w:tcW w:w="2160" w:type="dxa"/>
            <w:vMerge w:val="continue"/>
            <w:vAlign w:val="center"/>
          </w:tcPr>
          <w:p w14:paraId="3CFCA398">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31CCEFE">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433DB8C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智能化施工单位</w:t>
            </w:r>
          </w:p>
        </w:tc>
        <w:tc>
          <w:tcPr>
            <w:tcW w:w="1760" w:type="dxa"/>
            <w:vAlign w:val="center"/>
          </w:tcPr>
          <w:p w14:paraId="31E636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67D4435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2021.7.20</w:t>
            </w:r>
          </w:p>
        </w:tc>
        <w:tc>
          <w:tcPr>
            <w:tcW w:w="1760" w:type="dxa"/>
            <w:vAlign w:val="center"/>
          </w:tcPr>
          <w:p w14:paraId="5528F04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2021.8.10</w:t>
            </w:r>
          </w:p>
        </w:tc>
        <w:tc>
          <w:tcPr>
            <w:tcW w:w="1760" w:type="dxa"/>
            <w:vAlign w:val="center"/>
          </w:tcPr>
          <w:p w14:paraId="1E975F3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3ECF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Align w:val="center"/>
          </w:tcPr>
          <w:p w14:paraId="3611CBF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30</w:t>
            </w:r>
          </w:p>
        </w:tc>
        <w:tc>
          <w:tcPr>
            <w:tcW w:w="2160" w:type="dxa"/>
            <w:vMerge w:val="continue"/>
            <w:vAlign w:val="center"/>
          </w:tcPr>
          <w:p w14:paraId="63C9B052">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B7E167A">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F31143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电气工程施工单位</w:t>
            </w:r>
          </w:p>
        </w:tc>
        <w:tc>
          <w:tcPr>
            <w:tcW w:w="1760" w:type="dxa"/>
            <w:vAlign w:val="center"/>
          </w:tcPr>
          <w:p w14:paraId="58E28B2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6004D7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2021.6.1</w:t>
            </w:r>
          </w:p>
        </w:tc>
        <w:tc>
          <w:tcPr>
            <w:tcW w:w="1760" w:type="dxa"/>
            <w:vAlign w:val="center"/>
          </w:tcPr>
          <w:p w14:paraId="54A814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2021.6.20</w:t>
            </w:r>
          </w:p>
        </w:tc>
        <w:tc>
          <w:tcPr>
            <w:tcW w:w="1760" w:type="dxa"/>
            <w:vAlign w:val="center"/>
          </w:tcPr>
          <w:p w14:paraId="4F1A4B8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海南毅创建筑工程有限公司</w:t>
            </w:r>
          </w:p>
        </w:tc>
      </w:tr>
      <w:tr w14:paraId="181F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312A23B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31</w:t>
            </w:r>
          </w:p>
        </w:tc>
        <w:tc>
          <w:tcPr>
            <w:tcW w:w="2160" w:type="dxa"/>
            <w:vMerge w:val="continue"/>
            <w:vAlign w:val="center"/>
          </w:tcPr>
          <w:p w14:paraId="38A810FF">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22A0DC5B">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103261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涂料施工单位</w:t>
            </w:r>
          </w:p>
        </w:tc>
        <w:tc>
          <w:tcPr>
            <w:tcW w:w="1760" w:type="dxa"/>
            <w:vAlign w:val="center"/>
          </w:tcPr>
          <w:p w14:paraId="77C41EA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9D9B2D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2021.11.8</w:t>
            </w:r>
          </w:p>
        </w:tc>
        <w:tc>
          <w:tcPr>
            <w:tcW w:w="1760" w:type="dxa"/>
            <w:vAlign w:val="center"/>
          </w:tcPr>
          <w:p w14:paraId="6FAE631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2021.11.18</w:t>
            </w:r>
          </w:p>
        </w:tc>
        <w:tc>
          <w:tcPr>
            <w:tcW w:w="1760" w:type="dxa"/>
            <w:vAlign w:val="center"/>
          </w:tcPr>
          <w:p w14:paraId="101BDDF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28891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005666D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w:t>
            </w:r>
          </w:p>
        </w:tc>
        <w:tc>
          <w:tcPr>
            <w:tcW w:w="2160" w:type="dxa"/>
            <w:vMerge w:val="continue"/>
            <w:vAlign w:val="center"/>
          </w:tcPr>
          <w:p w14:paraId="0DB459A5">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5ADFB501">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532FDA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幕墙施工单位</w:t>
            </w:r>
          </w:p>
        </w:tc>
        <w:tc>
          <w:tcPr>
            <w:tcW w:w="1760" w:type="dxa"/>
            <w:vAlign w:val="center"/>
          </w:tcPr>
          <w:p w14:paraId="6DCD56A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798313E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2021.6.14</w:t>
            </w:r>
          </w:p>
        </w:tc>
        <w:tc>
          <w:tcPr>
            <w:tcW w:w="1760" w:type="dxa"/>
            <w:vAlign w:val="center"/>
          </w:tcPr>
          <w:p w14:paraId="349F2B8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2021.6.24</w:t>
            </w:r>
          </w:p>
        </w:tc>
        <w:tc>
          <w:tcPr>
            <w:tcW w:w="1760" w:type="dxa"/>
            <w:vAlign w:val="center"/>
          </w:tcPr>
          <w:p w14:paraId="5954E2A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71D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Align w:val="center"/>
          </w:tcPr>
          <w:p w14:paraId="2F97C4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33</w:t>
            </w:r>
          </w:p>
        </w:tc>
        <w:tc>
          <w:tcPr>
            <w:tcW w:w="2160" w:type="dxa"/>
            <w:vMerge w:val="continue"/>
            <w:vAlign w:val="center"/>
          </w:tcPr>
          <w:p w14:paraId="6C5D98E3">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5DBF39F8">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C1FC28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门窗及栏杆安装单位</w:t>
            </w:r>
          </w:p>
        </w:tc>
        <w:tc>
          <w:tcPr>
            <w:tcW w:w="1760" w:type="dxa"/>
            <w:vAlign w:val="center"/>
          </w:tcPr>
          <w:p w14:paraId="397669F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ECB258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2021.9.7</w:t>
            </w:r>
          </w:p>
        </w:tc>
        <w:tc>
          <w:tcPr>
            <w:tcW w:w="1760" w:type="dxa"/>
            <w:vAlign w:val="center"/>
          </w:tcPr>
          <w:p w14:paraId="226BAA3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2021.9.17</w:t>
            </w:r>
          </w:p>
        </w:tc>
        <w:tc>
          <w:tcPr>
            <w:tcW w:w="1760" w:type="dxa"/>
            <w:vAlign w:val="center"/>
          </w:tcPr>
          <w:p w14:paraId="176E22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198E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080" w:type="dxa"/>
            <w:vAlign w:val="center"/>
          </w:tcPr>
          <w:p w14:paraId="33B95B5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34</w:t>
            </w:r>
          </w:p>
        </w:tc>
        <w:tc>
          <w:tcPr>
            <w:tcW w:w="2160" w:type="dxa"/>
            <w:vMerge w:val="continue"/>
            <w:vAlign w:val="center"/>
          </w:tcPr>
          <w:p w14:paraId="68F2903E">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3C9480BA">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281B301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部品构件安装单位</w:t>
            </w:r>
          </w:p>
        </w:tc>
        <w:tc>
          <w:tcPr>
            <w:tcW w:w="1760" w:type="dxa"/>
            <w:vAlign w:val="center"/>
          </w:tcPr>
          <w:p w14:paraId="3611D2D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64D2DA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2021.9.12</w:t>
            </w:r>
          </w:p>
        </w:tc>
        <w:tc>
          <w:tcPr>
            <w:tcW w:w="1760" w:type="dxa"/>
            <w:vAlign w:val="center"/>
          </w:tcPr>
          <w:p w14:paraId="0823898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2021.9.22</w:t>
            </w:r>
          </w:p>
        </w:tc>
        <w:tc>
          <w:tcPr>
            <w:tcW w:w="1760" w:type="dxa"/>
            <w:vAlign w:val="center"/>
          </w:tcPr>
          <w:p w14:paraId="565F1AA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AA3E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16A0E05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35</w:t>
            </w:r>
          </w:p>
        </w:tc>
        <w:tc>
          <w:tcPr>
            <w:tcW w:w="2160" w:type="dxa"/>
            <w:vMerge w:val="continue"/>
            <w:vAlign w:val="center"/>
          </w:tcPr>
          <w:p w14:paraId="34CB878E">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F1C2886">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64BA9F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防火门安装单位</w:t>
            </w:r>
          </w:p>
        </w:tc>
        <w:tc>
          <w:tcPr>
            <w:tcW w:w="1760" w:type="dxa"/>
            <w:vAlign w:val="center"/>
          </w:tcPr>
          <w:p w14:paraId="4FC5654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62CBB70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2021.9.7</w:t>
            </w:r>
          </w:p>
        </w:tc>
        <w:tc>
          <w:tcPr>
            <w:tcW w:w="1760" w:type="dxa"/>
            <w:vAlign w:val="center"/>
          </w:tcPr>
          <w:p w14:paraId="3C38632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2021.9.17</w:t>
            </w:r>
          </w:p>
        </w:tc>
        <w:tc>
          <w:tcPr>
            <w:tcW w:w="1760" w:type="dxa"/>
            <w:vAlign w:val="center"/>
          </w:tcPr>
          <w:p w14:paraId="5A40951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05222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7CB3B28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36</w:t>
            </w:r>
          </w:p>
        </w:tc>
        <w:tc>
          <w:tcPr>
            <w:tcW w:w="2160" w:type="dxa"/>
            <w:vMerge w:val="continue"/>
            <w:vAlign w:val="center"/>
          </w:tcPr>
          <w:p w14:paraId="14D4C2C8">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41412F20">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CB9A88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防水施工单位</w:t>
            </w:r>
          </w:p>
        </w:tc>
        <w:tc>
          <w:tcPr>
            <w:tcW w:w="1760" w:type="dxa"/>
            <w:vAlign w:val="center"/>
          </w:tcPr>
          <w:p w14:paraId="79823A7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40922A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3D83F2A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w:t>
            </w:r>
          </w:p>
        </w:tc>
        <w:tc>
          <w:tcPr>
            <w:tcW w:w="1760" w:type="dxa"/>
            <w:vAlign w:val="center"/>
          </w:tcPr>
          <w:p w14:paraId="0A01E10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0EEB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1080" w:type="dxa"/>
            <w:vAlign w:val="center"/>
          </w:tcPr>
          <w:p w14:paraId="0B53028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37</w:t>
            </w:r>
          </w:p>
        </w:tc>
        <w:tc>
          <w:tcPr>
            <w:tcW w:w="2160" w:type="dxa"/>
            <w:vMerge w:val="continue"/>
            <w:vAlign w:val="center"/>
          </w:tcPr>
          <w:p w14:paraId="0A9541D3">
            <w:pPr>
              <w:widowControl/>
              <w:spacing w:line="240" w:lineRule="auto"/>
              <w:ind w:firstLine="0" w:firstLineChars="0"/>
              <w:jc w:val="left"/>
              <w:rPr>
                <w:rFonts w:hint="eastAsia" w:ascii="宋体" w:hAnsi="宋体" w:cs="宋体"/>
                <w:color w:val="auto"/>
                <w:kern w:val="0"/>
                <w:sz w:val="21"/>
              </w:rPr>
            </w:pPr>
          </w:p>
        </w:tc>
        <w:tc>
          <w:tcPr>
            <w:tcW w:w="1760" w:type="dxa"/>
            <w:vMerge w:val="restart"/>
            <w:vAlign w:val="center"/>
          </w:tcPr>
          <w:p w14:paraId="1B0AFF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设备分包</w:t>
            </w:r>
          </w:p>
        </w:tc>
        <w:tc>
          <w:tcPr>
            <w:tcW w:w="1760" w:type="dxa"/>
            <w:vAlign w:val="center"/>
          </w:tcPr>
          <w:p w14:paraId="0FF45A9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塔吊单位</w:t>
            </w:r>
          </w:p>
        </w:tc>
        <w:tc>
          <w:tcPr>
            <w:tcW w:w="1760" w:type="dxa"/>
            <w:vAlign w:val="center"/>
          </w:tcPr>
          <w:p w14:paraId="2C446D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5818AB3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2021.4.1</w:t>
            </w:r>
          </w:p>
        </w:tc>
        <w:tc>
          <w:tcPr>
            <w:tcW w:w="1760" w:type="dxa"/>
            <w:vAlign w:val="center"/>
          </w:tcPr>
          <w:p w14:paraId="456E5EB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2021.4.10</w:t>
            </w:r>
          </w:p>
        </w:tc>
        <w:tc>
          <w:tcPr>
            <w:tcW w:w="1760" w:type="dxa"/>
            <w:vAlign w:val="center"/>
          </w:tcPr>
          <w:p w14:paraId="3634494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江苏中建达丰机械工程有限公司</w:t>
            </w:r>
            <w:r>
              <w:rPr>
                <w:rFonts w:hint="eastAsia" w:ascii="宋体" w:hAnsi="宋体" w:cs="宋体"/>
                <w:color w:val="auto"/>
                <w:kern w:val="0"/>
                <w:sz w:val="21"/>
              </w:rPr>
              <w:br w:type="textWrapping"/>
            </w:r>
            <w:r>
              <w:rPr>
                <w:rFonts w:hint="eastAsia" w:ascii="宋体" w:hAnsi="宋体" w:cs="宋体"/>
                <w:color w:val="auto"/>
                <w:kern w:val="0"/>
                <w:sz w:val="21"/>
              </w:rPr>
              <w:t>海南保力机械租赁有限公司</w:t>
            </w:r>
          </w:p>
        </w:tc>
      </w:tr>
      <w:tr w14:paraId="682D1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6B6A8E6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38</w:t>
            </w:r>
          </w:p>
        </w:tc>
        <w:tc>
          <w:tcPr>
            <w:tcW w:w="2160" w:type="dxa"/>
            <w:vMerge w:val="continue"/>
            <w:vAlign w:val="center"/>
          </w:tcPr>
          <w:p w14:paraId="71E6CA4E">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3DEC02F4">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223A24C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施工电梯单位</w:t>
            </w:r>
          </w:p>
        </w:tc>
        <w:tc>
          <w:tcPr>
            <w:tcW w:w="1760" w:type="dxa"/>
            <w:vAlign w:val="center"/>
          </w:tcPr>
          <w:p w14:paraId="2BA1D3D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7A48A80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2021.7.27</w:t>
            </w:r>
          </w:p>
        </w:tc>
        <w:tc>
          <w:tcPr>
            <w:tcW w:w="1760" w:type="dxa"/>
            <w:vAlign w:val="center"/>
          </w:tcPr>
          <w:p w14:paraId="50624AD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2021.8.7</w:t>
            </w:r>
          </w:p>
        </w:tc>
        <w:tc>
          <w:tcPr>
            <w:tcW w:w="1760" w:type="dxa"/>
            <w:vAlign w:val="center"/>
          </w:tcPr>
          <w:p w14:paraId="65DCF1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3A98D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255E88E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39</w:t>
            </w:r>
          </w:p>
        </w:tc>
        <w:tc>
          <w:tcPr>
            <w:tcW w:w="2160" w:type="dxa"/>
            <w:vMerge w:val="continue"/>
            <w:vAlign w:val="center"/>
          </w:tcPr>
          <w:p w14:paraId="36B5D430">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89A14F8">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4A235E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零星机械租赁</w:t>
            </w:r>
          </w:p>
        </w:tc>
        <w:tc>
          <w:tcPr>
            <w:tcW w:w="1760" w:type="dxa"/>
            <w:vAlign w:val="center"/>
          </w:tcPr>
          <w:p w14:paraId="49F2667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73518F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2021.4.1</w:t>
            </w:r>
          </w:p>
        </w:tc>
        <w:tc>
          <w:tcPr>
            <w:tcW w:w="1760" w:type="dxa"/>
            <w:vAlign w:val="center"/>
          </w:tcPr>
          <w:p w14:paraId="1AED1C7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2021.4.10</w:t>
            </w:r>
          </w:p>
        </w:tc>
        <w:tc>
          <w:tcPr>
            <w:tcW w:w="1760" w:type="dxa"/>
            <w:vAlign w:val="center"/>
          </w:tcPr>
          <w:p w14:paraId="156ABB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5BFC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13849D1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40</w:t>
            </w:r>
          </w:p>
        </w:tc>
        <w:tc>
          <w:tcPr>
            <w:tcW w:w="2160" w:type="dxa"/>
            <w:vMerge w:val="restart"/>
            <w:vAlign w:val="center"/>
          </w:tcPr>
          <w:p w14:paraId="618B513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室外工程</w:t>
            </w:r>
          </w:p>
        </w:tc>
        <w:tc>
          <w:tcPr>
            <w:tcW w:w="1760" w:type="dxa"/>
            <w:vMerge w:val="restart"/>
            <w:vAlign w:val="center"/>
          </w:tcPr>
          <w:p w14:paraId="38B7D7B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专业分包</w:t>
            </w:r>
          </w:p>
        </w:tc>
        <w:tc>
          <w:tcPr>
            <w:tcW w:w="1760" w:type="dxa"/>
            <w:vAlign w:val="center"/>
          </w:tcPr>
          <w:p w14:paraId="7FDA6E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市政道路施工单位</w:t>
            </w:r>
          </w:p>
        </w:tc>
        <w:tc>
          <w:tcPr>
            <w:tcW w:w="1760" w:type="dxa"/>
            <w:vAlign w:val="center"/>
          </w:tcPr>
          <w:p w14:paraId="79DE5AD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624F640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2021.8.22</w:t>
            </w:r>
          </w:p>
        </w:tc>
        <w:tc>
          <w:tcPr>
            <w:tcW w:w="1760" w:type="dxa"/>
            <w:vAlign w:val="center"/>
          </w:tcPr>
          <w:p w14:paraId="1ABD923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2021.9.2</w:t>
            </w:r>
          </w:p>
        </w:tc>
        <w:tc>
          <w:tcPr>
            <w:tcW w:w="1760" w:type="dxa"/>
            <w:vAlign w:val="center"/>
          </w:tcPr>
          <w:p w14:paraId="759E7BB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13EB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01A11D3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w:t>
            </w:r>
          </w:p>
        </w:tc>
        <w:tc>
          <w:tcPr>
            <w:tcW w:w="2160" w:type="dxa"/>
            <w:vMerge w:val="continue"/>
            <w:vAlign w:val="center"/>
          </w:tcPr>
          <w:p w14:paraId="1CEB430B">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877B1FA">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2F36C8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景观园建工程</w:t>
            </w:r>
          </w:p>
        </w:tc>
        <w:tc>
          <w:tcPr>
            <w:tcW w:w="1760" w:type="dxa"/>
            <w:vAlign w:val="center"/>
          </w:tcPr>
          <w:p w14:paraId="7F97F2D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34BF85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2022.4.28</w:t>
            </w:r>
          </w:p>
        </w:tc>
        <w:tc>
          <w:tcPr>
            <w:tcW w:w="1760" w:type="dxa"/>
            <w:vAlign w:val="center"/>
          </w:tcPr>
          <w:p w14:paraId="14834A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2022.5.8</w:t>
            </w:r>
          </w:p>
        </w:tc>
        <w:tc>
          <w:tcPr>
            <w:tcW w:w="1760" w:type="dxa"/>
            <w:vAlign w:val="center"/>
          </w:tcPr>
          <w:p w14:paraId="0BDC0D0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46A36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5391C4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42</w:t>
            </w:r>
          </w:p>
        </w:tc>
        <w:tc>
          <w:tcPr>
            <w:tcW w:w="2160" w:type="dxa"/>
            <w:vMerge w:val="continue"/>
            <w:vAlign w:val="center"/>
          </w:tcPr>
          <w:p w14:paraId="1A1B3457">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20B3AC9F">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27F2206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园林绿化工程</w:t>
            </w:r>
          </w:p>
        </w:tc>
        <w:tc>
          <w:tcPr>
            <w:tcW w:w="1760" w:type="dxa"/>
            <w:vAlign w:val="center"/>
          </w:tcPr>
          <w:p w14:paraId="0ED13A8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BBF083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2022.4.28</w:t>
            </w:r>
          </w:p>
        </w:tc>
        <w:tc>
          <w:tcPr>
            <w:tcW w:w="1760" w:type="dxa"/>
            <w:vAlign w:val="center"/>
          </w:tcPr>
          <w:p w14:paraId="3AABD2A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2022.5.8</w:t>
            </w:r>
          </w:p>
        </w:tc>
        <w:tc>
          <w:tcPr>
            <w:tcW w:w="1760" w:type="dxa"/>
            <w:vAlign w:val="center"/>
          </w:tcPr>
          <w:p w14:paraId="6CBDC10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6B158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064FE5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43</w:t>
            </w:r>
          </w:p>
        </w:tc>
        <w:tc>
          <w:tcPr>
            <w:tcW w:w="2160" w:type="dxa"/>
            <w:vMerge w:val="continue"/>
            <w:vAlign w:val="center"/>
          </w:tcPr>
          <w:p w14:paraId="421EE75E">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369EDF09">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07DF269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海绵城市工程</w:t>
            </w:r>
          </w:p>
        </w:tc>
        <w:tc>
          <w:tcPr>
            <w:tcW w:w="1760" w:type="dxa"/>
            <w:vAlign w:val="center"/>
          </w:tcPr>
          <w:p w14:paraId="16D89C9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EFD157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2022.4.28</w:t>
            </w:r>
          </w:p>
        </w:tc>
        <w:tc>
          <w:tcPr>
            <w:tcW w:w="1760" w:type="dxa"/>
            <w:vAlign w:val="center"/>
          </w:tcPr>
          <w:p w14:paraId="1E2E50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2022.5.8</w:t>
            </w:r>
          </w:p>
        </w:tc>
        <w:tc>
          <w:tcPr>
            <w:tcW w:w="1760" w:type="dxa"/>
            <w:vAlign w:val="center"/>
          </w:tcPr>
          <w:p w14:paraId="71C69A2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474C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Align w:val="center"/>
          </w:tcPr>
          <w:p w14:paraId="335AB11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44</w:t>
            </w:r>
          </w:p>
        </w:tc>
        <w:tc>
          <w:tcPr>
            <w:tcW w:w="2160" w:type="dxa"/>
            <w:vMerge w:val="restart"/>
            <w:vAlign w:val="center"/>
          </w:tcPr>
          <w:p w14:paraId="39484E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机电安装工程</w:t>
            </w:r>
          </w:p>
        </w:tc>
        <w:tc>
          <w:tcPr>
            <w:tcW w:w="1760" w:type="dxa"/>
            <w:vMerge w:val="restart"/>
            <w:vAlign w:val="center"/>
          </w:tcPr>
          <w:p w14:paraId="25FAE5A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专业分包</w:t>
            </w:r>
          </w:p>
        </w:tc>
        <w:tc>
          <w:tcPr>
            <w:tcW w:w="1760" w:type="dxa"/>
            <w:vAlign w:val="center"/>
          </w:tcPr>
          <w:p w14:paraId="2548C4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正式电梯工程安装单位（含深化设计）</w:t>
            </w:r>
          </w:p>
        </w:tc>
        <w:tc>
          <w:tcPr>
            <w:tcW w:w="1760" w:type="dxa"/>
            <w:vAlign w:val="center"/>
          </w:tcPr>
          <w:p w14:paraId="73953F9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FB6930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2021.4.20</w:t>
            </w:r>
          </w:p>
        </w:tc>
        <w:tc>
          <w:tcPr>
            <w:tcW w:w="1760" w:type="dxa"/>
            <w:vAlign w:val="center"/>
          </w:tcPr>
          <w:p w14:paraId="5A32318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2021.5.20</w:t>
            </w:r>
          </w:p>
        </w:tc>
        <w:tc>
          <w:tcPr>
            <w:tcW w:w="1760" w:type="dxa"/>
            <w:vAlign w:val="center"/>
          </w:tcPr>
          <w:p w14:paraId="52A3E4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5E6EE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40358E6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45</w:t>
            </w:r>
          </w:p>
        </w:tc>
        <w:tc>
          <w:tcPr>
            <w:tcW w:w="2160" w:type="dxa"/>
            <w:vMerge w:val="continue"/>
            <w:vAlign w:val="center"/>
          </w:tcPr>
          <w:p w14:paraId="61A61FF3">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3D248F22">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E93EDB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水电安装单位</w:t>
            </w:r>
          </w:p>
        </w:tc>
        <w:tc>
          <w:tcPr>
            <w:tcW w:w="1760" w:type="dxa"/>
            <w:vAlign w:val="center"/>
          </w:tcPr>
          <w:p w14:paraId="4C140BB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812D4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2021.4.25</w:t>
            </w:r>
          </w:p>
        </w:tc>
        <w:tc>
          <w:tcPr>
            <w:tcW w:w="1760" w:type="dxa"/>
            <w:vAlign w:val="center"/>
          </w:tcPr>
          <w:p w14:paraId="457DB4A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2021.5.5</w:t>
            </w:r>
          </w:p>
        </w:tc>
        <w:tc>
          <w:tcPr>
            <w:tcW w:w="1760" w:type="dxa"/>
            <w:vAlign w:val="center"/>
          </w:tcPr>
          <w:p w14:paraId="02890AC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98E6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602ECBA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w:t>
            </w:r>
          </w:p>
        </w:tc>
        <w:tc>
          <w:tcPr>
            <w:tcW w:w="2160" w:type="dxa"/>
            <w:vMerge w:val="continue"/>
            <w:vAlign w:val="center"/>
          </w:tcPr>
          <w:p w14:paraId="7E4731A9">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C490D7E">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699760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消防施工单位</w:t>
            </w:r>
          </w:p>
        </w:tc>
        <w:tc>
          <w:tcPr>
            <w:tcW w:w="1760" w:type="dxa"/>
            <w:vAlign w:val="center"/>
          </w:tcPr>
          <w:p w14:paraId="6F539F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762982E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2021.4.30</w:t>
            </w:r>
          </w:p>
        </w:tc>
        <w:tc>
          <w:tcPr>
            <w:tcW w:w="1760" w:type="dxa"/>
            <w:vAlign w:val="center"/>
          </w:tcPr>
          <w:p w14:paraId="318EF3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2021.9.6</w:t>
            </w:r>
          </w:p>
        </w:tc>
        <w:tc>
          <w:tcPr>
            <w:tcW w:w="1760" w:type="dxa"/>
            <w:vAlign w:val="center"/>
          </w:tcPr>
          <w:p w14:paraId="5423B97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13A5A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67748B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47</w:t>
            </w:r>
          </w:p>
        </w:tc>
        <w:tc>
          <w:tcPr>
            <w:tcW w:w="2160" w:type="dxa"/>
            <w:vMerge w:val="continue"/>
            <w:vAlign w:val="center"/>
          </w:tcPr>
          <w:p w14:paraId="7D1E9DD8">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1A9A644D">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006A92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暖通安装单位</w:t>
            </w:r>
          </w:p>
        </w:tc>
        <w:tc>
          <w:tcPr>
            <w:tcW w:w="1760" w:type="dxa"/>
            <w:vAlign w:val="center"/>
          </w:tcPr>
          <w:p w14:paraId="0A93119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47165C9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2021.4.30</w:t>
            </w:r>
          </w:p>
        </w:tc>
        <w:tc>
          <w:tcPr>
            <w:tcW w:w="1760" w:type="dxa"/>
            <w:vAlign w:val="center"/>
          </w:tcPr>
          <w:p w14:paraId="3FEBEA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2021.9.6</w:t>
            </w:r>
          </w:p>
        </w:tc>
        <w:tc>
          <w:tcPr>
            <w:tcW w:w="1760" w:type="dxa"/>
            <w:vAlign w:val="center"/>
          </w:tcPr>
          <w:p w14:paraId="58A02B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2AC6A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5500DD4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48</w:t>
            </w:r>
          </w:p>
        </w:tc>
        <w:tc>
          <w:tcPr>
            <w:tcW w:w="2160" w:type="dxa"/>
            <w:vMerge w:val="continue"/>
            <w:vAlign w:val="center"/>
          </w:tcPr>
          <w:p w14:paraId="1D360C8B">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3D8BEDDD">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3C3108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智能化工程</w:t>
            </w:r>
          </w:p>
        </w:tc>
        <w:tc>
          <w:tcPr>
            <w:tcW w:w="1760" w:type="dxa"/>
            <w:vAlign w:val="center"/>
          </w:tcPr>
          <w:p w14:paraId="400EF9F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99792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2021.4.30</w:t>
            </w:r>
          </w:p>
        </w:tc>
        <w:tc>
          <w:tcPr>
            <w:tcW w:w="1760" w:type="dxa"/>
            <w:vAlign w:val="center"/>
          </w:tcPr>
          <w:p w14:paraId="66D1A8B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2021.9.6</w:t>
            </w:r>
          </w:p>
        </w:tc>
        <w:tc>
          <w:tcPr>
            <w:tcW w:w="1760" w:type="dxa"/>
            <w:vAlign w:val="center"/>
          </w:tcPr>
          <w:p w14:paraId="14415E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7EF11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2358E1A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49</w:t>
            </w:r>
          </w:p>
        </w:tc>
        <w:tc>
          <w:tcPr>
            <w:tcW w:w="2160" w:type="dxa"/>
            <w:vMerge w:val="continue"/>
            <w:vAlign w:val="center"/>
          </w:tcPr>
          <w:p w14:paraId="23D6B956">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F90EC02">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5BB0BC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太阳能工程</w:t>
            </w:r>
          </w:p>
        </w:tc>
        <w:tc>
          <w:tcPr>
            <w:tcW w:w="1760" w:type="dxa"/>
            <w:vAlign w:val="center"/>
          </w:tcPr>
          <w:p w14:paraId="23BF9F4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094EDD8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2021.4.30</w:t>
            </w:r>
          </w:p>
        </w:tc>
        <w:tc>
          <w:tcPr>
            <w:tcW w:w="1760" w:type="dxa"/>
            <w:vAlign w:val="center"/>
          </w:tcPr>
          <w:p w14:paraId="319589B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2021.9.6</w:t>
            </w:r>
          </w:p>
        </w:tc>
        <w:tc>
          <w:tcPr>
            <w:tcW w:w="1760" w:type="dxa"/>
            <w:vAlign w:val="center"/>
          </w:tcPr>
          <w:p w14:paraId="50D10D1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149E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0219E7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50</w:t>
            </w:r>
          </w:p>
        </w:tc>
        <w:tc>
          <w:tcPr>
            <w:tcW w:w="2160" w:type="dxa"/>
            <w:vMerge w:val="continue"/>
            <w:vAlign w:val="center"/>
          </w:tcPr>
          <w:p w14:paraId="36D80925">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18E39B60">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6ECC6E9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泛光照明单位</w:t>
            </w:r>
          </w:p>
        </w:tc>
        <w:tc>
          <w:tcPr>
            <w:tcW w:w="1760" w:type="dxa"/>
            <w:vAlign w:val="center"/>
          </w:tcPr>
          <w:p w14:paraId="33BA8F7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71E732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2021.4.30</w:t>
            </w:r>
          </w:p>
        </w:tc>
        <w:tc>
          <w:tcPr>
            <w:tcW w:w="1760" w:type="dxa"/>
            <w:vAlign w:val="center"/>
          </w:tcPr>
          <w:p w14:paraId="0634EF2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2021.9.6</w:t>
            </w:r>
          </w:p>
        </w:tc>
        <w:tc>
          <w:tcPr>
            <w:tcW w:w="1760" w:type="dxa"/>
            <w:vAlign w:val="center"/>
          </w:tcPr>
          <w:p w14:paraId="37C8277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4B29C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197D386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2160" w:type="dxa"/>
            <w:vMerge w:val="continue"/>
            <w:vAlign w:val="center"/>
          </w:tcPr>
          <w:p w14:paraId="73E99C3C">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641B9B50">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12222D1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燃气安装单位</w:t>
            </w:r>
          </w:p>
        </w:tc>
        <w:tc>
          <w:tcPr>
            <w:tcW w:w="1760" w:type="dxa"/>
            <w:vAlign w:val="center"/>
          </w:tcPr>
          <w:p w14:paraId="4428D4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6D608FB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2021.8.12</w:t>
            </w:r>
          </w:p>
        </w:tc>
        <w:tc>
          <w:tcPr>
            <w:tcW w:w="1760" w:type="dxa"/>
            <w:vAlign w:val="center"/>
          </w:tcPr>
          <w:p w14:paraId="2C77849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2021.8.22</w:t>
            </w:r>
          </w:p>
        </w:tc>
        <w:tc>
          <w:tcPr>
            <w:tcW w:w="1760" w:type="dxa"/>
            <w:vAlign w:val="center"/>
          </w:tcPr>
          <w:p w14:paraId="0025F4B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32B4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Align w:val="center"/>
          </w:tcPr>
          <w:p w14:paraId="1CBF7A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52</w:t>
            </w:r>
          </w:p>
        </w:tc>
        <w:tc>
          <w:tcPr>
            <w:tcW w:w="2160" w:type="dxa"/>
            <w:vMerge w:val="continue"/>
            <w:vAlign w:val="center"/>
          </w:tcPr>
          <w:p w14:paraId="78D0795B">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70CC9676">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3B517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发电机采购安装单位</w:t>
            </w:r>
          </w:p>
        </w:tc>
        <w:tc>
          <w:tcPr>
            <w:tcW w:w="1760" w:type="dxa"/>
            <w:vAlign w:val="center"/>
          </w:tcPr>
          <w:p w14:paraId="054783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237B51E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2021.8.12</w:t>
            </w:r>
          </w:p>
        </w:tc>
        <w:tc>
          <w:tcPr>
            <w:tcW w:w="1760" w:type="dxa"/>
            <w:vAlign w:val="center"/>
          </w:tcPr>
          <w:p w14:paraId="4D00FB8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2021.8.22</w:t>
            </w:r>
          </w:p>
        </w:tc>
        <w:tc>
          <w:tcPr>
            <w:tcW w:w="1760" w:type="dxa"/>
            <w:vAlign w:val="center"/>
          </w:tcPr>
          <w:p w14:paraId="39BD6AB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3099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080" w:type="dxa"/>
            <w:vAlign w:val="center"/>
          </w:tcPr>
          <w:p w14:paraId="5AD8FC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53</w:t>
            </w:r>
          </w:p>
        </w:tc>
        <w:tc>
          <w:tcPr>
            <w:tcW w:w="2160" w:type="dxa"/>
            <w:vMerge w:val="continue"/>
            <w:vAlign w:val="center"/>
          </w:tcPr>
          <w:p w14:paraId="514F3365">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66739CDB">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C555E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正式电梯安装单位</w:t>
            </w:r>
          </w:p>
        </w:tc>
        <w:tc>
          <w:tcPr>
            <w:tcW w:w="1760" w:type="dxa"/>
            <w:vAlign w:val="center"/>
          </w:tcPr>
          <w:p w14:paraId="721209B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90AF1D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2021.5.10</w:t>
            </w:r>
          </w:p>
        </w:tc>
        <w:tc>
          <w:tcPr>
            <w:tcW w:w="1760" w:type="dxa"/>
            <w:vAlign w:val="center"/>
          </w:tcPr>
          <w:p w14:paraId="73EDA3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2021.10.6</w:t>
            </w:r>
          </w:p>
        </w:tc>
        <w:tc>
          <w:tcPr>
            <w:tcW w:w="1760" w:type="dxa"/>
            <w:vAlign w:val="center"/>
          </w:tcPr>
          <w:p w14:paraId="7EA23A0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4AA8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080" w:type="dxa"/>
            <w:vAlign w:val="center"/>
          </w:tcPr>
          <w:p w14:paraId="17A626F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54</w:t>
            </w:r>
          </w:p>
        </w:tc>
        <w:tc>
          <w:tcPr>
            <w:tcW w:w="2160" w:type="dxa"/>
            <w:vMerge w:val="restart"/>
            <w:vAlign w:val="center"/>
          </w:tcPr>
          <w:p w14:paraId="5C3172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装饰装修</w:t>
            </w:r>
          </w:p>
        </w:tc>
        <w:tc>
          <w:tcPr>
            <w:tcW w:w="1760" w:type="dxa"/>
            <w:vMerge w:val="restart"/>
            <w:vAlign w:val="center"/>
          </w:tcPr>
          <w:p w14:paraId="7004542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专业分包</w:t>
            </w:r>
          </w:p>
        </w:tc>
        <w:tc>
          <w:tcPr>
            <w:tcW w:w="1760" w:type="dxa"/>
            <w:vAlign w:val="center"/>
          </w:tcPr>
          <w:p w14:paraId="711C45B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外立面涂料施工单位</w:t>
            </w:r>
          </w:p>
        </w:tc>
        <w:tc>
          <w:tcPr>
            <w:tcW w:w="1760" w:type="dxa"/>
            <w:vAlign w:val="center"/>
          </w:tcPr>
          <w:p w14:paraId="64AB3B2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1808E72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2021.11.8</w:t>
            </w:r>
          </w:p>
        </w:tc>
        <w:tc>
          <w:tcPr>
            <w:tcW w:w="1760" w:type="dxa"/>
            <w:vAlign w:val="center"/>
          </w:tcPr>
          <w:p w14:paraId="2898FF3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2021.11.18</w:t>
            </w:r>
          </w:p>
        </w:tc>
        <w:tc>
          <w:tcPr>
            <w:tcW w:w="1760" w:type="dxa"/>
            <w:vAlign w:val="center"/>
          </w:tcPr>
          <w:p w14:paraId="10849DD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4AE6F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4046967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w:t>
            </w:r>
          </w:p>
        </w:tc>
        <w:tc>
          <w:tcPr>
            <w:tcW w:w="2160" w:type="dxa"/>
            <w:vMerge w:val="continue"/>
            <w:vAlign w:val="center"/>
          </w:tcPr>
          <w:p w14:paraId="6F073815">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2FF6A34">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1B9A080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幕墙安装单位</w:t>
            </w:r>
          </w:p>
        </w:tc>
        <w:tc>
          <w:tcPr>
            <w:tcW w:w="1760" w:type="dxa"/>
            <w:vAlign w:val="center"/>
          </w:tcPr>
          <w:p w14:paraId="7F321AA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4034848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2022.1.13</w:t>
            </w:r>
          </w:p>
        </w:tc>
        <w:tc>
          <w:tcPr>
            <w:tcW w:w="1760" w:type="dxa"/>
            <w:vAlign w:val="center"/>
          </w:tcPr>
          <w:p w14:paraId="39CD1A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2022.1.23</w:t>
            </w:r>
          </w:p>
        </w:tc>
        <w:tc>
          <w:tcPr>
            <w:tcW w:w="1760" w:type="dxa"/>
            <w:vAlign w:val="center"/>
          </w:tcPr>
          <w:p w14:paraId="0C80F94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169DB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1ABEE7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56</w:t>
            </w:r>
          </w:p>
        </w:tc>
        <w:tc>
          <w:tcPr>
            <w:tcW w:w="2160" w:type="dxa"/>
            <w:vMerge w:val="continue"/>
            <w:vAlign w:val="center"/>
          </w:tcPr>
          <w:p w14:paraId="28D2084A">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1C94D427">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149BAAC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室内精装修单位</w:t>
            </w:r>
          </w:p>
        </w:tc>
        <w:tc>
          <w:tcPr>
            <w:tcW w:w="1760" w:type="dxa"/>
            <w:vAlign w:val="center"/>
          </w:tcPr>
          <w:p w14:paraId="32F30FC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1B1E2D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2021.8.6</w:t>
            </w:r>
          </w:p>
        </w:tc>
        <w:tc>
          <w:tcPr>
            <w:tcW w:w="1760" w:type="dxa"/>
            <w:vAlign w:val="center"/>
          </w:tcPr>
          <w:p w14:paraId="10585B3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2021.8.16</w:t>
            </w:r>
          </w:p>
        </w:tc>
        <w:tc>
          <w:tcPr>
            <w:tcW w:w="1760" w:type="dxa"/>
            <w:vAlign w:val="center"/>
          </w:tcPr>
          <w:p w14:paraId="28B082F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0D887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3BCAD74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57</w:t>
            </w:r>
          </w:p>
        </w:tc>
        <w:tc>
          <w:tcPr>
            <w:tcW w:w="2160" w:type="dxa"/>
            <w:vMerge w:val="continue"/>
            <w:vAlign w:val="center"/>
          </w:tcPr>
          <w:p w14:paraId="6FB1671A">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3CD4603">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7503946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实验室施工单位</w:t>
            </w:r>
          </w:p>
        </w:tc>
        <w:tc>
          <w:tcPr>
            <w:tcW w:w="1760" w:type="dxa"/>
            <w:vAlign w:val="center"/>
          </w:tcPr>
          <w:p w14:paraId="2561909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2AF56BF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2021.8.6</w:t>
            </w:r>
          </w:p>
        </w:tc>
        <w:tc>
          <w:tcPr>
            <w:tcW w:w="1760" w:type="dxa"/>
            <w:vAlign w:val="center"/>
          </w:tcPr>
          <w:p w14:paraId="243ACA0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2021.8.16</w:t>
            </w:r>
          </w:p>
        </w:tc>
        <w:tc>
          <w:tcPr>
            <w:tcW w:w="1760" w:type="dxa"/>
            <w:vAlign w:val="center"/>
          </w:tcPr>
          <w:p w14:paraId="7E65415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r w14:paraId="439E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080" w:type="dxa"/>
            <w:vAlign w:val="center"/>
          </w:tcPr>
          <w:p w14:paraId="470DDA1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58</w:t>
            </w:r>
          </w:p>
        </w:tc>
        <w:tc>
          <w:tcPr>
            <w:tcW w:w="2160" w:type="dxa"/>
            <w:vMerge w:val="continue"/>
            <w:vAlign w:val="center"/>
          </w:tcPr>
          <w:p w14:paraId="7974C273">
            <w:pPr>
              <w:widowControl/>
              <w:spacing w:line="240" w:lineRule="auto"/>
              <w:ind w:firstLine="0" w:firstLineChars="0"/>
              <w:jc w:val="left"/>
              <w:rPr>
                <w:rFonts w:hint="eastAsia" w:ascii="宋体" w:hAnsi="宋体" w:cs="宋体"/>
                <w:color w:val="auto"/>
                <w:kern w:val="0"/>
                <w:sz w:val="21"/>
              </w:rPr>
            </w:pPr>
          </w:p>
        </w:tc>
        <w:tc>
          <w:tcPr>
            <w:tcW w:w="1760" w:type="dxa"/>
            <w:vMerge w:val="continue"/>
            <w:vAlign w:val="center"/>
          </w:tcPr>
          <w:p w14:paraId="0F54C006">
            <w:pPr>
              <w:widowControl/>
              <w:spacing w:line="240" w:lineRule="auto"/>
              <w:ind w:firstLine="0" w:firstLineChars="0"/>
              <w:jc w:val="left"/>
              <w:rPr>
                <w:rFonts w:hint="eastAsia" w:ascii="宋体" w:hAnsi="宋体" w:cs="宋体"/>
                <w:color w:val="auto"/>
                <w:kern w:val="0"/>
                <w:sz w:val="21"/>
              </w:rPr>
            </w:pPr>
          </w:p>
        </w:tc>
        <w:tc>
          <w:tcPr>
            <w:tcW w:w="1760" w:type="dxa"/>
            <w:vAlign w:val="center"/>
          </w:tcPr>
          <w:p w14:paraId="41575E9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教学教具施工</w:t>
            </w:r>
          </w:p>
        </w:tc>
        <w:tc>
          <w:tcPr>
            <w:tcW w:w="1760" w:type="dxa"/>
            <w:vAlign w:val="center"/>
          </w:tcPr>
          <w:p w14:paraId="4FD50B2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招标</w:t>
            </w:r>
          </w:p>
        </w:tc>
        <w:tc>
          <w:tcPr>
            <w:tcW w:w="1760" w:type="dxa"/>
            <w:vAlign w:val="center"/>
          </w:tcPr>
          <w:p w14:paraId="3B1A46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2022.5.7</w:t>
            </w:r>
          </w:p>
        </w:tc>
        <w:tc>
          <w:tcPr>
            <w:tcW w:w="1760" w:type="dxa"/>
            <w:vAlign w:val="center"/>
          </w:tcPr>
          <w:p w14:paraId="7A11E94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2022.5.17</w:t>
            </w:r>
          </w:p>
        </w:tc>
        <w:tc>
          <w:tcPr>
            <w:tcW w:w="1760" w:type="dxa"/>
            <w:vAlign w:val="center"/>
          </w:tcPr>
          <w:p w14:paraId="1C2E9F3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　</w:t>
            </w:r>
          </w:p>
        </w:tc>
      </w:tr>
    </w:tbl>
    <w:p w14:paraId="35D7B3B8">
      <w:pPr>
        <w:rPr>
          <w:color w:val="auto"/>
        </w:rPr>
      </w:pPr>
    </w:p>
    <w:p w14:paraId="2F165F01">
      <w:pPr>
        <w:ind w:firstLine="0" w:firstLineChars="0"/>
        <w:rPr>
          <w:color w:val="auto"/>
        </w:rPr>
        <w:sectPr>
          <w:headerReference r:id="rId21" w:type="default"/>
          <w:pgSz w:w="23811" w:h="16838" w:orient="landscape"/>
          <w:pgMar w:top="1701" w:right="1440" w:bottom="1361" w:left="1440" w:header="851" w:footer="992" w:gutter="0"/>
          <w:cols w:space="425" w:num="1"/>
          <w:docGrid w:type="lines" w:linePitch="326" w:charSpace="0"/>
        </w:sectPr>
      </w:pPr>
    </w:p>
    <w:p w14:paraId="084775F2">
      <w:pPr>
        <w:pStyle w:val="5"/>
        <w:rPr>
          <w:color w:val="auto"/>
        </w:rPr>
      </w:pPr>
      <w:bookmarkStart w:id="85" w:name="_Toc12982"/>
      <w:r>
        <w:rPr>
          <w:rFonts w:hint="eastAsia"/>
          <w:color w:val="auto"/>
        </w:rPr>
        <w:t>招采主要思路</w:t>
      </w:r>
      <w:bookmarkEnd w:id="85"/>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95"/>
        <w:gridCol w:w="6527"/>
        <w:gridCol w:w="1747"/>
      </w:tblGrid>
      <w:tr w14:paraId="73CB6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595" w:type="dxa"/>
            <w:noWrap/>
            <w:tcMar>
              <w:top w:w="12" w:type="dxa"/>
              <w:left w:w="12" w:type="dxa"/>
              <w:right w:w="12" w:type="dxa"/>
            </w:tcMar>
            <w:vAlign w:val="center"/>
          </w:tcPr>
          <w:p w14:paraId="38846A74">
            <w:pPr>
              <w:widowControl/>
              <w:ind w:firstLine="0" w:firstLineChars="0"/>
              <w:jc w:val="center"/>
              <w:textAlignment w:val="center"/>
              <w:rPr>
                <w:rFonts w:cs="宋体"/>
                <w:color w:val="auto"/>
                <w:sz w:val="21"/>
              </w:rPr>
            </w:pPr>
            <w:r>
              <w:rPr>
                <w:rFonts w:hint="eastAsia" w:cs="宋体"/>
                <w:color w:val="auto"/>
                <w:kern w:val="0"/>
                <w:sz w:val="21"/>
                <w:lang w:bidi="ar"/>
              </w:rPr>
              <w:t>序号</w:t>
            </w:r>
          </w:p>
        </w:tc>
        <w:tc>
          <w:tcPr>
            <w:tcW w:w="6527" w:type="dxa"/>
            <w:tcMar>
              <w:top w:w="12" w:type="dxa"/>
              <w:left w:w="12" w:type="dxa"/>
              <w:right w:w="12" w:type="dxa"/>
            </w:tcMar>
            <w:vAlign w:val="center"/>
          </w:tcPr>
          <w:p w14:paraId="4AF4BE0E">
            <w:pPr>
              <w:widowControl/>
              <w:ind w:firstLine="420"/>
              <w:jc w:val="center"/>
              <w:textAlignment w:val="center"/>
              <w:rPr>
                <w:rFonts w:cs="宋体"/>
                <w:color w:val="auto"/>
                <w:sz w:val="21"/>
              </w:rPr>
            </w:pPr>
            <w:r>
              <w:rPr>
                <w:rFonts w:hint="eastAsia" w:cs="宋体"/>
                <w:color w:val="auto"/>
                <w:kern w:val="0"/>
                <w:sz w:val="21"/>
                <w:lang w:bidi="ar"/>
              </w:rPr>
              <w:t>招采思路</w:t>
            </w:r>
          </w:p>
        </w:tc>
        <w:tc>
          <w:tcPr>
            <w:tcW w:w="1747" w:type="dxa"/>
            <w:noWrap/>
            <w:tcMar>
              <w:top w:w="12" w:type="dxa"/>
              <w:left w:w="12" w:type="dxa"/>
              <w:right w:w="12" w:type="dxa"/>
            </w:tcMar>
            <w:vAlign w:val="center"/>
          </w:tcPr>
          <w:p w14:paraId="2A2BF7BA">
            <w:pPr>
              <w:widowControl/>
              <w:ind w:firstLine="0" w:firstLineChars="0"/>
              <w:textAlignment w:val="center"/>
              <w:rPr>
                <w:rFonts w:cs="宋体"/>
                <w:color w:val="auto"/>
                <w:sz w:val="21"/>
              </w:rPr>
            </w:pPr>
            <w:r>
              <w:rPr>
                <w:rFonts w:hint="eastAsia" w:cs="宋体"/>
                <w:color w:val="auto"/>
                <w:kern w:val="0"/>
                <w:sz w:val="21"/>
                <w:lang w:bidi="ar"/>
              </w:rPr>
              <w:t>备注</w:t>
            </w:r>
          </w:p>
        </w:tc>
      </w:tr>
      <w:tr w14:paraId="78D7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60" w:hRule="atLeast"/>
          <w:jc w:val="center"/>
        </w:trPr>
        <w:tc>
          <w:tcPr>
            <w:tcW w:w="595" w:type="dxa"/>
            <w:noWrap/>
            <w:tcMar>
              <w:top w:w="12" w:type="dxa"/>
              <w:left w:w="12" w:type="dxa"/>
              <w:right w:w="12" w:type="dxa"/>
            </w:tcMar>
            <w:vAlign w:val="center"/>
          </w:tcPr>
          <w:p w14:paraId="5E8E59B4">
            <w:pPr>
              <w:widowControl/>
              <w:ind w:firstLine="210" w:firstLineChars="100"/>
              <w:textAlignment w:val="center"/>
              <w:rPr>
                <w:rFonts w:cs="宋体"/>
                <w:color w:val="auto"/>
                <w:sz w:val="21"/>
              </w:rPr>
            </w:pPr>
            <w:r>
              <w:rPr>
                <w:rFonts w:hint="eastAsia" w:cs="宋体"/>
                <w:color w:val="auto"/>
                <w:kern w:val="0"/>
                <w:sz w:val="21"/>
                <w:lang w:bidi="ar"/>
              </w:rPr>
              <w:t>1</w:t>
            </w:r>
          </w:p>
        </w:tc>
        <w:tc>
          <w:tcPr>
            <w:tcW w:w="6527" w:type="dxa"/>
            <w:tcMar>
              <w:top w:w="12" w:type="dxa"/>
              <w:left w:w="12" w:type="dxa"/>
              <w:right w:w="12" w:type="dxa"/>
            </w:tcMar>
            <w:vAlign w:val="center"/>
          </w:tcPr>
          <w:p w14:paraId="16143D10">
            <w:pPr>
              <w:widowControl/>
              <w:ind w:firstLine="420"/>
              <w:jc w:val="center"/>
              <w:textAlignment w:val="center"/>
              <w:rPr>
                <w:rFonts w:cs="宋体"/>
                <w:color w:val="auto"/>
                <w:sz w:val="21"/>
              </w:rPr>
            </w:pPr>
            <w:r>
              <w:rPr>
                <w:rFonts w:hint="eastAsia" w:cs="宋体"/>
                <w:color w:val="auto"/>
                <w:kern w:val="0"/>
                <w:sz w:val="21"/>
                <w:lang w:bidi="ar"/>
              </w:rPr>
              <w:t>项目为EPC项目，前期设计需要专业队伍介入，建议园林景观、室外管网、海绵城市在方案阶段采用上缴管理费模式招标，确定中标队伍深入参与设计。</w:t>
            </w:r>
          </w:p>
        </w:tc>
        <w:tc>
          <w:tcPr>
            <w:tcW w:w="1747" w:type="dxa"/>
            <w:noWrap/>
            <w:tcMar>
              <w:top w:w="12" w:type="dxa"/>
              <w:left w:w="12" w:type="dxa"/>
              <w:right w:w="12" w:type="dxa"/>
            </w:tcMar>
            <w:vAlign w:val="center"/>
          </w:tcPr>
          <w:p w14:paraId="21774D28">
            <w:pPr>
              <w:ind w:firstLine="420"/>
              <w:jc w:val="center"/>
              <w:rPr>
                <w:rFonts w:cs="宋体"/>
                <w:color w:val="auto"/>
                <w:sz w:val="21"/>
                <w:highlight w:val="yellow"/>
              </w:rPr>
            </w:pPr>
          </w:p>
        </w:tc>
      </w:tr>
      <w:tr w14:paraId="24376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0" w:hRule="atLeast"/>
          <w:jc w:val="center"/>
        </w:trPr>
        <w:tc>
          <w:tcPr>
            <w:tcW w:w="595" w:type="dxa"/>
            <w:noWrap/>
            <w:tcMar>
              <w:top w:w="12" w:type="dxa"/>
              <w:left w:w="12" w:type="dxa"/>
              <w:right w:w="12" w:type="dxa"/>
            </w:tcMar>
            <w:vAlign w:val="center"/>
          </w:tcPr>
          <w:p w14:paraId="05803520">
            <w:pPr>
              <w:widowControl/>
              <w:ind w:firstLine="210" w:firstLineChars="100"/>
              <w:textAlignment w:val="center"/>
              <w:rPr>
                <w:rFonts w:cs="宋体"/>
                <w:color w:val="auto"/>
                <w:sz w:val="21"/>
              </w:rPr>
            </w:pPr>
            <w:r>
              <w:rPr>
                <w:rFonts w:hint="eastAsia" w:cs="宋体"/>
                <w:color w:val="auto"/>
                <w:kern w:val="0"/>
                <w:sz w:val="21"/>
                <w:lang w:bidi="ar"/>
              </w:rPr>
              <w:t>2</w:t>
            </w:r>
          </w:p>
        </w:tc>
        <w:tc>
          <w:tcPr>
            <w:tcW w:w="6527" w:type="dxa"/>
            <w:tcMar>
              <w:top w:w="12" w:type="dxa"/>
              <w:left w:w="12" w:type="dxa"/>
              <w:right w:w="12" w:type="dxa"/>
            </w:tcMar>
            <w:vAlign w:val="center"/>
          </w:tcPr>
          <w:p w14:paraId="2282C499">
            <w:pPr>
              <w:widowControl/>
              <w:ind w:firstLine="420"/>
              <w:jc w:val="center"/>
              <w:textAlignment w:val="center"/>
              <w:rPr>
                <w:rFonts w:cs="宋体"/>
                <w:color w:val="auto"/>
                <w:sz w:val="21"/>
              </w:rPr>
            </w:pPr>
            <w:r>
              <w:rPr>
                <w:rFonts w:hint="eastAsia" w:cs="宋体"/>
                <w:color w:val="auto"/>
                <w:kern w:val="0"/>
                <w:sz w:val="21"/>
                <w:lang w:bidi="ar"/>
              </w:rPr>
              <w:t>装饰队伍招标采用项目进场招标确定队伍，队伍指定供应商（按招标指定价格+采保管理费）包工包料模式。</w:t>
            </w:r>
          </w:p>
        </w:tc>
        <w:tc>
          <w:tcPr>
            <w:tcW w:w="1747" w:type="dxa"/>
            <w:noWrap/>
            <w:tcMar>
              <w:top w:w="12" w:type="dxa"/>
              <w:left w:w="12" w:type="dxa"/>
              <w:right w:w="12" w:type="dxa"/>
            </w:tcMar>
            <w:vAlign w:val="center"/>
          </w:tcPr>
          <w:p w14:paraId="0DBCEF5C">
            <w:pPr>
              <w:ind w:firstLine="420"/>
              <w:jc w:val="center"/>
              <w:rPr>
                <w:rFonts w:cs="宋体"/>
                <w:color w:val="auto"/>
                <w:sz w:val="21"/>
                <w:highlight w:val="yellow"/>
              </w:rPr>
            </w:pPr>
          </w:p>
        </w:tc>
      </w:tr>
      <w:tr w14:paraId="250E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0" w:hRule="atLeast"/>
          <w:jc w:val="center"/>
        </w:trPr>
        <w:tc>
          <w:tcPr>
            <w:tcW w:w="595" w:type="dxa"/>
            <w:noWrap/>
            <w:tcMar>
              <w:top w:w="12" w:type="dxa"/>
              <w:left w:w="12" w:type="dxa"/>
              <w:right w:w="12" w:type="dxa"/>
            </w:tcMar>
            <w:vAlign w:val="center"/>
          </w:tcPr>
          <w:p w14:paraId="7C201845">
            <w:pPr>
              <w:widowControl/>
              <w:ind w:firstLine="210" w:firstLineChars="100"/>
              <w:textAlignment w:val="center"/>
              <w:rPr>
                <w:rFonts w:cs="宋体"/>
                <w:color w:val="auto"/>
                <w:sz w:val="21"/>
              </w:rPr>
            </w:pPr>
            <w:r>
              <w:rPr>
                <w:rFonts w:hint="eastAsia" w:cs="宋体"/>
                <w:color w:val="auto"/>
                <w:kern w:val="0"/>
                <w:sz w:val="21"/>
                <w:lang w:bidi="ar"/>
              </w:rPr>
              <w:t>3</w:t>
            </w:r>
          </w:p>
        </w:tc>
        <w:tc>
          <w:tcPr>
            <w:tcW w:w="6527" w:type="dxa"/>
            <w:tcMar>
              <w:top w:w="12" w:type="dxa"/>
              <w:left w:w="12" w:type="dxa"/>
              <w:right w:w="12" w:type="dxa"/>
            </w:tcMar>
            <w:vAlign w:val="center"/>
          </w:tcPr>
          <w:p w14:paraId="76501410">
            <w:pPr>
              <w:widowControl/>
              <w:ind w:firstLine="420"/>
              <w:jc w:val="center"/>
              <w:textAlignment w:val="center"/>
              <w:rPr>
                <w:rFonts w:cs="宋体"/>
                <w:color w:val="auto"/>
                <w:sz w:val="21"/>
              </w:rPr>
            </w:pPr>
            <w:r>
              <w:rPr>
                <w:rFonts w:hint="eastAsia" w:cs="宋体"/>
                <w:color w:val="auto"/>
                <w:kern w:val="0"/>
                <w:sz w:val="21"/>
                <w:lang w:bidi="ar"/>
              </w:rPr>
              <w:t>铝模亏损较大，建议根据装配评分情况取消铝模</w:t>
            </w:r>
          </w:p>
        </w:tc>
        <w:tc>
          <w:tcPr>
            <w:tcW w:w="1747" w:type="dxa"/>
            <w:noWrap/>
            <w:tcMar>
              <w:top w:w="12" w:type="dxa"/>
              <w:left w:w="12" w:type="dxa"/>
              <w:right w:w="12" w:type="dxa"/>
            </w:tcMar>
            <w:vAlign w:val="center"/>
          </w:tcPr>
          <w:p w14:paraId="791E9388">
            <w:pPr>
              <w:ind w:firstLine="420"/>
              <w:jc w:val="center"/>
              <w:rPr>
                <w:rFonts w:cs="宋体"/>
                <w:color w:val="auto"/>
                <w:sz w:val="21"/>
                <w:highlight w:val="yellow"/>
              </w:rPr>
            </w:pPr>
          </w:p>
        </w:tc>
      </w:tr>
      <w:tr w14:paraId="48690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jc w:val="center"/>
        </w:trPr>
        <w:tc>
          <w:tcPr>
            <w:tcW w:w="595" w:type="dxa"/>
            <w:noWrap/>
            <w:tcMar>
              <w:top w:w="12" w:type="dxa"/>
              <w:left w:w="12" w:type="dxa"/>
              <w:right w:w="12" w:type="dxa"/>
            </w:tcMar>
            <w:vAlign w:val="center"/>
          </w:tcPr>
          <w:p w14:paraId="44E7C6C3">
            <w:pPr>
              <w:widowControl/>
              <w:ind w:firstLine="210" w:firstLineChars="100"/>
              <w:textAlignment w:val="center"/>
              <w:rPr>
                <w:rFonts w:cs="宋体"/>
                <w:color w:val="auto"/>
                <w:sz w:val="21"/>
              </w:rPr>
            </w:pPr>
            <w:r>
              <w:rPr>
                <w:rFonts w:hint="eastAsia" w:cs="宋体"/>
                <w:color w:val="auto"/>
                <w:kern w:val="0"/>
                <w:sz w:val="21"/>
                <w:lang w:bidi="ar"/>
              </w:rPr>
              <w:t>4</w:t>
            </w:r>
          </w:p>
        </w:tc>
        <w:tc>
          <w:tcPr>
            <w:tcW w:w="6527" w:type="dxa"/>
            <w:tcMar>
              <w:top w:w="12" w:type="dxa"/>
              <w:left w:w="12" w:type="dxa"/>
              <w:right w:w="12" w:type="dxa"/>
            </w:tcMar>
            <w:vAlign w:val="center"/>
          </w:tcPr>
          <w:p w14:paraId="0AC0FA9D">
            <w:pPr>
              <w:widowControl/>
              <w:ind w:firstLine="420"/>
              <w:jc w:val="center"/>
              <w:textAlignment w:val="center"/>
              <w:rPr>
                <w:rFonts w:cs="宋体"/>
                <w:color w:val="auto"/>
                <w:sz w:val="21"/>
              </w:rPr>
            </w:pPr>
            <w:r>
              <w:rPr>
                <w:rFonts w:hint="eastAsia" w:cs="宋体"/>
                <w:color w:val="auto"/>
                <w:kern w:val="0"/>
                <w:sz w:val="21"/>
                <w:lang w:bidi="ar"/>
              </w:rPr>
              <w:t>室外管网、海绵城市、硬景工程初步设计阶段招标，招采前置进行优化设计</w:t>
            </w:r>
          </w:p>
        </w:tc>
        <w:tc>
          <w:tcPr>
            <w:tcW w:w="1747" w:type="dxa"/>
            <w:noWrap/>
            <w:tcMar>
              <w:top w:w="12" w:type="dxa"/>
              <w:left w:w="12" w:type="dxa"/>
              <w:right w:w="12" w:type="dxa"/>
            </w:tcMar>
            <w:vAlign w:val="center"/>
          </w:tcPr>
          <w:p w14:paraId="285B0F5C">
            <w:pPr>
              <w:ind w:firstLine="420"/>
              <w:jc w:val="center"/>
              <w:rPr>
                <w:rFonts w:cs="宋体"/>
                <w:color w:val="auto"/>
                <w:sz w:val="21"/>
                <w:highlight w:val="yellow"/>
              </w:rPr>
            </w:pPr>
          </w:p>
        </w:tc>
      </w:tr>
    </w:tbl>
    <w:p w14:paraId="00BECE94">
      <w:pPr>
        <w:rPr>
          <w:color w:val="auto"/>
        </w:rPr>
      </w:pPr>
    </w:p>
    <w:p w14:paraId="3307B9DD">
      <w:pPr>
        <w:pStyle w:val="4"/>
        <w:ind w:firstLine="482"/>
        <w:rPr>
          <w:color w:val="auto"/>
        </w:rPr>
      </w:pPr>
      <w:bookmarkStart w:id="86" w:name="_Toc14422"/>
      <w:r>
        <w:rPr>
          <w:rFonts w:hint="eastAsia"/>
          <w:color w:val="auto"/>
        </w:rPr>
        <w:t>施工准备</w:t>
      </w:r>
      <w:bookmarkEnd w:id="82"/>
      <w:bookmarkEnd w:id="86"/>
    </w:p>
    <w:p w14:paraId="4A7232AB">
      <w:pPr>
        <w:pStyle w:val="5"/>
        <w:rPr>
          <w:color w:val="auto"/>
        </w:rPr>
      </w:pPr>
      <w:bookmarkStart w:id="87" w:name="_Toc14958"/>
      <w:bookmarkStart w:id="88" w:name="_Toc531112480"/>
      <w:r>
        <w:rPr>
          <w:rFonts w:hint="eastAsia"/>
          <w:color w:val="auto"/>
        </w:rPr>
        <w:t>施工技术准备</w:t>
      </w:r>
      <w:bookmarkEnd w:id="87"/>
      <w:bookmarkEnd w:id="88"/>
    </w:p>
    <w:p w14:paraId="1A0EB83B">
      <w:pPr>
        <w:pStyle w:val="6"/>
        <w:ind w:firstLine="480"/>
        <w:rPr>
          <w:color w:val="auto"/>
        </w:rPr>
      </w:pPr>
      <w:r>
        <w:rPr>
          <w:rFonts w:hint="eastAsia"/>
          <w:color w:val="auto"/>
        </w:rPr>
        <w:t>图纸会审及技术交底</w:t>
      </w:r>
    </w:p>
    <w:p w14:paraId="41BE7305">
      <w:pPr>
        <w:rPr>
          <w:color w:val="auto"/>
        </w:rPr>
      </w:pPr>
      <w:r>
        <w:rPr>
          <w:rFonts w:hint="eastAsia"/>
          <w:color w:val="auto"/>
        </w:rPr>
        <w:t>进场后，项目部将组织有关专业人员认真学习和熟悉图纸，及时将设计和图纸疑问以书面形式提交监理转业主、设计单位处理，协助业主组织好图纸会审工作。</w:t>
      </w:r>
    </w:p>
    <w:p w14:paraId="424F5A83">
      <w:pPr>
        <w:rPr>
          <w:color w:val="auto"/>
        </w:rPr>
      </w:pPr>
      <w:r>
        <w:rPr>
          <w:rFonts w:hint="eastAsia"/>
          <w:color w:val="auto"/>
        </w:rPr>
        <w:t>工程开工前由项目技术总监组织施工人员、质安人员、班组长进行交底，针对施工的关键部位、施工难点、质量和安全要求、操作要点及注意事项等进行全面的交底，各个班组长接受交底后组织操作工人认真学习，并要求落实到各个施工环节之上，对参与重点工程项目施工的人员进行培训，使其充分掌握施工重点，为搞好施工质量打好基础。</w:t>
      </w:r>
    </w:p>
    <w:p w14:paraId="7950294E">
      <w:pPr>
        <w:pStyle w:val="6"/>
        <w:ind w:firstLine="480"/>
        <w:rPr>
          <w:color w:val="auto"/>
        </w:rPr>
      </w:pPr>
      <w:r>
        <w:rPr>
          <w:rFonts w:hint="eastAsia"/>
          <w:color w:val="auto"/>
        </w:rPr>
        <w:t>施工图深化设计</w:t>
      </w:r>
    </w:p>
    <w:p w14:paraId="134D8DC0">
      <w:pPr>
        <w:rPr>
          <w:color w:val="auto"/>
        </w:rPr>
      </w:pPr>
      <w:r>
        <w:rPr>
          <w:rFonts w:hint="eastAsia"/>
          <w:color w:val="auto"/>
        </w:rPr>
        <w:t>根据已有图纸，结合总体施工部署，按照施工计划的要求，提前插入机电安装、装配式深化设计工作，为后续施工提供技术保障。</w:t>
      </w:r>
    </w:p>
    <w:p w14:paraId="2143AE55">
      <w:pPr>
        <w:pStyle w:val="6"/>
        <w:numPr>
          <w:ilvl w:val="3"/>
          <w:numId w:val="7"/>
        </w:numPr>
        <w:ind w:firstLine="480"/>
        <w:rPr>
          <w:color w:val="auto"/>
        </w:rPr>
      </w:pPr>
      <w:r>
        <w:rPr>
          <w:rFonts w:hint="eastAsia"/>
          <w:color w:val="auto"/>
        </w:rPr>
        <w:t>图纸、规范、标准、图集等</w:t>
      </w:r>
    </w:p>
    <w:p w14:paraId="3C83B378">
      <w:pPr>
        <w:rPr>
          <w:color w:val="auto"/>
        </w:rPr>
      </w:pPr>
      <w:r>
        <w:rPr>
          <w:rFonts w:hint="eastAsia"/>
          <w:color w:val="auto"/>
        </w:rPr>
        <w:t>根据图纸及施工合同，购买本工程所需要的现行的国家规范、规程、行业标准、图集等技术资料。组织施工管理人员根据图纸会审及合同熟悉图纸、工作内容，确定工程施工中的重点难点，事先提出可行的方法，尽量将设计存在的问题在施工前解决。组织相关人员学习规范、规程等，做到心中有数。</w:t>
      </w:r>
    </w:p>
    <w:p w14:paraId="2388CC1A">
      <w:pPr>
        <w:pStyle w:val="6"/>
        <w:numPr>
          <w:ilvl w:val="3"/>
          <w:numId w:val="7"/>
        </w:numPr>
        <w:ind w:firstLine="480"/>
        <w:rPr>
          <w:color w:val="auto"/>
        </w:rPr>
      </w:pPr>
      <w:r>
        <w:rPr>
          <w:rFonts w:hint="eastAsia"/>
          <w:color w:val="auto"/>
        </w:rPr>
        <w:t>设备及器具</w:t>
      </w:r>
    </w:p>
    <w:p w14:paraId="520ABC30">
      <w:pPr>
        <w:rPr>
          <w:color w:val="auto"/>
        </w:rPr>
      </w:pPr>
      <w:r>
        <w:rPr>
          <w:rFonts w:hint="eastAsia"/>
          <w:color w:val="auto"/>
        </w:rPr>
        <w:t>根据本工程的规模及现场实际情况，配备计量、测量、检测、试验等所需的器具、仪器。进场后对本工程使用的测量仪器和其他计量工具送检报验。</w:t>
      </w:r>
    </w:p>
    <w:p w14:paraId="00E266DE">
      <w:pPr>
        <w:pStyle w:val="6"/>
        <w:numPr>
          <w:ilvl w:val="3"/>
          <w:numId w:val="7"/>
        </w:numPr>
        <w:ind w:firstLine="480"/>
        <w:rPr>
          <w:color w:val="auto"/>
        </w:rPr>
      </w:pPr>
      <w:r>
        <w:rPr>
          <w:rFonts w:hint="eastAsia"/>
          <w:color w:val="auto"/>
        </w:rPr>
        <w:t>测量基准交底、复测及验收</w:t>
      </w:r>
    </w:p>
    <w:p w14:paraId="0890F592">
      <w:pPr>
        <w:rPr>
          <w:color w:val="auto"/>
        </w:rPr>
      </w:pPr>
      <w:r>
        <w:rPr>
          <w:rFonts w:hint="eastAsia"/>
          <w:color w:val="auto"/>
        </w:rPr>
        <w:t>进场后及时与建设单位办理测量定位的交接手续，并填写“施工测量交接记录”作为施工测量放线的依据，并及时组织人员对控制点进行复测。</w:t>
      </w:r>
    </w:p>
    <w:p w14:paraId="3C2987E1">
      <w:pPr>
        <w:rPr>
          <w:color w:val="auto"/>
        </w:rPr>
      </w:pPr>
      <w:r>
        <w:rPr>
          <w:rFonts w:hint="eastAsia"/>
          <w:color w:val="auto"/>
        </w:rPr>
        <w:t>项目部在收到复测成果后，报设计院和监理单位，各方确定成果无误后进行加密测量，检核级别定为平面GPS级及高程三等。GPS级控制点的复测应满足x、y坐标差值±2cm的要求，CPⅡ级控制点的复测应满足下表要求：</w:t>
      </w:r>
    </w:p>
    <w:p w14:paraId="204E9DAB">
      <w:pPr>
        <w:pStyle w:val="54"/>
        <w:rPr>
          <w:color w:val="auto"/>
        </w:rPr>
      </w:pPr>
      <w:r>
        <w:rPr>
          <w:rFonts w:hint="eastAsia"/>
          <w:color w:val="auto"/>
        </w:rPr>
        <w:t>CPⅡ级控制点的复测要求</w:t>
      </w:r>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2601"/>
        <w:gridCol w:w="2299"/>
        <w:gridCol w:w="2170"/>
      </w:tblGrid>
      <w:tr w14:paraId="1BA4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14:paraId="03035987">
            <w:pPr>
              <w:pStyle w:val="45"/>
              <w:rPr>
                <w:rFonts w:hint="eastAsia"/>
                <w:color w:val="auto"/>
              </w:rPr>
            </w:pPr>
            <w:r>
              <w:rPr>
                <w:rFonts w:hint="eastAsia"/>
                <w:color w:val="auto"/>
              </w:rPr>
              <w:t>水平角</w:t>
            </w:r>
          </w:p>
        </w:tc>
        <w:tc>
          <w:tcPr>
            <w:tcW w:w="2601" w:type="dxa"/>
            <w:tcBorders>
              <w:top w:val="single" w:color="auto" w:sz="4" w:space="0"/>
              <w:left w:val="single" w:color="auto" w:sz="4" w:space="0"/>
              <w:bottom w:val="single" w:color="auto" w:sz="4" w:space="0"/>
              <w:right w:val="single" w:color="auto" w:sz="4" w:space="0"/>
            </w:tcBorders>
            <w:vAlign w:val="center"/>
          </w:tcPr>
          <w:p w14:paraId="328E508F">
            <w:pPr>
              <w:pStyle w:val="45"/>
              <w:rPr>
                <w:rFonts w:hint="eastAsia"/>
                <w:color w:val="auto"/>
              </w:rPr>
            </w:pPr>
            <w:r>
              <w:rPr>
                <w:rFonts w:hint="eastAsia"/>
                <w:color w:val="auto"/>
              </w:rPr>
              <w:t>导线方位角闭合差</w:t>
            </w:r>
          </w:p>
        </w:tc>
        <w:tc>
          <w:tcPr>
            <w:tcW w:w="2299" w:type="dxa"/>
            <w:tcBorders>
              <w:top w:val="single" w:color="auto" w:sz="4" w:space="0"/>
              <w:left w:val="single" w:color="auto" w:sz="4" w:space="0"/>
              <w:bottom w:val="single" w:color="auto" w:sz="4" w:space="0"/>
              <w:right w:val="single" w:color="auto" w:sz="4" w:space="0"/>
            </w:tcBorders>
            <w:vAlign w:val="center"/>
          </w:tcPr>
          <w:p w14:paraId="18B5407E">
            <w:pPr>
              <w:pStyle w:val="45"/>
              <w:rPr>
                <w:rFonts w:hint="eastAsia"/>
                <w:color w:val="auto"/>
              </w:rPr>
            </w:pPr>
            <w:r>
              <w:rPr>
                <w:rFonts w:hint="eastAsia"/>
                <w:color w:val="auto"/>
              </w:rPr>
              <w:t>距离</w:t>
            </w:r>
          </w:p>
        </w:tc>
        <w:tc>
          <w:tcPr>
            <w:tcW w:w="2170" w:type="dxa"/>
            <w:tcBorders>
              <w:top w:val="single" w:color="auto" w:sz="4" w:space="0"/>
              <w:left w:val="single" w:color="auto" w:sz="4" w:space="0"/>
              <w:bottom w:val="single" w:color="auto" w:sz="4" w:space="0"/>
              <w:right w:val="single" w:color="auto" w:sz="4" w:space="0"/>
            </w:tcBorders>
            <w:vAlign w:val="center"/>
          </w:tcPr>
          <w:p w14:paraId="7C77D146">
            <w:pPr>
              <w:pStyle w:val="45"/>
              <w:rPr>
                <w:rFonts w:hint="eastAsia"/>
                <w:color w:val="auto"/>
              </w:rPr>
            </w:pPr>
            <w:r>
              <w:rPr>
                <w:rFonts w:hint="eastAsia"/>
                <w:color w:val="auto"/>
              </w:rPr>
              <w:t>导线长度闭合差</w:t>
            </w:r>
          </w:p>
        </w:tc>
      </w:tr>
      <w:tr w14:paraId="0662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52" w:type="dxa"/>
            <w:tcBorders>
              <w:top w:val="single" w:color="auto" w:sz="4" w:space="0"/>
              <w:left w:val="single" w:color="auto" w:sz="4" w:space="0"/>
              <w:bottom w:val="single" w:color="auto" w:sz="4" w:space="0"/>
              <w:right w:val="single" w:color="auto" w:sz="4" w:space="0"/>
            </w:tcBorders>
            <w:vAlign w:val="center"/>
          </w:tcPr>
          <w:p w14:paraId="0E874FFF">
            <w:pPr>
              <w:pStyle w:val="45"/>
              <w:rPr>
                <w:rFonts w:hint="eastAsia"/>
                <w:color w:val="auto"/>
              </w:rPr>
            </w:pPr>
            <w:r>
              <w:rPr>
                <w:rFonts w:hint="eastAsia"/>
                <w:color w:val="auto"/>
              </w:rPr>
              <w:t>≤5″</w:t>
            </w:r>
          </w:p>
        </w:tc>
        <w:tc>
          <w:tcPr>
            <w:tcW w:w="2601" w:type="dxa"/>
            <w:tcBorders>
              <w:top w:val="single" w:color="auto" w:sz="4" w:space="0"/>
              <w:left w:val="single" w:color="auto" w:sz="4" w:space="0"/>
              <w:bottom w:val="single" w:color="auto" w:sz="4" w:space="0"/>
              <w:right w:val="single" w:color="auto" w:sz="4" w:space="0"/>
            </w:tcBorders>
            <w:vAlign w:val="center"/>
          </w:tcPr>
          <w:p w14:paraId="7814AAF9">
            <w:pPr>
              <w:pStyle w:val="45"/>
              <w:rPr>
                <w:rFonts w:hint="eastAsia"/>
                <w:color w:val="auto"/>
              </w:rPr>
            </w:pPr>
            <w:r>
              <w:rPr>
                <w:rFonts w:hint="eastAsia"/>
                <w:color w:val="auto"/>
              </w:rPr>
              <w:t>≤5√n″</w:t>
            </w:r>
          </w:p>
        </w:tc>
        <w:tc>
          <w:tcPr>
            <w:tcW w:w="2299" w:type="dxa"/>
            <w:tcBorders>
              <w:top w:val="single" w:color="auto" w:sz="4" w:space="0"/>
              <w:left w:val="single" w:color="auto" w:sz="4" w:space="0"/>
              <w:bottom w:val="single" w:color="auto" w:sz="4" w:space="0"/>
              <w:right w:val="single" w:color="auto" w:sz="4" w:space="0"/>
            </w:tcBorders>
            <w:vAlign w:val="center"/>
          </w:tcPr>
          <w:p w14:paraId="4BEFFB48">
            <w:pPr>
              <w:pStyle w:val="45"/>
              <w:rPr>
                <w:rFonts w:hint="eastAsia"/>
                <w:color w:val="auto"/>
              </w:rPr>
            </w:pPr>
            <w:r>
              <w:rPr>
                <w:rFonts w:hint="eastAsia"/>
                <w:color w:val="auto"/>
              </w:rPr>
              <w:t>≤2mD</w:t>
            </w:r>
          </w:p>
        </w:tc>
        <w:tc>
          <w:tcPr>
            <w:tcW w:w="2170" w:type="dxa"/>
            <w:tcBorders>
              <w:top w:val="single" w:color="auto" w:sz="4" w:space="0"/>
              <w:left w:val="single" w:color="auto" w:sz="4" w:space="0"/>
              <w:bottom w:val="single" w:color="auto" w:sz="4" w:space="0"/>
              <w:right w:val="single" w:color="auto" w:sz="4" w:space="0"/>
            </w:tcBorders>
            <w:vAlign w:val="center"/>
          </w:tcPr>
          <w:p w14:paraId="5087D77E">
            <w:pPr>
              <w:pStyle w:val="45"/>
              <w:rPr>
                <w:rFonts w:hint="eastAsia"/>
                <w:color w:val="auto"/>
              </w:rPr>
            </w:pPr>
            <w:r>
              <w:rPr>
                <w:rFonts w:hint="eastAsia"/>
                <w:color w:val="auto"/>
              </w:rPr>
              <w:t>≤1/14000</w:t>
            </w:r>
          </w:p>
        </w:tc>
      </w:tr>
    </w:tbl>
    <w:p w14:paraId="17014B88">
      <w:pPr>
        <w:rPr>
          <w:color w:val="auto"/>
        </w:rPr>
      </w:pPr>
      <w:r>
        <w:rPr>
          <w:rFonts w:hint="eastAsia"/>
          <w:color w:val="auto"/>
        </w:rPr>
        <w:t>采用钢筋刻“十”标记并用混凝土埋入地下不低于100cm，作好醒目标识，以防人为破坏及便于寻找。</w:t>
      </w:r>
    </w:p>
    <w:p w14:paraId="27BB5EC0">
      <w:pPr>
        <w:pStyle w:val="6"/>
        <w:numPr>
          <w:ilvl w:val="3"/>
          <w:numId w:val="7"/>
        </w:numPr>
        <w:ind w:firstLine="480"/>
        <w:rPr>
          <w:color w:val="auto"/>
        </w:rPr>
      </w:pPr>
      <w:r>
        <w:rPr>
          <w:rFonts w:hint="eastAsia"/>
          <w:color w:val="auto"/>
        </w:rPr>
        <w:t>技术工作计划</w:t>
      </w:r>
    </w:p>
    <w:p w14:paraId="5A2EA405">
      <w:pPr>
        <w:rPr>
          <w:color w:val="auto"/>
        </w:rPr>
      </w:pPr>
      <w:r>
        <w:rPr>
          <w:rFonts w:hint="eastAsia"/>
          <w:color w:val="auto"/>
        </w:rPr>
        <w:t>1、分项工程施工方案编制计划</w:t>
      </w:r>
    </w:p>
    <w:p w14:paraId="4A573D77">
      <w:pPr>
        <w:pStyle w:val="54"/>
        <w:jc w:val="both"/>
        <w:rPr>
          <w:color w:val="auto"/>
        </w:rPr>
        <w:sectPr>
          <w:headerReference r:id="rId22" w:type="default"/>
          <w:pgSz w:w="11906" w:h="16838"/>
          <w:pgMar w:top="1440" w:right="1361" w:bottom="1440" w:left="1701" w:header="851" w:footer="992" w:gutter="0"/>
          <w:cols w:space="425" w:num="1"/>
          <w:docGrid w:type="lines" w:linePitch="326" w:charSpace="0"/>
        </w:sectPr>
      </w:pPr>
    </w:p>
    <w:p w14:paraId="0FDDDC6B">
      <w:pPr>
        <w:pStyle w:val="54"/>
        <w:rPr>
          <w:color w:val="auto"/>
        </w:rPr>
      </w:pPr>
      <w:r>
        <w:rPr>
          <w:rFonts w:hint="eastAsia"/>
          <w:color w:val="auto"/>
        </w:rPr>
        <w:t>分项工程施工方案编制计划</w:t>
      </w:r>
    </w:p>
    <w:tbl>
      <w:tblPr>
        <w:tblStyle w:val="29"/>
        <w:tblW w:w="140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01"/>
        <w:gridCol w:w="4111"/>
        <w:gridCol w:w="1559"/>
        <w:gridCol w:w="1418"/>
        <w:gridCol w:w="1135"/>
        <w:gridCol w:w="1579"/>
        <w:gridCol w:w="2390"/>
        <w:gridCol w:w="1133"/>
      </w:tblGrid>
      <w:tr w14:paraId="1DD398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4D5DB4B6">
            <w:pPr>
              <w:pStyle w:val="45"/>
              <w:rPr>
                <w:rFonts w:hint="eastAsia"/>
                <w:color w:val="auto"/>
              </w:rPr>
            </w:pPr>
            <w:r>
              <w:rPr>
                <w:rFonts w:hint="eastAsia"/>
                <w:color w:val="auto"/>
              </w:rPr>
              <w:t>项目</w:t>
            </w:r>
          </w:p>
        </w:tc>
        <w:tc>
          <w:tcPr>
            <w:tcW w:w="4111" w:type="dxa"/>
            <w:tcBorders>
              <w:top w:val="single" w:color="auto" w:sz="6" w:space="0"/>
              <w:left w:val="single" w:color="auto" w:sz="6" w:space="0"/>
              <w:bottom w:val="single" w:color="auto" w:sz="6" w:space="0"/>
              <w:right w:val="single" w:color="auto" w:sz="6" w:space="0"/>
            </w:tcBorders>
            <w:vAlign w:val="center"/>
          </w:tcPr>
          <w:p w14:paraId="1EEA7AAB">
            <w:pPr>
              <w:pStyle w:val="45"/>
              <w:rPr>
                <w:rFonts w:hint="eastAsia"/>
                <w:color w:val="auto"/>
              </w:rPr>
            </w:pPr>
            <w:r>
              <w:rPr>
                <w:rFonts w:hint="eastAsia"/>
                <w:color w:val="auto"/>
              </w:rPr>
              <w:t>施工方案名称</w:t>
            </w:r>
          </w:p>
        </w:tc>
        <w:tc>
          <w:tcPr>
            <w:tcW w:w="1559" w:type="dxa"/>
            <w:tcBorders>
              <w:top w:val="single" w:color="auto" w:sz="6" w:space="0"/>
              <w:left w:val="single" w:color="auto" w:sz="6" w:space="0"/>
              <w:bottom w:val="single" w:color="auto" w:sz="6" w:space="0"/>
              <w:right w:val="single" w:color="auto" w:sz="6" w:space="0"/>
            </w:tcBorders>
            <w:vAlign w:val="center"/>
          </w:tcPr>
          <w:p w14:paraId="2470AFB7">
            <w:pPr>
              <w:pStyle w:val="45"/>
              <w:rPr>
                <w:rFonts w:hint="eastAsia"/>
                <w:color w:val="auto"/>
              </w:rPr>
            </w:pPr>
            <w:r>
              <w:rPr>
                <w:rFonts w:hint="eastAsia"/>
                <w:color w:val="auto"/>
              </w:rPr>
              <w:t>编制完成日期</w:t>
            </w:r>
          </w:p>
        </w:tc>
        <w:tc>
          <w:tcPr>
            <w:tcW w:w="1418" w:type="dxa"/>
            <w:tcBorders>
              <w:top w:val="single" w:color="auto" w:sz="6" w:space="0"/>
              <w:left w:val="single" w:color="auto" w:sz="6" w:space="0"/>
              <w:bottom w:val="single" w:color="auto" w:sz="6" w:space="0"/>
              <w:right w:val="single" w:color="auto" w:sz="6" w:space="0"/>
            </w:tcBorders>
            <w:vAlign w:val="center"/>
          </w:tcPr>
          <w:p w14:paraId="1211BECC">
            <w:pPr>
              <w:pStyle w:val="45"/>
              <w:rPr>
                <w:rFonts w:hint="eastAsia"/>
                <w:color w:val="auto"/>
              </w:rPr>
            </w:pPr>
            <w:r>
              <w:rPr>
                <w:rFonts w:hint="eastAsia"/>
                <w:color w:val="auto"/>
              </w:rPr>
              <w:t>编制人</w:t>
            </w:r>
          </w:p>
        </w:tc>
        <w:tc>
          <w:tcPr>
            <w:tcW w:w="1135" w:type="dxa"/>
            <w:tcBorders>
              <w:top w:val="single" w:color="auto" w:sz="6" w:space="0"/>
              <w:left w:val="single" w:color="auto" w:sz="6" w:space="0"/>
              <w:bottom w:val="single" w:color="auto" w:sz="6" w:space="0"/>
              <w:right w:val="single" w:color="auto" w:sz="6" w:space="0"/>
            </w:tcBorders>
            <w:vAlign w:val="center"/>
          </w:tcPr>
          <w:p w14:paraId="4DD15E3E">
            <w:pPr>
              <w:pStyle w:val="45"/>
              <w:rPr>
                <w:rFonts w:hint="eastAsia"/>
                <w:color w:val="auto"/>
              </w:rPr>
            </w:pPr>
            <w:r>
              <w:rPr>
                <w:rFonts w:hint="eastAsia"/>
                <w:color w:val="auto"/>
              </w:rPr>
              <w:t>审核人</w:t>
            </w:r>
          </w:p>
        </w:tc>
        <w:tc>
          <w:tcPr>
            <w:tcW w:w="1579" w:type="dxa"/>
            <w:tcBorders>
              <w:top w:val="single" w:color="auto" w:sz="6" w:space="0"/>
              <w:left w:val="single" w:color="auto" w:sz="6" w:space="0"/>
              <w:bottom w:val="single" w:color="auto" w:sz="6" w:space="0"/>
              <w:right w:val="single" w:color="auto" w:sz="6" w:space="0"/>
            </w:tcBorders>
            <w:vAlign w:val="center"/>
          </w:tcPr>
          <w:p w14:paraId="74194AF6">
            <w:pPr>
              <w:pStyle w:val="45"/>
              <w:rPr>
                <w:rFonts w:hint="eastAsia"/>
                <w:color w:val="auto"/>
              </w:rPr>
            </w:pPr>
            <w:r>
              <w:rPr>
                <w:rFonts w:hint="eastAsia"/>
                <w:color w:val="auto"/>
              </w:rPr>
              <w:t>审批人</w:t>
            </w:r>
          </w:p>
        </w:tc>
        <w:tc>
          <w:tcPr>
            <w:tcW w:w="2390" w:type="dxa"/>
            <w:tcBorders>
              <w:top w:val="single" w:color="auto" w:sz="6" w:space="0"/>
              <w:left w:val="single" w:color="auto" w:sz="6" w:space="0"/>
              <w:bottom w:val="single" w:color="auto" w:sz="6" w:space="0"/>
              <w:right w:val="single" w:color="auto" w:sz="6" w:space="0"/>
            </w:tcBorders>
            <w:vAlign w:val="center"/>
          </w:tcPr>
          <w:p w14:paraId="095DA26D">
            <w:pPr>
              <w:pStyle w:val="45"/>
              <w:rPr>
                <w:rFonts w:hint="eastAsia"/>
                <w:color w:val="auto"/>
              </w:rPr>
            </w:pPr>
            <w:r>
              <w:rPr>
                <w:rFonts w:hint="eastAsia"/>
                <w:color w:val="auto"/>
              </w:rPr>
              <w:t>主要相关责任部门</w:t>
            </w:r>
          </w:p>
        </w:tc>
        <w:tc>
          <w:tcPr>
            <w:tcW w:w="1133" w:type="dxa"/>
            <w:tcBorders>
              <w:top w:val="single" w:color="auto" w:sz="6" w:space="0"/>
              <w:left w:val="single" w:color="auto" w:sz="6" w:space="0"/>
              <w:bottom w:val="single" w:color="auto" w:sz="6" w:space="0"/>
              <w:right w:val="single" w:color="auto" w:sz="6" w:space="0"/>
            </w:tcBorders>
            <w:vAlign w:val="center"/>
          </w:tcPr>
          <w:p w14:paraId="682CE82B">
            <w:pPr>
              <w:pStyle w:val="45"/>
              <w:rPr>
                <w:rFonts w:hint="eastAsia"/>
                <w:color w:val="auto"/>
              </w:rPr>
            </w:pPr>
            <w:r>
              <w:rPr>
                <w:rFonts w:hint="eastAsia"/>
                <w:color w:val="auto"/>
              </w:rPr>
              <w:t>备注</w:t>
            </w:r>
          </w:p>
        </w:tc>
      </w:tr>
      <w:tr w14:paraId="04831B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5998FE5B">
            <w:pPr>
              <w:pStyle w:val="45"/>
              <w:rPr>
                <w:rFonts w:hint="eastAsia"/>
                <w:color w:val="auto"/>
              </w:rPr>
            </w:pPr>
            <w:r>
              <w:rPr>
                <w:rFonts w:hint="eastAsia"/>
                <w:color w:val="auto"/>
              </w:rPr>
              <w:t>1</w:t>
            </w:r>
          </w:p>
        </w:tc>
        <w:tc>
          <w:tcPr>
            <w:tcW w:w="4111" w:type="dxa"/>
            <w:tcBorders>
              <w:top w:val="single" w:color="auto" w:sz="6" w:space="0"/>
              <w:left w:val="single" w:color="auto" w:sz="6" w:space="0"/>
              <w:bottom w:val="single" w:color="auto" w:sz="6" w:space="0"/>
              <w:right w:val="single" w:color="auto" w:sz="6" w:space="0"/>
            </w:tcBorders>
            <w:vAlign w:val="center"/>
          </w:tcPr>
          <w:p w14:paraId="5D62D0C2">
            <w:pPr>
              <w:pStyle w:val="45"/>
              <w:rPr>
                <w:rFonts w:hint="eastAsia"/>
                <w:color w:val="auto"/>
              </w:rPr>
            </w:pPr>
            <w:r>
              <w:rPr>
                <w:rFonts w:hint="eastAsia"/>
                <w:color w:val="auto"/>
              </w:rPr>
              <w:t>塔吊选型及平面布置方案</w:t>
            </w:r>
          </w:p>
        </w:tc>
        <w:tc>
          <w:tcPr>
            <w:tcW w:w="1559" w:type="dxa"/>
            <w:tcBorders>
              <w:top w:val="single" w:color="auto" w:sz="6" w:space="0"/>
              <w:left w:val="single" w:color="auto" w:sz="6" w:space="0"/>
              <w:bottom w:val="single" w:color="auto" w:sz="6" w:space="0"/>
              <w:right w:val="single" w:color="auto" w:sz="6" w:space="0"/>
            </w:tcBorders>
            <w:vAlign w:val="center"/>
          </w:tcPr>
          <w:p w14:paraId="32EF8B4D">
            <w:pPr>
              <w:pStyle w:val="45"/>
              <w:rPr>
                <w:rFonts w:hint="eastAsia"/>
                <w:color w:val="auto"/>
              </w:rPr>
            </w:pPr>
            <w:r>
              <w:rPr>
                <w:rFonts w:hint="eastAsia"/>
                <w:color w:val="auto"/>
              </w:rPr>
              <w:t>202</w:t>
            </w:r>
            <w:r>
              <w:rPr>
                <w:color w:val="auto"/>
              </w:rPr>
              <w:t>1</w:t>
            </w:r>
            <w:r>
              <w:rPr>
                <w:rFonts w:hint="eastAsia"/>
                <w:color w:val="auto"/>
              </w:rPr>
              <w:t>.</w:t>
            </w:r>
            <w:r>
              <w:rPr>
                <w:color w:val="auto"/>
              </w:rPr>
              <w:t>5.30</w:t>
            </w:r>
          </w:p>
        </w:tc>
        <w:tc>
          <w:tcPr>
            <w:tcW w:w="1418" w:type="dxa"/>
            <w:tcBorders>
              <w:top w:val="single" w:color="auto" w:sz="6" w:space="0"/>
              <w:left w:val="single" w:color="auto" w:sz="6" w:space="0"/>
              <w:bottom w:val="single" w:color="auto" w:sz="6" w:space="0"/>
              <w:right w:val="single" w:color="auto" w:sz="6" w:space="0"/>
            </w:tcBorders>
            <w:vAlign w:val="center"/>
          </w:tcPr>
          <w:p w14:paraId="2ABFE73C">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vAlign w:val="center"/>
          </w:tcPr>
          <w:p w14:paraId="1F16AF9B">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445B99BC">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0925A5A1">
            <w:pPr>
              <w:pStyle w:val="45"/>
              <w:rPr>
                <w:rFonts w:hint="eastAsia"/>
                <w:color w:val="auto"/>
              </w:rPr>
            </w:pPr>
            <w:r>
              <w:rPr>
                <w:rFonts w:hint="eastAsia"/>
                <w:color w:val="auto"/>
              </w:rPr>
              <w:t>经理部领导班子</w:t>
            </w:r>
          </w:p>
        </w:tc>
        <w:tc>
          <w:tcPr>
            <w:tcW w:w="1133" w:type="dxa"/>
            <w:tcBorders>
              <w:top w:val="single" w:color="auto" w:sz="6" w:space="0"/>
              <w:left w:val="single" w:color="auto" w:sz="6" w:space="0"/>
              <w:bottom w:val="single" w:color="auto" w:sz="6" w:space="0"/>
              <w:right w:val="single" w:color="auto" w:sz="6" w:space="0"/>
            </w:tcBorders>
            <w:vAlign w:val="center"/>
          </w:tcPr>
          <w:p w14:paraId="044FCD49">
            <w:pPr>
              <w:pStyle w:val="45"/>
              <w:rPr>
                <w:rFonts w:hint="eastAsia"/>
                <w:color w:val="auto"/>
              </w:rPr>
            </w:pPr>
          </w:p>
        </w:tc>
      </w:tr>
      <w:tr w14:paraId="4A838A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4B177AC">
            <w:pPr>
              <w:pStyle w:val="45"/>
              <w:rPr>
                <w:rFonts w:hint="eastAsia"/>
                <w:color w:val="auto"/>
              </w:rPr>
            </w:pPr>
            <w:r>
              <w:rPr>
                <w:rFonts w:hint="eastAsia"/>
                <w:color w:val="auto"/>
              </w:rPr>
              <w:t>2</w:t>
            </w:r>
          </w:p>
        </w:tc>
        <w:tc>
          <w:tcPr>
            <w:tcW w:w="4111" w:type="dxa"/>
            <w:tcBorders>
              <w:top w:val="single" w:color="auto" w:sz="6" w:space="0"/>
              <w:left w:val="single" w:color="auto" w:sz="6" w:space="0"/>
              <w:bottom w:val="single" w:color="auto" w:sz="6" w:space="0"/>
              <w:right w:val="single" w:color="auto" w:sz="6" w:space="0"/>
            </w:tcBorders>
            <w:vAlign w:val="center"/>
          </w:tcPr>
          <w:p w14:paraId="1748D2EF">
            <w:pPr>
              <w:pStyle w:val="45"/>
              <w:rPr>
                <w:rFonts w:hint="eastAsia"/>
                <w:color w:val="auto"/>
              </w:rPr>
            </w:pPr>
            <w:r>
              <w:rPr>
                <w:rFonts w:hint="eastAsia"/>
                <w:color w:val="auto"/>
              </w:rPr>
              <w:t>塔吊基础施工方案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5FD0DF4F">
            <w:pPr>
              <w:pStyle w:val="45"/>
              <w:rPr>
                <w:rFonts w:hint="eastAsia"/>
                <w:color w:val="auto"/>
              </w:rPr>
            </w:pPr>
            <w:r>
              <w:rPr>
                <w:rFonts w:hint="eastAsia"/>
                <w:color w:val="auto"/>
              </w:rPr>
              <w:t>202</w:t>
            </w:r>
            <w:r>
              <w:rPr>
                <w:color w:val="auto"/>
              </w:rPr>
              <w:t>1</w:t>
            </w:r>
            <w:r>
              <w:rPr>
                <w:rFonts w:hint="eastAsia"/>
                <w:color w:val="auto"/>
              </w:rPr>
              <w:t>.</w:t>
            </w:r>
            <w:r>
              <w:rPr>
                <w:color w:val="auto"/>
              </w:rPr>
              <w:t>6.15</w:t>
            </w:r>
          </w:p>
        </w:tc>
        <w:tc>
          <w:tcPr>
            <w:tcW w:w="1418" w:type="dxa"/>
            <w:tcBorders>
              <w:top w:val="single" w:color="auto" w:sz="6" w:space="0"/>
              <w:left w:val="single" w:color="auto" w:sz="6" w:space="0"/>
              <w:bottom w:val="single" w:color="auto" w:sz="6" w:space="0"/>
              <w:right w:val="single" w:color="auto" w:sz="6" w:space="0"/>
            </w:tcBorders>
            <w:vAlign w:val="center"/>
          </w:tcPr>
          <w:p w14:paraId="6B13B449">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6DF84582">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688F8921">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658CAF65">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6131B1EC">
            <w:pPr>
              <w:pStyle w:val="45"/>
              <w:rPr>
                <w:rFonts w:hint="eastAsia"/>
                <w:color w:val="auto"/>
              </w:rPr>
            </w:pPr>
          </w:p>
        </w:tc>
      </w:tr>
      <w:tr w14:paraId="7F05D7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36D8278">
            <w:pPr>
              <w:pStyle w:val="45"/>
              <w:rPr>
                <w:rFonts w:hint="eastAsia"/>
                <w:color w:val="auto"/>
              </w:rPr>
            </w:pPr>
            <w:r>
              <w:rPr>
                <w:rFonts w:hint="eastAsia"/>
                <w:color w:val="auto"/>
              </w:rPr>
              <w:t>3</w:t>
            </w:r>
          </w:p>
        </w:tc>
        <w:tc>
          <w:tcPr>
            <w:tcW w:w="4111" w:type="dxa"/>
            <w:tcBorders>
              <w:top w:val="single" w:color="auto" w:sz="6" w:space="0"/>
              <w:left w:val="single" w:color="auto" w:sz="6" w:space="0"/>
              <w:bottom w:val="single" w:color="auto" w:sz="6" w:space="0"/>
              <w:right w:val="single" w:color="auto" w:sz="6" w:space="0"/>
            </w:tcBorders>
            <w:vAlign w:val="center"/>
          </w:tcPr>
          <w:p w14:paraId="0B331654">
            <w:pPr>
              <w:pStyle w:val="45"/>
              <w:rPr>
                <w:rFonts w:hint="eastAsia"/>
                <w:color w:val="auto"/>
              </w:rPr>
            </w:pPr>
            <w:r>
              <w:rPr>
                <w:rFonts w:hint="eastAsia"/>
                <w:color w:val="auto"/>
              </w:rPr>
              <w:t>地下室防水工程施工方案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41EC5B19">
            <w:pPr>
              <w:pStyle w:val="45"/>
              <w:rPr>
                <w:rFonts w:hint="eastAsia"/>
                <w:color w:val="auto"/>
              </w:rPr>
            </w:pPr>
            <w:r>
              <w:rPr>
                <w:color w:val="auto"/>
              </w:rPr>
              <w:t>2021.6.20</w:t>
            </w:r>
          </w:p>
        </w:tc>
        <w:tc>
          <w:tcPr>
            <w:tcW w:w="1418" w:type="dxa"/>
            <w:tcBorders>
              <w:top w:val="single" w:color="auto" w:sz="6" w:space="0"/>
              <w:left w:val="single" w:color="auto" w:sz="6" w:space="0"/>
              <w:bottom w:val="single" w:color="auto" w:sz="6" w:space="0"/>
              <w:right w:val="single" w:color="auto" w:sz="6" w:space="0"/>
            </w:tcBorders>
            <w:vAlign w:val="center"/>
          </w:tcPr>
          <w:p w14:paraId="236FABF8">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0E25136D">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3F66F744">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6C28CE28">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7479C84B">
            <w:pPr>
              <w:pStyle w:val="45"/>
              <w:rPr>
                <w:rFonts w:hint="eastAsia"/>
                <w:color w:val="auto"/>
              </w:rPr>
            </w:pPr>
          </w:p>
        </w:tc>
      </w:tr>
      <w:tr w14:paraId="1DC77F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1E299695">
            <w:pPr>
              <w:pStyle w:val="45"/>
              <w:rPr>
                <w:rFonts w:hint="eastAsia"/>
                <w:color w:val="auto"/>
              </w:rPr>
            </w:pPr>
            <w:r>
              <w:rPr>
                <w:rFonts w:hint="eastAsia"/>
                <w:color w:val="auto"/>
              </w:rPr>
              <w:t>4</w:t>
            </w:r>
          </w:p>
        </w:tc>
        <w:tc>
          <w:tcPr>
            <w:tcW w:w="4111" w:type="dxa"/>
            <w:tcBorders>
              <w:top w:val="single" w:color="auto" w:sz="6" w:space="0"/>
              <w:left w:val="single" w:color="auto" w:sz="6" w:space="0"/>
              <w:bottom w:val="single" w:color="auto" w:sz="6" w:space="0"/>
              <w:right w:val="single" w:color="auto" w:sz="6" w:space="0"/>
            </w:tcBorders>
            <w:vAlign w:val="center"/>
          </w:tcPr>
          <w:p w14:paraId="3C828B73">
            <w:pPr>
              <w:pStyle w:val="45"/>
              <w:rPr>
                <w:rFonts w:hint="eastAsia"/>
                <w:color w:val="auto"/>
              </w:rPr>
            </w:pPr>
            <w:r>
              <w:rPr>
                <w:rFonts w:hint="eastAsia"/>
                <w:color w:val="auto"/>
              </w:rPr>
              <w:t>临水临电专项施工方案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772C92E4">
            <w:pPr>
              <w:pStyle w:val="45"/>
              <w:rPr>
                <w:rFonts w:hint="eastAsia"/>
                <w:color w:val="auto"/>
              </w:rPr>
            </w:pPr>
            <w:r>
              <w:rPr>
                <w:rFonts w:hint="eastAsia"/>
                <w:color w:val="auto"/>
              </w:rPr>
              <w:t>202</w:t>
            </w:r>
            <w:r>
              <w:rPr>
                <w:color w:val="auto"/>
              </w:rPr>
              <w:t>1</w:t>
            </w:r>
            <w:r>
              <w:rPr>
                <w:rFonts w:hint="eastAsia"/>
                <w:color w:val="auto"/>
              </w:rPr>
              <w:t>.</w:t>
            </w:r>
            <w:r>
              <w:rPr>
                <w:color w:val="auto"/>
              </w:rPr>
              <w:t>6.10</w:t>
            </w:r>
          </w:p>
        </w:tc>
        <w:tc>
          <w:tcPr>
            <w:tcW w:w="1418" w:type="dxa"/>
            <w:tcBorders>
              <w:top w:val="single" w:color="auto" w:sz="6" w:space="0"/>
              <w:left w:val="single" w:color="auto" w:sz="6" w:space="0"/>
              <w:bottom w:val="single" w:color="auto" w:sz="6" w:space="0"/>
              <w:right w:val="single" w:color="auto" w:sz="6" w:space="0"/>
            </w:tcBorders>
            <w:vAlign w:val="center"/>
          </w:tcPr>
          <w:p w14:paraId="040C260C">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611C5F84">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18893DE5">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64184618">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1245E0A3">
            <w:pPr>
              <w:pStyle w:val="45"/>
              <w:rPr>
                <w:rFonts w:hint="eastAsia"/>
                <w:color w:val="auto"/>
              </w:rPr>
            </w:pPr>
          </w:p>
        </w:tc>
      </w:tr>
      <w:tr w14:paraId="6B3052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0972DA0C">
            <w:pPr>
              <w:pStyle w:val="45"/>
              <w:rPr>
                <w:rFonts w:hint="eastAsia"/>
                <w:color w:val="auto"/>
              </w:rPr>
            </w:pPr>
            <w:r>
              <w:rPr>
                <w:rFonts w:hint="eastAsia"/>
                <w:color w:val="auto"/>
              </w:rPr>
              <w:t>5</w:t>
            </w:r>
          </w:p>
        </w:tc>
        <w:tc>
          <w:tcPr>
            <w:tcW w:w="4111" w:type="dxa"/>
            <w:tcBorders>
              <w:top w:val="single" w:color="auto" w:sz="6" w:space="0"/>
              <w:left w:val="single" w:color="auto" w:sz="6" w:space="0"/>
              <w:bottom w:val="single" w:color="auto" w:sz="6" w:space="0"/>
              <w:right w:val="single" w:color="auto" w:sz="6" w:space="0"/>
            </w:tcBorders>
            <w:vAlign w:val="center"/>
          </w:tcPr>
          <w:p w14:paraId="1623A699">
            <w:pPr>
              <w:pStyle w:val="45"/>
              <w:rPr>
                <w:rFonts w:hint="eastAsia"/>
                <w:color w:val="auto"/>
              </w:rPr>
            </w:pPr>
            <w:r>
              <w:rPr>
                <w:rFonts w:hint="eastAsia"/>
                <w:color w:val="auto"/>
              </w:rPr>
              <w:t>安全文明施工方案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70BB03CF">
            <w:pPr>
              <w:pStyle w:val="45"/>
              <w:rPr>
                <w:rFonts w:hint="eastAsia"/>
                <w:color w:val="auto"/>
              </w:rPr>
            </w:pPr>
            <w:r>
              <w:rPr>
                <w:bCs/>
                <w:iCs/>
                <w:color w:val="auto"/>
              </w:rPr>
              <w:t>2021.6.20</w:t>
            </w:r>
          </w:p>
        </w:tc>
        <w:tc>
          <w:tcPr>
            <w:tcW w:w="1418" w:type="dxa"/>
            <w:tcBorders>
              <w:top w:val="single" w:color="auto" w:sz="6" w:space="0"/>
              <w:left w:val="single" w:color="auto" w:sz="6" w:space="0"/>
              <w:bottom w:val="single" w:color="auto" w:sz="6" w:space="0"/>
              <w:right w:val="single" w:color="auto" w:sz="6" w:space="0"/>
            </w:tcBorders>
            <w:vAlign w:val="center"/>
          </w:tcPr>
          <w:p w14:paraId="518E204C">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5479E670">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638A46EE">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4ACFF60C">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271EFF2E">
            <w:pPr>
              <w:pStyle w:val="45"/>
              <w:rPr>
                <w:rFonts w:hint="eastAsia"/>
                <w:color w:val="auto"/>
              </w:rPr>
            </w:pPr>
          </w:p>
        </w:tc>
      </w:tr>
      <w:tr w14:paraId="2435CB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7E7C93E">
            <w:pPr>
              <w:pStyle w:val="45"/>
              <w:rPr>
                <w:rFonts w:hint="eastAsia"/>
                <w:color w:val="auto"/>
              </w:rPr>
            </w:pPr>
            <w:r>
              <w:rPr>
                <w:rFonts w:hint="eastAsia"/>
                <w:color w:val="auto"/>
              </w:rPr>
              <w:t>6</w:t>
            </w:r>
          </w:p>
        </w:tc>
        <w:tc>
          <w:tcPr>
            <w:tcW w:w="4111" w:type="dxa"/>
            <w:tcBorders>
              <w:top w:val="single" w:color="auto" w:sz="6" w:space="0"/>
              <w:left w:val="single" w:color="auto" w:sz="6" w:space="0"/>
              <w:bottom w:val="single" w:color="auto" w:sz="6" w:space="0"/>
              <w:right w:val="single" w:color="auto" w:sz="6" w:space="0"/>
            </w:tcBorders>
            <w:vAlign w:val="center"/>
          </w:tcPr>
          <w:p w14:paraId="52202B29">
            <w:pPr>
              <w:pStyle w:val="45"/>
              <w:rPr>
                <w:rFonts w:hint="eastAsia"/>
                <w:color w:val="auto"/>
              </w:rPr>
            </w:pPr>
            <w:r>
              <w:rPr>
                <w:color w:val="auto"/>
              </w:rPr>
              <w:t>群塔作业防碰撞专项施工方案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3724A35B">
            <w:pPr>
              <w:pStyle w:val="45"/>
              <w:rPr>
                <w:rFonts w:hint="eastAsia"/>
                <w:color w:val="auto"/>
              </w:rPr>
            </w:pPr>
            <w:r>
              <w:rPr>
                <w:rFonts w:hint="eastAsia"/>
                <w:color w:val="auto"/>
              </w:rPr>
              <w:t>202</w:t>
            </w:r>
            <w:r>
              <w:rPr>
                <w:color w:val="auto"/>
              </w:rPr>
              <w:t>1</w:t>
            </w:r>
            <w:r>
              <w:rPr>
                <w:rFonts w:hint="eastAsia"/>
                <w:color w:val="auto"/>
              </w:rPr>
              <w:t>.</w:t>
            </w:r>
            <w:r>
              <w:rPr>
                <w:color w:val="auto"/>
              </w:rPr>
              <w:t>6.20</w:t>
            </w:r>
          </w:p>
        </w:tc>
        <w:tc>
          <w:tcPr>
            <w:tcW w:w="1418" w:type="dxa"/>
            <w:tcBorders>
              <w:top w:val="single" w:color="auto" w:sz="6" w:space="0"/>
              <w:left w:val="single" w:color="auto" w:sz="6" w:space="0"/>
              <w:bottom w:val="single" w:color="auto" w:sz="6" w:space="0"/>
              <w:right w:val="single" w:color="auto" w:sz="6" w:space="0"/>
            </w:tcBorders>
            <w:vAlign w:val="center"/>
          </w:tcPr>
          <w:p w14:paraId="139B9D46">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53ED3748">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4E6EAF7B">
            <w:pPr>
              <w:pStyle w:val="45"/>
              <w:rPr>
                <w:rFonts w:hint="eastAsia"/>
                <w:color w:val="auto"/>
              </w:rPr>
            </w:pPr>
          </w:p>
          <w:p w14:paraId="074ED1DC">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75D5A608">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204F7B31">
            <w:pPr>
              <w:pStyle w:val="45"/>
              <w:rPr>
                <w:rFonts w:hint="eastAsia"/>
                <w:color w:val="auto"/>
              </w:rPr>
            </w:pPr>
          </w:p>
        </w:tc>
      </w:tr>
      <w:tr w14:paraId="28945B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EBBEA7F">
            <w:pPr>
              <w:pStyle w:val="45"/>
              <w:rPr>
                <w:rFonts w:hint="eastAsia"/>
                <w:color w:val="auto"/>
              </w:rPr>
            </w:pPr>
            <w:r>
              <w:rPr>
                <w:rFonts w:hint="eastAsia"/>
                <w:color w:val="auto"/>
              </w:rPr>
              <w:t>7</w:t>
            </w:r>
          </w:p>
        </w:tc>
        <w:tc>
          <w:tcPr>
            <w:tcW w:w="4111" w:type="dxa"/>
            <w:tcBorders>
              <w:top w:val="single" w:color="auto" w:sz="6" w:space="0"/>
              <w:left w:val="single" w:color="auto" w:sz="6" w:space="0"/>
              <w:bottom w:val="single" w:color="auto" w:sz="6" w:space="0"/>
              <w:right w:val="single" w:color="auto" w:sz="6" w:space="0"/>
            </w:tcBorders>
            <w:vAlign w:val="center"/>
          </w:tcPr>
          <w:p w14:paraId="4A1FE121">
            <w:pPr>
              <w:pStyle w:val="45"/>
              <w:rPr>
                <w:rFonts w:hint="eastAsia"/>
                <w:color w:val="auto"/>
              </w:rPr>
            </w:pPr>
            <w:r>
              <w:rPr>
                <w:color w:val="auto"/>
              </w:rPr>
              <w:t>外脚手架施工方案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440C8468">
            <w:pPr>
              <w:pStyle w:val="45"/>
              <w:rPr>
                <w:rFonts w:hint="eastAsia"/>
                <w:color w:val="auto"/>
              </w:rPr>
            </w:pPr>
            <w:r>
              <w:rPr>
                <w:rFonts w:hint="eastAsia"/>
                <w:color w:val="auto"/>
              </w:rPr>
              <w:t>202</w:t>
            </w:r>
            <w:r>
              <w:rPr>
                <w:color w:val="auto"/>
              </w:rPr>
              <w:t>1</w:t>
            </w:r>
            <w:r>
              <w:rPr>
                <w:rFonts w:hint="eastAsia"/>
                <w:color w:val="auto"/>
              </w:rPr>
              <w:t>.</w:t>
            </w:r>
            <w:r>
              <w:rPr>
                <w:color w:val="auto"/>
              </w:rPr>
              <w:t>6.20</w:t>
            </w:r>
          </w:p>
        </w:tc>
        <w:tc>
          <w:tcPr>
            <w:tcW w:w="1418" w:type="dxa"/>
            <w:tcBorders>
              <w:top w:val="single" w:color="auto" w:sz="6" w:space="0"/>
              <w:left w:val="single" w:color="auto" w:sz="6" w:space="0"/>
              <w:bottom w:val="single" w:color="auto" w:sz="6" w:space="0"/>
              <w:right w:val="single" w:color="auto" w:sz="6" w:space="0"/>
            </w:tcBorders>
            <w:vAlign w:val="center"/>
          </w:tcPr>
          <w:p w14:paraId="2F406652">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54A217C7">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69770BC6">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170BAD02">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35F8E5CB">
            <w:pPr>
              <w:pStyle w:val="45"/>
              <w:rPr>
                <w:rFonts w:hint="eastAsia"/>
                <w:color w:val="auto"/>
              </w:rPr>
            </w:pPr>
          </w:p>
        </w:tc>
      </w:tr>
      <w:tr w14:paraId="617209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5E93F855">
            <w:pPr>
              <w:pStyle w:val="45"/>
              <w:rPr>
                <w:rFonts w:hint="eastAsia"/>
                <w:color w:val="auto"/>
              </w:rPr>
            </w:pPr>
            <w:r>
              <w:rPr>
                <w:rFonts w:hint="eastAsia"/>
                <w:color w:val="auto"/>
              </w:rPr>
              <w:t>8</w:t>
            </w:r>
          </w:p>
        </w:tc>
        <w:tc>
          <w:tcPr>
            <w:tcW w:w="4111" w:type="dxa"/>
            <w:tcBorders>
              <w:top w:val="single" w:color="auto" w:sz="6" w:space="0"/>
              <w:left w:val="single" w:color="auto" w:sz="6" w:space="0"/>
              <w:bottom w:val="single" w:color="auto" w:sz="6" w:space="0"/>
              <w:right w:val="single" w:color="auto" w:sz="6" w:space="0"/>
            </w:tcBorders>
            <w:vAlign w:val="center"/>
          </w:tcPr>
          <w:p w14:paraId="6DAABBAE">
            <w:pPr>
              <w:pStyle w:val="45"/>
              <w:rPr>
                <w:rFonts w:hint="eastAsia"/>
                <w:color w:val="auto"/>
              </w:rPr>
            </w:pPr>
            <w:r>
              <w:rPr>
                <w:rFonts w:hint="eastAsia"/>
                <w:color w:val="auto"/>
              </w:rPr>
              <w:t>钢筋分项工程施工方案</w:t>
            </w:r>
          </w:p>
        </w:tc>
        <w:tc>
          <w:tcPr>
            <w:tcW w:w="1559" w:type="dxa"/>
            <w:tcBorders>
              <w:top w:val="single" w:color="auto" w:sz="6" w:space="0"/>
              <w:left w:val="single" w:color="auto" w:sz="6" w:space="0"/>
              <w:bottom w:val="single" w:color="auto" w:sz="6" w:space="0"/>
              <w:right w:val="single" w:color="auto" w:sz="6" w:space="0"/>
            </w:tcBorders>
          </w:tcPr>
          <w:p w14:paraId="49EEE424">
            <w:pPr>
              <w:pStyle w:val="45"/>
              <w:rPr>
                <w:rFonts w:hint="eastAsia"/>
                <w:color w:val="auto"/>
              </w:rPr>
            </w:pPr>
            <w:r>
              <w:rPr>
                <w:rFonts w:hint="eastAsia"/>
                <w:color w:val="auto"/>
              </w:rPr>
              <w:t>202</w:t>
            </w:r>
            <w:r>
              <w:rPr>
                <w:color w:val="auto"/>
              </w:rPr>
              <w:t>1</w:t>
            </w:r>
            <w:r>
              <w:rPr>
                <w:rFonts w:hint="eastAsia"/>
                <w:color w:val="auto"/>
              </w:rPr>
              <w:t>.</w:t>
            </w:r>
            <w:r>
              <w:rPr>
                <w:color w:val="auto"/>
              </w:rPr>
              <w:t>6.20</w:t>
            </w:r>
          </w:p>
        </w:tc>
        <w:tc>
          <w:tcPr>
            <w:tcW w:w="1418" w:type="dxa"/>
            <w:tcBorders>
              <w:top w:val="single" w:color="auto" w:sz="6" w:space="0"/>
              <w:left w:val="single" w:color="auto" w:sz="6" w:space="0"/>
              <w:bottom w:val="single" w:color="auto" w:sz="6" w:space="0"/>
              <w:right w:val="single" w:color="auto" w:sz="6" w:space="0"/>
            </w:tcBorders>
            <w:vAlign w:val="center"/>
          </w:tcPr>
          <w:p w14:paraId="6CB32280">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2F3F7825">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30F0EFCB">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tcPr>
          <w:p w14:paraId="262C1C1C">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053F1E17">
            <w:pPr>
              <w:pStyle w:val="45"/>
              <w:rPr>
                <w:rFonts w:hint="eastAsia"/>
                <w:color w:val="auto"/>
              </w:rPr>
            </w:pPr>
          </w:p>
        </w:tc>
      </w:tr>
      <w:tr w14:paraId="674751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6EE3A00F">
            <w:pPr>
              <w:pStyle w:val="45"/>
              <w:rPr>
                <w:rFonts w:hint="eastAsia"/>
                <w:color w:val="auto"/>
              </w:rPr>
            </w:pPr>
            <w:r>
              <w:rPr>
                <w:rFonts w:hint="eastAsia"/>
                <w:color w:val="auto"/>
              </w:rPr>
              <w:t>9</w:t>
            </w:r>
          </w:p>
        </w:tc>
        <w:tc>
          <w:tcPr>
            <w:tcW w:w="4111" w:type="dxa"/>
            <w:tcBorders>
              <w:top w:val="single" w:color="auto" w:sz="6" w:space="0"/>
              <w:left w:val="single" w:color="auto" w:sz="6" w:space="0"/>
              <w:bottom w:val="single" w:color="auto" w:sz="6" w:space="0"/>
              <w:right w:val="single" w:color="auto" w:sz="6" w:space="0"/>
            </w:tcBorders>
            <w:vAlign w:val="center"/>
          </w:tcPr>
          <w:p w14:paraId="2D804581">
            <w:pPr>
              <w:pStyle w:val="45"/>
              <w:rPr>
                <w:rFonts w:hint="eastAsia"/>
                <w:color w:val="auto"/>
              </w:rPr>
            </w:pPr>
            <w:r>
              <w:rPr>
                <w:rFonts w:hint="eastAsia"/>
                <w:color w:val="auto"/>
              </w:rPr>
              <w:t>混凝土分项工程施工方案</w:t>
            </w:r>
          </w:p>
        </w:tc>
        <w:tc>
          <w:tcPr>
            <w:tcW w:w="1559" w:type="dxa"/>
            <w:tcBorders>
              <w:top w:val="single" w:color="auto" w:sz="6" w:space="0"/>
              <w:left w:val="single" w:color="auto" w:sz="6" w:space="0"/>
              <w:bottom w:val="single" w:color="auto" w:sz="6" w:space="0"/>
              <w:right w:val="single" w:color="auto" w:sz="6" w:space="0"/>
            </w:tcBorders>
          </w:tcPr>
          <w:p w14:paraId="2CF728A0">
            <w:pPr>
              <w:pStyle w:val="45"/>
              <w:rPr>
                <w:rFonts w:hint="eastAsia"/>
                <w:color w:val="auto"/>
              </w:rPr>
            </w:pPr>
            <w:r>
              <w:rPr>
                <w:rFonts w:hint="eastAsia"/>
                <w:color w:val="auto"/>
              </w:rPr>
              <w:t>202</w:t>
            </w:r>
            <w:r>
              <w:rPr>
                <w:color w:val="auto"/>
              </w:rPr>
              <w:t>1</w:t>
            </w:r>
            <w:r>
              <w:rPr>
                <w:rFonts w:hint="eastAsia"/>
                <w:color w:val="auto"/>
              </w:rPr>
              <w:t>.</w:t>
            </w:r>
            <w:r>
              <w:rPr>
                <w:color w:val="auto"/>
              </w:rPr>
              <w:t>6.20</w:t>
            </w:r>
          </w:p>
        </w:tc>
        <w:tc>
          <w:tcPr>
            <w:tcW w:w="1418" w:type="dxa"/>
            <w:tcBorders>
              <w:top w:val="single" w:color="auto" w:sz="6" w:space="0"/>
              <w:left w:val="single" w:color="auto" w:sz="6" w:space="0"/>
              <w:bottom w:val="single" w:color="auto" w:sz="6" w:space="0"/>
              <w:right w:val="single" w:color="auto" w:sz="6" w:space="0"/>
            </w:tcBorders>
            <w:vAlign w:val="center"/>
          </w:tcPr>
          <w:p w14:paraId="20DE55E6">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0C920EE2">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5A519BAA">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tcPr>
          <w:p w14:paraId="07CD9F01">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76599F75">
            <w:pPr>
              <w:pStyle w:val="45"/>
              <w:rPr>
                <w:rFonts w:hint="eastAsia"/>
                <w:color w:val="auto"/>
              </w:rPr>
            </w:pPr>
          </w:p>
        </w:tc>
      </w:tr>
      <w:tr w14:paraId="04B507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604E6EE">
            <w:pPr>
              <w:pStyle w:val="45"/>
              <w:rPr>
                <w:rFonts w:hint="eastAsia"/>
                <w:color w:val="auto"/>
              </w:rPr>
            </w:pPr>
            <w:r>
              <w:rPr>
                <w:rFonts w:hint="eastAsia"/>
                <w:color w:val="auto"/>
              </w:rPr>
              <w:t>10</w:t>
            </w:r>
          </w:p>
        </w:tc>
        <w:tc>
          <w:tcPr>
            <w:tcW w:w="4111" w:type="dxa"/>
            <w:tcBorders>
              <w:top w:val="single" w:color="auto" w:sz="6" w:space="0"/>
              <w:left w:val="single" w:color="auto" w:sz="6" w:space="0"/>
              <w:bottom w:val="single" w:color="auto" w:sz="6" w:space="0"/>
              <w:right w:val="single" w:color="auto" w:sz="6" w:space="0"/>
            </w:tcBorders>
            <w:vAlign w:val="center"/>
          </w:tcPr>
          <w:p w14:paraId="751C1AC4">
            <w:pPr>
              <w:pStyle w:val="45"/>
              <w:rPr>
                <w:rFonts w:hint="eastAsia"/>
                <w:color w:val="auto"/>
              </w:rPr>
            </w:pPr>
            <w:r>
              <w:rPr>
                <w:rFonts w:hint="eastAsia"/>
                <w:color w:val="auto"/>
              </w:rPr>
              <w:t>大体积混凝土施工方案</w:t>
            </w:r>
          </w:p>
        </w:tc>
        <w:tc>
          <w:tcPr>
            <w:tcW w:w="1559" w:type="dxa"/>
            <w:tcBorders>
              <w:top w:val="single" w:color="auto" w:sz="6" w:space="0"/>
              <w:left w:val="single" w:color="auto" w:sz="6" w:space="0"/>
              <w:bottom w:val="single" w:color="auto" w:sz="6" w:space="0"/>
              <w:right w:val="single" w:color="auto" w:sz="6" w:space="0"/>
            </w:tcBorders>
          </w:tcPr>
          <w:p w14:paraId="523BB708">
            <w:pPr>
              <w:pStyle w:val="45"/>
              <w:rPr>
                <w:rFonts w:hint="eastAsia"/>
                <w:color w:val="auto"/>
              </w:rPr>
            </w:pPr>
            <w:r>
              <w:rPr>
                <w:rFonts w:hint="eastAsia"/>
                <w:color w:val="auto"/>
              </w:rPr>
              <w:t>202</w:t>
            </w:r>
            <w:r>
              <w:rPr>
                <w:color w:val="auto"/>
              </w:rPr>
              <w:t>1</w:t>
            </w:r>
            <w:r>
              <w:rPr>
                <w:rFonts w:hint="eastAsia"/>
                <w:color w:val="auto"/>
              </w:rPr>
              <w:t>.</w:t>
            </w:r>
            <w:r>
              <w:rPr>
                <w:color w:val="auto"/>
              </w:rPr>
              <w:t>6.20</w:t>
            </w:r>
          </w:p>
        </w:tc>
        <w:tc>
          <w:tcPr>
            <w:tcW w:w="1418" w:type="dxa"/>
            <w:tcBorders>
              <w:top w:val="single" w:color="auto" w:sz="6" w:space="0"/>
              <w:left w:val="single" w:color="auto" w:sz="6" w:space="0"/>
              <w:bottom w:val="single" w:color="auto" w:sz="6" w:space="0"/>
              <w:right w:val="single" w:color="auto" w:sz="6" w:space="0"/>
            </w:tcBorders>
            <w:vAlign w:val="center"/>
          </w:tcPr>
          <w:p w14:paraId="57E9820D">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342F05E3">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0B01B527">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tcPr>
          <w:p w14:paraId="5B8F4AEB">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233A0A97">
            <w:pPr>
              <w:pStyle w:val="45"/>
              <w:rPr>
                <w:rFonts w:hint="eastAsia"/>
                <w:color w:val="auto"/>
              </w:rPr>
            </w:pPr>
          </w:p>
        </w:tc>
      </w:tr>
      <w:tr w14:paraId="19E8C7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2FFE6E29">
            <w:pPr>
              <w:pStyle w:val="45"/>
              <w:rPr>
                <w:rFonts w:hint="eastAsia"/>
                <w:color w:val="auto"/>
              </w:rPr>
            </w:pPr>
            <w:r>
              <w:rPr>
                <w:rFonts w:hint="eastAsia"/>
                <w:color w:val="auto"/>
              </w:rPr>
              <w:t>11</w:t>
            </w:r>
          </w:p>
        </w:tc>
        <w:tc>
          <w:tcPr>
            <w:tcW w:w="4111" w:type="dxa"/>
            <w:tcBorders>
              <w:top w:val="single" w:color="auto" w:sz="6" w:space="0"/>
              <w:left w:val="single" w:color="auto" w:sz="6" w:space="0"/>
              <w:bottom w:val="single" w:color="auto" w:sz="6" w:space="0"/>
              <w:right w:val="single" w:color="auto" w:sz="6" w:space="0"/>
            </w:tcBorders>
            <w:vAlign w:val="center"/>
          </w:tcPr>
          <w:p w14:paraId="4ED4EAEB">
            <w:pPr>
              <w:pStyle w:val="45"/>
              <w:rPr>
                <w:rFonts w:hint="eastAsia"/>
                <w:color w:val="auto"/>
              </w:rPr>
            </w:pPr>
            <w:r>
              <w:rPr>
                <w:rFonts w:hint="eastAsia"/>
                <w:color w:val="auto"/>
              </w:rPr>
              <w:t>深基坑施工方案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594512E9">
            <w:pPr>
              <w:pStyle w:val="45"/>
              <w:rPr>
                <w:rFonts w:hint="eastAsia"/>
                <w:color w:val="auto"/>
              </w:rPr>
            </w:pPr>
            <w:r>
              <w:rPr>
                <w:rFonts w:hint="eastAsia"/>
                <w:color w:val="auto"/>
              </w:rPr>
              <w:t>202</w:t>
            </w:r>
            <w:r>
              <w:rPr>
                <w:color w:val="auto"/>
              </w:rPr>
              <w:t>1</w:t>
            </w:r>
            <w:r>
              <w:rPr>
                <w:rFonts w:hint="eastAsia"/>
                <w:color w:val="auto"/>
              </w:rPr>
              <w:t>.</w:t>
            </w:r>
            <w:r>
              <w:rPr>
                <w:color w:val="auto"/>
              </w:rPr>
              <w:t>3.30</w:t>
            </w:r>
          </w:p>
        </w:tc>
        <w:tc>
          <w:tcPr>
            <w:tcW w:w="1418" w:type="dxa"/>
            <w:tcBorders>
              <w:top w:val="single" w:color="auto" w:sz="6" w:space="0"/>
              <w:left w:val="single" w:color="auto" w:sz="6" w:space="0"/>
              <w:bottom w:val="single" w:color="auto" w:sz="6" w:space="0"/>
              <w:right w:val="single" w:color="auto" w:sz="6" w:space="0"/>
            </w:tcBorders>
            <w:vAlign w:val="center"/>
          </w:tcPr>
          <w:p w14:paraId="49F350CE">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vAlign w:val="center"/>
          </w:tcPr>
          <w:p w14:paraId="166FD8B6">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vAlign w:val="center"/>
          </w:tcPr>
          <w:p w14:paraId="5BD98AD8">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43B05A4F">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5F855A5F">
            <w:pPr>
              <w:pStyle w:val="45"/>
              <w:rPr>
                <w:rFonts w:hint="eastAsia"/>
                <w:color w:val="auto"/>
              </w:rPr>
            </w:pPr>
            <w:r>
              <w:rPr>
                <w:rFonts w:hint="eastAsia"/>
                <w:color w:val="auto"/>
              </w:rPr>
              <w:t>专家论证</w:t>
            </w:r>
          </w:p>
        </w:tc>
      </w:tr>
      <w:tr w14:paraId="27E1F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1249B725">
            <w:pPr>
              <w:pStyle w:val="45"/>
              <w:rPr>
                <w:rFonts w:hint="eastAsia"/>
                <w:color w:val="auto"/>
              </w:rPr>
            </w:pPr>
            <w:r>
              <w:rPr>
                <w:rFonts w:hint="eastAsia"/>
                <w:color w:val="auto"/>
              </w:rPr>
              <w:t>12</w:t>
            </w:r>
          </w:p>
        </w:tc>
        <w:tc>
          <w:tcPr>
            <w:tcW w:w="4111" w:type="dxa"/>
            <w:tcBorders>
              <w:top w:val="single" w:color="auto" w:sz="6" w:space="0"/>
              <w:left w:val="single" w:color="auto" w:sz="6" w:space="0"/>
              <w:bottom w:val="single" w:color="auto" w:sz="6" w:space="0"/>
              <w:right w:val="single" w:color="auto" w:sz="6" w:space="0"/>
            </w:tcBorders>
            <w:vAlign w:val="center"/>
          </w:tcPr>
          <w:p w14:paraId="3103D232">
            <w:pPr>
              <w:pStyle w:val="45"/>
              <w:rPr>
                <w:rFonts w:hint="eastAsia"/>
                <w:color w:val="auto"/>
              </w:rPr>
            </w:pPr>
            <w:r>
              <w:rPr>
                <w:rFonts w:hint="eastAsia"/>
                <w:color w:val="auto"/>
              </w:rPr>
              <w:t>基础承台施工方案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7AA39423">
            <w:pPr>
              <w:pStyle w:val="45"/>
              <w:rPr>
                <w:rFonts w:hint="eastAsia"/>
                <w:color w:val="auto"/>
              </w:rPr>
            </w:pPr>
            <w:r>
              <w:rPr>
                <w:rFonts w:hint="eastAsia"/>
                <w:color w:val="auto"/>
              </w:rPr>
              <w:t>202</w:t>
            </w:r>
            <w:r>
              <w:rPr>
                <w:color w:val="auto"/>
              </w:rPr>
              <w:t>1</w:t>
            </w:r>
            <w:r>
              <w:rPr>
                <w:rFonts w:hint="eastAsia"/>
                <w:color w:val="auto"/>
              </w:rPr>
              <w:t>.</w:t>
            </w:r>
            <w:r>
              <w:rPr>
                <w:color w:val="auto"/>
              </w:rPr>
              <w:t>6.20</w:t>
            </w:r>
          </w:p>
        </w:tc>
        <w:tc>
          <w:tcPr>
            <w:tcW w:w="1418" w:type="dxa"/>
            <w:tcBorders>
              <w:top w:val="single" w:color="auto" w:sz="6" w:space="0"/>
              <w:left w:val="single" w:color="auto" w:sz="6" w:space="0"/>
              <w:bottom w:val="single" w:color="auto" w:sz="6" w:space="0"/>
              <w:right w:val="single" w:color="auto" w:sz="6" w:space="0"/>
            </w:tcBorders>
            <w:vAlign w:val="center"/>
          </w:tcPr>
          <w:p w14:paraId="707709F5">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21C5F6F7">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42A0180E">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tcPr>
          <w:p w14:paraId="12C79F04">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0F2C0C56">
            <w:pPr>
              <w:pStyle w:val="45"/>
              <w:rPr>
                <w:rFonts w:hint="eastAsia"/>
                <w:color w:val="auto"/>
              </w:rPr>
            </w:pPr>
          </w:p>
        </w:tc>
      </w:tr>
      <w:tr w14:paraId="29D05D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228DE9FE">
            <w:pPr>
              <w:pStyle w:val="45"/>
              <w:rPr>
                <w:rFonts w:hint="eastAsia"/>
                <w:color w:val="auto"/>
              </w:rPr>
            </w:pPr>
            <w:r>
              <w:rPr>
                <w:rFonts w:hint="eastAsia"/>
                <w:color w:val="auto"/>
              </w:rPr>
              <w:t>13</w:t>
            </w:r>
          </w:p>
        </w:tc>
        <w:tc>
          <w:tcPr>
            <w:tcW w:w="4111" w:type="dxa"/>
            <w:tcBorders>
              <w:top w:val="single" w:color="auto" w:sz="6" w:space="0"/>
              <w:left w:val="single" w:color="auto" w:sz="6" w:space="0"/>
              <w:bottom w:val="single" w:color="auto" w:sz="6" w:space="0"/>
              <w:right w:val="single" w:color="auto" w:sz="6" w:space="0"/>
            </w:tcBorders>
            <w:vAlign w:val="center"/>
          </w:tcPr>
          <w:p w14:paraId="39567184">
            <w:pPr>
              <w:pStyle w:val="45"/>
              <w:rPr>
                <w:rFonts w:hint="eastAsia"/>
                <w:color w:val="auto"/>
              </w:rPr>
            </w:pPr>
            <w:r>
              <w:rPr>
                <w:color w:val="auto"/>
              </w:rPr>
              <w:t>施工组织设计</w:t>
            </w:r>
          </w:p>
        </w:tc>
        <w:tc>
          <w:tcPr>
            <w:tcW w:w="1559" w:type="dxa"/>
            <w:tcBorders>
              <w:top w:val="single" w:color="auto" w:sz="6" w:space="0"/>
              <w:left w:val="single" w:color="auto" w:sz="6" w:space="0"/>
              <w:bottom w:val="single" w:color="auto" w:sz="6" w:space="0"/>
              <w:right w:val="single" w:color="auto" w:sz="6" w:space="0"/>
            </w:tcBorders>
            <w:vAlign w:val="center"/>
          </w:tcPr>
          <w:p w14:paraId="444DB04A">
            <w:pPr>
              <w:pStyle w:val="45"/>
              <w:rPr>
                <w:rFonts w:hint="eastAsia"/>
                <w:color w:val="auto"/>
              </w:rPr>
            </w:pPr>
            <w:r>
              <w:rPr>
                <w:rFonts w:hint="eastAsia"/>
                <w:color w:val="auto"/>
              </w:rPr>
              <w:t>2020.</w:t>
            </w:r>
            <w:r>
              <w:rPr>
                <w:color w:val="auto"/>
              </w:rPr>
              <w:t>7.20</w:t>
            </w:r>
          </w:p>
        </w:tc>
        <w:tc>
          <w:tcPr>
            <w:tcW w:w="1418" w:type="dxa"/>
            <w:tcBorders>
              <w:top w:val="single" w:color="auto" w:sz="6" w:space="0"/>
              <w:left w:val="single" w:color="auto" w:sz="6" w:space="0"/>
              <w:bottom w:val="single" w:color="auto" w:sz="6" w:space="0"/>
              <w:right w:val="single" w:color="auto" w:sz="6" w:space="0"/>
            </w:tcBorders>
            <w:vAlign w:val="center"/>
          </w:tcPr>
          <w:p w14:paraId="7370F0D4">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4ED3EF13">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338781B2">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708762AD">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14E17EF6">
            <w:pPr>
              <w:pStyle w:val="45"/>
              <w:rPr>
                <w:rFonts w:hint="eastAsia"/>
                <w:color w:val="auto"/>
              </w:rPr>
            </w:pPr>
          </w:p>
        </w:tc>
      </w:tr>
      <w:tr w14:paraId="153F45F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99D62C3">
            <w:pPr>
              <w:pStyle w:val="45"/>
              <w:rPr>
                <w:rFonts w:hint="eastAsia"/>
                <w:color w:val="auto"/>
              </w:rPr>
            </w:pPr>
            <w:r>
              <w:rPr>
                <w:rFonts w:hint="eastAsia"/>
                <w:color w:val="auto"/>
              </w:rPr>
              <w:t>14</w:t>
            </w:r>
          </w:p>
        </w:tc>
        <w:tc>
          <w:tcPr>
            <w:tcW w:w="4111" w:type="dxa"/>
            <w:tcBorders>
              <w:top w:val="single" w:color="auto" w:sz="6" w:space="0"/>
              <w:left w:val="single" w:color="auto" w:sz="6" w:space="0"/>
              <w:bottom w:val="single" w:color="auto" w:sz="6" w:space="0"/>
              <w:right w:val="single" w:color="auto" w:sz="6" w:space="0"/>
            </w:tcBorders>
            <w:vAlign w:val="center"/>
          </w:tcPr>
          <w:p w14:paraId="65E29AD8">
            <w:pPr>
              <w:pStyle w:val="45"/>
              <w:rPr>
                <w:rFonts w:hint="eastAsia"/>
                <w:color w:val="auto"/>
              </w:rPr>
            </w:pPr>
            <w:r>
              <w:rPr>
                <w:rFonts w:hint="eastAsia"/>
                <w:color w:val="auto"/>
              </w:rPr>
              <w:t>装配式构件吊装方案</w:t>
            </w:r>
          </w:p>
        </w:tc>
        <w:tc>
          <w:tcPr>
            <w:tcW w:w="1559" w:type="dxa"/>
            <w:tcBorders>
              <w:top w:val="single" w:color="auto" w:sz="6" w:space="0"/>
              <w:left w:val="single" w:color="auto" w:sz="6" w:space="0"/>
              <w:bottom w:val="single" w:color="auto" w:sz="6" w:space="0"/>
              <w:right w:val="single" w:color="auto" w:sz="6" w:space="0"/>
            </w:tcBorders>
            <w:vAlign w:val="center"/>
          </w:tcPr>
          <w:p w14:paraId="415B3FAA">
            <w:pPr>
              <w:pStyle w:val="45"/>
              <w:rPr>
                <w:rFonts w:hint="eastAsia"/>
                <w:color w:val="auto"/>
              </w:rPr>
            </w:pPr>
            <w:r>
              <w:rPr>
                <w:rFonts w:hint="eastAsia"/>
                <w:color w:val="auto"/>
              </w:rPr>
              <w:t>2</w:t>
            </w:r>
            <w:r>
              <w:rPr>
                <w:color w:val="auto"/>
              </w:rPr>
              <w:t>021.8.15</w:t>
            </w:r>
          </w:p>
        </w:tc>
        <w:tc>
          <w:tcPr>
            <w:tcW w:w="1418" w:type="dxa"/>
            <w:tcBorders>
              <w:top w:val="single" w:color="auto" w:sz="6" w:space="0"/>
              <w:left w:val="single" w:color="auto" w:sz="6" w:space="0"/>
              <w:bottom w:val="single" w:color="auto" w:sz="6" w:space="0"/>
              <w:right w:val="single" w:color="auto" w:sz="6" w:space="0"/>
            </w:tcBorders>
            <w:vAlign w:val="center"/>
          </w:tcPr>
          <w:p w14:paraId="64A62583">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54F9FABD">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151510EF">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6437665B">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3C5EA07A">
            <w:pPr>
              <w:pStyle w:val="45"/>
              <w:rPr>
                <w:rFonts w:hint="eastAsia"/>
                <w:color w:val="auto"/>
              </w:rPr>
            </w:pPr>
          </w:p>
        </w:tc>
      </w:tr>
      <w:tr w14:paraId="5CE307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376C89F9">
            <w:pPr>
              <w:pStyle w:val="45"/>
              <w:rPr>
                <w:rFonts w:hint="eastAsia"/>
                <w:color w:val="auto"/>
              </w:rPr>
            </w:pPr>
            <w:r>
              <w:rPr>
                <w:rFonts w:hint="eastAsia"/>
                <w:color w:val="auto"/>
              </w:rPr>
              <w:t>15</w:t>
            </w:r>
          </w:p>
        </w:tc>
        <w:tc>
          <w:tcPr>
            <w:tcW w:w="4111" w:type="dxa"/>
            <w:tcBorders>
              <w:top w:val="single" w:color="auto" w:sz="6" w:space="0"/>
              <w:left w:val="single" w:color="auto" w:sz="6" w:space="0"/>
              <w:bottom w:val="single" w:color="auto" w:sz="6" w:space="0"/>
              <w:right w:val="single" w:color="auto" w:sz="6" w:space="0"/>
            </w:tcBorders>
            <w:vAlign w:val="center"/>
          </w:tcPr>
          <w:p w14:paraId="59F5DC7D">
            <w:pPr>
              <w:pStyle w:val="45"/>
              <w:rPr>
                <w:rFonts w:hint="eastAsia"/>
                <w:color w:val="auto"/>
              </w:rPr>
            </w:pPr>
            <w:r>
              <w:rPr>
                <w:color w:val="auto"/>
              </w:rPr>
              <w:t>高大模板支撑体系专项方案</w:t>
            </w:r>
          </w:p>
        </w:tc>
        <w:tc>
          <w:tcPr>
            <w:tcW w:w="1559" w:type="dxa"/>
            <w:tcBorders>
              <w:top w:val="single" w:color="auto" w:sz="6" w:space="0"/>
              <w:left w:val="single" w:color="auto" w:sz="6" w:space="0"/>
              <w:bottom w:val="single" w:color="auto" w:sz="6" w:space="0"/>
              <w:right w:val="single" w:color="auto" w:sz="6" w:space="0"/>
            </w:tcBorders>
            <w:vAlign w:val="center"/>
          </w:tcPr>
          <w:p w14:paraId="481888BE">
            <w:pPr>
              <w:pStyle w:val="45"/>
              <w:rPr>
                <w:rFonts w:hint="eastAsia"/>
                <w:color w:val="auto"/>
              </w:rPr>
            </w:pPr>
            <w:r>
              <w:rPr>
                <w:rFonts w:hint="eastAsia"/>
                <w:color w:val="auto"/>
              </w:rPr>
              <w:t>202</w:t>
            </w:r>
            <w:r>
              <w:rPr>
                <w:color w:val="auto"/>
              </w:rPr>
              <w:t>1</w:t>
            </w:r>
            <w:r>
              <w:rPr>
                <w:rFonts w:hint="eastAsia"/>
                <w:color w:val="auto"/>
              </w:rPr>
              <w:t>.</w:t>
            </w:r>
            <w:r>
              <w:rPr>
                <w:color w:val="auto"/>
              </w:rPr>
              <w:t>8.25</w:t>
            </w:r>
          </w:p>
        </w:tc>
        <w:tc>
          <w:tcPr>
            <w:tcW w:w="1418" w:type="dxa"/>
            <w:tcBorders>
              <w:top w:val="single" w:color="auto" w:sz="6" w:space="0"/>
              <w:left w:val="single" w:color="auto" w:sz="6" w:space="0"/>
              <w:bottom w:val="single" w:color="auto" w:sz="6" w:space="0"/>
              <w:right w:val="single" w:color="auto" w:sz="6" w:space="0"/>
            </w:tcBorders>
            <w:vAlign w:val="center"/>
          </w:tcPr>
          <w:p w14:paraId="7042B8FD">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4ABFA531">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35311634">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372D94B8">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6AAF29C9">
            <w:pPr>
              <w:pStyle w:val="45"/>
              <w:rPr>
                <w:rFonts w:hint="eastAsia"/>
                <w:color w:val="auto"/>
              </w:rPr>
            </w:pPr>
            <w:r>
              <w:rPr>
                <w:rFonts w:hint="eastAsia"/>
                <w:color w:val="auto"/>
              </w:rPr>
              <w:t>专家论证</w:t>
            </w:r>
          </w:p>
        </w:tc>
      </w:tr>
      <w:tr w14:paraId="0AD7EFB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0C95EB57">
            <w:pPr>
              <w:pStyle w:val="45"/>
              <w:rPr>
                <w:rFonts w:hint="eastAsia"/>
                <w:color w:val="auto"/>
              </w:rPr>
            </w:pPr>
            <w:r>
              <w:rPr>
                <w:rFonts w:hint="eastAsia"/>
                <w:color w:val="auto"/>
              </w:rPr>
              <w:t>16</w:t>
            </w:r>
          </w:p>
        </w:tc>
        <w:tc>
          <w:tcPr>
            <w:tcW w:w="4111" w:type="dxa"/>
            <w:tcBorders>
              <w:top w:val="single" w:color="auto" w:sz="6" w:space="0"/>
              <w:left w:val="single" w:color="auto" w:sz="6" w:space="0"/>
              <w:bottom w:val="single" w:color="auto" w:sz="6" w:space="0"/>
              <w:right w:val="single" w:color="auto" w:sz="6" w:space="0"/>
            </w:tcBorders>
            <w:vAlign w:val="center"/>
          </w:tcPr>
          <w:p w14:paraId="6E72145C">
            <w:pPr>
              <w:pStyle w:val="45"/>
              <w:rPr>
                <w:rFonts w:hint="eastAsia"/>
                <w:color w:val="auto"/>
              </w:rPr>
            </w:pPr>
            <w:r>
              <w:rPr>
                <w:color w:val="auto"/>
              </w:rPr>
              <w:t>物料提升机平面布置及基础设计施工方案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2984109F">
            <w:pPr>
              <w:pStyle w:val="45"/>
              <w:rPr>
                <w:rFonts w:hint="eastAsia"/>
                <w:color w:val="auto"/>
              </w:rPr>
            </w:pPr>
            <w:r>
              <w:rPr>
                <w:rFonts w:hint="eastAsia"/>
                <w:color w:val="auto"/>
              </w:rPr>
              <w:t>202</w:t>
            </w:r>
            <w:r>
              <w:rPr>
                <w:color w:val="auto"/>
              </w:rPr>
              <w:t>1</w:t>
            </w:r>
            <w:r>
              <w:rPr>
                <w:rFonts w:hint="eastAsia"/>
                <w:color w:val="auto"/>
              </w:rPr>
              <w:t>.</w:t>
            </w:r>
            <w:r>
              <w:rPr>
                <w:color w:val="auto"/>
              </w:rPr>
              <w:t>8.25</w:t>
            </w:r>
          </w:p>
        </w:tc>
        <w:tc>
          <w:tcPr>
            <w:tcW w:w="1418" w:type="dxa"/>
            <w:tcBorders>
              <w:top w:val="single" w:color="auto" w:sz="6" w:space="0"/>
              <w:left w:val="single" w:color="auto" w:sz="6" w:space="0"/>
              <w:bottom w:val="single" w:color="auto" w:sz="6" w:space="0"/>
              <w:right w:val="single" w:color="auto" w:sz="6" w:space="0"/>
            </w:tcBorders>
            <w:vAlign w:val="center"/>
          </w:tcPr>
          <w:p w14:paraId="4A7E7FB3">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vAlign w:val="center"/>
          </w:tcPr>
          <w:p w14:paraId="71F5CAFE">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vAlign w:val="center"/>
          </w:tcPr>
          <w:p w14:paraId="7D7971B9">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370CC55C">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7FFC3DB3">
            <w:pPr>
              <w:pStyle w:val="45"/>
              <w:rPr>
                <w:rFonts w:hint="eastAsia"/>
                <w:color w:val="auto"/>
              </w:rPr>
            </w:pPr>
          </w:p>
        </w:tc>
      </w:tr>
      <w:tr w14:paraId="78C102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19142AB5">
            <w:pPr>
              <w:pStyle w:val="45"/>
              <w:rPr>
                <w:rFonts w:hint="eastAsia"/>
                <w:color w:val="auto"/>
              </w:rPr>
            </w:pPr>
            <w:r>
              <w:rPr>
                <w:rFonts w:hint="eastAsia"/>
                <w:color w:val="auto"/>
              </w:rPr>
              <w:t>1</w:t>
            </w:r>
            <w:r>
              <w:rPr>
                <w:color w:val="auto"/>
              </w:rPr>
              <w:t>7</w:t>
            </w:r>
          </w:p>
        </w:tc>
        <w:tc>
          <w:tcPr>
            <w:tcW w:w="4111" w:type="dxa"/>
            <w:tcBorders>
              <w:top w:val="single" w:color="auto" w:sz="6" w:space="0"/>
              <w:left w:val="single" w:color="auto" w:sz="6" w:space="0"/>
              <w:bottom w:val="single" w:color="auto" w:sz="6" w:space="0"/>
              <w:right w:val="single" w:color="auto" w:sz="6" w:space="0"/>
            </w:tcBorders>
            <w:vAlign w:val="center"/>
          </w:tcPr>
          <w:p w14:paraId="35B71275">
            <w:pPr>
              <w:pStyle w:val="45"/>
              <w:rPr>
                <w:rFonts w:hint="eastAsia"/>
                <w:color w:val="auto"/>
              </w:rPr>
            </w:pPr>
            <w:r>
              <w:rPr>
                <w:rFonts w:hint="eastAsia"/>
                <w:color w:val="auto"/>
              </w:rPr>
              <w:t>人防施工组织设计</w:t>
            </w:r>
          </w:p>
        </w:tc>
        <w:tc>
          <w:tcPr>
            <w:tcW w:w="1559" w:type="dxa"/>
            <w:tcBorders>
              <w:top w:val="single" w:color="auto" w:sz="6" w:space="0"/>
              <w:left w:val="single" w:color="auto" w:sz="6" w:space="0"/>
              <w:bottom w:val="single" w:color="auto" w:sz="6" w:space="0"/>
              <w:right w:val="single" w:color="auto" w:sz="6" w:space="0"/>
            </w:tcBorders>
            <w:vAlign w:val="center"/>
          </w:tcPr>
          <w:p w14:paraId="4B4BEEE4">
            <w:pPr>
              <w:pStyle w:val="45"/>
              <w:rPr>
                <w:rFonts w:hint="eastAsia"/>
                <w:color w:val="auto"/>
              </w:rPr>
            </w:pPr>
            <w:r>
              <w:rPr>
                <w:rFonts w:hint="eastAsia"/>
                <w:color w:val="auto"/>
              </w:rPr>
              <w:t>202</w:t>
            </w:r>
            <w:r>
              <w:rPr>
                <w:color w:val="auto"/>
              </w:rPr>
              <w:t>1</w:t>
            </w:r>
            <w:r>
              <w:rPr>
                <w:rFonts w:hint="eastAsia"/>
                <w:color w:val="auto"/>
              </w:rPr>
              <w:t>.</w:t>
            </w:r>
            <w:r>
              <w:rPr>
                <w:color w:val="auto"/>
              </w:rPr>
              <w:t>6.30</w:t>
            </w:r>
          </w:p>
        </w:tc>
        <w:tc>
          <w:tcPr>
            <w:tcW w:w="1418" w:type="dxa"/>
            <w:tcBorders>
              <w:top w:val="single" w:color="auto" w:sz="6" w:space="0"/>
              <w:left w:val="single" w:color="auto" w:sz="6" w:space="0"/>
              <w:bottom w:val="single" w:color="auto" w:sz="6" w:space="0"/>
              <w:right w:val="single" w:color="auto" w:sz="6" w:space="0"/>
            </w:tcBorders>
            <w:vAlign w:val="center"/>
          </w:tcPr>
          <w:p w14:paraId="3B18793E">
            <w:pPr>
              <w:pStyle w:val="45"/>
              <w:rPr>
                <w:rFonts w:hint="eastAsia"/>
                <w:color w:val="auto"/>
              </w:rPr>
            </w:pPr>
            <w:r>
              <w:rPr>
                <w:rFonts w:hint="eastAsia"/>
                <w:color w:val="auto"/>
              </w:rPr>
              <w:t>专业分包</w:t>
            </w:r>
          </w:p>
        </w:tc>
        <w:tc>
          <w:tcPr>
            <w:tcW w:w="1135" w:type="dxa"/>
            <w:tcBorders>
              <w:top w:val="single" w:color="auto" w:sz="6" w:space="0"/>
              <w:left w:val="single" w:color="auto" w:sz="6" w:space="0"/>
              <w:bottom w:val="single" w:color="auto" w:sz="6" w:space="0"/>
              <w:right w:val="single" w:color="auto" w:sz="6" w:space="0"/>
            </w:tcBorders>
          </w:tcPr>
          <w:p w14:paraId="34F02640">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7BF84036">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7DC44515">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6D9B455D">
            <w:pPr>
              <w:pStyle w:val="45"/>
              <w:rPr>
                <w:rFonts w:hint="eastAsia"/>
                <w:color w:val="auto"/>
              </w:rPr>
            </w:pPr>
          </w:p>
        </w:tc>
      </w:tr>
      <w:tr w14:paraId="7276A5E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1F77F9D9">
            <w:pPr>
              <w:pStyle w:val="45"/>
              <w:rPr>
                <w:rFonts w:hint="eastAsia"/>
                <w:color w:val="auto"/>
              </w:rPr>
            </w:pPr>
            <w:r>
              <w:rPr>
                <w:color w:val="auto"/>
              </w:rPr>
              <w:t>18</w:t>
            </w:r>
          </w:p>
        </w:tc>
        <w:tc>
          <w:tcPr>
            <w:tcW w:w="4111" w:type="dxa"/>
            <w:tcBorders>
              <w:top w:val="single" w:color="auto" w:sz="6" w:space="0"/>
              <w:left w:val="single" w:color="auto" w:sz="6" w:space="0"/>
              <w:bottom w:val="single" w:color="auto" w:sz="6" w:space="0"/>
              <w:right w:val="single" w:color="auto" w:sz="6" w:space="0"/>
            </w:tcBorders>
            <w:vAlign w:val="center"/>
          </w:tcPr>
          <w:p w14:paraId="58B8C6EF">
            <w:pPr>
              <w:pStyle w:val="45"/>
              <w:rPr>
                <w:rFonts w:hint="eastAsia"/>
                <w:color w:val="auto"/>
              </w:rPr>
            </w:pPr>
            <w:r>
              <w:rPr>
                <w:rFonts w:hint="eastAsia"/>
                <w:color w:val="auto"/>
              </w:rPr>
              <w:t>防水工程施工方案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43B49524">
            <w:pPr>
              <w:pStyle w:val="45"/>
              <w:rPr>
                <w:rFonts w:hint="eastAsia"/>
                <w:color w:val="auto"/>
              </w:rPr>
            </w:pPr>
            <w:r>
              <w:rPr>
                <w:rFonts w:hint="eastAsia"/>
                <w:color w:val="auto"/>
              </w:rPr>
              <w:t>2</w:t>
            </w:r>
            <w:r>
              <w:rPr>
                <w:color w:val="auto"/>
              </w:rPr>
              <w:t>021.6.30</w:t>
            </w:r>
          </w:p>
        </w:tc>
        <w:tc>
          <w:tcPr>
            <w:tcW w:w="1418" w:type="dxa"/>
            <w:tcBorders>
              <w:top w:val="single" w:color="auto" w:sz="6" w:space="0"/>
              <w:left w:val="single" w:color="auto" w:sz="6" w:space="0"/>
              <w:bottom w:val="single" w:color="auto" w:sz="6" w:space="0"/>
              <w:right w:val="single" w:color="auto" w:sz="6" w:space="0"/>
            </w:tcBorders>
            <w:vAlign w:val="center"/>
          </w:tcPr>
          <w:p w14:paraId="01CA6983">
            <w:pPr>
              <w:pStyle w:val="45"/>
              <w:rPr>
                <w:rFonts w:hint="eastAsia"/>
                <w:color w:val="auto"/>
              </w:rPr>
            </w:pPr>
            <w:r>
              <w:rPr>
                <w:rFonts w:hint="eastAsia"/>
                <w:color w:val="auto"/>
              </w:rPr>
              <w:t>专业分包</w:t>
            </w:r>
          </w:p>
        </w:tc>
        <w:tc>
          <w:tcPr>
            <w:tcW w:w="1135" w:type="dxa"/>
            <w:tcBorders>
              <w:top w:val="single" w:color="auto" w:sz="6" w:space="0"/>
              <w:left w:val="single" w:color="auto" w:sz="6" w:space="0"/>
              <w:bottom w:val="single" w:color="auto" w:sz="6" w:space="0"/>
              <w:right w:val="single" w:color="auto" w:sz="6" w:space="0"/>
            </w:tcBorders>
          </w:tcPr>
          <w:p w14:paraId="4D3E7B7D">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71144D64">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32E9E426">
            <w:pPr>
              <w:pStyle w:val="45"/>
              <w:rPr>
                <w:rFonts w:hint="eastAsia"/>
                <w:color w:val="auto"/>
              </w:rPr>
            </w:pPr>
            <w:r>
              <w:rPr>
                <w:rFonts w:hint="eastAsia"/>
                <w:color w:val="auto"/>
              </w:rPr>
              <w:t>技术、工程、机电</w:t>
            </w:r>
          </w:p>
        </w:tc>
        <w:tc>
          <w:tcPr>
            <w:tcW w:w="1133" w:type="dxa"/>
            <w:tcBorders>
              <w:top w:val="single" w:color="auto" w:sz="6" w:space="0"/>
              <w:left w:val="single" w:color="auto" w:sz="6" w:space="0"/>
              <w:bottom w:val="single" w:color="auto" w:sz="6" w:space="0"/>
              <w:right w:val="single" w:color="auto" w:sz="6" w:space="0"/>
            </w:tcBorders>
            <w:vAlign w:val="center"/>
          </w:tcPr>
          <w:p w14:paraId="51E25228">
            <w:pPr>
              <w:pStyle w:val="45"/>
              <w:rPr>
                <w:rFonts w:hint="eastAsia"/>
                <w:color w:val="auto"/>
              </w:rPr>
            </w:pPr>
          </w:p>
        </w:tc>
      </w:tr>
      <w:tr w14:paraId="4B333C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4CC7021B">
            <w:pPr>
              <w:pStyle w:val="45"/>
              <w:rPr>
                <w:rFonts w:hint="eastAsia"/>
                <w:color w:val="auto"/>
              </w:rPr>
            </w:pPr>
            <w:r>
              <w:rPr>
                <w:color w:val="auto"/>
              </w:rPr>
              <w:t>19</w:t>
            </w:r>
          </w:p>
        </w:tc>
        <w:tc>
          <w:tcPr>
            <w:tcW w:w="4111" w:type="dxa"/>
            <w:tcBorders>
              <w:top w:val="single" w:color="auto" w:sz="6" w:space="0"/>
              <w:left w:val="single" w:color="auto" w:sz="6" w:space="0"/>
              <w:bottom w:val="single" w:color="auto" w:sz="6" w:space="0"/>
              <w:right w:val="single" w:color="auto" w:sz="6" w:space="0"/>
            </w:tcBorders>
            <w:vAlign w:val="center"/>
          </w:tcPr>
          <w:p w14:paraId="09A89D67">
            <w:pPr>
              <w:pStyle w:val="45"/>
              <w:rPr>
                <w:rFonts w:hint="eastAsia"/>
                <w:color w:val="auto"/>
              </w:rPr>
            </w:pPr>
            <w:r>
              <w:rPr>
                <w:rFonts w:hint="eastAsia"/>
                <w:color w:val="auto"/>
              </w:rPr>
              <w:t>机电安装施工组织设计</w:t>
            </w:r>
          </w:p>
        </w:tc>
        <w:tc>
          <w:tcPr>
            <w:tcW w:w="1559" w:type="dxa"/>
            <w:tcBorders>
              <w:top w:val="single" w:color="auto" w:sz="6" w:space="0"/>
              <w:left w:val="single" w:color="auto" w:sz="6" w:space="0"/>
              <w:bottom w:val="single" w:color="auto" w:sz="6" w:space="0"/>
              <w:right w:val="single" w:color="auto" w:sz="6" w:space="0"/>
            </w:tcBorders>
            <w:vAlign w:val="center"/>
          </w:tcPr>
          <w:p w14:paraId="24AB38DC">
            <w:pPr>
              <w:pStyle w:val="45"/>
              <w:rPr>
                <w:rFonts w:hint="eastAsia"/>
                <w:color w:val="auto"/>
              </w:rPr>
            </w:pPr>
            <w:r>
              <w:rPr>
                <w:rFonts w:hint="eastAsia"/>
                <w:color w:val="auto"/>
              </w:rPr>
              <w:t>2</w:t>
            </w:r>
            <w:r>
              <w:rPr>
                <w:color w:val="auto"/>
              </w:rPr>
              <w:t>021.9.30</w:t>
            </w:r>
          </w:p>
        </w:tc>
        <w:tc>
          <w:tcPr>
            <w:tcW w:w="1418" w:type="dxa"/>
            <w:tcBorders>
              <w:top w:val="single" w:color="auto" w:sz="6" w:space="0"/>
              <w:left w:val="single" w:color="auto" w:sz="6" w:space="0"/>
              <w:bottom w:val="single" w:color="auto" w:sz="6" w:space="0"/>
              <w:right w:val="single" w:color="auto" w:sz="6" w:space="0"/>
            </w:tcBorders>
            <w:vAlign w:val="center"/>
          </w:tcPr>
          <w:p w14:paraId="57B10B7D">
            <w:pPr>
              <w:pStyle w:val="45"/>
              <w:rPr>
                <w:rFonts w:hint="eastAsia"/>
                <w:color w:val="auto"/>
              </w:rPr>
            </w:pPr>
            <w:r>
              <w:rPr>
                <w:rFonts w:hint="eastAsia"/>
                <w:color w:val="auto"/>
              </w:rPr>
              <w:t>专业分包</w:t>
            </w:r>
          </w:p>
        </w:tc>
        <w:tc>
          <w:tcPr>
            <w:tcW w:w="1135" w:type="dxa"/>
            <w:tcBorders>
              <w:top w:val="single" w:color="auto" w:sz="6" w:space="0"/>
              <w:left w:val="single" w:color="auto" w:sz="6" w:space="0"/>
              <w:bottom w:val="single" w:color="auto" w:sz="6" w:space="0"/>
              <w:right w:val="single" w:color="auto" w:sz="6" w:space="0"/>
            </w:tcBorders>
          </w:tcPr>
          <w:p w14:paraId="3E12A3C3">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6C213226">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508DD27E">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6BD0FAD2">
            <w:pPr>
              <w:pStyle w:val="45"/>
              <w:rPr>
                <w:rFonts w:hint="eastAsia"/>
                <w:color w:val="auto"/>
              </w:rPr>
            </w:pPr>
          </w:p>
        </w:tc>
      </w:tr>
      <w:tr w14:paraId="31C539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079E4E0B">
            <w:pPr>
              <w:pStyle w:val="45"/>
              <w:rPr>
                <w:rFonts w:hint="eastAsia"/>
                <w:color w:val="auto"/>
              </w:rPr>
            </w:pPr>
            <w:r>
              <w:rPr>
                <w:color w:val="auto"/>
              </w:rPr>
              <w:t>20</w:t>
            </w:r>
          </w:p>
        </w:tc>
        <w:tc>
          <w:tcPr>
            <w:tcW w:w="4111" w:type="dxa"/>
            <w:tcBorders>
              <w:top w:val="single" w:color="auto" w:sz="6" w:space="0"/>
              <w:left w:val="single" w:color="auto" w:sz="6" w:space="0"/>
              <w:bottom w:val="single" w:color="auto" w:sz="6" w:space="0"/>
              <w:right w:val="single" w:color="auto" w:sz="6" w:space="0"/>
            </w:tcBorders>
            <w:vAlign w:val="center"/>
          </w:tcPr>
          <w:p w14:paraId="5F24A235">
            <w:pPr>
              <w:pStyle w:val="45"/>
              <w:rPr>
                <w:rFonts w:hint="eastAsia"/>
                <w:color w:val="auto"/>
              </w:rPr>
            </w:pPr>
            <w:r>
              <w:rPr>
                <w:rFonts w:hint="eastAsia"/>
                <w:color w:val="auto"/>
              </w:rPr>
              <w:t>砌体工程施工方案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1B6FBD86">
            <w:pPr>
              <w:pStyle w:val="45"/>
              <w:rPr>
                <w:rFonts w:hint="eastAsia"/>
                <w:color w:val="auto"/>
              </w:rPr>
            </w:pPr>
            <w:r>
              <w:rPr>
                <w:rFonts w:hint="eastAsia"/>
                <w:color w:val="auto"/>
              </w:rPr>
              <w:t>2</w:t>
            </w:r>
            <w:r>
              <w:rPr>
                <w:color w:val="auto"/>
              </w:rPr>
              <w:t>021.10.15</w:t>
            </w:r>
          </w:p>
        </w:tc>
        <w:tc>
          <w:tcPr>
            <w:tcW w:w="1418" w:type="dxa"/>
            <w:tcBorders>
              <w:top w:val="single" w:color="auto" w:sz="6" w:space="0"/>
              <w:left w:val="single" w:color="auto" w:sz="6" w:space="0"/>
              <w:bottom w:val="single" w:color="auto" w:sz="6" w:space="0"/>
              <w:right w:val="single" w:color="auto" w:sz="6" w:space="0"/>
            </w:tcBorders>
            <w:vAlign w:val="center"/>
          </w:tcPr>
          <w:p w14:paraId="28C6713B">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5FF2BD12">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7E4C572B">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51B90195">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417E9FCC">
            <w:pPr>
              <w:pStyle w:val="45"/>
              <w:rPr>
                <w:rFonts w:hint="eastAsia"/>
                <w:color w:val="auto"/>
              </w:rPr>
            </w:pPr>
          </w:p>
        </w:tc>
      </w:tr>
      <w:tr w14:paraId="2DEC2A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7647BF32">
            <w:pPr>
              <w:pStyle w:val="45"/>
              <w:rPr>
                <w:rFonts w:hint="eastAsia"/>
                <w:color w:val="auto"/>
              </w:rPr>
            </w:pPr>
            <w:r>
              <w:rPr>
                <w:color w:val="auto"/>
              </w:rPr>
              <w:t>2</w:t>
            </w:r>
            <w:r>
              <w:rPr>
                <w:rFonts w:hint="eastAsia"/>
                <w:color w:val="auto"/>
              </w:rPr>
              <w:t>1</w:t>
            </w:r>
          </w:p>
        </w:tc>
        <w:tc>
          <w:tcPr>
            <w:tcW w:w="4111" w:type="dxa"/>
            <w:tcBorders>
              <w:top w:val="single" w:color="auto" w:sz="6" w:space="0"/>
              <w:left w:val="single" w:color="auto" w:sz="6" w:space="0"/>
              <w:bottom w:val="single" w:color="auto" w:sz="6" w:space="0"/>
              <w:right w:val="single" w:color="auto" w:sz="6" w:space="0"/>
            </w:tcBorders>
            <w:vAlign w:val="center"/>
          </w:tcPr>
          <w:p w14:paraId="397ECAD0">
            <w:pPr>
              <w:pStyle w:val="45"/>
              <w:rPr>
                <w:rFonts w:hint="eastAsia"/>
                <w:color w:val="auto"/>
              </w:rPr>
            </w:pPr>
            <w:r>
              <w:rPr>
                <w:rFonts w:hint="eastAsia"/>
                <w:color w:val="auto"/>
              </w:rPr>
              <w:t>轻质隔墙施工方案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50376BE6">
            <w:pPr>
              <w:pStyle w:val="45"/>
              <w:rPr>
                <w:rFonts w:hint="eastAsia"/>
                <w:color w:val="auto"/>
              </w:rPr>
            </w:pPr>
            <w:r>
              <w:rPr>
                <w:rFonts w:hint="eastAsia"/>
                <w:color w:val="auto"/>
              </w:rPr>
              <w:t>2</w:t>
            </w:r>
            <w:r>
              <w:rPr>
                <w:color w:val="auto"/>
              </w:rPr>
              <w:t>021.10.15</w:t>
            </w:r>
          </w:p>
        </w:tc>
        <w:tc>
          <w:tcPr>
            <w:tcW w:w="1418" w:type="dxa"/>
            <w:tcBorders>
              <w:top w:val="single" w:color="auto" w:sz="6" w:space="0"/>
              <w:left w:val="single" w:color="auto" w:sz="6" w:space="0"/>
              <w:bottom w:val="single" w:color="auto" w:sz="6" w:space="0"/>
              <w:right w:val="single" w:color="auto" w:sz="6" w:space="0"/>
            </w:tcBorders>
            <w:vAlign w:val="center"/>
          </w:tcPr>
          <w:p w14:paraId="79332454">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3A05992F">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03D284DB">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3E3F84CC">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25D66BA4">
            <w:pPr>
              <w:pStyle w:val="45"/>
              <w:rPr>
                <w:rFonts w:hint="eastAsia"/>
                <w:color w:val="auto"/>
              </w:rPr>
            </w:pPr>
          </w:p>
        </w:tc>
      </w:tr>
      <w:tr w14:paraId="6F368B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5831D09C">
            <w:pPr>
              <w:pStyle w:val="45"/>
              <w:rPr>
                <w:rFonts w:hint="eastAsia"/>
                <w:color w:val="auto"/>
              </w:rPr>
            </w:pPr>
            <w:r>
              <w:rPr>
                <w:color w:val="auto"/>
              </w:rPr>
              <w:t>2</w:t>
            </w:r>
            <w:r>
              <w:rPr>
                <w:rFonts w:hint="eastAsia"/>
                <w:color w:val="auto"/>
              </w:rPr>
              <w:t>2</w:t>
            </w:r>
          </w:p>
        </w:tc>
        <w:tc>
          <w:tcPr>
            <w:tcW w:w="4111" w:type="dxa"/>
            <w:tcBorders>
              <w:top w:val="single" w:color="auto" w:sz="6" w:space="0"/>
              <w:left w:val="single" w:color="auto" w:sz="6" w:space="0"/>
              <w:bottom w:val="single" w:color="auto" w:sz="6" w:space="0"/>
              <w:right w:val="single" w:color="auto" w:sz="6" w:space="0"/>
            </w:tcBorders>
            <w:vAlign w:val="center"/>
          </w:tcPr>
          <w:p w14:paraId="0A1CD2FB">
            <w:pPr>
              <w:pStyle w:val="45"/>
              <w:rPr>
                <w:rFonts w:hint="eastAsia"/>
                <w:color w:val="auto"/>
              </w:rPr>
            </w:pPr>
            <w:r>
              <w:rPr>
                <w:rFonts w:hint="eastAsia"/>
                <w:color w:val="auto"/>
              </w:rPr>
              <w:t>内墙腻子施工方案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0ED6A6A7">
            <w:pPr>
              <w:pStyle w:val="45"/>
              <w:rPr>
                <w:rFonts w:hint="eastAsia"/>
                <w:color w:val="auto"/>
              </w:rPr>
            </w:pPr>
            <w:r>
              <w:rPr>
                <w:rFonts w:hint="eastAsia"/>
                <w:color w:val="auto"/>
              </w:rPr>
              <w:t>2</w:t>
            </w:r>
            <w:r>
              <w:rPr>
                <w:color w:val="auto"/>
              </w:rPr>
              <w:t>021.10.20</w:t>
            </w:r>
          </w:p>
        </w:tc>
        <w:tc>
          <w:tcPr>
            <w:tcW w:w="1418" w:type="dxa"/>
            <w:tcBorders>
              <w:top w:val="single" w:color="auto" w:sz="6" w:space="0"/>
              <w:left w:val="single" w:color="auto" w:sz="6" w:space="0"/>
              <w:bottom w:val="single" w:color="auto" w:sz="6" w:space="0"/>
              <w:right w:val="single" w:color="auto" w:sz="6" w:space="0"/>
            </w:tcBorders>
            <w:vAlign w:val="center"/>
          </w:tcPr>
          <w:p w14:paraId="5BC4025F">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099BEF13">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3E2F6958">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3BE92CB6">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7B65107D">
            <w:pPr>
              <w:pStyle w:val="45"/>
              <w:rPr>
                <w:rFonts w:hint="eastAsia"/>
                <w:color w:val="auto"/>
              </w:rPr>
            </w:pPr>
          </w:p>
        </w:tc>
      </w:tr>
      <w:tr w14:paraId="2B7A89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1A91180B">
            <w:pPr>
              <w:pStyle w:val="45"/>
              <w:rPr>
                <w:rFonts w:hint="eastAsia"/>
                <w:color w:val="auto"/>
              </w:rPr>
            </w:pPr>
            <w:r>
              <w:rPr>
                <w:color w:val="auto"/>
              </w:rPr>
              <w:t>2</w:t>
            </w:r>
            <w:r>
              <w:rPr>
                <w:rFonts w:hint="eastAsia"/>
                <w:color w:val="auto"/>
              </w:rPr>
              <w:t>3</w:t>
            </w:r>
          </w:p>
        </w:tc>
        <w:tc>
          <w:tcPr>
            <w:tcW w:w="4111" w:type="dxa"/>
            <w:tcBorders>
              <w:top w:val="single" w:color="auto" w:sz="6" w:space="0"/>
              <w:left w:val="single" w:color="auto" w:sz="6" w:space="0"/>
              <w:bottom w:val="single" w:color="auto" w:sz="6" w:space="0"/>
              <w:right w:val="single" w:color="auto" w:sz="6" w:space="0"/>
            </w:tcBorders>
            <w:vAlign w:val="center"/>
          </w:tcPr>
          <w:p w14:paraId="4B54204F">
            <w:pPr>
              <w:pStyle w:val="45"/>
              <w:rPr>
                <w:rFonts w:hint="eastAsia"/>
                <w:color w:val="auto"/>
              </w:rPr>
            </w:pPr>
            <w:r>
              <w:rPr>
                <w:rFonts w:hint="eastAsia"/>
                <w:color w:val="auto"/>
              </w:rPr>
              <w:t>外墙真石漆施工方案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75684705">
            <w:pPr>
              <w:pStyle w:val="45"/>
              <w:rPr>
                <w:rFonts w:hint="eastAsia"/>
                <w:color w:val="auto"/>
              </w:rPr>
            </w:pPr>
            <w:r>
              <w:rPr>
                <w:rFonts w:hint="eastAsia"/>
                <w:color w:val="auto"/>
              </w:rPr>
              <w:t>2</w:t>
            </w:r>
            <w:r>
              <w:rPr>
                <w:color w:val="auto"/>
              </w:rPr>
              <w:t>021.10.20</w:t>
            </w:r>
          </w:p>
        </w:tc>
        <w:tc>
          <w:tcPr>
            <w:tcW w:w="1418" w:type="dxa"/>
            <w:tcBorders>
              <w:top w:val="single" w:color="auto" w:sz="6" w:space="0"/>
              <w:left w:val="single" w:color="auto" w:sz="6" w:space="0"/>
              <w:bottom w:val="single" w:color="auto" w:sz="6" w:space="0"/>
              <w:right w:val="single" w:color="auto" w:sz="6" w:space="0"/>
            </w:tcBorders>
            <w:vAlign w:val="center"/>
          </w:tcPr>
          <w:p w14:paraId="3C79803B">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1C392330">
            <w:pPr>
              <w:pStyle w:val="45"/>
              <w:rPr>
                <w:rFonts w:hint="eastAsia"/>
                <w:color w:val="auto"/>
              </w:rPr>
            </w:pPr>
            <w:r>
              <w:rPr>
                <w:rFonts w:hint="eastAsia"/>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5707B46A">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5DA12763">
            <w:pPr>
              <w:pStyle w:val="45"/>
              <w:rPr>
                <w:rFonts w:hint="eastAsia"/>
                <w:color w:val="auto"/>
              </w:rPr>
            </w:pPr>
            <w:r>
              <w:rPr>
                <w:rFonts w:hint="eastAsia"/>
                <w:color w:val="auto"/>
              </w:rPr>
              <w:t>技术、钢筋中心</w:t>
            </w:r>
          </w:p>
        </w:tc>
        <w:tc>
          <w:tcPr>
            <w:tcW w:w="1133" w:type="dxa"/>
            <w:tcBorders>
              <w:top w:val="single" w:color="auto" w:sz="6" w:space="0"/>
              <w:left w:val="single" w:color="auto" w:sz="6" w:space="0"/>
              <w:bottom w:val="single" w:color="auto" w:sz="6" w:space="0"/>
              <w:right w:val="single" w:color="auto" w:sz="6" w:space="0"/>
            </w:tcBorders>
            <w:vAlign w:val="center"/>
          </w:tcPr>
          <w:p w14:paraId="0A70FBDA">
            <w:pPr>
              <w:pStyle w:val="45"/>
              <w:rPr>
                <w:rFonts w:hint="eastAsia"/>
                <w:color w:val="auto"/>
              </w:rPr>
            </w:pPr>
          </w:p>
        </w:tc>
      </w:tr>
      <w:tr w14:paraId="7862E7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16F8D867">
            <w:pPr>
              <w:pStyle w:val="45"/>
              <w:rPr>
                <w:rFonts w:hint="eastAsia"/>
                <w:color w:val="auto"/>
              </w:rPr>
            </w:pPr>
            <w:r>
              <w:rPr>
                <w:color w:val="auto"/>
              </w:rPr>
              <w:t>2</w:t>
            </w:r>
            <w:r>
              <w:rPr>
                <w:rFonts w:hint="eastAsia"/>
                <w:color w:val="auto"/>
              </w:rPr>
              <w:t>4</w:t>
            </w:r>
          </w:p>
        </w:tc>
        <w:tc>
          <w:tcPr>
            <w:tcW w:w="4111" w:type="dxa"/>
            <w:tcBorders>
              <w:top w:val="single" w:color="auto" w:sz="6" w:space="0"/>
              <w:left w:val="single" w:color="auto" w:sz="6" w:space="0"/>
              <w:bottom w:val="single" w:color="auto" w:sz="6" w:space="0"/>
              <w:right w:val="single" w:color="auto" w:sz="6" w:space="0"/>
            </w:tcBorders>
            <w:vAlign w:val="center"/>
          </w:tcPr>
          <w:p w14:paraId="63929B0B">
            <w:pPr>
              <w:pStyle w:val="45"/>
              <w:rPr>
                <w:rFonts w:hint="eastAsia"/>
                <w:color w:val="auto"/>
              </w:rPr>
            </w:pPr>
            <w:r>
              <w:rPr>
                <w:color w:val="auto"/>
              </w:rPr>
              <w:t>屋面工程施工方案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0A52D49C">
            <w:pPr>
              <w:pStyle w:val="45"/>
              <w:rPr>
                <w:rFonts w:hint="eastAsia"/>
                <w:color w:val="auto"/>
              </w:rPr>
            </w:pPr>
            <w:r>
              <w:rPr>
                <w:rFonts w:hint="eastAsia"/>
                <w:color w:val="auto"/>
              </w:rPr>
              <w:t>2</w:t>
            </w:r>
            <w:r>
              <w:rPr>
                <w:color w:val="auto"/>
              </w:rPr>
              <w:t>021</w:t>
            </w:r>
            <w:r>
              <w:rPr>
                <w:rFonts w:hint="eastAsia"/>
                <w:color w:val="auto"/>
              </w:rPr>
              <w:t>.</w:t>
            </w:r>
            <w:r>
              <w:rPr>
                <w:color w:val="auto"/>
              </w:rPr>
              <w:t>9.30</w:t>
            </w:r>
          </w:p>
        </w:tc>
        <w:tc>
          <w:tcPr>
            <w:tcW w:w="1418" w:type="dxa"/>
            <w:tcBorders>
              <w:top w:val="single" w:color="auto" w:sz="6" w:space="0"/>
              <w:left w:val="single" w:color="auto" w:sz="6" w:space="0"/>
              <w:bottom w:val="single" w:color="auto" w:sz="6" w:space="0"/>
              <w:right w:val="single" w:color="auto" w:sz="6" w:space="0"/>
            </w:tcBorders>
            <w:vAlign w:val="center"/>
          </w:tcPr>
          <w:p w14:paraId="26B30F75">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3E64CA7B">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3BB89565">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33480CD3">
            <w:pPr>
              <w:pStyle w:val="45"/>
              <w:rPr>
                <w:rFonts w:hint="eastAsia"/>
                <w:color w:val="auto"/>
              </w:rPr>
            </w:pPr>
            <w:r>
              <w:rPr>
                <w:rFonts w:hint="eastAsia"/>
                <w:color w:val="auto"/>
              </w:rPr>
              <w:t>技术、质量、安全</w:t>
            </w:r>
          </w:p>
        </w:tc>
        <w:tc>
          <w:tcPr>
            <w:tcW w:w="1133" w:type="dxa"/>
            <w:tcBorders>
              <w:top w:val="single" w:color="auto" w:sz="6" w:space="0"/>
              <w:left w:val="single" w:color="auto" w:sz="6" w:space="0"/>
              <w:bottom w:val="single" w:color="auto" w:sz="6" w:space="0"/>
              <w:right w:val="single" w:color="auto" w:sz="6" w:space="0"/>
            </w:tcBorders>
            <w:vAlign w:val="center"/>
          </w:tcPr>
          <w:p w14:paraId="6E20B8EA">
            <w:pPr>
              <w:pStyle w:val="45"/>
              <w:rPr>
                <w:rFonts w:hint="eastAsia"/>
                <w:color w:val="auto"/>
              </w:rPr>
            </w:pPr>
          </w:p>
        </w:tc>
      </w:tr>
      <w:tr w14:paraId="216418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5" w:hRule="exact"/>
        </w:trPr>
        <w:tc>
          <w:tcPr>
            <w:tcW w:w="701" w:type="dxa"/>
            <w:tcBorders>
              <w:top w:val="single" w:color="auto" w:sz="6" w:space="0"/>
              <w:left w:val="single" w:color="auto" w:sz="6" w:space="0"/>
              <w:bottom w:val="single" w:color="auto" w:sz="6" w:space="0"/>
              <w:right w:val="single" w:color="auto" w:sz="6" w:space="0"/>
            </w:tcBorders>
            <w:vAlign w:val="center"/>
          </w:tcPr>
          <w:p w14:paraId="05463231">
            <w:pPr>
              <w:pStyle w:val="45"/>
              <w:rPr>
                <w:rFonts w:hint="eastAsia"/>
                <w:color w:val="auto"/>
              </w:rPr>
            </w:pPr>
            <w:r>
              <w:rPr>
                <w:rFonts w:hint="eastAsia"/>
                <w:color w:val="auto"/>
              </w:rPr>
              <w:t>2</w:t>
            </w:r>
            <w:r>
              <w:rPr>
                <w:color w:val="auto"/>
              </w:rPr>
              <w:t>5</w:t>
            </w:r>
          </w:p>
        </w:tc>
        <w:tc>
          <w:tcPr>
            <w:tcW w:w="4111" w:type="dxa"/>
            <w:tcBorders>
              <w:top w:val="single" w:color="auto" w:sz="6" w:space="0"/>
              <w:left w:val="single" w:color="auto" w:sz="6" w:space="0"/>
              <w:bottom w:val="single" w:color="auto" w:sz="6" w:space="0"/>
              <w:right w:val="single" w:color="auto" w:sz="6" w:space="0"/>
            </w:tcBorders>
            <w:vAlign w:val="center"/>
          </w:tcPr>
          <w:p w14:paraId="71004742">
            <w:pPr>
              <w:pStyle w:val="45"/>
              <w:rPr>
                <w:rFonts w:hint="eastAsia"/>
                <w:color w:val="auto"/>
              </w:rPr>
            </w:pPr>
            <w:r>
              <w:rPr>
                <w:rFonts w:hint="eastAsia"/>
                <w:color w:val="auto"/>
              </w:rPr>
              <w:t>跳仓法施工方案</w:t>
            </w:r>
          </w:p>
        </w:tc>
        <w:tc>
          <w:tcPr>
            <w:tcW w:w="1559" w:type="dxa"/>
            <w:tcBorders>
              <w:top w:val="single" w:color="auto" w:sz="6" w:space="0"/>
              <w:left w:val="single" w:color="auto" w:sz="6" w:space="0"/>
              <w:bottom w:val="single" w:color="auto" w:sz="6" w:space="0"/>
              <w:right w:val="single" w:color="auto" w:sz="6" w:space="0"/>
            </w:tcBorders>
            <w:vAlign w:val="center"/>
          </w:tcPr>
          <w:p w14:paraId="32BA976E">
            <w:pPr>
              <w:pStyle w:val="45"/>
              <w:rPr>
                <w:rFonts w:hint="eastAsia"/>
                <w:color w:val="auto"/>
              </w:rPr>
            </w:pPr>
            <w:r>
              <w:rPr>
                <w:rFonts w:hint="eastAsia"/>
                <w:color w:val="auto"/>
              </w:rPr>
              <w:t>2</w:t>
            </w:r>
            <w:r>
              <w:rPr>
                <w:color w:val="auto"/>
              </w:rPr>
              <w:t>021.6.20</w:t>
            </w:r>
          </w:p>
        </w:tc>
        <w:tc>
          <w:tcPr>
            <w:tcW w:w="1418" w:type="dxa"/>
            <w:tcBorders>
              <w:top w:val="single" w:color="auto" w:sz="6" w:space="0"/>
              <w:left w:val="single" w:color="auto" w:sz="6" w:space="0"/>
              <w:bottom w:val="single" w:color="auto" w:sz="6" w:space="0"/>
              <w:right w:val="single" w:color="auto" w:sz="6" w:space="0"/>
            </w:tcBorders>
            <w:vAlign w:val="center"/>
          </w:tcPr>
          <w:p w14:paraId="3B501288">
            <w:pPr>
              <w:pStyle w:val="45"/>
              <w:rPr>
                <w:rFonts w:hint="eastAsia"/>
                <w:color w:val="auto"/>
              </w:rPr>
            </w:pPr>
            <w:r>
              <w:rPr>
                <w:rFonts w:hint="eastAsia"/>
                <w:color w:val="auto"/>
              </w:rPr>
              <w:t>项目部</w:t>
            </w:r>
          </w:p>
        </w:tc>
        <w:tc>
          <w:tcPr>
            <w:tcW w:w="1135" w:type="dxa"/>
            <w:tcBorders>
              <w:top w:val="single" w:color="auto" w:sz="6" w:space="0"/>
              <w:left w:val="single" w:color="auto" w:sz="6" w:space="0"/>
              <w:bottom w:val="single" w:color="auto" w:sz="6" w:space="0"/>
              <w:right w:val="single" w:color="auto" w:sz="6" w:space="0"/>
            </w:tcBorders>
          </w:tcPr>
          <w:p w14:paraId="09E3AE65">
            <w:pPr>
              <w:pStyle w:val="45"/>
              <w:rPr>
                <w:rFonts w:hint="eastAsia"/>
                <w:color w:val="auto"/>
              </w:rPr>
            </w:pPr>
            <w:r>
              <w:rPr>
                <w:color w:val="auto"/>
              </w:rPr>
              <w:t>经理部</w:t>
            </w:r>
          </w:p>
        </w:tc>
        <w:tc>
          <w:tcPr>
            <w:tcW w:w="1579" w:type="dxa"/>
            <w:tcBorders>
              <w:top w:val="single" w:color="auto" w:sz="6" w:space="0"/>
              <w:left w:val="single" w:color="auto" w:sz="6" w:space="0"/>
              <w:bottom w:val="single" w:color="auto" w:sz="6" w:space="0"/>
              <w:right w:val="single" w:color="auto" w:sz="6" w:space="0"/>
            </w:tcBorders>
          </w:tcPr>
          <w:p w14:paraId="7EA61B00">
            <w:pPr>
              <w:pStyle w:val="45"/>
              <w:rPr>
                <w:rFonts w:hint="eastAsia"/>
                <w:color w:val="auto"/>
              </w:rPr>
            </w:pPr>
            <w:r>
              <w:rPr>
                <w:rFonts w:hint="eastAsia"/>
                <w:color w:val="auto"/>
              </w:rPr>
              <w:t>/</w:t>
            </w:r>
          </w:p>
        </w:tc>
        <w:tc>
          <w:tcPr>
            <w:tcW w:w="2390" w:type="dxa"/>
            <w:tcBorders>
              <w:top w:val="single" w:color="auto" w:sz="6" w:space="0"/>
              <w:left w:val="single" w:color="auto" w:sz="6" w:space="0"/>
              <w:bottom w:val="single" w:color="auto" w:sz="6" w:space="0"/>
              <w:right w:val="single" w:color="auto" w:sz="6" w:space="0"/>
            </w:tcBorders>
            <w:vAlign w:val="center"/>
          </w:tcPr>
          <w:p w14:paraId="4566C5B0">
            <w:pPr>
              <w:pStyle w:val="45"/>
              <w:rPr>
                <w:rFonts w:hint="eastAsia"/>
                <w:color w:val="auto"/>
              </w:rPr>
            </w:pPr>
            <w:r>
              <w:rPr>
                <w:rFonts w:hint="eastAsia"/>
                <w:color w:val="auto"/>
              </w:rPr>
              <w:t>技术、机电、安全</w:t>
            </w:r>
          </w:p>
        </w:tc>
        <w:tc>
          <w:tcPr>
            <w:tcW w:w="1133" w:type="dxa"/>
            <w:tcBorders>
              <w:top w:val="single" w:color="auto" w:sz="6" w:space="0"/>
              <w:left w:val="single" w:color="auto" w:sz="6" w:space="0"/>
              <w:bottom w:val="single" w:color="auto" w:sz="6" w:space="0"/>
              <w:right w:val="single" w:color="auto" w:sz="6" w:space="0"/>
            </w:tcBorders>
            <w:vAlign w:val="center"/>
          </w:tcPr>
          <w:p w14:paraId="12BABFFD">
            <w:pPr>
              <w:pStyle w:val="45"/>
              <w:rPr>
                <w:rFonts w:hint="eastAsia"/>
                <w:color w:val="auto"/>
              </w:rPr>
            </w:pPr>
            <w:r>
              <w:rPr>
                <w:rFonts w:hint="eastAsia"/>
                <w:color w:val="auto"/>
              </w:rPr>
              <w:t>专家论证</w:t>
            </w:r>
          </w:p>
        </w:tc>
      </w:tr>
    </w:tbl>
    <w:p w14:paraId="18101DDE">
      <w:pPr>
        <w:rPr>
          <w:color w:val="auto"/>
        </w:rPr>
      </w:pPr>
    </w:p>
    <w:p w14:paraId="3D568C4A">
      <w:pPr>
        <w:rPr>
          <w:color w:val="auto"/>
        </w:rPr>
        <w:sectPr>
          <w:headerReference r:id="rId23" w:type="default"/>
          <w:pgSz w:w="16838" w:h="11906" w:orient="landscape"/>
          <w:pgMar w:top="1701" w:right="1440" w:bottom="1361" w:left="1440" w:header="992" w:footer="850" w:gutter="0"/>
          <w:cols w:space="425" w:num="1"/>
          <w:docGrid w:type="lines" w:linePitch="326" w:charSpace="0"/>
        </w:sectPr>
      </w:pPr>
    </w:p>
    <w:p w14:paraId="3C50C707">
      <w:pPr>
        <w:pStyle w:val="5"/>
        <w:rPr>
          <w:color w:val="auto"/>
        </w:rPr>
      </w:pPr>
      <w:bookmarkStart w:id="89" w:name="_Toc531112481"/>
      <w:bookmarkStart w:id="90" w:name="_Toc20014"/>
      <w:r>
        <w:rPr>
          <w:rFonts w:hint="eastAsia"/>
          <w:color w:val="auto"/>
        </w:rPr>
        <w:t>现场准备</w:t>
      </w:r>
      <w:bookmarkEnd w:id="89"/>
      <w:bookmarkEnd w:id="90"/>
    </w:p>
    <w:p w14:paraId="01F030B6">
      <w:pPr>
        <w:pStyle w:val="6"/>
        <w:numPr>
          <w:ilvl w:val="3"/>
          <w:numId w:val="7"/>
        </w:numPr>
        <w:ind w:firstLine="480"/>
        <w:rPr>
          <w:color w:val="auto"/>
        </w:rPr>
      </w:pPr>
      <w:r>
        <w:rPr>
          <w:rFonts w:hint="eastAsia"/>
          <w:color w:val="auto"/>
        </w:rPr>
        <w:t>临时设施布置</w:t>
      </w:r>
    </w:p>
    <w:p w14:paraId="76896F6F">
      <w:pPr>
        <w:rPr>
          <w:color w:val="auto"/>
        </w:rPr>
      </w:pPr>
      <w:r>
        <w:rPr>
          <w:color w:val="auto"/>
        </w:rPr>
        <w:t>1</w:t>
      </w:r>
      <w:r>
        <w:rPr>
          <w:rFonts w:hint="eastAsia"/>
          <w:color w:val="auto"/>
        </w:rPr>
        <w:t>、生产区布置</w:t>
      </w:r>
    </w:p>
    <w:p w14:paraId="1184F3CF">
      <w:pPr>
        <w:rPr>
          <w:color w:val="auto"/>
        </w:rPr>
      </w:pPr>
      <w:r>
        <w:rPr>
          <w:rFonts w:hint="eastAsia"/>
          <w:color w:val="auto"/>
        </w:rPr>
        <w:t>混凝土采用商品混凝土，砂浆采用预拌砂浆；材料堆场、加工棚布置见平面布置图。</w:t>
      </w:r>
    </w:p>
    <w:p w14:paraId="348A07C5">
      <w:pPr>
        <w:rPr>
          <w:color w:val="auto"/>
        </w:rPr>
      </w:pPr>
      <w:r>
        <w:rPr>
          <w:color w:val="auto"/>
        </w:rPr>
        <w:t>2</w:t>
      </w:r>
      <w:r>
        <w:rPr>
          <w:rFonts w:hint="eastAsia"/>
          <w:color w:val="auto"/>
        </w:rPr>
        <w:t>、生活、办公区布置</w:t>
      </w:r>
    </w:p>
    <w:p w14:paraId="2E58D38E">
      <w:pPr>
        <w:rPr>
          <w:color w:val="auto"/>
        </w:rPr>
      </w:pPr>
      <w:r>
        <w:rPr>
          <w:rFonts w:hint="eastAsia"/>
          <w:color w:val="auto"/>
        </w:rPr>
        <w:t>管理人员办公区位于项目施工场地东侧，项目部大门朝向宜居路，布置1栋</w:t>
      </w:r>
      <w:r>
        <w:rPr>
          <w:color w:val="auto"/>
        </w:rPr>
        <w:t>2</w:t>
      </w:r>
      <w:r>
        <w:rPr>
          <w:rFonts w:hint="eastAsia"/>
          <w:color w:val="auto"/>
        </w:rPr>
        <w:t>层幕墙箱式板房，</w:t>
      </w:r>
      <w:r>
        <w:rPr>
          <w:color w:val="auto"/>
        </w:rPr>
        <w:t>2</w:t>
      </w:r>
      <w:r>
        <w:rPr>
          <w:rFonts w:hint="eastAsia"/>
          <w:color w:val="auto"/>
        </w:rPr>
        <w:t>栋2层箱式板房做管理人员生活区，1栋1层食堂。</w:t>
      </w:r>
    </w:p>
    <w:p w14:paraId="20B8B0E6">
      <w:pPr>
        <w:rPr>
          <w:color w:val="auto"/>
        </w:rPr>
      </w:pPr>
      <w:r>
        <w:rPr>
          <w:rFonts w:hint="eastAsia"/>
          <w:color w:val="auto"/>
        </w:rPr>
        <w:t>劳务人员生活区位于场地西南角，布置</w:t>
      </w:r>
      <w:r>
        <w:rPr>
          <w:color w:val="auto"/>
        </w:rPr>
        <w:t>5</w:t>
      </w:r>
      <w:r>
        <w:rPr>
          <w:rFonts w:hint="eastAsia"/>
          <w:color w:val="auto"/>
        </w:rPr>
        <w:t>栋2层箱式板房，1栋1层箱式板房。</w:t>
      </w:r>
    </w:p>
    <w:p w14:paraId="686737E0">
      <w:pPr>
        <w:pStyle w:val="6"/>
        <w:numPr>
          <w:ilvl w:val="3"/>
          <w:numId w:val="7"/>
        </w:numPr>
        <w:ind w:firstLine="480"/>
        <w:rPr>
          <w:color w:val="auto"/>
        </w:rPr>
      </w:pPr>
      <w:r>
        <w:rPr>
          <w:rFonts w:hint="eastAsia"/>
          <w:color w:val="auto"/>
        </w:rPr>
        <w:t>临时供电</w:t>
      </w:r>
    </w:p>
    <w:p w14:paraId="5AD781C9">
      <w:pPr>
        <w:rPr>
          <w:color w:val="auto"/>
        </w:rPr>
      </w:pPr>
      <w:r>
        <w:rPr>
          <w:rFonts w:hint="eastAsia"/>
          <w:color w:val="auto"/>
        </w:rPr>
        <w:t>目前业主在现场南侧提供1台500KVA变压器，在现场东侧提供1台500KVA变压器，现场一共两台变压器，在办公及生活区南侧提供1台500KVA变压器，由总配引出多个二级箱至各施工区域，供现场施工生产用电，主干线使用地埋电缆线敷设或沿墙敷设防护盖板，施工楼层电源从各分配电箱引出用电缆线埋地或地面防护盖板。</w:t>
      </w:r>
    </w:p>
    <w:p w14:paraId="189AEE10">
      <w:pPr>
        <w:pStyle w:val="6"/>
        <w:ind w:firstLine="480"/>
        <w:rPr>
          <w:color w:val="auto"/>
        </w:rPr>
      </w:pPr>
      <w:r>
        <w:rPr>
          <w:rFonts w:hint="eastAsia"/>
          <w:color w:val="auto"/>
        </w:rPr>
        <w:t>临时供水及消防</w:t>
      </w:r>
    </w:p>
    <w:p w14:paraId="0AABA0D3">
      <w:pPr>
        <w:pStyle w:val="86"/>
        <w:ind w:firstLine="480"/>
        <w:rPr>
          <w:color w:val="auto"/>
        </w:rPr>
      </w:pPr>
      <w:bookmarkStart w:id="91" w:name="_Toc531112482"/>
      <w:r>
        <w:rPr>
          <w:rFonts w:hint="eastAsia"/>
          <w:color w:val="auto"/>
        </w:rPr>
        <w:t>本工程</w:t>
      </w:r>
      <w:r>
        <w:rPr>
          <w:rFonts w:hint="eastAsia"/>
          <w:color w:val="auto"/>
          <w:lang w:val="en-US"/>
        </w:rPr>
        <w:t>市政</w:t>
      </w:r>
      <w:r>
        <w:rPr>
          <w:rFonts w:hint="eastAsia"/>
          <w:color w:val="auto"/>
        </w:rPr>
        <w:t>提供的水源</w:t>
      </w:r>
      <w:r>
        <w:rPr>
          <w:rFonts w:hint="eastAsia"/>
          <w:color w:val="auto"/>
          <w:lang w:val="en-US"/>
        </w:rPr>
        <w:t>接驳点</w:t>
      </w:r>
      <w:r>
        <w:rPr>
          <w:rFonts w:hint="eastAsia"/>
          <w:color w:val="auto"/>
        </w:rPr>
        <w:t>在地块南侧及生活区东侧，管径为</w:t>
      </w:r>
      <w:r>
        <w:rPr>
          <w:rFonts w:hint="eastAsia"/>
          <w:color w:val="auto"/>
          <w:lang w:val="en-US"/>
        </w:rPr>
        <w:t>DN</w:t>
      </w:r>
      <w:r>
        <w:rPr>
          <w:color w:val="auto"/>
          <w:lang w:val="en-US"/>
        </w:rPr>
        <w:t>110</w:t>
      </w:r>
      <w:r>
        <w:rPr>
          <w:rFonts w:hint="eastAsia"/>
          <w:color w:val="auto"/>
        </w:rPr>
        <w:t>水管。经转换</w:t>
      </w:r>
      <w:r>
        <w:rPr>
          <w:rFonts w:hint="eastAsia"/>
          <w:color w:val="auto"/>
          <w:lang w:val="en-US"/>
        </w:rPr>
        <w:t>PPR</w:t>
      </w:r>
      <w:r>
        <w:rPr>
          <w:rFonts w:hint="eastAsia"/>
          <w:color w:val="auto"/>
        </w:rPr>
        <w:t>63管连接到消防水池</w:t>
      </w:r>
      <w:r>
        <w:rPr>
          <w:rFonts w:hint="eastAsia"/>
          <w:color w:val="auto"/>
          <w:lang w:val="en-US"/>
        </w:rPr>
        <w:t>水箱，</w:t>
      </w:r>
      <w:r>
        <w:rPr>
          <w:rFonts w:hint="eastAsia"/>
          <w:color w:val="auto"/>
        </w:rPr>
        <w:t>再经加压泵向施工现场、场区内用水。</w:t>
      </w:r>
    </w:p>
    <w:p w14:paraId="75457D4A">
      <w:pPr>
        <w:rPr>
          <w:color w:val="auto"/>
        </w:rPr>
      </w:pPr>
      <w:r>
        <w:rPr>
          <w:rFonts w:hint="eastAsia"/>
          <w:color w:val="auto"/>
        </w:rPr>
        <w:t>系统设计同一时间内火灾发生次数为一次，室内外消防用水量为10L/S；</w:t>
      </w:r>
    </w:p>
    <w:p w14:paraId="05E47A65">
      <w:pPr>
        <w:pStyle w:val="86"/>
        <w:ind w:firstLine="480"/>
        <w:rPr>
          <w:color w:val="auto"/>
        </w:rPr>
      </w:pPr>
      <w:r>
        <w:rPr>
          <w:rFonts w:hint="eastAsia"/>
          <w:color w:val="auto"/>
          <w:lang w:val="en-US"/>
        </w:rPr>
        <w:t>现场消防用水管道使用永久消防管道供水，形成封闭环路供各区域消防使用。</w:t>
      </w:r>
      <w:r>
        <w:rPr>
          <w:rFonts w:hint="eastAsia"/>
          <w:color w:val="auto"/>
        </w:rPr>
        <w:t xml:space="preserve"> </w:t>
      </w:r>
      <w:r>
        <w:rPr>
          <w:rFonts w:hint="eastAsia"/>
          <w:color w:val="auto"/>
          <w:lang w:val="en-US"/>
        </w:rPr>
        <w:t>消防管道采用DN100管径。施工用水采用PPR63管径、生活用水采用PPR63管径。</w:t>
      </w:r>
      <w:r>
        <w:rPr>
          <w:rFonts w:hint="eastAsia"/>
          <w:color w:val="auto"/>
        </w:rPr>
        <w:t>施工现场临时室内外消防给水系统均采用</w:t>
      </w:r>
      <w:r>
        <w:rPr>
          <w:rFonts w:hint="eastAsia"/>
          <w:color w:val="auto"/>
          <w:lang w:val="en-US"/>
        </w:rPr>
        <w:t>永临结合的方式，使用</w:t>
      </w:r>
      <w:r>
        <w:rPr>
          <w:rFonts w:hint="eastAsia"/>
          <w:color w:val="auto"/>
        </w:rPr>
        <w:t>变频恒压供</w:t>
      </w:r>
      <w:r>
        <w:rPr>
          <w:color w:val="auto"/>
        </w:rPr>
        <w:t>水</w:t>
      </w:r>
      <w:r>
        <w:rPr>
          <w:rFonts w:hint="eastAsia"/>
          <w:color w:val="auto"/>
        </w:rPr>
        <w:t>系统，在日常状态时，管道内为充水状态。当发生火灾时，打开消</w:t>
      </w:r>
      <w:r>
        <w:rPr>
          <w:color w:val="auto"/>
        </w:rPr>
        <w:t>防阀门后即可</w:t>
      </w:r>
      <w:r>
        <w:rPr>
          <w:rFonts w:hint="eastAsia"/>
          <w:color w:val="auto"/>
        </w:rPr>
        <w:t>自</w:t>
      </w:r>
      <w:r>
        <w:rPr>
          <w:color w:val="auto"/>
        </w:rPr>
        <w:t>动达</w:t>
      </w:r>
      <w:r>
        <w:rPr>
          <w:rFonts w:hint="eastAsia"/>
          <w:color w:val="auto"/>
        </w:rPr>
        <w:t>到</w:t>
      </w:r>
      <w:r>
        <w:rPr>
          <w:color w:val="auto"/>
        </w:rPr>
        <w:t>全压供水</w:t>
      </w:r>
      <w:r>
        <w:rPr>
          <w:rFonts w:hint="eastAsia"/>
          <w:color w:val="auto"/>
        </w:rPr>
        <w:t>状</w:t>
      </w:r>
      <w:r>
        <w:rPr>
          <w:color w:val="auto"/>
        </w:rPr>
        <w:t>态。</w:t>
      </w:r>
      <w:r>
        <w:rPr>
          <w:rFonts w:hint="eastAsia"/>
          <w:color w:val="auto"/>
        </w:rPr>
        <w:t>以满足不同高度的要求。</w:t>
      </w:r>
    </w:p>
    <w:p w14:paraId="29382792">
      <w:pPr>
        <w:pStyle w:val="86"/>
        <w:ind w:firstLine="480"/>
        <w:rPr>
          <w:color w:val="auto"/>
        </w:rPr>
      </w:pPr>
      <w:r>
        <w:rPr>
          <w:color w:val="auto"/>
        </w:rPr>
        <w:t>1.室外消防给</w:t>
      </w:r>
      <w:r>
        <w:rPr>
          <w:rFonts w:hint="eastAsia"/>
          <w:color w:val="auto"/>
        </w:rPr>
        <w:t>水系统</w:t>
      </w:r>
      <w:r>
        <w:rPr>
          <w:color w:val="auto"/>
        </w:rPr>
        <w:t xml:space="preserve"> 室外消防给水系统为低压消防给水系统，沿施工现场</w:t>
      </w:r>
      <w:r>
        <w:rPr>
          <w:rFonts w:hint="eastAsia"/>
          <w:color w:val="auto"/>
          <w:lang w:val="en-US"/>
        </w:rPr>
        <w:t>永久消防管道</w:t>
      </w:r>
      <w:r>
        <w:rPr>
          <w:color w:val="auto"/>
        </w:rPr>
        <w:t>DN100给水，每隔</w:t>
      </w:r>
      <w:r>
        <w:rPr>
          <w:rFonts w:hint="eastAsia"/>
          <w:color w:val="auto"/>
          <w:lang w:val="en-US"/>
        </w:rPr>
        <w:t>10</w:t>
      </w:r>
      <w:r>
        <w:rPr>
          <w:color w:val="auto"/>
        </w:rPr>
        <w:t>0米布置一个消火栓箱，箱内配</w:t>
      </w:r>
      <w:r>
        <w:rPr>
          <w:rFonts w:hint="eastAsia"/>
          <w:color w:val="auto"/>
          <w:lang w:val="en-US"/>
        </w:rPr>
        <w:t>50</w:t>
      </w:r>
      <w:r>
        <w:rPr>
          <w:color w:val="auto"/>
        </w:rPr>
        <w:t>米消防水带和19mm消防水枪。</w:t>
      </w:r>
    </w:p>
    <w:p w14:paraId="6A52CC53">
      <w:pPr>
        <w:pStyle w:val="86"/>
        <w:ind w:firstLine="480"/>
        <w:rPr>
          <w:color w:val="auto"/>
        </w:rPr>
      </w:pPr>
      <w:r>
        <w:rPr>
          <w:color w:val="auto"/>
        </w:rPr>
        <w:t>2.室内消火栓给水系统 ,</w:t>
      </w:r>
    </w:p>
    <w:p w14:paraId="05758684">
      <w:pPr>
        <w:pStyle w:val="86"/>
        <w:ind w:firstLine="480"/>
        <w:rPr>
          <w:color w:val="auto"/>
        </w:rPr>
      </w:pPr>
      <w:r>
        <w:rPr>
          <w:color w:val="auto"/>
        </w:rPr>
        <w:t>(</w:t>
      </w:r>
      <w:r>
        <w:rPr>
          <w:rFonts w:hint="eastAsia"/>
          <w:color w:val="auto"/>
        </w:rPr>
        <w:t>一</w:t>
      </w:r>
      <w:r>
        <w:rPr>
          <w:color w:val="auto"/>
        </w:rPr>
        <w:t>)室内消火栓给水系统布置原则为：室内消火栓给水管网</w:t>
      </w:r>
      <w:r>
        <w:rPr>
          <w:rFonts w:hint="eastAsia"/>
          <w:color w:val="auto"/>
          <w:lang w:val="en-US"/>
        </w:rPr>
        <w:t>使用永久消防管道供水</w:t>
      </w:r>
      <w:r>
        <w:rPr>
          <w:color w:val="auto"/>
        </w:rPr>
        <w:t>，每楼层从DN100消防给水立管上引出DN65消火栓接口，并配置消火</w:t>
      </w:r>
      <w:r>
        <w:rPr>
          <w:rFonts w:hint="eastAsia"/>
          <w:color w:val="auto"/>
        </w:rPr>
        <w:t>栓箱，箱内配</w:t>
      </w:r>
      <w:r>
        <w:rPr>
          <w:color w:val="auto"/>
        </w:rPr>
        <w:t>25米消防水带和19mm消防水枪；本供水系统拟采用恒压变频水泵组逐级加压供给，加压设备采用市电、发电机双电源供电，以确保消防系统的可靠运行。</w:t>
      </w:r>
    </w:p>
    <w:p w14:paraId="08B61AD2">
      <w:pPr>
        <w:pStyle w:val="86"/>
        <w:ind w:firstLine="480"/>
        <w:rPr>
          <w:color w:val="auto"/>
        </w:rPr>
      </w:pPr>
      <w:r>
        <w:rPr>
          <w:color w:val="auto"/>
        </w:rPr>
        <w:t>（</w:t>
      </w:r>
      <w:r>
        <w:rPr>
          <w:rFonts w:hint="eastAsia"/>
          <w:color w:val="auto"/>
          <w:lang w:val="en-US"/>
        </w:rPr>
        <w:t>二</w:t>
      </w:r>
      <w:r>
        <w:rPr>
          <w:color w:val="auto"/>
        </w:rPr>
        <w:t>）水泵及阀门选择 考虑到扬程要求，如果满足现场建筑物施工及消防的要求，拟选用水泵组供水，单台出水量的有效出水量不小于</w:t>
      </w:r>
      <w:r>
        <w:rPr>
          <w:rFonts w:hint="eastAsia"/>
          <w:color w:val="auto"/>
          <w:lang w:val="en-US"/>
        </w:rPr>
        <w:t>10</w:t>
      </w:r>
      <w:r>
        <w:rPr>
          <w:color w:val="auto"/>
        </w:rPr>
        <w:t>L/S，扬程不小于</w:t>
      </w:r>
      <w:r>
        <w:rPr>
          <w:rFonts w:hint="eastAsia"/>
          <w:color w:val="auto"/>
          <w:lang w:val="en-US"/>
        </w:rPr>
        <w:t>100</w:t>
      </w:r>
      <w:r>
        <w:rPr>
          <w:color w:val="auto"/>
        </w:rPr>
        <w:t>m。 本工程由于是群体建筑同时施工，考虑消防用水的集中性，为保证系统供水可靠和稳定，在主干管布置时，采用“多分区、宜独立”的布置原则，采用</w:t>
      </w:r>
      <w:r>
        <w:rPr>
          <w:rFonts w:hint="eastAsia"/>
          <w:color w:val="auto"/>
        </w:rPr>
        <w:t>恒压变频水泵组恒压供水，使得各区系统能独立运行，相互不受影响。</w:t>
      </w:r>
      <w:r>
        <w:rPr>
          <w:color w:val="auto"/>
        </w:rPr>
        <w:t xml:space="preserve"> 本临时用水设计阀门，选用</w:t>
      </w:r>
      <w:r>
        <w:rPr>
          <w:rFonts w:hint="eastAsia"/>
          <w:color w:val="auto"/>
          <w:lang w:val="en-US"/>
        </w:rPr>
        <w:t>的</w:t>
      </w:r>
      <w:r>
        <w:rPr>
          <w:color w:val="auto"/>
        </w:rPr>
        <w:t xml:space="preserve">闸阀在主管道上起截断作用，其余小于DN100的阀门选用球阀或蝶阀。 </w:t>
      </w:r>
    </w:p>
    <w:p w14:paraId="4D2FABDA">
      <w:pPr>
        <w:rPr>
          <w:color w:val="auto"/>
        </w:rPr>
      </w:pPr>
      <w:r>
        <w:rPr>
          <w:color w:val="auto"/>
        </w:rPr>
        <w:t>（</w:t>
      </w:r>
      <w:r>
        <w:rPr>
          <w:rFonts w:hint="eastAsia"/>
          <w:color w:val="auto"/>
        </w:rPr>
        <w:t>三</w:t>
      </w:r>
      <w:r>
        <w:rPr>
          <w:color w:val="auto"/>
        </w:rPr>
        <w:t>）水源节能利</w:t>
      </w:r>
      <w:r>
        <w:rPr>
          <w:rFonts w:hint="eastAsia"/>
          <w:color w:val="auto"/>
        </w:rPr>
        <w:t>用系统</w:t>
      </w:r>
      <w:r>
        <w:rPr>
          <w:color w:val="auto"/>
        </w:rPr>
        <w:t xml:space="preserve"> 考虑施工现场降水系统，可将其用作清洁，冲洗及绿化用水。</w:t>
      </w:r>
    </w:p>
    <w:p w14:paraId="38E0A190">
      <w:pPr>
        <w:rPr>
          <w:color w:val="auto"/>
        </w:rPr>
      </w:pPr>
      <w:r>
        <w:rPr>
          <w:rFonts w:hint="eastAsia"/>
          <w:color w:val="auto"/>
        </w:rPr>
        <w:t>（四）现场雨水排放：现场大门处设洗车池、沉淀池各一个，沉淀池过滤后的水及雨水排至现场集水坑，经污水泵后排至市政雨水管网。同时现场在工人生活区附近设置雨水收集池，用于工人生活区和场地道路的雨废水收集。</w:t>
      </w:r>
    </w:p>
    <w:p w14:paraId="1CA2E336">
      <w:pPr>
        <w:rPr>
          <w:color w:val="auto"/>
        </w:rPr>
      </w:pPr>
      <w:r>
        <w:rPr>
          <w:rFonts w:hint="eastAsia"/>
          <w:color w:val="auto"/>
        </w:rPr>
        <w:t>现场雨水污水排放：设置沉淀池，沉淀后水循环利用。项目准备9台3KW的潜水泵，在雨季或下暴雨的情况下用于排除场地内的积水恢复现场施工。如遇长时间下雨，项目还联系三亚市政管理处帮助排水。</w:t>
      </w:r>
    </w:p>
    <w:p w14:paraId="2FF3568D">
      <w:pPr>
        <w:rPr>
          <w:color w:val="auto"/>
        </w:rPr>
      </w:pPr>
      <w:r>
        <w:rPr>
          <w:rFonts w:hint="eastAsia"/>
          <w:color w:val="auto"/>
        </w:rPr>
        <w:t>本工程临时施工用水具体布置可依据现场实际调整。</w:t>
      </w:r>
    </w:p>
    <w:p w14:paraId="254C2116">
      <w:pPr>
        <w:pStyle w:val="5"/>
        <w:rPr>
          <w:color w:val="auto"/>
        </w:rPr>
      </w:pPr>
      <w:bookmarkStart w:id="92" w:name="_Toc3077"/>
      <w:r>
        <w:rPr>
          <w:rFonts w:hint="eastAsia"/>
          <w:color w:val="auto"/>
        </w:rPr>
        <w:t>各种资源准备</w:t>
      </w:r>
      <w:bookmarkEnd w:id="91"/>
      <w:bookmarkEnd w:id="92"/>
    </w:p>
    <w:p w14:paraId="749E15DE">
      <w:pPr>
        <w:pStyle w:val="6"/>
        <w:numPr>
          <w:ilvl w:val="3"/>
          <w:numId w:val="7"/>
        </w:numPr>
        <w:ind w:firstLine="480"/>
        <w:rPr>
          <w:color w:val="auto"/>
        </w:rPr>
      </w:pPr>
      <w:r>
        <w:rPr>
          <w:rFonts w:hint="eastAsia"/>
          <w:color w:val="auto"/>
        </w:rPr>
        <w:t>劳动力需用量及进场计划</w:t>
      </w:r>
    </w:p>
    <w:p w14:paraId="6FB9CD6C">
      <w:pPr>
        <w:rPr>
          <w:color w:val="auto"/>
        </w:rPr>
      </w:pPr>
      <w:r>
        <w:rPr>
          <w:rFonts w:hint="eastAsia"/>
          <w:color w:val="auto"/>
        </w:rPr>
        <w:t>根据总体施工部署，按不同施工阶段，分批组织劳动力进场。具体如下表所示：</w:t>
      </w:r>
    </w:p>
    <w:p w14:paraId="460A981A">
      <w:pPr>
        <w:pStyle w:val="54"/>
        <w:rPr>
          <w:color w:val="auto"/>
        </w:rPr>
      </w:pPr>
      <w:r>
        <w:rPr>
          <w:rFonts w:hint="eastAsia"/>
          <w:color w:val="auto"/>
        </w:rPr>
        <w:t>劳动力投入计划表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544"/>
        <w:gridCol w:w="1625"/>
        <w:gridCol w:w="1625"/>
        <w:gridCol w:w="1625"/>
        <w:gridCol w:w="1628"/>
      </w:tblGrid>
      <w:tr w14:paraId="3B942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Merge w:val="restart"/>
            <w:shd w:val="clear" w:color="auto" w:fill="FFFFFF"/>
            <w:tcMar>
              <w:top w:w="20" w:type="dxa"/>
              <w:bottom w:w="20" w:type="dxa"/>
            </w:tcMar>
            <w:vAlign w:val="center"/>
          </w:tcPr>
          <w:p w14:paraId="1F79FEA1">
            <w:pPr>
              <w:pStyle w:val="51"/>
              <w:rPr>
                <w:rFonts w:hint="eastAsia" w:ascii="宋体" w:hAnsi="宋体"/>
                <w:color w:val="auto"/>
              </w:rPr>
            </w:pPr>
            <w:r>
              <w:rPr>
                <w:rFonts w:hint="eastAsia" w:ascii="宋体" w:hAnsi="宋体"/>
                <w:color w:val="auto"/>
              </w:rPr>
              <w:t>工种</w:t>
            </w:r>
          </w:p>
        </w:tc>
        <w:tc>
          <w:tcPr>
            <w:tcW w:w="4441" w:type="pct"/>
            <w:gridSpan w:val="5"/>
            <w:shd w:val="clear" w:color="auto" w:fill="FFFFFF"/>
            <w:vAlign w:val="center"/>
          </w:tcPr>
          <w:p w14:paraId="262A3085">
            <w:pPr>
              <w:pStyle w:val="51"/>
              <w:rPr>
                <w:rFonts w:hint="eastAsia" w:ascii="宋体" w:hAnsi="宋体"/>
                <w:color w:val="auto"/>
              </w:rPr>
            </w:pPr>
            <w:r>
              <w:rPr>
                <w:rFonts w:hint="eastAsia" w:ascii="宋体" w:hAnsi="宋体"/>
                <w:color w:val="auto"/>
              </w:rPr>
              <w:t>按工程施工阶段投入劳动力情况</w:t>
            </w:r>
          </w:p>
        </w:tc>
      </w:tr>
      <w:tr w14:paraId="0986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Merge w:val="continue"/>
            <w:tcBorders>
              <w:bottom w:val="single" w:color="auto" w:sz="4" w:space="0"/>
            </w:tcBorders>
            <w:shd w:val="clear" w:color="auto" w:fill="FFFFFF"/>
            <w:vAlign w:val="center"/>
          </w:tcPr>
          <w:p w14:paraId="3D21CBE6">
            <w:pPr>
              <w:pStyle w:val="51"/>
              <w:rPr>
                <w:rFonts w:hint="eastAsia" w:ascii="宋体" w:hAnsi="宋体"/>
                <w:color w:val="auto"/>
              </w:rPr>
            </w:pPr>
          </w:p>
        </w:tc>
        <w:tc>
          <w:tcPr>
            <w:tcW w:w="852" w:type="pct"/>
            <w:shd w:val="clear" w:color="auto" w:fill="FFFFFF"/>
            <w:vAlign w:val="center"/>
          </w:tcPr>
          <w:p w14:paraId="54980275">
            <w:pPr>
              <w:pStyle w:val="51"/>
              <w:rPr>
                <w:rFonts w:hint="eastAsia" w:ascii="宋体" w:hAnsi="宋体"/>
                <w:color w:val="auto"/>
              </w:rPr>
            </w:pPr>
            <w:r>
              <w:rPr>
                <w:rFonts w:hint="eastAsia" w:ascii="宋体" w:hAnsi="宋体"/>
                <w:color w:val="auto"/>
              </w:rPr>
              <w:t>桩基施工阶段</w:t>
            </w:r>
          </w:p>
        </w:tc>
        <w:tc>
          <w:tcPr>
            <w:tcW w:w="897" w:type="pct"/>
            <w:shd w:val="clear" w:color="auto" w:fill="FFFFFF"/>
            <w:vAlign w:val="center"/>
          </w:tcPr>
          <w:p w14:paraId="66A31C6A">
            <w:pPr>
              <w:pStyle w:val="51"/>
              <w:rPr>
                <w:rFonts w:hint="eastAsia" w:ascii="宋体" w:hAnsi="宋体"/>
                <w:color w:val="auto"/>
              </w:rPr>
            </w:pPr>
            <w:r>
              <w:rPr>
                <w:rFonts w:hint="eastAsia" w:ascii="宋体" w:hAnsi="宋体"/>
                <w:color w:val="auto"/>
              </w:rPr>
              <w:t>地下室结构施工</w:t>
            </w:r>
          </w:p>
        </w:tc>
        <w:tc>
          <w:tcPr>
            <w:tcW w:w="897" w:type="pct"/>
            <w:shd w:val="clear" w:color="auto" w:fill="FFFFFF"/>
            <w:vAlign w:val="center"/>
          </w:tcPr>
          <w:p w14:paraId="1A860D84">
            <w:pPr>
              <w:pStyle w:val="51"/>
              <w:rPr>
                <w:rFonts w:hint="eastAsia" w:ascii="宋体" w:hAnsi="宋体"/>
                <w:color w:val="auto"/>
              </w:rPr>
            </w:pPr>
            <w:r>
              <w:rPr>
                <w:rFonts w:hint="eastAsia" w:ascii="宋体" w:hAnsi="宋体"/>
                <w:color w:val="auto"/>
              </w:rPr>
              <w:t>主体结构施工阶段</w:t>
            </w:r>
          </w:p>
        </w:tc>
        <w:tc>
          <w:tcPr>
            <w:tcW w:w="897" w:type="pct"/>
            <w:shd w:val="clear" w:color="auto" w:fill="FFFFFF"/>
            <w:tcMar>
              <w:top w:w="20" w:type="dxa"/>
              <w:bottom w:w="20" w:type="dxa"/>
            </w:tcMar>
            <w:vAlign w:val="center"/>
          </w:tcPr>
          <w:p w14:paraId="23C12FDC">
            <w:pPr>
              <w:pStyle w:val="51"/>
              <w:rPr>
                <w:rFonts w:hint="eastAsia" w:ascii="宋体" w:hAnsi="宋体"/>
                <w:color w:val="auto"/>
              </w:rPr>
            </w:pPr>
            <w:r>
              <w:rPr>
                <w:rFonts w:hint="eastAsia" w:ascii="宋体" w:hAnsi="宋体"/>
                <w:color w:val="auto"/>
              </w:rPr>
              <w:t>装饰装修施工阶段</w:t>
            </w:r>
          </w:p>
        </w:tc>
        <w:tc>
          <w:tcPr>
            <w:tcW w:w="897" w:type="pct"/>
            <w:shd w:val="clear" w:color="auto" w:fill="FFFFFF"/>
            <w:tcMar>
              <w:top w:w="20" w:type="dxa"/>
              <w:bottom w:w="20" w:type="dxa"/>
            </w:tcMar>
            <w:vAlign w:val="center"/>
          </w:tcPr>
          <w:p w14:paraId="4555D986">
            <w:pPr>
              <w:pStyle w:val="51"/>
              <w:rPr>
                <w:rFonts w:hint="eastAsia" w:ascii="宋体" w:hAnsi="宋体"/>
                <w:color w:val="auto"/>
              </w:rPr>
            </w:pPr>
            <w:r>
              <w:rPr>
                <w:rFonts w:hint="eastAsia" w:ascii="宋体" w:hAnsi="宋体"/>
                <w:color w:val="auto"/>
              </w:rPr>
              <w:t>竣工收尾阶段</w:t>
            </w:r>
          </w:p>
        </w:tc>
      </w:tr>
      <w:tr w14:paraId="6070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0F641562">
            <w:pPr>
              <w:pStyle w:val="51"/>
              <w:rPr>
                <w:rFonts w:hint="eastAsia" w:ascii="宋体" w:hAnsi="宋体"/>
                <w:color w:val="auto"/>
              </w:rPr>
            </w:pPr>
            <w:r>
              <w:rPr>
                <w:rFonts w:hint="eastAsia" w:ascii="宋体" w:hAnsi="宋体"/>
                <w:color w:val="auto"/>
              </w:rPr>
              <w:t>钢筋工</w:t>
            </w:r>
          </w:p>
        </w:tc>
        <w:tc>
          <w:tcPr>
            <w:tcW w:w="852" w:type="pct"/>
            <w:vAlign w:val="center"/>
          </w:tcPr>
          <w:p w14:paraId="0D950CFF">
            <w:pPr>
              <w:pStyle w:val="51"/>
              <w:rPr>
                <w:rFonts w:hint="eastAsia" w:ascii="宋体" w:hAnsi="宋体"/>
                <w:color w:val="auto"/>
              </w:rPr>
            </w:pPr>
            <w:r>
              <w:rPr>
                <w:rFonts w:hint="eastAsia" w:ascii="宋体" w:hAnsi="宋体"/>
                <w:color w:val="auto"/>
              </w:rPr>
              <w:t>1</w:t>
            </w:r>
            <w:r>
              <w:rPr>
                <w:rFonts w:ascii="宋体" w:hAnsi="宋体"/>
                <w:color w:val="auto"/>
              </w:rPr>
              <w:t>0</w:t>
            </w:r>
          </w:p>
        </w:tc>
        <w:tc>
          <w:tcPr>
            <w:tcW w:w="897" w:type="pct"/>
            <w:vAlign w:val="center"/>
          </w:tcPr>
          <w:p w14:paraId="2A20558D">
            <w:pPr>
              <w:pStyle w:val="51"/>
              <w:rPr>
                <w:rFonts w:hint="eastAsia" w:ascii="宋体" w:hAnsi="宋体"/>
                <w:color w:val="auto"/>
              </w:rPr>
            </w:pPr>
            <w:r>
              <w:rPr>
                <w:rFonts w:ascii="宋体" w:hAnsi="宋体"/>
                <w:color w:val="auto"/>
              </w:rPr>
              <w:t>64</w:t>
            </w:r>
          </w:p>
        </w:tc>
        <w:tc>
          <w:tcPr>
            <w:tcW w:w="897" w:type="pct"/>
            <w:vAlign w:val="center"/>
          </w:tcPr>
          <w:p w14:paraId="357EBD91">
            <w:pPr>
              <w:pStyle w:val="51"/>
              <w:rPr>
                <w:rFonts w:hint="eastAsia" w:ascii="宋体" w:hAnsi="宋体"/>
                <w:color w:val="auto"/>
              </w:rPr>
            </w:pPr>
            <w:r>
              <w:rPr>
                <w:rFonts w:ascii="宋体" w:hAnsi="宋体"/>
                <w:color w:val="auto"/>
              </w:rPr>
              <w:t>110</w:t>
            </w:r>
          </w:p>
        </w:tc>
        <w:tc>
          <w:tcPr>
            <w:tcW w:w="897" w:type="pct"/>
            <w:tcMar>
              <w:top w:w="20" w:type="dxa"/>
              <w:bottom w:w="20" w:type="dxa"/>
            </w:tcMar>
            <w:vAlign w:val="center"/>
          </w:tcPr>
          <w:p w14:paraId="5A3B381E">
            <w:pPr>
              <w:pStyle w:val="51"/>
              <w:rPr>
                <w:rFonts w:hint="eastAsia" w:ascii="宋体" w:hAnsi="宋体"/>
                <w:color w:val="auto"/>
              </w:rPr>
            </w:pPr>
            <w:r>
              <w:rPr>
                <w:rFonts w:ascii="宋体" w:hAnsi="宋体"/>
                <w:color w:val="auto"/>
              </w:rPr>
              <w:t>10</w:t>
            </w:r>
          </w:p>
        </w:tc>
        <w:tc>
          <w:tcPr>
            <w:tcW w:w="897" w:type="pct"/>
            <w:tcMar>
              <w:top w:w="20" w:type="dxa"/>
              <w:bottom w:w="20" w:type="dxa"/>
            </w:tcMar>
            <w:vAlign w:val="center"/>
          </w:tcPr>
          <w:p w14:paraId="2CE4CBF0">
            <w:pPr>
              <w:pStyle w:val="51"/>
              <w:rPr>
                <w:rFonts w:hint="eastAsia" w:ascii="宋体" w:hAnsi="宋体"/>
                <w:color w:val="auto"/>
              </w:rPr>
            </w:pPr>
            <w:r>
              <w:rPr>
                <w:rFonts w:ascii="宋体" w:hAnsi="宋体"/>
                <w:color w:val="auto"/>
              </w:rPr>
              <w:t>0</w:t>
            </w:r>
          </w:p>
        </w:tc>
      </w:tr>
      <w:tr w14:paraId="7F6C3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57BA0094">
            <w:pPr>
              <w:pStyle w:val="51"/>
              <w:rPr>
                <w:rFonts w:hint="eastAsia" w:ascii="宋体" w:hAnsi="宋体"/>
                <w:color w:val="auto"/>
              </w:rPr>
            </w:pPr>
            <w:r>
              <w:rPr>
                <w:rFonts w:hint="eastAsia" w:ascii="宋体" w:hAnsi="宋体"/>
                <w:color w:val="auto"/>
              </w:rPr>
              <w:t>木工</w:t>
            </w:r>
          </w:p>
        </w:tc>
        <w:tc>
          <w:tcPr>
            <w:tcW w:w="852" w:type="pct"/>
            <w:vAlign w:val="center"/>
          </w:tcPr>
          <w:p w14:paraId="15B510E6">
            <w:pPr>
              <w:pStyle w:val="51"/>
              <w:rPr>
                <w:rFonts w:hint="eastAsia" w:ascii="宋体" w:hAnsi="宋体"/>
                <w:color w:val="auto"/>
              </w:rPr>
            </w:pPr>
            <w:r>
              <w:rPr>
                <w:rFonts w:ascii="宋体" w:hAnsi="宋体"/>
                <w:color w:val="auto"/>
              </w:rPr>
              <w:t>0</w:t>
            </w:r>
          </w:p>
        </w:tc>
        <w:tc>
          <w:tcPr>
            <w:tcW w:w="897" w:type="pct"/>
            <w:vAlign w:val="center"/>
          </w:tcPr>
          <w:p w14:paraId="5E5606F1">
            <w:pPr>
              <w:pStyle w:val="51"/>
              <w:rPr>
                <w:rFonts w:hint="eastAsia" w:ascii="宋体" w:hAnsi="宋体"/>
                <w:color w:val="auto"/>
              </w:rPr>
            </w:pPr>
            <w:r>
              <w:rPr>
                <w:rFonts w:ascii="宋体" w:hAnsi="宋体"/>
                <w:color w:val="auto"/>
              </w:rPr>
              <w:t>80</w:t>
            </w:r>
          </w:p>
        </w:tc>
        <w:tc>
          <w:tcPr>
            <w:tcW w:w="897" w:type="pct"/>
            <w:vAlign w:val="center"/>
          </w:tcPr>
          <w:p w14:paraId="25553F04">
            <w:pPr>
              <w:pStyle w:val="51"/>
              <w:rPr>
                <w:rFonts w:hint="eastAsia" w:ascii="宋体" w:hAnsi="宋体"/>
                <w:color w:val="auto"/>
              </w:rPr>
            </w:pPr>
            <w:r>
              <w:rPr>
                <w:rFonts w:ascii="宋体" w:hAnsi="宋体"/>
                <w:color w:val="auto"/>
              </w:rPr>
              <w:t>150</w:t>
            </w:r>
          </w:p>
        </w:tc>
        <w:tc>
          <w:tcPr>
            <w:tcW w:w="897" w:type="pct"/>
            <w:tcMar>
              <w:top w:w="20" w:type="dxa"/>
              <w:bottom w:w="20" w:type="dxa"/>
            </w:tcMar>
            <w:vAlign w:val="center"/>
          </w:tcPr>
          <w:p w14:paraId="525F52C5">
            <w:pPr>
              <w:pStyle w:val="51"/>
              <w:rPr>
                <w:rFonts w:hint="eastAsia" w:ascii="宋体" w:hAnsi="宋体"/>
                <w:color w:val="auto"/>
              </w:rPr>
            </w:pPr>
            <w:r>
              <w:rPr>
                <w:rFonts w:ascii="宋体" w:hAnsi="宋体"/>
                <w:color w:val="auto"/>
              </w:rPr>
              <w:t>20</w:t>
            </w:r>
          </w:p>
        </w:tc>
        <w:tc>
          <w:tcPr>
            <w:tcW w:w="897" w:type="pct"/>
            <w:tcMar>
              <w:top w:w="20" w:type="dxa"/>
              <w:bottom w:w="20" w:type="dxa"/>
            </w:tcMar>
            <w:vAlign w:val="center"/>
          </w:tcPr>
          <w:p w14:paraId="2DF732FF">
            <w:pPr>
              <w:pStyle w:val="51"/>
              <w:rPr>
                <w:rFonts w:hint="eastAsia" w:ascii="宋体" w:hAnsi="宋体"/>
                <w:color w:val="auto"/>
              </w:rPr>
            </w:pPr>
            <w:r>
              <w:rPr>
                <w:rFonts w:ascii="宋体" w:hAnsi="宋体"/>
                <w:color w:val="auto"/>
              </w:rPr>
              <w:t>0</w:t>
            </w:r>
          </w:p>
        </w:tc>
      </w:tr>
      <w:tr w14:paraId="5F59D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7642C988">
            <w:pPr>
              <w:pStyle w:val="51"/>
              <w:rPr>
                <w:rFonts w:hint="eastAsia" w:ascii="宋体" w:hAnsi="宋体"/>
                <w:color w:val="auto"/>
              </w:rPr>
            </w:pPr>
            <w:r>
              <w:rPr>
                <w:rFonts w:hint="eastAsia" w:ascii="宋体" w:hAnsi="宋体"/>
                <w:color w:val="auto"/>
              </w:rPr>
              <w:t>砼工</w:t>
            </w:r>
          </w:p>
        </w:tc>
        <w:tc>
          <w:tcPr>
            <w:tcW w:w="852" w:type="pct"/>
            <w:vAlign w:val="center"/>
          </w:tcPr>
          <w:p w14:paraId="7B3A64A8">
            <w:pPr>
              <w:pStyle w:val="51"/>
              <w:rPr>
                <w:rFonts w:hint="eastAsia" w:ascii="宋体" w:hAnsi="宋体"/>
                <w:color w:val="auto"/>
              </w:rPr>
            </w:pPr>
            <w:r>
              <w:rPr>
                <w:rFonts w:ascii="宋体" w:hAnsi="宋体"/>
                <w:color w:val="auto"/>
              </w:rPr>
              <w:t>0</w:t>
            </w:r>
          </w:p>
        </w:tc>
        <w:tc>
          <w:tcPr>
            <w:tcW w:w="897" w:type="pct"/>
            <w:vAlign w:val="center"/>
          </w:tcPr>
          <w:p w14:paraId="0A3483C9">
            <w:pPr>
              <w:pStyle w:val="51"/>
              <w:rPr>
                <w:rFonts w:hint="eastAsia" w:ascii="宋体" w:hAnsi="宋体"/>
                <w:color w:val="auto"/>
              </w:rPr>
            </w:pPr>
            <w:r>
              <w:rPr>
                <w:rFonts w:ascii="宋体" w:hAnsi="宋体"/>
                <w:color w:val="auto"/>
              </w:rPr>
              <w:t>16</w:t>
            </w:r>
          </w:p>
        </w:tc>
        <w:tc>
          <w:tcPr>
            <w:tcW w:w="897" w:type="pct"/>
            <w:vAlign w:val="center"/>
          </w:tcPr>
          <w:p w14:paraId="1BB06826">
            <w:pPr>
              <w:pStyle w:val="51"/>
              <w:rPr>
                <w:rFonts w:hint="eastAsia" w:ascii="宋体" w:hAnsi="宋体"/>
                <w:color w:val="auto"/>
              </w:rPr>
            </w:pPr>
            <w:r>
              <w:rPr>
                <w:rFonts w:ascii="宋体" w:hAnsi="宋体"/>
                <w:color w:val="auto"/>
              </w:rPr>
              <w:t>30</w:t>
            </w:r>
          </w:p>
        </w:tc>
        <w:tc>
          <w:tcPr>
            <w:tcW w:w="897" w:type="pct"/>
            <w:tcMar>
              <w:top w:w="20" w:type="dxa"/>
              <w:bottom w:w="20" w:type="dxa"/>
            </w:tcMar>
            <w:vAlign w:val="center"/>
          </w:tcPr>
          <w:p w14:paraId="59984123">
            <w:pPr>
              <w:pStyle w:val="51"/>
              <w:rPr>
                <w:rFonts w:hint="eastAsia" w:ascii="宋体" w:hAnsi="宋体"/>
                <w:color w:val="auto"/>
              </w:rPr>
            </w:pPr>
            <w:r>
              <w:rPr>
                <w:rFonts w:ascii="宋体" w:hAnsi="宋体"/>
                <w:color w:val="auto"/>
              </w:rPr>
              <w:t>6</w:t>
            </w:r>
          </w:p>
        </w:tc>
        <w:tc>
          <w:tcPr>
            <w:tcW w:w="897" w:type="pct"/>
            <w:tcMar>
              <w:top w:w="20" w:type="dxa"/>
              <w:bottom w:w="20" w:type="dxa"/>
            </w:tcMar>
            <w:vAlign w:val="center"/>
          </w:tcPr>
          <w:p w14:paraId="4107B28F">
            <w:pPr>
              <w:pStyle w:val="51"/>
              <w:rPr>
                <w:rFonts w:hint="eastAsia" w:ascii="宋体" w:hAnsi="宋体"/>
                <w:color w:val="auto"/>
              </w:rPr>
            </w:pPr>
            <w:r>
              <w:rPr>
                <w:rFonts w:ascii="宋体" w:hAnsi="宋体"/>
                <w:color w:val="auto"/>
              </w:rPr>
              <w:t>0</w:t>
            </w:r>
          </w:p>
        </w:tc>
      </w:tr>
      <w:tr w14:paraId="56ED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15DD63BE">
            <w:pPr>
              <w:pStyle w:val="51"/>
              <w:rPr>
                <w:rFonts w:hint="eastAsia" w:ascii="宋体" w:hAnsi="宋体"/>
                <w:color w:val="auto"/>
              </w:rPr>
            </w:pPr>
            <w:r>
              <w:rPr>
                <w:rFonts w:hint="eastAsia" w:ascii="宋体" w:hAnsi="宋体"/>
                <w:color w:val="auto"/>
              </w:rPr>
              <w:t>架子工</w:t>
            </w:r>
          </w:p>
        </w:tc>
        <w:tc>
          <w:tcPr>
            <w:tcW w:w="852" w:type="pct"/>
            <w:vAlign w:val="center"/>
          </w:tcPr>
          <w:p w14:paraId="69482F43">
            <w:pPr>
              <w:pStyle w:val="51"/>
              <w:rPr>
                <w:rFonts w:hint="eastAsia" w:ascii="宋体" w:hAnsi="宋体"/>
                <w:color w:val="auto"/>
              </w:rPr>
            </w:pPr>
            <w:r>
              <w:rPr>
                <w:rFonts w:ascii="宋体" w:hAnsi="宋体"/>
                <w:color w:val="auto"/>
              </w:rPr>
              <w:t>0</w:t>
            </w:r>
          </w:p>
        </w:tc>
        <w:tc>
          <w:tcPr>
            <w:tcW w:w="897" w:type="pct"/>
            <w:vAlign w:val="center"/>
          </w:tcPr>
          <w:p w14:paraId="114A02DF">
            <w:pPr>
              <w:pStyle w:val="51"/>
              <w:rPr>
                <w:rFonts w:hint="eastAsia" w:ascii="宋体" w:hAnsi="宋体"/>
                <w:color w:val="auto"/>
              </w:rPr>
            </w:pPr>
            <w:r>
              <w:rPr>
                <w:rFonts w:ascii="宋体" w:hAnsi="宋体"/>
                <w:color w:val="auto"/>
              </w:rPr>
              <w:t>58</w:t>
            </w:r>
          </w:p>
        </w:tc>
        <w:tc>
          <w:tcPr>
            <w:tcW w:w="897" w:type="pct"/>
            <w:vAlign w:val="center"/>
          </w:tcPr>
          <w:p w14:paraId="5F5CDD35">
            <w:pPr>
              <w:pStyle w:val="51"/>
              <w:rPr>
                <w:rFonts w:hint="eastAsia" w:ascii="宋体" w:hAnsi="宋体"/>
                <w:color w:val="auto"/>
              </w:rPr>
            </w:pPr>
            <w:r>
              <w:rPr>
                <w:rFonts w:ascii="宋体" w:hAnsi="宋体"/>
                <w:color w:val="auto"/>
              </w:rPr>
              <w:t>80</w:t>
            </w:r>
          </w:p>
        </w:tc>
        <w:tc>
          <w:tcPr>
            <w:tcW w:w="897" w:type="pct"/>
            <w:tcMar>
              <w:top w:w="20" w:type="dxa"/>
              <w:bottom w:w="20" w:type="dxa"/>
            </w:tcMar>
            <w:vAlign w:val="center"/>
          </w:tcPr>
          <w:p w14:paraId="089F1CF0">
            <w:pPr>
              <w:pStyle w:val="51"/>
              <w:rPr>
                <w:rFonts w:hint="eastAsia" w:ascii="宋体" w:hAnsi="宋体"/>
                <w:color w:val="auto"/>
              </w:rPr>
            </w:pPr>
            <w:r>
              <w:rPr>
                <w:rFonts w:ascii="宋体" w:hAnsi="宋体"/>
                <w:color w:val="auto"/>
              </w:rPr>
              <w:t>12</w:t>
            </w:r>
          </w:p>
        </w:tc>
        <w:tc>
          <w:tcPr>
            <w:tcW w:w="897" w:type="pct"/>
            <w:tcMar>
              <w:top w:w="20" w:type="dxa"/>
              <w:bottom w:w="20" w:type="dxa"/>
            </w:tcMar>
            <w:vAlign w:val="center"/>
          </w:tcPr>
          <w:p w14:paraId="5B25DF21">
            <w:pPr>
              <w:pStyle w:val="51"/>
              <w:rPr>
                <w:rFonts w:hint="eastAsia" w:ascii="宋体" w:hAnsi="宋体"/>
                <w:color w:val="auto"/>
              </w:rPr>
            </w:pPr>
            <w:r>
              <w:rPr>
                <w:rFonts w:ascii="宋体" w:hAnsi="宋体"/>
                <w:color w:val="auto"/>
              </w:rPr>
              <w:t>12</w:t>
            </w:r>
          </w:p>
        </w:tc>
      </w:tr>
      <w:tr w14:paraId="2CB27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7DF057FE">
            <w:pPr>
              <w:pStyle w:val="51"/>
              <w:rPr>
                <w:rFonts w:hint="eastAsia" w:ascii="宋体" w:hAnsi="宋体"/>
                <w:color w:val="auto"/>
              </w:rPr>
            </w:pPr>
            <w:r>
              <w:rPr>
                <w:rFonts w:hint="eastAsia" w:ascii="宋体" w:hAnsi="宋体"/>
                <w:color w:val="auto"/>
              </w:rPr>
              <w:t>泥瓦工</w:t>
            </w:r>
          </w:p>
        </w:tc>
        <w:tc>
          <w:tcPr>
            <w:tcW w:w="852" w:type="pct"/>
            <w:vAlign w:val="center"/>
          </w:tcPr>
          <w:p w14:paraId="086CA3D6">
            <w:pPr>
              <w:pStyle w:val="51"/>
              <w:rPr>
                <w:rFonts w:hint="eastAsia" w:ascii="宋体" w:hAnsi="宋体"/>
                <w:color w:val="auto"/>
              </w:rPr>
            </w:pPr>
            <w:r>
              <w:rPr>
                <w:rFonts w:hint="eastAsia" w:ascii="宋体" w:hAnsi="宋体"/>
                <w:color w:val="auto"/>
              </w:rPr>
              <w:t>5</w:t>
            </w:r>
          </w:p>
        </w:tc>
        <w:tc>
          <w:tcPr>
            <w:tcW w:w="897" w:type="pct"/>
            <w:vAlign w:val="center"/>
          </w:tcPr>
          <w:p w14:paraId="4AD60642">
            <w:pPr>
              <w:pStyle w:val="51"/>
              <w:rPr>
                <w:rFonts w:hint="eastAsia" w:ascii="宋体" w:hAnsi="宋体"/>
                <w:color w:val="auto"/>
              </w:rPr>
            </w:pPr>
            <w:r>
              <w:rPr>
                <w:rFonts w:ascii="宋体" w:hAnsi="宋体"/>
                <w:color w:val="auto"/>
              </w:rPr>
              <w:t>30</w:t>
            </w:r>
          </w:p>
        </w:tc>
        <w:tc>
          <w:tcPr>
            <w:tcW w:w="897" w:type="pct"/>
            <w:vAlign w:val="center"/>
          </w:tcPr>
          <w:p w14:paraId="0FBAF0B0">
            <w:pPr>
              <w:pStyle w:val="51"/>
              <w:rPr>
                <w:rFonts w:hint="eastAsia" w:ascii="宋体" w:hAnsi="宋体"/>
                <w:color w:val="auto"/>
              </w:rPr>
            </w:pPr>
            <w:r>
              <w:rPr>
                <w:rFonts w:ascii="宋体" w:hAnsi="宋体"/>
                <w:color w:val="auto"/>
              </w:rPr>
              <w:t>40</w:t>
            </w:r>
          </w:p>
        </w:tc>
        <w:tc>
          <w:tcPr>
            <w:tcW w:w="897" w:type="pct"/>
            <w:tcMar>
              <w:top w:w="20" w:type="dxa"/>
              <w:bottom w:w="20" w:type="dxa"/>
            </w:tcMar>
            <w:vAlign w:val="center"/>
          </w:tcPr>
          <w:p w14:paraId="11B05A32">
            <w:pPr>
              <w:pStyle w:val="51"/>
              <w:rPr>
                <w:rFonts w:hint="eastAsia" w:ascii="宋体" w:hAnsi="宋体"/>
                <w:color w:val="auto"/>
              </w:rPr>
            </w:pPr>
            <w:r>
              <w:rPr>
                <w:rFonts w:ascii="宋体" w:hAnsi="宋体"/>
                <w:color w:val="auto"/>
              </w:rPr>
              <w:t>90</w:t>
            </w:r>
          </w:p>
        </w:tc>
        <w:tc>
          <w:tcPr>
            <w:tcW w:w="897" w:type="pct"/>
            <w:tcMar>
              <w:top w:w="20" w:type="dxa"/>
              <w:bottom w:w="20" w:type="dxa"/>
            </w:tcMar>
            <w:vAlign w:val="center"/>
          </w:tcPr>
          <w:p w14:paraId="3580E3DE">
            <w:pPr>
              <w:pStyle w:val="51"/>
              <w:rPr>
                <w:rFonts w:hint="eastAsia" w:ascii="宋体" w:hAnsi="宋体"/>
                <w:color w:val="auto"/>
              </w:rPr>
            </w:pPr>
            <w:r>
              <w:rPr>
                <w:rFonts w:ascii="宋体" w:hAnsi="宋体"/>
                <w:color w:val="auto"/>
              </w:rPr>
              <w:t>10</w:t>
            </w:r>
          </w:p>
        </w:tc>
      </w:tr>
      <w:tr w14:paraId="23DF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56469A4F">
            <w:pPr>
              <w:pStyle w:val="51"/>
              <w:rPr>
                <w:rFonts w:hint="eastAsia" w:ascii="宋体" w:hAnsi="宋体"/>
                <w:color w:val="auto"/>
              </w:rPr>
            </w:pPr>
            <w:r>
              <w:rPr>
                <w:rFonts w:hint="eastAsia" w:ascii="宋体" w:hAnsi="宋体"/>
                <w:color w:val="auto"/>
              </w:rPr>
              <w:t>防水工</w:t>
            </w:r>
          </w:p>
        </w:tc>
        <w:tc>
          <w:tcPr>
            <w:tcW w:w="852" w:type="pct"/>
            <w:vAlign w:val="center"/>
          </w:tcPr>
          <w:p w14:paraId="6D9ABE69">
            <w:pPr>
              <w:pStyle w:val="51"/>
              <w:rPr>
                <w:rFonts w:hint="eastAsia" w:ascii="宋体" w:hAnsi="宋体"/>
                <w:color w:val="auto"/>
              </w:rPr>
            </w:pPr>
            <w:r>
              <w:rPr>
                <w:rFonts w:ascii="宋体" w:hAnsi="宋体"/>
                <w:color w:val="auto"/>
              </w:rPr>
              <w:t>0</w:t>
            </w:r>
          </w:p>
        </w:tc>
        <w:tc>
          <w:tcPr>
            <w:tcW w:w="897" w:type="pct"/>
            <w:vAlign w:val="center"/>
          </w:tcPr>
          <w:p w14:paraId="6487A9B2">
            <w:pPr>
              <w:pStyle w:val="51"/>
              <w:rPr>
                <w:rFonts w:hint="eastAsia" w:ascii="宋体" w:hAnsi="宋体"/>
                <w:color w:val="auto"/>
              </w:rPr>
            </w:pPr>
            <w:r>
              <w:rPr>
                <w:rFonts w:ascii="宋体" w:hAnsi="宋体"/>
                <w:color w:val="auto"/>
              </w:rPr>
              <w:t>25</w:t>
            </w:r>
          </w:p>
        </w:tc>
        <w:tc>
          <w:tcPr>
            <w:tcW w:w="897" w:type="pct"/>
            <w:vAlign w:val="center"/>
          </w:tcPr>
          <w:p w14:paraId="4385ECB4">
            <w:pPr>
              <w:pStyle w:val="51"/>
              <w:rPr>
                <w:rFonts w:hint="eastAsia" w:ascii="宋体" w:hAnsi="宋体"/>
                <w:color w:val="auto"/>
              </w:rPr>
            </w:pPr>
            <w:r>
              <w:rPr>
                <w:rFonts w:ascii="宋体" w:hAnsi="宋体"/>
                <w:color w:val="auto"/>
              </w:rPr>
              <w:t>20</w:t>
            </w:r>
          </w:p>
        </w:tc>
        <w:tc>
          <w:tcPr>
            <w:tcW w:w="897" w:type="pct"/>
            <w:tcMar>
              <w:top w:w="20" w:type="dxa"/>
              <w:bottom w:w="20" w:type="dxa"/>
            </w:tcMar>
            <w:vAlign w:val="center"/>
          </w:tcPr>
          <w:p w14:paraId="03D68378">
            <w:pPr>
              <w:pStyle w:val="51"/>
              <w:rPr>
                <w:rFonts w:hint="eastAsia" w:ascii="宋体" w:hAnsi="宋体"/>
                <w:color w:val="auto"/>
              </w:rPr>
            </w:pPr>
            <w:r>
              <w:rPr>
                <w:rFonts w:ascii="宋体" w:hAnsi="宋体"/>
                <w:color w:val="auto"/>
              </w:rPr>
              <w:t>30</w:t>
            </w:r>
          </w:p>
        </w:tc>
        <w:tc>
          <w:tcPr>
            <w:tcW w:w="897" w:type="pct"/>
            <w:tcMar>
              <w:top w:w="20" w:type="dxa"/>
              <w:bottom w:w="20" w:type="dxa"/>
            </w:tcMar>
            <w:vAlign w:val="center"/>
          </w:tcPr>
          <w:p w14:paraId="577E5069">
            <w:pPr>
              <w:pStyle w:val="51"/>
              <w:rPr>
                <w:rFonts w:hint="eastAsia" w:ascii="宋体" w:hAnsi="宋体"/>
                <w:color w:val="auto"/>
              </w:rPr>
            </w:pPr>
            <w:r>
              <w:rPr>
                <w:rFonts w:ascii="宋体" w:hAnsi="宋体"/>
                <w:color w:val="auto"/>
              </w:rPr>
              <w:t>5</w:t>
            </w:r>
          </w:p>
        </w:tc>
      </w:tr>
      <w:tr w14:paraId="2BE9E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5517EFEB">
            <w:pPr>
              <w:pStyle w:val="51"/>
              <w:rPr>
                <w:rFonts w:hint="eastAsia" w:ascii="宋体" w:hAnsi="宋体"/>
                <w:color w:val="auto"/>
              </w:rPr>
            </w:pPr>
            <w:r>
              <w:rPr>
                <w:rFonts w:hint="eastAsia" w:ascii="宋体" w:hAnsi="宋体"/>
                <w:color w:val="auto"/>
              </w:rPr>
              <w:t>测量工</w:t>
            </w:r>
          </w:p>
        </w:tc>
        <w:tc>
          <w:tcPr>
            <w:tcW w:w="852" w:type="pct"/>
            <w:vAlign w:val="center"/>
          </w:tcPr>
          <w:p w14:paraId="125BE5F0">
            <w:pPr>
              <w:pStyle w:val="51"/>
              <w:rPr>
                <w:rFonts w:hint="eastAsia" w:ascii="宋体" w:hAnsi="宋体"/>
                <w:color w:val="auto"/>
              </w:rPr>
            </w:pPr>
            <w:r>
              <w:rPr>
                <w:rFonts w:hint="eastAsia" w:ascii="宋体" w:hAnsi="宋体"/>
                <w:color w:val="auto"/>
              </w:rPr>
              <w:t>2</w:t>
            </w:r>
          </w:p>
        </w:tc>
        <w:tc>
          <w:tcPr>
            <w:tcW w:w="897" w:type="pct"/>
            <w:vAlign w:val="center"/>
          </w:tcPr>
          <w:p w14:paraId="6A90DA50">
            <w:pPr>
              <w:pStyle w:val="51"/>
              <w:rPr>
                <w:rFonts w:hint="eastAsia" w:ascii="宋体" w:hAnsi="宋体"/>
                <w:color w:val="auto"/>
              </w:rPr>
            </w:pPr>
            <w:r>
              <w:rPr>
                <w:rFonts w:ascii="宋体" w:hAnsi="宋体"/>
                <w:color w:val="auto"/>
              </w:rPr>
              <w:t>4</w:t>
            </w:r>
          </w:p>
        </w:tc>
        <w:tc>
          <w:tcPr>
            <w:tcW w:w="897" w:type="pct"/>
            <w:vAlign w:val="center"/>
          </w:tcPr>
          <w:p w14:paraId="52141CC2">
            <w:pPr>
              <w:pStyle w:val="51"/>
              <w:rPr>
                <w:rFonts w:hint="eastAsia" w:ascii="宋体" w:hAnsi="宋体"/>
                <w:color w:val="auto"/>
              </w:rPr>
            </w:pPr>
            <w:r>
              <w:rPr>
                <w:rFonts w:ascii="宋体" w:hAnsi="宋体"/>
                <w:color w:val="auto"/>
              </w:rPr>
              <w:t>4</w:t>
            </w:r>
          </w:p>
        </w:tc>
        <w:tc>
          <w:tcPr>
            <w:tcW w:w="897" w:type="pct"/>
            <w:tcMar>
              <w:top w:w="20" w:type="dxa"/>
              <w:bottom w:w="20" w:type="dxa"/>
            </w:tcMar>
            <w:vAlign w:val="center"/>
          </w:tcPr>
          <w:p w14:paraId="68A01551">
            <w:pPr>
              <w:pStyle w:val="51"/>
              <w:rPr>
                <w:rFonts w:hint="eastAsia" w:ascii="宋体" w:hAnsi="宋体"/>
                <w:color w:val="auto"/>
              </w:rPr>
            </w:pPr>
            <w:r>
              <w:rPr>
                <w:rFonts w:ascii="宋体" w:hAnsi="宋体"/>
                <w:color w:val="auto"/>
              </w:rPr>
              <w:t>2</w:t>
            </w:r>
          </w:p>
        </w:tc>
        <w:tc>
          <w:tcPr>
            <w:tcW w:w="897" w:type="pct"/>
            <w:tcMar>
              <w:top w:w="20" w:type="dxa"/>
              <w:bottom w:w="20" w:type="dxa"/>
            </w:tcMar>
            <w:vAlign w:val="center"/>
          </w:tcPr>
          <w:p w14:paraId="605EB245">
            <w:pPr>
              <w:pStyle w:val="51"/>
              <w:rPr>
                <w:rFonts w:hint="eastAsia" w:ascii="宋体" w:hAnsi="宋体"/>
                <w:color w:val="auto"/>
              </w:rPr>
            </w:pPr>
            <w:r>
              <w:rPr>
                <w:rFonts w:ascii="宋体" w:hAnsi="宋体"/>
                <w:color w:val="auto"/>
              </w:rPr>
              <w:t>2</w:t>
            </w:r>
          </w:p>
        </w:tc>
      </w:tr>
      <w:tr w14:paraId="099D5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47237512">
            <w:pPr>
              <w:pStyle w:val="51"/>
              <w:rPr>
                <w:rFonts w:hint="eastAsia" w:ascii="宋体" w:hAnsi="宋体"/>
                <w:color w:val="auto"/>
              </w:rPr>
            </w:pPr>
            <w:r>
              <w:rPr>
                <w:rFonts w:hint="eastAsia" w:ascii="宋体" w:hAnsi="宋体"/>
                <w:color w:val="auto"/>
              </w:rPr>
              <w:t>装饰工</w:t>
            </w:r>
          </w:p>
        </w:tc>
        <w:tc>
          <w:tcPr>
            <w:tcW w:w="852" w:type="pct"/>
            <w:vAlign w:val="center"/>
          </w:tcPr>
          <w:p w14:paraId="364F1911">
            <w:pPr>
              <w:pStyle w:val="51"/>
              <w:rPr>
                <w:rFonts w:hint="eastAsia" w:ascii="宋体" w:hAnsi="宋体"/>
                <w:color w:val="auto"/>
              </w:rPr>
            </w:pPr>
            <w:r>
              <w:rPr>
                <w:rFonts w:ascii="宋体" w:hAnsi="宋体"/>
                <w:color w:val="auto"/>
              </w:rPr>
              <w:t>0</w:t>
            </w:r>
          </w:p>
        </w:tc>
        <w:tc>
          <w:tcPr>
            <w:tcW w:w="897" w:type="pct"/>
            <w:vAlign w:val="center"/>
          </w:tcPr>
          <w:p w14:paraId="13817FBD">
            <w:pPr>
              <w:pStyle w:val="51"/>
              <w:rPr>
                <w:rFonts w:hint="eastAsia" w:ascii="宋体" w:hAnsi="宋体"/>
                <w:color w:val="auto"/>
              </w:rPr>
            </w:pPr>
            <w:r>
              <w:rPr>
                <w:rFonts w:ascii="宋体" w:hAnsi="宋体"/>
                <w:color w:val="auto"/>
              </w:rPr>
              <w:t>0</w:t>
            </w:r>
          </w:p>
        </w:tc>
        <w:tc>
          <w:tcPr>
            <w:tcW w:w="897" w:type="pct"/>
            <w:vAlign w:val="center"/>
          </w:tcPr>
          <w:p w14:paraId="6A0E31FA">
            <w:pPr>
              <w:pStyle w:val="51"/>
              <w:rPr>
                <w:rFonts w:hint="eastAsia" w:ascii="宋体" w:hAnsi="宋体"/>
                <w:color w:val="auto"/>
              </w:rPr>
            </w:pPr>
            <w:r>
              <w:rPr>
                <w:rFonts w:ascii="宋体" w:hAnsi="宋体"/>
                <w:color w:val="auto"/>
              </w:rPr>
              <w:t>0</w:t>
            </w:r>
          </w:p>
        </w:tc>
        <w:tc>
          <w:tcPr>
            <w:tcW w:w="897" w:type="pct"/>
            <w:tcMar>
              <w:top w:w="20" w:type="dxa"/>
              <w:bottom w:w="20" w:type="dxa"/>
            </w:tcMar>
            <w:vAlign w:val="center"/>
          </w:tcPr>
          <w:p w14:paraId="3DA02620">
            <w:pPr>
              <w:pStyle w:val="51"/>
              <w:rPr>
                <w:rFonts w:hint="eastAsia" w:ascii="宋体" w:hAnsi="宋体"/>
                <w:color w:val="auto"/>
              </w:rPr>
            </w:pPr>
            <w:r>
              <w:rPr>
                <w:rFonts w:ascii="宋体" w:hAnsi="宋体"/>
                <w:color w:val="auto"/>
              </w:rPr>
              <w:t>120</w:t>
            </w:r>
          </w:p>
        </w:tc>
        <w:tc>
          <w:tcPr>
            <w:tcW w:w="897" w:type="pct"/>
            <w:tcMar>
              <w:top w:w="20" w:type="dxa"/>
              <w:bottom w:w="20" w:type="dxa"/>
            </w:tcMar>
            <w:vAlign w:val="center"/>
          </w:tcPr>
          <w:p w14:paraId="43E37F74">
            <w:pPr>
              <w:pStyle w:val="51"/>
              <w:rPr>
                <w:rFonts w:hint="eastAsia" w:ascii="宋体" w:hAnsi="宋体"/>
                <w:color w:val="auto"/>
              </w:rPr>
            </w:pPr>
            <w:r>
              <w:rPr>
                <w:rFonts w:ascii="宋体" w:hAnsi="宋体"/>
                <w:color w:val="auto"/>
              </w:rPr>
              <w:t>40</w:t>
            </w:r>
          </w:p>
        </w:tc>
      </w:tr>
      <w:tr w14:paraId="50F16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74743ED0">
            <w:pPr>
              <w:pStyle w:val="51"/>
              <w:rPr>
                <w:rFonts w:hint="eastAsia" w:ascii="宋体" w:hAnsi="宋体"/>
                <w:color w:val="auto"/>
              </w:rPr>
            </w:pPr>
            <w:r>
              <w:rPr>
                <w:rFonts w:hint="eastAsia" w:ascii="宋体" w:hAnsi="宋体"/>
                <w:color w:val="auto"/>
              </w:rPr>
              <w:t>机操工</w:t>
            </w:r>
          </w:p>
        </w:tc>
        <w:tc>
          <w:tcPr>
            <w:tcW w:w="852" w:type="pct"/>
            <w:vAlign w:val="center"/>
          </w:tcPr>
          <w:p w14:paraId="2A9A955E">
            <w:pPr>
              <w:pStyle w:val="51"/>
              <w:rPr>
                <w:rFonts w:hint="eastAsia" w:ascii="宋体" w:hAnsi="宋体"/>
                <w:color w:val="auto"/>
              </w:rPr>
            </w:pPr>
            <w:r>
              <w:rPr>
                <w:rFonts w:hint="eastAsia" w:ascii="宋体" w:hAnsi="宋体"/>
                <w:color w:val="auto"/>
              </w:rPr>
              <w:t>12</w:t>
            </w:r>
          </w:p>
        </w:tc>
        <w:tc>
          <w:tcPr>
            <w:tcW w:w="897" w:type="pct"/>
            <w:vAlign w:val="center"/>
          </w:tcPr>
          <w:p w14:paraId="07610EE5">
            <w:pPr>
              <w:pStyle w:val="51"/>
              <w:rPr>
                <w:rFonts w:hint="eastAsia" w:ascii="宋体" w:hAnsi="宋体"/>
                <w:color w:val="auto"/>
              </w:rPr>
            </w:pPr>
            <w:r>
              <w:rPr>
                <w:rFonts w:ascii="宋体" w:hAnsi="宋体"/>
                <w:color w:val="auto"/>
              </w:rPr>
              <w:t>8</w:t>
            </w:r>
          </w:p>
        </w:tc>
        <w:tc>
          <w:tcPr>
            <w:tcW w:w="897" w:type="pct"/>
            <w:vAlign w:val="center"/>
          </w:tcPr>
          <w:p w14:paraId="31850F34">
            <w:pPr>
              <w:pStyle w:val="51"/>
              <w:rPr>
                <w:rFonts w:hint="eastAsia" w:ascii="宋体" w:hAnsi="宋体"/>
                <w:color w:val="auto"/>
              </w:rPr>
            </w:pPr>
            <w:r>
              <w:rPr>
                <w:rFonts w:ascii="宋体" w:hAnsi="宋体"/>
                <w:color w:val="auto"/>
              </w:rPr>
              <w:t>20</w:t>
            </w:r>
          </w:p>
        </w:tc>
        <w:tc>
          <w:tcPr>
            <w:tcW w:w="897" w:type="pct"/>
            <w:tcMar>
              <w:top w:w="20" w:type="dxa"/>
              <w:bottom w:w="20" w:type="dxa"/>
            </w:tcMar>
            <w:vAlign w:val="center"/>
          </w:tcPr>
          <w:p w14:paraId="58A51794">
            <w:pPr>
              <w:pStyle w:val="51"/>
              <w:rPr>
                <w:rFonts w:hint="eastAsia" w:ascii="宋体" w:hAnsi="宋体"/>
                <w:color w:val="auto"/>
              </w:rPr>
            </w:pPr>
            <w:r>
              <w:rPr>
                <w:rFonts w:ascii="宋体" w:hAnsi="宋体"/>
                <w:color w:val="auto"/>
              </w:rPr>
              <w:t>20</w:t>
            </w:r>
          </w:p>
        </w:tc>
        <w:tc>
          <w:tcPr>
            <w:tcW w:w="897" w:type="pct"/>
            <w:tcMar>
              <w:top w:w="20" w:type="dxa"/>
              <w:bottom w:w="20" w:type="dxa"/>
            </w:tcMar>
            <w:vAlign w:val="center"/>
          </w:tcPr>
          <w:p w14:paraId="508672DD">
            <w:pPr>
              <w:pStyle w:val="51"/>
              <w:rPr>
                <w:rFonts w:hint="eastAsia" w:ascii="宋体" w:hAnsi="宋体"/>
                <w:color w:val="auto"/>
              </w:rPr>
            </w:pPr>
            <w:r>
              <w:rPr>
                <w:rFonts w:ascii="宋体" w:hAnsi="宋体"/>
                <w:color w:val="auto"/>
              </w:rPr>
              <w:t>10</w:t>
            </w:r>
          </w:p>
        </w:tc>
      </w:tr>
      <w:tr w14:paraId="2963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587929D9">
            <w:pPr>
              <w:pStyle w:val="51"/>
              <w:rPr>
                <w:rFonts w:hint="eastAsia" w:ascii="宋体" w:hAnsi="宋体"/>
                <w:color w:val="auto"/>
              </w:rPr>
            </w:pPr>
            <w:r>
              <w:rPr>
                <w:rFonts w:hint="eastAsia" w:ascii="宋体" w:hAnsi="宋体"/>
                <w:color w:val="auto"/>
              </w:rPr>
              <w:t>管工</w:t>
            </w:r>
          </w:p>
        </w:tc>
        <w:tc>
          <w:tcPr>
            <w:tcW w:w="852" w:type="pct"/>
            <w:vAlign w:val="center"/>
          </w:tcPr>
          <w:p w14:paraId="3B473CA1">
            <w:pPr>
              <w:pStyle w:val="51"/>
              <w:rPr>
                <w:rFonts w:hint="eastAsia" w:ascii="宋体" w:hAnsi="宋体"/>
                <w:color w:val="auto"/>
              </w:rPr>
            </w:pPr>
            <w:r>
              <w:rPr>
                <w:rFonts w:ascii="宋体" w:hAnsi="宋体"/>
                <w:color w:val="auto"/>
              </w:rPr>
              <w:t>0</w:t>
            </w:r>
          </w:p>
        </w:tc>
        <w:tc>
          <w:tcPr>
            <w:tcW w:w="897" w:type="pct"/>
            <w:vAlign w:val="center"/>
          </w:tcPr>
          <w:p w14:paraId="36EDBB50">
            <w:pPr>
              <w:pStyle w:val="51"/>
              <w:rPr>
                <w:rFonts w:hint="eastAsia" w:ascii="宋体" w:hAnsi="宋体"/>
                <w:color w:val="auto"/>
              </w:rPr>
            </w:pPr>
            <w:r>
              <w:rPr>
                <w:rFonts w:hint="eastAsia" w:ascii="宋体" w:hAnsi="宋体"/>
                <w:color w:val="auto"/>
              </w:rPr>
              <w:t>2</w:t>
            </w:r>
          </w:p>
        </w:tc>
        <w:tc>
          <w:tcPr>
            <w:tcW w:w="897" w:type="pct"/>
            <w:vAlign w:val="center"/>
          </w:tcPr>
          <w:p w14:paraId="5937C932">
            <w:pPr>
              <w:pStyle w:val="51"/>
              <w:rPr>
                <w:rFonts w:hint="eastAsia" w:ascii="宋体" w:hAnsi="宋体"/>
                <w:color w:val="auto"/>
              </w:rPr>
            </w:pPr>
            <w:r>
              <w:rPr>
                <w:rFonts w:ascii="宋体" w:hAnsi="宋体"/>
                <w:color w:val="auto"/>
              </w:rPr>
              <w:t>4</w:t>
            </w:r>
          </w:p>
        </w:tc>
        <w:tc>
          <w:tcPr>
            <w:tcW w:w="897" w:type="pct"/>
            <w:tcMar>
              <w:top w:w="20" w:type="dxa"/>
              <w:bottom w:w="20" w:type="dxa"/>
            </w:tcMar>
            <w:vAlign w:val="center"/>
          </w:tcPr>
          <w:p w14:paraId="4C2E7AE6">
            <w:pPr>
              <w:pStyle w:val="51"/>
              <w:rPr>
                <w:rFonts w:hint="eastAsia" w:ascii="宋体" w:hAnsi="宋体"/>
                <w:color w:val="auto"/>
              </w:rPr>
            </w:pPr>
            <w:r>
              <w:rPr>
                <w:rFonts w:ascii="宋体" w:hAnsi="宋体"/>
                <w:color w:val="auto"/>
              </w:rPr>
              <w:t>40</w:t>
            </w:r>
          </w:p>
        </w:tc>
        <w:tc>
          <w:tcPr>
            <w:tcW w:w="897" w:type="pct"/>
            <w:tcMar>
              <w:top w:w="20" w:type="dxa"/>
              <w:bottom w:w="20" w:type="dxa"/>
            </w:tcMar>
            <w:vAlign w:val="center"/>
          </w:tcPr>
          <w:p w14:paraId="2E2DAD6F">
            <w:pPr>
              <w:pStyle w:val="51"/>
              <w:rPr>
                <w:rFonts w:hint="eastAsia" w:ascii="宋体" w:hAnsi="宋体"/>
                <w:color w:val="auto"/>
              </w:rPr>
            </w:pPr>
            <w:r>
              <w:rPr>
                <w:rFonts w:ascii="宋体" w:hAnsi="宋体"/>
                <w:color w:val="auto"/>
              </w:rPr>
              <w:t>8</w:t>
            </w:r>
          </w:p>
        </w:tc>
      </w:tr>
      <w:tr w14:paraId="4459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6381D586">
            <w:pPr>
              <w:pStyle w:val="51"/>
              <w:rPr>
                <w:rFonts w:hint="eastAsia" w:ascii="宋体" w:hAnsi="宋体"/>
                <w:color w:val="auto"/>
              </w:rPr>
            </w:pPr>
            <w:r>
              <w:rPr>
                <w:rFonts w:hint="eastAsia" w:ascii="宋体" w:hAnsi="宋体"/>
                <w:color w:val="auto"/>
              </w:rPr>
              <w:t>电工</w:t>
            </w:r>
          </w:p>
        </w:tc>
        <w:tc>
          <w:tcPr>
            <w:tcW w:w="852" w:type="pct"/>
            <w:vAlign w:val="center"/>
          </w:tcPr>
          <w:p w14:paraId="06E94FBF">
            <w:pPr>
              <w:pStyle w:val="51"/>
              <w:rPr>
                <w:rFonts w:hint="eastAsia" w:ascii="宋体" w:hAnsi="宋体"/>
                <w:color w:val="auto"/>
              </w:rPr>
            </w:pPr>
            <w:r>
              <w:rPr>
                <w:rFonts w:hint="eastAsia" w:ascii="宋体" w:hAnsi="宋体"/>
                <w:color w:val="auto"/>
              </w:rPr>
              <w:t>2</w:t>
            </w:r>
          </w:p>
        </w:tc>
        <w:tc>
          <w:tcPr>
            <w:tcW w:w="897" w:type="pct"/>
            <w:vAlign w:val="center"/>
          </w:tcPr>
          <w:p w14:paraId="3FA5129A">
            <w:pPr>
              <w:pStyle w:val="51"/>
              <w:rPr>
                <w:rFonts w:hint="eastAsia" w:ascii="宋体" w:hAnsi="宋体"/>
                <w:color w:val="auto"/>
              </w:rPr>
            </w:pPr>
            <w:r>
              <w:rPr>
                <w:rFonts w:ascii="宋体" w:hAnsi="宋体"/>
                <w:color w:val="auto"/>
              </w:rPr>
              <w:t>2</w:t>
            </w:r>
          </w:p>
        </w:tc>
        <w:tc>
          <w:tcPr>
            <w:tcW w:w="897" w:type="pct"/>
            <w:vAlign w:val="center"/>
          </w:tcPr>
          <w:p w14:paraId="3AC76AF9">
            <w:pPr>
              <w:pStyle w:val="51"/>
              <w:rPr>
                <w:rFonts w:hint="eastAsia" w:ascii="宋体" w:hAnsi="宋体"/>
                <w:color w:val="auto"/>
              </w:rPr>
            </w:pPr>
            <w:r>
              <w:rPr>
                <w:rFonts w:ascii="宋体" w:hAnsi="宋体"/>
                <w:color w:val="auto"/>
              </w:rPr>
              <w:t>4</w:t>
            </w:r>
          </w:p>
        </w:tc>
        <w:tc>
          <w:tcPr>
            <w:tcW w:w="897" w:type="pct"/>
            <w:tcMar>
              <w:top w:w="20" w:type="dxa"/>
              <w:bottom w:w="20" w:type="dxa"/>
            </w:tcMar>
            <w:vAlign w:val="center"/>
          </w:tcPr>
          <w:p w14:paraId="0F5FA1CF">
            <w:pPr>
              <w:pStyle w:val="51"/>
              <w:rPr>
                <w:rFonts w:hint="eastAsia" w:ascii="宋体" w:hAnsi="宋体"/>
                <w:color w:val="auto"/>
              </w:rPr>
            </w:pPr>
            <w:r>
              <w:rPr>
                <w:rFonts w:ascii="宋体" w:hAnsi="宋体"/>
                <w:color w:val="auto"/>
              </w:rPr>
              <w:t>6</w:t>
            </w:r>
          </w:p>
        </w:tc>
        <w:tc>
          <w:tcPr>
            <w:tcW w:w="897" w:type="pct"/>
            <w:tcMar>
              <w:top w:w="20" w:type="dxa"/>
              <w:bottom w:w="20" w:type="dxa"/>
            </w:tcMar>
            <w:vAlign w:val="center"/>
          </w:tcPr>
          <w:p w14:paraId="62CF4363">
            <w:pPr>
              <w:pStyle w:val="51"/>
              <w:rPr>
                <w:rFonts w:hint="eastAsia" w:ascii="宋体" w:hAnsi="宋体"/>
                <w:color w:val="auto"/>
              </w:rPr>
            </w:pPr>
            <w:r>
              <w:rPr>
                <w:rFonts w:ascii="宋体" w:hAnsi="宋体"/>
                <w:color w:val="auto"/>
              </w:rPr>
              <w:t>2</w:t>
            </w:r>
          </w:p>
        </w:tc>
      </w:tr>
      <w:tr w14:paraId="6E32C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268F1CB3">
            <w:pPr>
              <w:pStyle w:val="51"/>
              <w:rPr>
                <w:rFonts w:hint="eastAsia" w:ascii="宋体" w:hAnsi="宋体"/>
                <w:color w:val="auto"/>
              </w:rPr>
            </w:pPr>
            <w:r>
              <w:rPr>
                <w:rFonts w:hint="eastAsia" w:ascii="宋体" w:hAnsi="宋体"/>
                <w:color w:val="auto"/>
              </w:rPr>
              <w:t>焊工</w:t>
            </w:r>
          </w:p>
        </w:tc>
        <w:tc>
          <w:tcPr>
            <w:tcW w:w="852" w:type="pct"/>
            <w:vAlign w:val="center"/>
          </w:tcPr>
          <w:p w14:paraId="5B4CC515">
            <w:pPr>
              <w:pStyle w:val="51"/>
              <w:rPr>
                <w:rFonts w:hint="eastAsia" w:ascii="宋体" w:hAnsi="宋体"/>
                <w:color w:val="auto"/>
              </w:rPr>
            </w:pPr>
            <w:r>
              <w:rPr>
                <w:rFonts w:hint="eastAsia" w:ascii="宋体" w:hAnsi="宋体"/>
                <w:color w:val="auto"/>
              </w:rPr>
              <w:t>8</w:t>
            </w:r>
          </w:p>
        </w:tc>
        <w:tc>
          <w:tcPr>
            <w:tcW w:w="897" w:type="pct"/>
            <w:vAlign w:val="center"/>
          </w:tcPr>
          <w:p w14:paraId="2B31B077">
            <w:pPr>
              <w:pStyle w:val="51"/>
              <w:rPr>
                <w:rFonts w:hint="eastAsia" w:ascii="宋体" w:hAnsi="宋体"/>
                <w:color w:val="auto"/>
              </w:rPr>
            </w:pPr>
            <w:r>
              <w:rPr>
                <w:rFonts w:ascii="宋体" w:hAnsi="宋体"/>
                <w:color w:val="auto"/>
              </w:rPr>
              <w:t>15</w:t>
            </w:r>
          </w:p>
        </w:tc>
        <w:tc>
          <w:tcPr>
            <w:tcW w:w="897" w:type="pct"/>
            <w:vAlign w:val="center"/>
          </w:tcPr>
          <w:p w14:paraId="2C4B860C">
            <w:pPr>
              <w:pStyle w:val="51"/>
              <w:rPr>
                <w:rFonts w:hint="eastAsia" w:ascii="宋体" w:hAnsi="宋体"/>
                <w:color w:val="auto"/>
              </w:rPr>
            </w:pPr>
            <w:r>
              <w:rPr>
                <w:rFonts w:ascii="宋体" w:hAnsi="宋体"/>
                <w:color w:val="auto"/>
              </w:rPr>
              <w:t>15</w:t>
            </w:r>
          </w:p>
        </w:tc>
        <w:tc>
          <w:tcPr>
            <w:tcW w:w="897" w:type="pct"/>
            <w:tcMar>
              <w:top w:w="20" w:type="dxa"/>
              <w:bottom w:w="20" w:type="dxa"/>
            </w:tcMar>
            <w:vAlign w:val="center"/>
          </w:tcPr>
          <w:p w14:paraId="68623267">
            <w:pPr>
              <w:pStyle w:val="51"/>
              <w:rPr>
                <w:rFonts w:hint="eastAsia" w:ascii="宋体" w:hAnsi="宋体"/>
                <w:color w:val="auto"/>
              </w:rPr>
            </w:pPr>
            <w:r>
              <w:rPr>
                <w:rFonts w:ascii="宋体" w:hAnsi="宋体"/>
                <w:color w:val="auto"/>
              </w:rPr>
              <w:t>10</w:t>
            </w:r>
          </w:p>
        </w:tc>
        <w:tc>
          <w:tcPr>
            <w:tcW w:w="897" w:type="pct"/>
            <w:tcMar>
              <w:top w:w="20" w:type="dxa"/>
              <w:bottom w:w="20" w:type="dxa"/>
            </w:tcMar>
            <w:vAlign w:val="center"/>
          </w:tcPr>
          <w:p w14:paraId="1A349487">
            <w:pPr>
              <w:pStyle w:val="51"/>
              <w:rPr>
                <w:rFonts w:hint="eastAsia" w:ascii="宋体" w:hAnsi="宋体"/>
                <w:color w:val="auto"/>
              </w:rPr>
            </w:pPr>
            <w:r>
              <w:rPr>
                <w:rFonts w:ascii="宋体" w:hAnsi="宋体"/>
                <w:color w:val="auto"/>
              </w:rPr>
              <w:t>4</w:t>
            </w:r>
          </w:p>
        </w:tc>
      </w:tr>
      <w:tr w14:paraId="43BD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2C786D26">
            <w:pPr>
              <w:pStyle w:val="51"/>
              <w:rPr>
                <w:rFonts w:hint="eastAsia" w:ascii="宋体" w:hAnsi="宋体"/>
                <w:color w:val="auto"/>
              </w:rPr>
            </w:pPr>
            <w:r>
              <w:rPr>
                <w:rFonts w:hint="eastAsia" w:ascii="宋体" w:hAnsi="宋体"/>
                <w:color w:val="auto"/>
              </w:rPr>
              <w:t>普工</w:t>
            </w:r>
          </w:p>
        </w:tc>
        <w:tc>
          <w:tcPr>
            <w:tcW w:w="852" w:type="pct"/>
            <w:tcBorders>
              <w:bottom w:val="single" w:color="auto" w:sz="4" w:space="0"/>
            </w:tcBorders>
            <w:vAlign w:val="center"/>
          </w:tcPr>
          <w:p w14:paraId="230025FF">
            <w:pPr>
              <w:pStyle w:val="51"/>
              <w:rPr>
                <w:rFonts w:hint="eastAsia" w:ascii="宋体" w:hAnsi="宋体"/>
                <w:color w:val="auto"/>
              </w:rPr>
            </w:pPr>
            <w:r>
              <w:rPr>
                <w:rFonts w:hint="eastAsia" w:ascii="宋体" w:hAnsi="宋体"/>
                <w:color w:val="auto"/>
              </w:rPr>
              <w:t>20</w:t>
            </w:r>
          </w:p>
        </w:tc>
        <w:tc>
          <w:tcPr>
            <w:tcW w:w="897" w:type="pct"/>
            <w:tcBorders>
              <w:bottom w:val="single" w:color="auto" w:sz="4" w:space="0"/>
            </w:tcBorders>
            <w:vAlign w:val="center"/>
          </w:tcPr>
          <w:p w14:paraId="57BE5D49">
            <w:pPr>
              <w:pStyle w:val="51"/>
              <w:rPr>
                <w:rFonts w:hint="eastAsia" w:ascii="宋体" w:hAnsi="宋体"/>
                <w:color w:val="auto"/>
              </w:rPr>
            </w:pPr>
            <w:r>
              <w:rPr>
                <w:rFonts w:ascii="宋体" w:hAnsi="宋体"/>
                <w:color w:val="auto"/>
              </w:rPr>
              <w:t>30</w:t>
            </w:r>
          </w:p>
        </w:tc>
        <w:tc>
          <w:tcPr>
            <w:tcW w:w="897" w:type="pct"/>
            <w:tcBorders>
              <w:bottom w:val="single" w:color="auto" w:sz="4" w:space="0"/>
            </w:tcBorders>
            <w:vAlign w:val="center"/>
          </w:tcPr>
          <w:p w14:paraId="3D0D9575">
            <w:pPr>
              <w:pStyle w:val="51"/>
              <w:rPr>
                <w:rFonts w:hint="eastAsia" w:ascii="宋体" w:hAnsi="宋体"/>
                <w:color w:val="auto"/>
              </w:rPr>
            </w:pPr>
            <w:r>
              <w:rPr>
                <w:rFonts w:ascii="宋体" w:hAnsi="宋体"/>
                <w:color w:val="auto"/>
              </w:rPr>
              <w:t>30</w:t>
            </w:r>
          </w:p>
        </w:tc>
        <w:tc>
          <w:tcPr>
            <w:tcW w:w="897" w:type="pct"/>
            <w:tcBorders>
              <w:bottom w:val="single" w:color="auto" w:sz="4" w:space="0"/>
            </w:tcBorders>
            <w:tcMar>
              <w:top w:w="20" w:type="dxa"/>
              <w:bottom w:w="20" w:type="dxa"/>
            </w:tcMar>
            <w:vAlign w:val="center"/>
          </w:tcPr>
          <w:p w14:paraId="4D2B7E79">
            <w:pPr>
              <w:pStyle w:val="51"/>
              <w:rPr>
                <w:rFonts w:hint="eastAsia" w:ascii="宋体" w:hAnsi="宋体"/>
                <w:color w:val="auto"/>
              </w:rPr>
            </w:pPr>
            <w:r>
              <w:rPr>
                <w:rFonts w:ascii="宋体" w:hAnsi="宋体"/>
                <w:color w:val="auto"/>
              </w:rPr>
              <w:t>30</w:t>
            </w:r>
          </w:p>
        </w:tc>
        <w:tc>
          <w:tcPr>
            <w:tcW w:w="897" w:type="pct"/>
            <w:tcBorders>
              <w:bottom w:val="single" w:color="auto" w:sz="4" w:space="0"/>
            </w:tcBorders>
            <w:tcMar>
              <w:top w:w="20" w:type="dxa"/>
              <w:bottom w:w="20" w:type="dxa"/>
            </w:tcMar>
            <w:vAlign w:val="center"/>
          </w:tcPr>
          <w:p w14:paraId="189FC10D">
            <w:pPr>
              <w:pStyle w:val="51"/>
              <w:rPr>
                <w:rFonts w:hint="eastAsia" w:ascii="宋体" w:hAnsi="宋体"/>
                <w:color w:val="auto"/>
              </w:rPr>
            </w:pPr>
            <w:r>
              <w:rPr>
                <w:rFonts w:ascii="宋体" w:hAnsi="宋体"/>
                <w:color w:val="auto"/>
              </w:rPr>
              <w:t>20</w:t>
            </w:r>
          </w:p>
        </w:tc>
      </w:tr>
      <w:tr w14:paraId="5652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59" w:type="pct"/>
            <w:vAlign w:val="center"/>
          </w:tcPr>
          <w:p w14:paraId="61CB2F23">
            <w:pPr>
              <w:pStyle w:val="51"/>
              <w:rPr>
                <w:rFonts w:hint="eastAsia" w:ascii="宋体" w:hAnsi="宋体"/>
                <w:color w:val="auto"/>
              </w:rPr>
            </w:pPr>
            <w:r>
              <w:rPr>
                <w:rFonts w:hint="eastAsia" w:ascii="宋体" w:hAnsi="宋体"/>
                <w:color w:val="auto"/>
              </w:rPr>
              <w:t>合计</w:t>
            </w:r>
          </w:p>
        </w:tc>
        <w:tc>
          <w:tcPr>
            <w:tcW w:w="852" w:type="pct"/>
            <w:tcBorders>
              <w:top w:val="single" w:color="auto" w:sz="4" w:space="0"/>
              <w:left w:val="nil"/>
              <w:bottom w:val="single" w:color="auto" w:sz="4" w:space="0"/>
              <w:right w:val="single" w:color="auto" w:sz="4" w:space="0"/>
            </w:tcBorders>
            <w:vAlign w:val="bottom"/>
          </w:tcPr>
          <w:p w14:paraId="4ADC428E">
            <w:pPr>
              <w:pStyle w:val="51"/>
              <w:rPr>
                <w:rFonts w:hint="eastAsia" w:ascii="宋体" w:hAnsi="宋体"/>
                <w:color w:val="auto"/>
              </w:rPr>
            </w:pPr>
            <w:r>
              <w:rPr>
                <w:rFonts w:hint="eastAsia" w:ascii="宋体" w:hAnsi="宋体"/>
                <w:color w:val="auto"/>
              </w:rPr>
              <w:t>59</w:t>
            </w:r>
          </w:p>
        </w:tc>
        <w:tc>
          <w:tcPr>
            <w:tcW w:w="897" w:type="pct"/>
            <w:tcBorders>
              <w:top w:val="single" w:color="auto" w:sz="4" w:space="0"/>
              <w:left w:val="single" w:color="auto" w:sz="4" w:space="0"/>
              <w:bottom w:val="single" w:color="auto" w:sz="4" w:space="0"/>
              <w:right w:val="single" w:color="auto" w:sz="4" w:space="0"/>
            </w:tcBorders>
            <w:vAlign w:val="bottom"/>
          </w:tcPr>
          <w:p w14:paraId="7EF2308D">
            <w:pPr>
              <w:pStyle w:val="51"/>
              <w:rPr>
                <w:rFonts w:hint="eastAsia" w:ascii="宋体" w:hAnsi="宋体"/>
                <w:color w:val="auto"/>
              </w:rPr>
            </w:pPr>
            <w:r>
              <w:rPr>
                <w:rFonts w:hint="eastAsia" w:ascii="宋体" w:hAnsi="宋体"/>
                <w:color w:val="auto"/>
              </w:rPr>
              <w:t>334</w:t>
            </w:r>
          </w:p>
        </w:tc>
        <w:tc>
          <w:tcPr>
            <w:tcW w:w="897" w:type="pct"/>
            <w:tcBorders>
              <w:top w:val="single" w:color="auto" w:sz="4" w:space="0"/>
              <w:left w:val="single" w:color="auto" w:sz="4" w:space="0"/>
              <w:bottom w:val="single" w:color="auto" w:sz="4" w:space="0"/>
              <w:right w:val="single" w:color="auto" w:sz="4" w:space="0"/>
            </w:tcBorders>
            <w:vAlign w:val="bottom"/>
          </w:tcPr>
          <w:p w14:paraId="2C3D91CD">
            <w:pPr>
              <w:pStyle w:val="51"/>
              <w:rPr>
                <w:rFonts w:hint="eastAsia" w:ascii="宋体" w:hAnsi="宋体"/>
                <w:color w:val="auto"/>
              </w:rPr>
            </w:pPr>
            <w:r>
              <w:rPr>
                <w:rFonts w:hint="eastAsia" w:ascii="宋体" w:hAnsi="宋体"/>
                <w:color w:val="auto"/>
              </w:rPr>
              <w:t>5</w:t>
            </w:r>
            <w:r>
              <w:rPr>
                <w:rFonts w:ascii="宋体" w:hAnsi="宋体"/>
                <w:color w:val="auto"/>
              </w:rPr>
              <w:t>0</w:t>
            </w:r>
            <w:r>
              <w:rPr>
                <w:rFonts w:hint="eastAsia" w:ascii="宋体" w:hAnsi="宋体"/>
                <w:color w:val="auto"/>
              </w:rPr>
              <w:t>7</w:t>
            </w:r>
          </w:p>
        </w:tc>
        <w:tc>
          <w:tcPr>
            <w:tcW w:w="897" w:type="pct"/>
            <w:tcBorders>
              <w:top w:val="single" w:color="auto" w:sz="4" w:space="0"/>
              <w:left w:val="single" w:color="auto" w:sz="4" w:space="0"/>
              <w:bottom w:val="single" w:color="auto" w:sz="4" w:space="0"/>
              <w:right w:val="single" w:color="auto" w:sz="4" w:space="0"/>
            </w:tcBorders>
            <w:tcMar>
              <w:top w:w="20" w:type="dxa"/>
              <w:bottom w:w="20" w:type="dxa"/>
            </w:tcMar>
            <w:vAlign w:val="bottom"/>
          </w:tcPr>
          <w:p w14:paraId="510F339F">
            <w:pPr>
              <w:pStyle w:val="51"/>
              <w:rPr>
                <w:rFonts w:hint="eastAsia" w:ascii="宋体" w:hAnsi="宋体"/>
                <w:color w:val="auto"/>
              </w:rPr>
            </w:pPr>
            <w:r>
              <w:rPr>
                <w:rFonts w:hint="eastAsia" w:ascii="宋体" w:hAnsi="宋体"/>
                <w:color w:val="auto"/>
              </w:rPr>
              <w:t>396</w:t>
            </w:r>
          </w:p>
        </w:tc>
        <w:tc>
          <w:tcPr>
            <w:tcW w:w="897" w:type="pct"/>
            <w:tcBorders>
              <w:top w:val="single" w:color="auto" w:sz="4" w:space="0"/>
              <w:left w:val="single" w:color="auto" w:sz="4" w:space="0"/>
              <w:bottom w:val="single" w:color="auto" w:sz="4" w:space="0"/>
              <w:right w:val="single" w:color="auto" w:sz="4" w:space="0"/>
            </w:tcBorders>
            <w:tcMar>
              <w:top w:w="20" w:type="dxa"/>
              <w:bottom w:w="20" w:type="dxa"/>
            </w:tcMar>
            <w:vAlign w:val="bottom"/>
          </w:tcPr>
          <w:p w14:paraId="4F3C45E9">
            <w:pPr>
              <w:pStyle w:val="51"/>
              <w:rPr>
                <w:rFonts w:hint="eastAsia" w:ascii="宋体" w:hAnsi="宋体"/>
                <w:color w:val="auto"/>
              </w:rPr>
            </w:pPr>
            <w:r>
              <w:rPr>
                <w:rFonts w:hint="eastAsia" w:ascii="宋体" w:hAnsi="宋体"/>
                <w:color w:val="auto"/>
              </w:rPr>
              <w:t>113</w:t>
            </w:r>
          </w:p>
        </w:tc>
      </w:tr>
    </w:tbl>
    <w:p w14:paraId="415F1888">
      <w:pPr>
        <w:pStyle w:val="6"/>
        <w:numPr>
          <w:ilvl w:val="3"/>
          <w:numId w:val="7"/>
        </w:numPr>
        <w:ind w:firstLine="480"/>
        <w:rPr>
          <w:color w:val="auto"/>
        </w:rPr>
      </w:pPr>
      <w:r>
        <w:rPr>
          <w:rFonts w:hint="eastAsia"/>
          <w:color w:val="auto"/>
        </w:rPr>
        <w:t>材料需用量计划</w:t>
      </w:r>
    </w:p>
    <w:p w14:paraId="783CF172">
      <w:pPr>
        <w:rPr>
          <w:color w:val="auto"/>
        </w:rPr>
      </w:pPr>
      <w:r>
        <w:rPr>
          <w:rFonts w:hint="eastAsia"/>
          <w:color w:val="auto"/>
        </w:rPr>
        <w:t>1、主要材料进场计划</w:t>
      </w:r>
    </w:p>
    <w:p w14:paraId="55078CA9">
      <w:pPr>
        <w:rPr>
          <w:color w:val="auto"/>
        </w:rPr>
      </w:pPr>
      <w:r>
        <w:rPr>
          <w:rFonts w:hint="eastAsia"/>
          <w:color w:val="auto"/>
        </w:rPr>
        <w:t>现场材料组织根据施工进度计划及材料总体进场时间计划及时制定月、周、天材料需用计划，然后按照招标文件及合同条款约定、设计要求和标准规范要求进行采购，从质量上严格把关，必要时通过业主及有关部门审批。</w:t>
      </w:r>
    </w:p>
    <w:p w14:paraId="1DAC1F1D">
      <w:pPr>
        <w:rPr>
          <w:color w:val="auto"/>
        </w:rPr>
      </w:pPr>
      <w:r>
        <w:rPr>
          <w:rFonts w:hint="eastAsia"/>
          <w:color w:val="auto"/>
        </w:rPr>
        <w:t>原材料质量是工程总体质量的实现前提，大宗材料在采购前需先进行考察，选择信誉好、质量高、货源充足的厂家，然后向业主、监理单位申报并经审核程序确认。使用前须经业主、监理单位现场代表签字认可，进场的材料均需提供材料的质量保证书，并在现场进行见证取样送检测中心，试验合格后才能用于工程施工，不合格品将立即退货。</w:t>
      </w:r>
    </w:p>
    <w:p w14:paraId="6F326EB4">
      <w:pPr>
        <w:pStyle w:val="54"/>
        <w:rPr>
          <w:color w:val="auto"/>
        </w:rPr>
      </w:pPr>
      <w:r>
        <w:rPr>
          <w:rFonts w:hint="eastAsia"/>
          <w:color w:val="auto"/>
        </w:rPr>
        <w:t>项目需用物资统计表</w:t>
      </w:r>
    </w:p>
    <w:tbl>
      <w:tblPr>
        <w:tblStyle w:val="29"/>
        <w:tblW w:w="5000" w:type="pct"/>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1344"/>
        <w:gridCol w:w="1800"/>
        <w:gridCol w:w="1055"/>
        <w:gridCol w:w="1124"/>
        <w:gridCol w:w="2454"/>
        <w:gridCol w:w="1283"/>
      </w:tblGrid>
      <w:tr w14:paraId="6A33F7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7CCDE10E">
            <w:pPr>
              <w:pStyle w:val="45"/>
              <w:rPr>
                <w:rFonts w:hint="eastAsia"/>
                <w:color w:val="auto"/>
              </w:rPr>
            </w:pPr>
            <w:r>
              <w:rPr>
                <w:rFonts w:hint="eastAsia"/>
                <w:color w:val="auto"/>
              </w:rPr>
              <w:t>物资名称</w:t>
            </w:r>
          </w:p>
        </w:tc>
        <w:tc>
          <w:tcPr>
            <w:tcW w:w="993" w:type="pct"/>
            <w:vAlign w:val="center"/>
          </w:tcPr>
          <w:p w14:paraId="013FC50F">
            <w:pPr>
              <w:pStyle w:val="45"/>
              <w:rPr>
                <w:rFonts w:hint="eastAsia"/>
                <w:color w:val="auto"/>
              </w:rPr>
            </w:pPr>
            <w:r>
              <w:rPr>
                <w:rFonts w:hint="eastAsia"/>
                <w:color w:val="auto"/>
              </w:rPr>
              <w:t>规格</w:t>
            </w:r>
          </w:p>
        </w:tc>
        <w:tc>
          <w:tcPr>
            <w:tcW w:w="582" w:type="pct"/>
            <w:vAlign w:val="center"/>
          </w:tcPr>
          <w:p w14:paraId="06778461">
            <w:pPr>
              <w:pStyle w:val="45"/>
              <w:rPr>
                <w:rFonts w:hint="eastAsia"/>
                <w:color w:val="auto"/>
              </w:rPr>
            </w:pPr>
            <w:r>
              <w:rPr>
                <w:rFonts w:hint="eastAsia"/>
                <w:color w:val="auto"/>
              </w:rPr>
              <w:t>单位</w:t>
            </w:r>
          </w:p>
        </w:tc>
        <w:tc>
          <w:tcPr>
            <w:tcW w:w="620" w:type="pct"/>
            <w:vAlign w:val="center"/>
          </w:tcPr>
          <w:p w14:paraId="321E2BFF">
            <w:pPr>
              <w:pStyle w:val="45"/>
              <w:rPr>
                <w:rFonts w:hint="eastAsia"/>
                <w:color w:val="auto"/>
              </w:rPr>
            </w:pPr>
            <w:r>
              <w:rPr>
                <w:rFonts w:hint="eastAsia"/>
                <w:color w:val="auto"/>
              </w:rPr>
              <w:t>数量</w:t>
            </w:r>
          </w:p>
        </w:tc>
        <w:tc>
          <w:tcPr>
            <w:tcW w:w="1354" w:type="pct"/>
            <w:vAlign w:val="center"/>
          </w:tcPr>
          <w:p w14:paraId="4A8AA1CC">
            <w:pPr>
              <w:pStyle w:val="45"/>
              <w:rPr>
                <w:rFonts w:hint="eastAsia"/>
                <w:color w:val="auto"/>
              </w:rPr>
            </w:pPr>
            <w:r>
              <w:rPr>
                <w:rFonts w:hint="eastAsia"/>
                <w:color w:val="auto"/>
              </w:rPr>
              <w:t>质量要求</w:t>
            </w:r>
          </w:p>
        </w:tc>
        <w:tc>
          <w:tcPr>
            <w:tcW w:w="708" w:type="pct"/>
            <w:vAlign w:val="center"/>
          </w:tcPr>
          <w:p w14:paraId="436DE697">
            <w:pPr>
              <w:pStyle w:val="45"/>
              <w:rPr>
                <w:rFonts w:hint="eastAsia"/>
                <w:color w:val="auto"/>
              </w:rPr>
            </w:pPr>
            <w:r>
              <w:rPr>
                <w:rFonts w:hint="eastAsia"/>
                <w:color w:val="auto"/>
              </w:rPr>
              <w:t>备注</w:t>
            </w:r>
          </w:p>
        </w:tc>
      </w:tr>
      <w:tr w14:paraId="7B15FF4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66BD632C">
            <w:pPr>
              <w:pStyle w:val="45"/>
              <w:rPr>
                <w:rFonts w:hint="eastAsia"/>
                <w:color w:val="auto"/>
              </w:rPr>
            </w:pPr>
            <w:r>
              <w:rPr>
                <w:rFonts w:hint="eastAsia"/>
                <w:color w:val="auto"/>
              </w:rPr>
              <w:t>钢筋</w:t>
            </w:r>
          </w:p>
        </w:tc>
        <w:tc>
          <w:tcPr>
            <w:tcW w:w="993" w:type="pct"/>
            <w:vAlign w:val="center"/>
          </w:tcPr>
          <w:p w14:paraId="0A928D04">
            <w:pPr>
              <w:pStyle w:val="45"/>
              <w:rPr>
                <w:rFonts w:hint="eastAsia"/>
                <w:color w:val="auto"/>
              </w:rPr>
            </w:pPr>
            <w:r>
              <w:rPr>
                <w:rFonts w:hint="eastAsia"/>
                <w:color w:val="auto"/>
              </w:rPr>
              <w:t>6-32</w:t>
            </w:r>
          </w:p>
        </w:tc>
        <w:tc>
          <w:tcPr>
            <w:tcW w:w="582" w:type="pct"/>
            <w:vAlign w:val="center"/>
          </w:tcPr>
          <w:p w14:paraId="333899DC">
            <w:pPr>
              <w:pStyle w:val="45"/>
              <w:rPr>
                <w:rFonts w:hint="eastAsia"/>
                <w:color w:val="auto"/>
              </w:rPr>
            </w:pPr>
            <w:r>
              <w:rPr>
                <w:rFonts w:hint="eastAsia"/>
                <w:color w:val="auto"/>
              </w:rPr>
              <w:t>吨</w:t>
            </w:r>
          </w:p>
        </w:tc>
        <w:tc>
          <w:tcPr>
            <w:tcW w:w="620" w:type="pct"/>
            <w:vAlign w:val="center"/>
          </w:tcPr>
          <w:p w14:paraId="1D736ABC">
            <w:pPr>
              <w:pStyle w:val="45"/>
              <w:rPr>
                <w:rFonts w:hint="eastAsia"/>
                <w:color w:val="auto"/>
              </w:rPr>
            </w:pPr>
            <w:r>
              <w:rPr>
                <w:rFonts w:hint="eastAsia"/>
                <w:color w:val="auto"/>
              </w:rPr>
              <w:t>12000</w:t>
            </w:r>
          </w:p>
        </w:tc>
        <w:tc>
          <w:tcPr>
            <w:tcW w:w="1354" w:type="pct"/>
            <w:vAlign w:val="center"/>
          </w:tcPr>
          <w:p w14:paraId="6FD271A8">
            <w:pPr>
              <w:pStyle w:val="45"/>
              <w:rPr>
                <w:rFonts w:hint="eastAsia"/>
                <w:color w:val="auto"/>
              </w:rPr>
            </w:pPr>
            <w:r>
              <w:rPr>
                <w:rFonts w:hint="eastAsia"/>
                <w:color w:val="auto"/>
              </w:rPr>
              <w:t>GB/T701-2008</w:t>
            </w:r>
          </w:p>
          <w:p w14:paraId="775F1F2E">
            <w:pPr>
              <w:pStyle w:val="45"/>
              <w:rPr>
                <w:rFonts w:hint="eastAsia"/>
                <w:color w:val="auto"/>
              </w:rPr>
            </w:pPr>
            <w:r>
              <w:rPr>
                <w:rFonts w:hint="eastAsia"/>
                <w:color w:val="auto"/>
              </w:rPr>
              <w:t>GB/T1499.2-2007</w:t>
            </w:r>
          </w:p>
        </w:tc>
        <w:tc>
          <w:tcPr>
            <w:tcW w:w="708" w:type="pct"/>
            <w:vAlign w:val="center"/>
          </w:tcPr>
          <w:p w14:paraId="173C304F">
            <w:pPr>
              <w:pStyle w:val="45"/>
              <w:rPr>
                <w:rFonts w:hint="eastAsia"/>
                <w:color w:val="auto"/>
              </w:rPr>
            </w:pPr>
            <w:r>
              <w:rPr>
                <w:rFonts w:hint="eastAsia"/>
                <w:color w:val="auto"/>
              </w:rPr>
              <w:t>/</w:t>
            </w:r>
          </w:p>
        </w:tc>
      </w:tr>
      <w:tr w14:paraId="07680AA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15EED93A">
            <w:pPr>
              <w:pStyle w:val="45"/>
              <w:rPr>
                <w:rFonts w:hint="eastAsia"/>
                <w:color w:val="auto"/>
              </w:rPr>
            </w:pPr>
            <w:r>
              <w:rPr>
                <w:rFonts w:hint="eastAsia"/>
                <w:color w:val="auto"/>
              </w:rPr>
              <w:t>混凝土</w:t>
            </w:r>
          </w:p>
        </w:tc>
        <w:tc>
          <w:tcPr>
            <w:tcW w:w="993" w:type="pct"/>
            <w:vAlign w:val="center"/>
          </w:tcPr>
          <w:p w14:paraId="071053ED">
            <w:pPr>
              <w:pStyle w:val="45"/>
              <w:rPr>
                <w:rFonts w:hint="eastAsia"/>
                <w:color w:val="auto"/>
              </w:rPr>
            </w:pPr>
            <w:r>
              <w:rPr>
                <w:rFonts w:hint="eastAsia"/>
                <w:color w:val="auto"/>
              </w:rPr>
              <w:t>C15-C50</w:t>
            </w:r>
          </w:p>
        </w:tc>
        <w:tc>
          <w:tcPr>
            <w:tcW w:w="582" w:type="pct"/>
            <w:vAlign w:val="center"/>
          </w:tcPr>
          <w:p w14:paraId="18705403">
            <w:pPr>
              <w:pStyle w:val="45"/>
              <w:rPr>
                <w:rFonts w:hint="eastAsia"/>
                <w:color w:val="auto"/>
              </w:rPr>
            </w:pPr>
            <w:r>
              <w:rPr>
                <w:rFonts w:hint="eastAsia"/>
                <w:color w:val="auto"/>
              </w:rPr>
              <w:t>立方</w:t>
            </w:r>
          </w:p>
        </w:tc>
        <w:tc>
          <w:tcPr>
            <w:tcW w:w="620" w:type="pct"/>
            <w:vAlign w:val="center"/>
          </w:tcPr>
          <w:p w14:paraId="2853B150">
            <w:pPr>
              <w:pStyle w:val="45"/>
              <w:rPr>
                <w:rFonts w:hint="eastAsia"/>
                <w:color w:val="auto"/>
              </w:rPr>
            </w:pPr>
            <w:r>
              <w:rPr>
                <w:rFonts w:hint="eastAsia"/>
                <w:color w:val="auto"/>
              </w:rPr>
              <w:t>30000</w:t>
            </w:r>
          </w:p>
        </w:tc>
        <w:tc>
          <w:tcPr>
            <w:tcW w:w="1354" w:type="pct"/>
            <w:vAlign w:val="center"/>
          </w:tcPr>
          <w:p w14:paraId="2DC602B6">
            <w:pPr>
              <w:pStyle w:val="45"/>
              <w:rPr>
                <w:rFonts w:hint="eastAsia"/>
                <w:color w:val="auto"/>
              </w:rPr>
            </w:pPr>
            <w:r>
              <w:rPr>
                <w:rFonts w:hint="eastAsia"/>
                <w:color w:val="auto"/>
              </w:rPr>
              <w:t>GB/T1490</w:t>
            </w:r>
            <w:r>
              <w:rPr>
                <w:color w:val="auto"/>
              </w:rPr>
              <w:t>3</w:t>
            </w:r>
            <w:r>
              <w:rPr>
                <w:rFonts w:hint="eastAsia"/>
                <w:color w:val="auto"/>
              </w:rPr>
              <w:t>-20</w:t>
            </w:r>
            <w:r>
              <w:rPr>
                <w:color w:val="auto"/>
              </w:rPr>
              <w:t>12</w:t>
            </w:r>
          </w:p>
        </w:tc>
        <w:tc>
          <w:tcPr>
            <w:tcW w:w="708" w:type="pct"/>
            <w:vAlign w:val="center"/>
          </w:tcPr>
          <w:p w14:paraId="2062BFE2">
            <w:pPr>
              <w:pStyle w:val="45"/>
              <w:rPr>
                <w:rFonts w:hint="eastAsia"/>
                <w:color w:val="auto"/>
              </w:rPr>
            </w:pPr>
            <w:r>
              <w:rPr>
                <w:rFonts w:hint="eastAsia"/>
                <w:color w:val="auto"/>
              </w:rPr>
              <w:t>/</w:t>
            </w:r>
          </w:p>
        </w:tc>
      </w:tr>
      <w:tr w14:paraId="07012D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3D6E9D49">
            <w:pPr>
              <w:pStyle w:val="45"/>
              <w:rPr>
                <w:rFonts w:hint="eastAsia"/>
                <w:color w:val="auto"/>
              </w:rPr>
            </w:pPr>
            <w:r>
              <w:rPr>
                <w:rFonts w:hint="eastAsia"/>
                <w:color w:val="auto"/>
              </w:rPr>
              <w:t>钢管</w:t>
            </w:r>
          </w:p>
        </w:tc>
        <w:tc>
          <w:tcPr>
            <w:tcW w:w="993" w:type="pct"/>
            <w:vAlign w:val="center"/>
          </w:tcPr>
          <w:p w14:paraId="5794DED2">
            <w:pPr>
              <w:pStyle w:val="45"/>
              <w:rPr>
                <w:rFonts w:hint="eastAsia"/>
                <w:color w:val="auto"/>
              </w:rPr>
            </w:pPr>
            <w:r>
              <w:rPr>
                <w:rFonts w:hint="eastAsia"/>
                <w:color w:val="auto"/>
              </w:rPr>
              <w:t>48×2.75mm</w:t>
            </w:r>
          </w:p>
        </w:tc>
        <w:tc>
          <w:tcPr>
            <w:tcW w:w="582" w:type="pct"/>
            <w:vAlign w:val="center"/>
          </w:tcPr>
          <w:p w14:paraId="05350E50">
            <w:pPr>
              <w:pStyle w:val="45"/>
              <w:rPr>
                <w:rFonts w:hint="eastAsia"/>
                <w:color w:val="auto"/>
              </w:rPr>
            </w:pPr>
            <w:r>
              <w:rPr>
                <w:rFonts w:hint="eastAsia"/>
                <w:color w:val="auto"/>
              </w:rPr>
              <w:t>吨</w:t>
            </w:r>
          </w:p>
        </w:tc>
        <w:tc>
          <w:tcPr>
            <w:tcW w:w="620" w:type="pct"/>
            <w:vAlign w:val="center"/>
          </w:tcPr>
          <w:p w14:paraId="5F72B561">
            <w:pPr>
              <w:pStyle w:val="45"/>
              <w:rPr>
                <w:rFonts w:hint="eastAsia"/>
                <w:color w:val="auto"/>
              </w:rPr>
            </w:pPr>
            <w:r>
              <w:rPr>
                <w:rFonts w:hint="eastAsia"/>
                <w:color w:val="auto"/>
              </w:rPr>
              <w:t>9</w:t>
            </w:r>
            <w:r>
              <w:rPr>
                <w:color w:val="auto"/>
              </w:rPr>
              <w:t>00</w:t>
            </w:r>
          </w:p>
        </w:tc>
        <w:tc>
          <w:tcPr>
            <w:tcW w:w="1354" w:type="pct"/>
            <w:vAlign w:val="center"/>
          </w:tcPr>
          <w:p w14:paraId="4EA52B6B">
            <w:pPr>
              <w:pStyle w:val="45"/>
              <w:rPr>
                <w:rFonts w:hint="eastAsia"/>
                <w:color w:val="auto"/>
              </w:rPr>
            </w:pPr>
            <w:r>
              <w:rPr>
                <w:rFonts w:hint="eastAsia"/>
                <w:color w:val="auto"/>
              </w:rPr>
              <w:t>GB/T3091-2008</w:t>
            </w:r>
          </w:p>
        </w:tc>
        <w:tc>
          <w:tcPr>
            <w:tcW w:w="708" w:type="pct"/>
            <w:vAlign w:val="center"/>
          </w:tcPr>
          <w:p w14:paraId="317F9844">
            <w:pPr>
              <w:pStyle w:val="45"/>
              <w:rPr>
                <w:rFonts w:hint="eastAsia"/>
                <w:color w:val="auto"/>
              </w:rPr>
            </w:pPr>
            <w:r>
              <w:rPr>
                <w:rFonts w:hint="eastAsia"/>
                <w:color w:val="auto"/>
              </w:rPr>
              <w:t>/</w:t>
            </w:r>
          </w:p>
        </w:tc>
      </w:tr>
      <w:tr w14:paraId="6C2D190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534943DC">
            <w:pPr>
              <w:pStyle w:val="45"/>
              <w:rPr>
                <w:rFonts w:hint="eastAsia"/>
                <w:color w:val="auto"/>
              </w:rPr>
            </w:pPr>
            <w:r>
              <w:rPr>
                <w:rFonts w:hint="eastAsia"/>
                <w:color w:val="auto"/>
              </w:rPr>
              <w:t>扣件</w:t>
            </w:r>
          </w:p>
        </w:tc>
        <w:tc>
          <w:tcPr>
            <w:tcW w:w="993" w:type="pct"/>
            <w:vAlign w:val="center"/>
          </w:tcPr>
          <w:p w14:paraId="3CBD4130">
            <w:pPr>
              <w:pStyle w:val="45"/>
              <w:rPr>
                <w:rFonts w:hint="eastAsia"/>
                <w:color w:val="auto"/>
              </w:rPr>
            </w:pPr>
            <w:r>
              <w:rPr>
                <w:rFonts w:hint="eastAsia"/>
                <w:color w:val="auto"/>
              </w:rPr>
              <w:t>旋转、十字、对接</w:t>
            </w:r>
          </w:p>
        </w:tc>
        <w:tc>
          <w:tcPr>
            <w:tcW w:w="582" w:type="pct"/>
            <w:vAlign w:val="center"/>
          </w:tcPr>
          <w:p w14:paraId="437AA85A">
            <w:pPr>
              <w:pStyle w:val="45"/>
              <w:rPr>
                <w:rFonts w:hint="eastAsia"/>
                <w:color w:val="auto"/>
              </w:rPr>
            </w:pPr>
            <w:r>
              <w:rPr>
                <w:rFonts w:hint="eastAsia"/>
                <w:color w:val="auto"/>
              </w:rPr>
              <w:t>套</w:t>
            </w:r>
          </w:p>
        </w:tc>
        <w:tc>
          <w:tcPr>
            <w:tcW w:w="620" w:type="pct"/>
            <w:vAlign w:val="center"/>
          </w:tcPr>
          <w:p w14:paraId="53995D56">
            <w:pPr>
              <w:pStyle w:val="45"/>
              <w:rPr>
                <w:rFonts w:hint="eastAsia"/>
                <w:color w:val="auto"/>
              </w:rPr>
            </w:pPr>
            <w:r>
              <w:rPr>
                <w:rFonts w:hint="eastAsia"/>
                <w:color w:val="auto"/>
              </w:rPr>
              <w:t>1</w:t>
            </w:r>
            <w:r>
              <w:rPr>
                <w:color w:val="auto"/>
              </w:rPr>
              <w:t>80000</w:t>
            </w:r>
          </w:p>
        </w:tc>
        <w:tc>
          <w:tcPr>
            <w:tcW w:w="1354" w:type="pct"/>
            <w:vAlign w:val="center"/>
          </w:tcPr>
          <w:p w14:paraId="3D9E8183">
            <w:pPr>
              <w:pStyle w:val="45"/>
              <w:rPr>
                <w:rFonts w:hint="eastAsia"/>
                <w:color w:val="auto"/>
              </w:rPr>
            </w:pPr>
            <w:r>
              <w:rPr>
                <w:rFonts w:hint="eastAsia"/>
                <w:color w:val="auto"/>
              </w:rPr>
              <w:t>GB/T15831-2006</w:t>
            </w:r>
          </w:p>
        </w:tc>
        <w:tc>
          <w:tcPr>
            <w:tcW w:w="708" w:type="pct"/>
            <w:vAlign w:val="center"/>
          </w:tcPr>
          <w:p w14:paraId="04DB4D32">
            <w:pPr>
              <w:pStyle w:val="45"/>
              <w:rPr>
                <w:rFonts w:hint="eastAsia"/>
                <w:color w:val="auto"/>
              </w:rPr>
            </w:pPr>
            <w:r>
              <w:rPr>
                <w:rFonts w:hint="eastAsia"/>
                <w:color w:val="auto"/>
              </w:rPr>
              <w:t>/</w:t>
            </w:r>
          </w:p>
        </w:tc>
      </w:tr>
      <w:tr w14:paraId="5F3EC3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192625A5">
            <w:pPr>
              <w:pStyle w:val="45"/>
              <w:rPr>
                <w:rFonts w:hint="eastAsia"/>
                <w:color w:val="auto"/>
              </w:rPr>
            </w:pPr>
            <w:r>
              <w:rPr>
                <w:rFonts w:hint="eastAsia"/>
                <w:color w:val="auto"/>
              </w:rPr>
              <w:t>轮扣</w:t>
            </w:r>
          </w:p>
        </w:tc>
        <w:tc>
          <w:tcPr>
            <w:tcW w:w="993" w:type="pct"/>
            <w:vAlign w:val="center"/>
          </w:tcPr>
          <w:p w14:paraId="677EE768">
            <w:pPr>
              <w:pStyle w:val="45"/>
              <w:rPr>
                <w:rFonts w:hint="eastAsia"/>
                <w:color w:val="auto"/>
              </w:rPr>
            </w:pPr>
            <w:r>
              <w:rPr>
                <w:rFonts w:hint="eastAsia"/>
                <w:color w:val="auto"/>
              </w:rPr>
              <w:t>立杆：2.5,m、2.2m、1.9m、1.6m、1.3m、1m、0.7m</w:t>
            </w:r>
          </w:p>
          <w:p w14:paraId="0A807107">
            <w:pPr>
              <w:pStyle w:val="45"/>
              <w:rPr>
                <w:rFonts w:hint="eastAsia"/>
                <w:color w:val="auto"/>
              </w:rPr>
            </w:pPr>
            <w:r>
              <w:rPr>
                <w:rFonts w:hint="eastAsia"/>
                <w:color w:val="auto"/>
              </w:rPr>
              <w:t>横杆：1.2m、0.9m、0.6m</w:t>
            </w:r>
          </w:p>
        </w:tc>
        <w:tc>
          <w:tcPr>
            <w:tcW w:w="582" w:type="pct"/>
            <w:vAlign w:val="center"/>
          </w:tcPr>
          <w:p w14:paraId="7C7CD0C3">
            <w:pPr>
              <w:pStyle w:val="45"/>
              <w:rPr>
                <w:rFonts w:hint="eastAsia"/>
                <w:color w:val="auto"/>
              </w:rPr>
            </w:pPr>
            <w:r>
              <w:rPr>
                <w:rFonts w:hint="eastAsia"/>
                <w:color w:val="auto"/>
              </w:rPr>
              <w:t>吨</w:t>
            </w:r>
          </w:p>
        </w:tc>
        <w:tc>
          <w:tcPr>
            <w:tcW w:w="620" w:type="pct"/>
            <w:vAlign w:val="center"/>
          </w:tcPr>
          <w:p w14:paraId="5B61C405">
            <w:pPr>
              <w:pStyle w:val="45"/>
              <w:rPr>
                <w:rFonts w:hint="eastAsia"/>
                <w:color w:val="auto"/>
              </w:rPr>
            </w:pPr>
            <w:r>
              <w:rPr>
                <w:rFonts w:hint="eastAsia"/>
                <w:color w:val="auto"/>
              </w:rPr>
              <w:t>1</w:t>
            </w:r>
            <w:r>
              <w:rPr>
                <w:color w:val="auto"/>
              </w:rPr>
              <w:t>300</w:t>
            </w:r>
          </w:p>
        </w:tc>
        <w:tc>
          <w:tcPr>
            <w:tcW w:w="1354" w:type="pct"/>
            <w:vAlign w:val="center"/>
          </w:tcPr>
          <w:p w14:paraId="50A9E555">
            <w:pPr>
              <w:pStyle w:val="45"/>
              <w:rPr>
                <w:rFonts w:hint="eastAsia"/>
                <w:color w:val="auto"/>
              </w:rPr>
            </w:pPr>
            <w:r>
              <w:rPr>
                <w:color w:val="auto"/>
              </w:rPr>
              <w:t>JGJ 231-2010</w:t>
            </w:r>
          </w:p>
        </w:tc>
        <w:tc>
          <w:tcPr>
            <w:tcW w:w="708" w:type="pct"/>
            <w:vAlign w:val="center"/>
          </w:tcPr>
          <w:p w14:paraId="20CFCED7">
            <w:pPr>
              <w:pStyle w:val="45"/>
              <w:rPr>
                <w:rFonts w:hint="eastAsia"/>
                <w:color w:val="auto"/>
              </w:rPr>
            </w:pPr>
            <w:r>
              <w:rPr>
                <w:rFonts w:hint="eastAsia"/>
                <w:color w:val="auto"/>
              </w:rPr>
              <w:t>/</w:t>
            </w:r>
          </w:p>
        </w:tc>
      </w:tr>
      <w:tr w14:paraId="22ABE5F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05D47FF6">
            <w:pPr>
              <w:pStyle w:val="45"/>
              <w:rPr>
                <w:rFonts w:hint="eastAsia"/>
                <w:color w:val="auto"/>
              </w:rPr>
            </w:pPr>
            <w:r>
              <w:rPr>
                <w:rFonts w:hint="eastAsia"/>
                <w:color w:val="auto"/>
              </w:rPr>
              <w:t>套筒</w:t>
            </w:r>
          </w:p>
        </w:tc>
        <w:tc>
          <w:tcPr>
            <w:tcW w:w="993" w:type="pct"/>
            <w:vAlign w:val="center"/>
          </w:tcPr>
          <w:p w14:paraId="443DA575">
            <w:pPr>
              <w:pStyle w:val="45"/>
              <w:rPr>
                <w:rFonts w:hint="eastAsia"/>
                <w:color w:val="auto"/>
              </w:rPr>
            </w:pPr>
            <w:r>
              <w:rPr>
                <w:rFonts w:hint="eastAsia"/>
                <w:color w:val="auto"/>
              </w:rPr>
              <w:t>0.3</w:t>
            </w:r>
          </w:p>
        </w:tc>
        <w:tc>
          <w:tcPr>
            <w:tcW w:w="582" w:type="pct"/>
            <w:vAlign w:val="center"/>
          </w:tcPr>
          <w:p w14:paraId="0C014FFA">
            <w:pPr>
              <w:pStyle w:val="45"/>
              <w:rPr>
                <w:rFonts w:hint="eastAsia"/>
                <w:color w:val="auto"/>
              </w:rPr>
            </w:pPr>
            <w:r>
              <w:rPr>
                <w:rFonts w:hint="eastAsia"/>
                <w:color w:val="auto"/>
              </w:rPr>
              <w:t>个</w:t>
            </w:r>
          </w:p>
        </w:tc>
        <w:tc>
          <w:tcPr>
            <w:tcW w:w="620" w:type="pct"/>
            <w:vAlign w:val="center"/>
          </w:tcPr>
          <w:p w14:paraId="2965CE76">
            <w:pPr>
              <w:pStyle w:val="45"/>
              <w:rPr>
                <w:rFonts w:hint="eastAsia"/>
                <w:color w:val="auto"/>
              </w:rPr>
            </w:pPr>
            <w:r>
              <w:rPr>
                <w:rFonts w:hint="eastAsia"/>
                <w:color w:val="auto"/>
              </w:rPr>
              <w:t>未定</w:t>
            </w:r>
          </w:p>
        </w:tc>
        <w:tc>
          <w:tcPr>
            <w:tcW w:w="1354" w:type="pct"/>
            <w:vAlign w:val="center"/>
          </w:tcPr>
          <w:p w14:paraId="41AE57E3">
            <w:pPr>
              <w:pStyle w:val="45"/>
              <w:rPr>
                <w:rFonts w:hint="eastAsia"/>
                <w:color w:val="auto"/>
              </w:rPr>
            </w:pPr>
            <w:r>
              <w:rPr>
                <w:rFonts w:hint="eastAsia"/>
                <w:color w:val="auto"/>
              </w:rPr>
              <w:t>GB/T15831-2006</w:t>
            </w:r>
          </w:p>
        </w:tc>
        <w:tc>
          <w:tcPr>
            <w:tcW w:w="708" w:type="pct"/>
            <w:vAlign w:val="center"/>
          </w:tcPr>
          <w:p w14:paraId="586E8331">
            <w:pPr>
              <w:pStyle w:val="45"/>
              <w:rPr>
                <w:rFonts w:hint="eastAsia"/>
                <w:color w:val="auto"/>
              </w:rPr>
            </w:pPr>
            <w:r>
              <w:rPr>
                <w:rFonts w:hint="eastAsia"/>
                <w:color w:val="auto"/>
              </w:rPr>
              <w:t>/</w:t>
            </w:r>
          </w:p>
        </w:tc>
      </w:tr>
      <w:tr w14:paraId="6FE63BA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0" w:hRule="atLeast"/>
        </w:trPr>
        <w:tc>
          <w:tcPr>
            <w:tcW w:w="742" w:type="pct"/>
            <w:vAlign w:val="center"/>
          </w:tcPr>
          <w:p w14:paraId="37A0FAAF">
            <w:pPr>
              <w:pStyle w:val="45"/>
              <w:rPr>
                <w:rFonts w:hint="eastAsia"/>
                <w:color w:val="auto"/>
              </w:rPr>
            </w:pPr>
            <w:r>
              <w:rPr>
                <w:rFonts w:hint="eastAsia"/>
                <w:color w:val="auto"/>
              </w:rPr>
              <w:t>水泥</w:t>
            </w:r>
          </w:p>
        </w:tc>
        <w:tc>
          <w:tcPr>
            <w:tcW w:w="993" w:type="pct"/>
            <w:vAlign w:val="center"/>
          </w:tcPr>
          <w:p w14:paraId="35BDE4E4">
            <w:pPr>
              <w:pStyle w:val="45"/>
              <w:rPr>
                <w:rFonts w:hint="eastAsia"/>
                <w:color w:val="auto"/>
              </w:rPr>
            </w:pPr>
            <w:r>
              <w:rPr>
                <w:rFonts w:hint="eastAsia"/>
                <w:color w:val="auto"/>
              </w:rPr>
              <w:t>P.C32.5R</w:t>
            </w:r>
          </w:p>
        </w:tc>
        <w:tc>
          <w:tcPr>
            <w:tcW w:w="582" w:type="pct"/>
            <w:vAlign w:val="center"/>
          </w:tcPr>
          <w:p w14:paraId="5102C616">
            <w:pPr>
              <w:pStyle w:val="45"/>
              <w:rPr>
                <w:rFonts w:hint="eastAsia"/>
                <w:color w:val="auto"/>
              </w:rPr>
            </w:pPr>
            <w:r>
              <w:rPr>
                <w:rFonts w:hint="eastAsia"/>
                <w:color w:val="auto"/>
              </w:rPr>
              <w:t>吨</w:t>
            </w:r>
          </w:p>
        </w:tc>
        <w:tc>
          <w:tcPr>
            <w:tcW w:w="620" w:type="pct"/>
            <w:vAlign w:val="center"/>
          </w:tcPr>
          <w:p w14:paraId="727609DD">
            <w:pPr>
              <w:pStyle w:val="45"/>
              <w:rPr>
                <w:rFonts w:hint="eastAsia"/>
                <w:color w:val="auto"/>
              </w:rPr>
            </w:pPr>
            <w:r>
              <w:rPr>
                <w:rFonts w:hint="eastAsia"/>
                <w:color w:val="auto"/>
              </w:rPr>
              <w:t>未定</w:t>
            </w:r>
          </w:p>
        </w:tc>
        <w:tc>
          <w:tcPr>
            <w:tcW w:w="1354" w:type="pct"/>
            <w:vAlign w:val="center"/>
          </w:tcPr>
          <w:p w14:paraId="35655541">
            <w:pPr>
              <w:pStyle w:val="45"/>
              <w:rPr>
                <w:rFonts w:hint="eastAsia"/>
                <w:color w:val="auto"/>
              </w:rPr>
            </w:pPr>
            <w:r>
              <w:rPr>
                <w:color w:val="auto"/>
              </w:rPr>
              <w:t>合</w:t>
            </w:r>
            <w:r>
              <w:rPr>
                <w:rFonts w:hint="eastAsia"/>
                <w:color w:val="auto"/>
              </w:rPr>
              <w:t xml:space="preserve">  </w:t>
            </w:r>
            <w:r>
              <w:rPr>
                <w:color w:val="auto"/>
              </w:rPr>
              <w:t>格</w:t>
            </w:r>
          </w:p>
        </w:tc>
        <w:tc>
          <w:tcPr>
            <w:tcW w:w="708" w:type="pct"/>
            <w:vAlign w:val="center"/>
          </w:tcPr>
          <w:p w14:paraId="0B845CBB">
            <w:pPr>
              <w:pStyle w:val="45"/>
              <w:rPr>
                <w:rFonts w:hint="eastAsia"/>
                <w:color w:val="auto"/>
              </w:rPr>
            </w:pPr>
            <w:r>
              <w:rPr>
                <w:rFonts w:hint="eastAsia"/>
                <w:color w:val="auto"/>
              </w:rPr>
              <w:t>/</w:t>
            </w:r>
          </w:p>
        </w:tc>
      </w:tr>
      <w:tr w14:paraId="5F2E678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6E8BB867">
            <w:pPr>
              <w:pStyle w:val="45"/>
              <w:rPr>
                <w:rFonts w:hint="eastAsia"/>
                <w:color w:val="auto"/>
              </w:rPr>
            </w:pPr>
            <w:r>
              <w:rPr>
                <w:rFonts w:hint="eastAsia"/>
                <w:color w:val="auto"/>
              </w:rPr>
              <w:t>砂</w:t>
            </w:r>
          </w:p>
        </w:tc>
        <w:tc>
          <w:tcPr>
            <w:tcW w:w="993" w:type="pct"/>
            <w:vAlign w:val="center"/>
          </w:tcPr>
          <w:p w14:paraId="012E4AEC">
            <w:pPr>
              <w:pStyle w:val="45"/>
              <w:rPr>
                <w:rFonts w:hint="eastAsia"/>
                <w:color w:val="auto"/>
              </w:rPr>
            </w:pPr>
            <w:r>
              <w:rPr>
                <w:rFonts w:hint="eastAsia"/>
                <w:color w:val="auto"/>
              </w:rPr>
              <w:t>粗砂、中砂</w:t>
            </w:r>
          </w:p>
        </w:tc>
        <w:tc>
          <w:tcPr>
            <w:tcW w:w="582" w:type="pct"/>
            <w:vAlign w:val="center"/>
          </w:tcPr>
          <w:p w14:paraId="67FCEAD1">
            <w:pPr>
              <w:pStyle w:val="45"/>
              <w:rPr>
                <w:rFonts w:hint="eastAsia"/>
                <w:color w:val="auto"/>
              </w:rPr>
            </w:pPr>
            <w:r>
              <w:rPr>
                <w:rFonts w:hint="eastAsia"/>
                <w:color w:val="auto"/>
              </w:rPr>
              <w:t>立方</w:t>
            </w:r>
          </w:p>
        </w:tc>
        <w:tc>
          <w:tcPr>
            <w:tcW w:w="620" w:type="pct"/>
            <w:vAlign w:val="center"/>
          </w:tcPr>
          <w:p w14:paraId="6CC93EC6">
            <w:pPr>
              <w:pStyle w:val="45"/>
              <w:rPr>
                <w:rFonts w:hint="eastAsia"/>
                <w:color w:val="auto"/>
              </w:rPr>
            </w:pPr>
            <w:r>
              <w:rPr>
                <w:rFonts w:hint="eastAsia"/>
                <w:color w:val="auto"/>
              </w:rPr>
              <w:t>未定</w:t>
            </w:r>
          </w:p>
        </w:tc>
        <w:tc>
          <w:tcPr>
            <w:tcW w:w="1354" w:type="pct"/>
            <w:vAlign w:val="center"/>
          </w:tcPr>
          <w:p w14:paraId="7F7A17FA">
            <w:pPr>
              <w:pStyle w:val="45"/>
              <w:rPr>
                <w:rFonts w:hint="eastAsia"/>
                <w:color w:val="auto"/>
              </w:rPr>
            </w:pPr>
            <w:r>
              <w:rPr>
                <w:color w:val="auto"/>
              </w:rPr>
              <w:t>合</w:t>
            </w:r>
            <w:r>
              <w:rPr>
                <w:rFonts w:hint="eastAsia"/>
                <w:color w:val="auto"/>
              </w:rPr>
              <w:t xml:space="preserve">  </w:t>
            </w:r>
            <w:r>
              <w:rPr>
                <w:color w:val="auto"/>
              </w:rPr>
              <w:t>格</w:t>
            </w:r>
          </w:p>
        </w:tc>
        <w:tc>
          <w:tcPr>
            <w:tcW w:w="708" w:type="pct"/>
            <w:vAlign w:val="center"/>
          </w:tcPr>
          <w:p w14:paraId="09F6E150">
            <w:pPr>
              <w:pStyle w:val="45"/>
              <w:rPr>
                <w:rFonts w:hint="eastAsia"/>
                <w:color w:val="auto"/>
              </w:rPr>
            </w:pPr>
            <w:r>
              <w:rPr>
                <w:rFonts w:hint="eastAsia"/>
                <w:color w:val="auto"/>
              </w:rPr>
              <w:t>/</w:t>
            </w:r>
          </w:p>
        </w:tc>
      </w:tr>
      <w:tr w14:paraId="66A6B5F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12472327">
            <w:pPr>
              <w:pStyle w:val="45"/>
              <w:rPr>
                <w:rFonts w:hint="eastAsia"/>
                <w:color w:val="auto"/>
              </w:rPr>
            </w:pPr>
            <w:r>
              <w:rPr>
                <w:rFonts w:hint="eastAsia"/>
                <w:color w:val="auto"/>
              </w:rPr>
              <w:t>石子</w:t>
            </w:r>
          </w:p>
        </w:tc>
        <w:tc>
          <w:tcPr>
            <w:tcW w:w="993" w:type="pct"/>
            <w:vAlign w:val="center"/>
          </w:tcPr>
          <w:p w14:paraId="4E1C58F9">
            <w:pPr>
              <w:pStyle w:val="45"/>
              <w:rPr>
                <w:rFonts w:hint="eastAsia"/>
                <w:color w:val="auto"/>
              </w:rPr>
            </w:pPr>
            <w:r>
              <w:rPr>
                <w:rFonts w:hint="eastAsia"/>
                <w:color w:val="auto"/>
              </w:rPr>
              <w:t>0.5cm</w:t>
            </w:r>
          </w:p>
        </w:tc>
        <w:tc>
          <w:tcPr>
            <w:tcW w:w="582" w:type="pct"/>
            <w:vAlign w:val="center"/>
          </w:tcPr>
          <w:p w14:paraId="308E1F13">
            <w:pPr>
              <w:pStyle w:val="45"/>
              <w:rPr>
                <w:rFonts w:hint="eastAsia"/>
                <w:color w:val="auto"/>
              </w:rPr>
            </w:pPr>
            <w:r>
              <w:rPr>
                <w:rFonts w:hint="eastAsia"/>
                <w:color w:val="auto"/>
              </w:rPr>
              <w:t>立方</w:t>
            </w:r>
          </w:p>
        </w:tc>
        <w:tc>
          <w:tcPr>
            <w:tcW w:w="620" w:type="pct"/>
            <w:vAlign w:val="center"/>
          </w:tcPr>
          <w:p w14:paraId="574AF4D7">
            <w:pPr>
              <w:pStyle w:val="45"/>
              <w:rPr>
                <w:rFonts w:hint="eastAsia"/>
                <w:color w:val="auto"/>
              </w:rPr>
            </w:pPr>
            <w:r>
              <w:rPr>
                <w:rFonts w:hint="eastAsia"/>
                <w:color w:val="auto"/>
              </w:rPr>
              <w:t>未定</w:t>
            </w:r>
          </w:p>
        </w:tc>
        <w:tc>
          <w:tcPr>
            <w:tcW w:w="1354" w:type="pct"/>
            <w:vAlign w:val="center"/>
          </w:tcPr>
          <w:p w14:paraId="719FCD3F">
            <w:pPr>
              <w:pStyle w:val="45"/>
              <w:rPr>
                <w:rFonts w:hint="eastAsia"/>
                <w:color w:val="auto"/>
              </w:rPr>
            </w:pPr>
            <w:r>
              <w:rPr>
                <w:color w:val="auto"/>
              </w:rPr>
              <w:t>合</w:t>
            </w:r>
            <w:r>
              <w:rPr>
                <w:rFonts w:hint="eastAsia"/>
                <w:color w:val="auto"/>
              </w:rPr>
              <w:t xml:space="preserve">  </w:t>
            </w:r>
            <w:r>
              <w:rPr>
                <w:color w:val="auto"/>
              </w:rPr>
              <w:t>格</w:t>
            </w:r>
          </w:p>
        </w:tc>
        <w:tc>
          <w:tcPr>
            <w:tcW w:w="708" w:type="pct"/>
            <w:vAlign w:val="center"/>
          </w:tcPr>
          <w:p w14:paraId="1A91CE5E">
            <w:pPr>
              <w:pStyle w:val="45"/>
              <w:rPr>
                <w:rFonts w:hint="eastAsia"/>
                <w:color w:val="auto"/>
              </w:rPr>
            </w:pPr>
            <w:r>
              <w:rPr>
                <w:rFonts w:hint="eastAsia"/>
                <w:color w:val="auto"/>
              </w:rPr>
              <w:t>/</w:t>
            </w:r>
          </w:p>
        </w:tc>
      </w:tr>
      <w:tr w14:paraId="6F663A6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249F2842">
            <w:pPr>
              <w:pStyle w:val="45"/>
              <w:rPr>
                <w:rFonts w:hint="eastAsia"/>
                <w:color w:val="auto"/>
              </w:rPr>
            </w:pPr>
            <w:r>
              <w:rPr>
                <w:rFonts w:hint="eastAsia"/>
                <w:color w:val="auto"/>
              </w:rPr>
              <w:t>灰砂砖</w:t>
            </w:r>
          </w:p>
        </w:tc>
        <w:tc>
          <w:tcPr>
            <w:tcW w:w="993" w:type="pct"/>
            <w:vAlign w:val="center"/>
          </w:tcPr>
          <w:p w14:paraId="08D844EC">
            <w:pPr>
              <w:pStyle w:val="45"/>
              <w:rPr>
                <w:rFonts w:hint="eastAsia"/>
                <w:color w:val="auto"/>
              </w:rPr>
            </w:pPr>
            <w:r>
              <w:rPr>
                <w:rFonts w:hint="eastAsia"/>
                <w:color w:val="auto"/>
              </w:rPr>
              <w:t>200×95×46MU15</w:t>
            </w:r>
          </w:p>
        </w:tc>
        <w:tc>
          <w:tcPr>
            <w:tcW w:w="582" w:type="pct"/>
            <w:vAlign w:val="center"/>
          </w:tcPr>
          <w:p w14:paraId="6BD8B626">
            <w:pPr>
              <w:pStyle w:val="45"/>
              <w:rPr>
                <w:rFonts w:hint="eastAsia"/>
                <w:color w:val="auto"/>
              </w:rPr>
            </w:pPr>
            <w:r>
              <w:rPr>
                <w:rFonts w:hint="eastAsia"/>
                <w:color w:val="auto"/>
              </w:rPr>
              <w:t>块</w:t>
            </w:r>
          </w:p>
        </w:tc>
        <w:tc>
          <w:tcPr>
            <w:tcW w:w="620" w:type="pct"/>
            <w:vAlign w:val="center"/>
          </w:tcPr>
          <w:p w14:paraId="73D0B448">
            <w:pPr>
              <w:pStyle w:val="45"/>
              <w:rPr>
                <w:rFonts w:hint="eastAsia"/>
                <w:color w:val="auto"/>
              </w:rPr>
            </w:pPr>
            <w:r>
              <w:rPr>
                <w:rFonts w:hint="eastAsia"/>
                <w:color w:val="auto"/>
              </w:rPr>
              <w:t>未定</w:t>
            </w:r>
          </w:p>
        </w:tc>
        <w:tc>
          <w:tcPr>
            <w:tcW w:w="1354" w:type="pct"/>
            <w:vAlign w:val="center"/>
          </w:tcPr>
          <w:p w14:paraId="28A11E53">
            <w:pPr>
              <w:pStyle w:val="45"/>
              <w:rPr>
                <w:rFonts w:hint="eastAsia"/>
                <w:color w:val="auto"/>
              </w:rPr>
            </w:pPr>
            <w:r>
              <w:rPr>
                <w:rFonts w:hint="eastAsia"/>
                <w:color w:val="auto"/>
              </w:rPr>
              <w:t>GB/T11945-1999</w:t>
            </w:r>
          </w:p>
        </w:tc>
        <w:tc>
          <w:tcPr>
            <w:tcW w:w="708" w:type="pct"/>
            <w:vAlign w:val="center"/>
          </w:tcPr>
          <w:p w14:paraId="48152CD8">
            <w:pPr>
              <w:pStyle w:val="45"/>
              <w:rPr>
                <w:rFonts w:hint="eastAsia"/>
                <w:color w:val="auto"/>
              </w:rPr>
            </w:pPr>
            <w:r>
              <w:rPr>
                <w:rFonts w:hint="eastAsia"/>
                <w:color w:val="auto"/>
              </w:rPr>
              <w:t>/</w:t>
            </w:r>
          </w:p>
        </w:tc>
      </w:tr>
      <w:tr w14:paraId="5E52D29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3FDA61E5">
            <w:pPr>
              <w:pStyle w:val="45"/>
              <w:rPr>
                <w:rFonts w:hint="eastAsia"/>
                <w:color w:val="auto"/>
              </w:rPr>
            </w:pPr>
            <w:r>
              <w:rPr>
                <w:rFonts w:hint="eastAsia"/>
                <w:color w:val="auto"/>
              </w:rPr>
              <w:t>精准加气块</w:t>
            </w:r>
          </w:p>
        </w:tc>
        <w:tc>
          <w:tcPr>
            <w:tcW w:w="993" w:type="pct"/>
            <w:vAlign w:val="center"/>
          </w:tcPr>
          <w:p w14:paraId="37EA731F">
            <w:pPr>
              <w:pStyle w:val="45"/>
              <w:rPr>
                <w:rFonts w:hint="eastAsia"/>
                <w:color w:val="auto"/>
              </w:rPr>
            </w:pPr>
            <w:r>
              <w:rPr>
                <w:rFonts w:hint="eastAsia"/>
                <w:color w:val="auto"/>
              </w:rPr>
              <w:t>600×240×200</w:t>
            </w:r>
          </w:p>
        </w:tc>
        <w:tc>
          <w:tcPr>
            <w:tcW w:w="582" w:type="pct"/>
            <w:vAlign w:val="center"/>
          </w:tcPr>
          <w:p w14:paraId="384F3970">
            <w:pPr>
              <w:pStyle w:val="45"/>
              <w:rPr>
                <w:rFonts w:hint="eastAsia"/>
                <w:color w:val="auto"/>
              </w:rPr>
            </w:pPr>
            <w:r>
              <w:rPr>
                <w:rFonts w:hint="eastAsia"/>
                <w:color w:val="auto"/>
              </w:rPr>
              <w:t>立方</w:t>
            </w:r>
          </w:p>
        </w:tc>
        <w:tc>
          <w:tcPr>
            <w:tcW w:w="620" w:type="pct"/>
            <w:vAlign w:val="center"/>
          </w:tcPr>
          <w:p w14:paraId="525B5AF9">
            <w:pPr>
              <w:pStyle w:val="45"/>
              <w:rPr>
                <w:rFonts w:hint="eastAsia"/>
                <w:color w:val="auto"/>
              </w:rPr>
            </w:pPr>
            <w:r>
              <w:rPr>
                <w:rFonts w:hint="eastAsia"/>
                <w:color w:val="auto"/>
              </w:rPr>
              <w:t>未定</w:t>
            </w:r>
          </w:p>
        </w:tc>
        <w:tc>
          <w:tcPr>
            <w:tcW w:w="1354" w:type="pct"/>
            <w:vAlign w:val="center"/>
          </w:tcPr>
          <w:p w14:paraId="15BDE1C5">
            <w:pPr>
              <w:pStyle w:val="45"/>
              <w:rPr>
                <w:rFonts w:hint="eastAsia"/>
                <w:color w:val="auto"/>
              </w:rPr>
            </w:pPr>
            <w:r>
              <w:rPr>
                <w:rFonts w:hint="eastAsia"/>
                <w:color w:val="auto"/>
              </w:rPr>
              <w:t>GB/T11968-2006</w:t>
            </w:r>
          </w:p>
        </w:tc>
        <w:tc>
          <w:tcPr>
            <w:tcW w:w="708" w:type="pct"/>
            <w:vAlign w:val="center"/>
          </w:tcPr>
          <w:p w14:paraId="308AF7D7">
            <w:pPr>
              <w:pStyle w:val="45"/>
              <w:rPr>
                <w:rFonts w:hint="eastAsia"/>
                <w:color w:val="auto"/>
              </w:rPr>
            </w:pPr>
            <w:r>
              <w:rPr>
                <w:rFonts w:hint="eastAsia"/>
                <w:color w:val="auto"/>
              </w:rPr>
              <w:t>/</w:t>
            </w:r>
          </w:p>
        </w:tc>
      </w:tr>
      <w:tr w14:paraId="5FDDA4C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2A64C7E3">
            <w:pPr>
              <w:pStyle w:val="45"/>
              <w:rPr>
                <w:rFonts w:hint="eastAsia"/>
                <w:color w:val="auto"/>
              </w:rPr>
            </w:pPr>
            <w:r>
              <w:rPr>
                <w:rFonts w:hint="eastAsia"/>
                <w:color w:val="auto"/>
              </w:rPr>
              <w:t>精准加气块</w:t>
            </w:r>
          </w:p>
        </w:tc>
        <w:tc>
          <w:tcPr>
            <w:tcW w:w="993" w:type="pct"/>
            <w:vAlign w:val="center"/>
          </w:tcPr>
          <w:p w14:paraId="775526AE">
            <w:pPr>
              <w:pStyle w:val="45"/>
              <w:rPr>
                <w:rFonts w:hint="eastAsia"/>
                <w:color w:val="auto"/>
              </w:rPr>
            </w:pPr>
            <w:r>
              <w:rPr>
                <w:rFonts w:hint="eastAsia"/>
                <w:color w:val="auto"/>
              </w:rPr>
              <w:t>600×240×150</w:t>
            </w:r>
          </w:p>
        </w:tc>
        <w:tc>
          <w:tcPr>
            <w:tcW w:w="582" w:type="pct"/>
            <w:vAlign w:val="center"/>
          </w:tcPr>
          <w:p w14:paraId="18B9CB89">
            <w:pPr>
              <w:pStyle w:val="45"/>
              <w:rPr>
                <w:rFonts w:hint="eastAsia"/>
                <w:color w:val="auto"/>
              </w:rPr>
            </w:pPr>
            <w:r>
              <w:rPr>
                <w:rFonts w:hint="eastAsia"/>
                <w:color w:val="auto"/>
              </w:rPr>
              <w:t>立方</w:t>
            </w:r>
          </w:p>
        </w:tc>
        <w:tc>
          <w:tcPr>
            <w:tcW w:w="620" w:type="pct"/>
            <w:vAlign w:val="center"/>
          </w:tcPr>
          <w:p w14:paraId="2AC21705">
            <w:pPr>
              <w:pStyle w:val="45"/>
              <w:rPr>
                <w:rFonts w:hint="eastAsia"/>
                <w:color w:val="auto"/>
              </w:rPr>
            </w:pPr>
            <w:r>
              <w:rPr>
                <w:rFonts w:hint="eastAsia"/>
                <w:color w:val="auto"/>
              </w:rPr>
              <w:t>未定</w:t>
            </w:r>
          </w:p>
        </w:tc>
        <w:tc>
          <w:tcPr>
            <w:tcW w:w="1354" w:type="pct"/>
            <w:vAlign w:val="center"/>
          </w:tcPr>
          <w:p w14:paraId="72F9E2E5">
            <w:pPr>
              <w:pStyle w:val="45"/>
              <w:rPr>
                <w:rFonts w:hint="eastAsia"/>
                <w:color w:val="auto"/>
              </w:rPr>
            </w:pPr>
            <w:r>
              <w:rPr>
                <w:rFonts w:hint="eastAsia"/>
                <w:color w:val="auto"/>
              </w:rPr>
              <w:t>GB/T11968-2006</w:t>
            </w:r>
          </w:p>
        </w:tc>
        <w:tc>
          <w:tcPr>
            <w:tcW w:w="708" w:type="pct"/>
            <w:vAlign w:val="center"/>
          </w:tcPr>
          <w:p w14:paraId="7782615A">
            <w:pPr>
              <w:pStyle w:val="45"/>
              <w:rPr>
                <w:rFonts w:hint="eastAsia"/>
                <w:color w:val="auto"/>
              </w:rPr>
            </w:pPr>
            <w:r>
              <w:rPr>
                <w:rFonts w:hint="eastAsia"/>
                <w:color w:val="auto"/>
              </w:rPr>
              <w:t>/</w:t>
            </w:r>
          </w:p>
        </w:tc>
      </w:tr>
      <w:tr w14:paraId="384EAB1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5506E2C5">
            <w:pPr>
              <w:pStyle w:val="45"/>
              <w:rPr>
                <w:rFonts w:hint="eastAsia"/>
                <w:color w:val="auto"/>
              </w:rPr>
            </w:pPr>
            <w:r>
              <w:rPr>
                <w:rFonts w:hint="eastAsia"/>
                <w:color w:val="auto"/>
              </w:rPr>
              <w:t>精准加气块</w:t>
            </w:r>
          </w:p>
        </w:tc>
        <w:tc>
          <w:tcPr>
            <w:tcW w:w="993" w:type="pct"/>
            <w:vAlign w:val="center"/>
          </w:tcPr>
          <w:p w14:paraId="04368B2B">
            <w:pPr>
              <w:pStyle w:val="45"/>
              <w:rPr>
                <w:rFonts w:hint="eastAsia"/>
                <w:color w:val="auto"/>
              </w:rPr>
            </w:pPr>
            <w:r>
              <w:rPr>
                <w:rFonts w:hint="eastAsia"/>
                <w:color w:val="auto"/>
              </w:rPr>
              <w:t>600×240×100</w:t>
            </w:r>
          </w:p>
        </w:tc>
        <w:tc>
          <w:tcPr>
            <w:tcW w:w="582" w:type="pct"/>
            <w:vAlign w:val="center"/>
          </w:tcPr>
          <w:p w14:paraId="3B859DCE">
            <w:pPr>
              <w:pStyle w:val="45"/>
              <w:rPr>
                <w:rFonts w:hint="eastAsia"/>
                <w:color w:val="auto"/>
              </w:rPr>
            </w:pPr>
            <w:r>
              <w:rPr>
                <w:rFonts w:hint="eastAsia"/>
                <w:color w:val="auto"/>
              </w:rPr>
              <w:t>立方</w:t>
            </w:r>
          </w:p>
        </w:tc>
        <w:tc>
          <w:tcPr>
            <w:tcW w:w="620" w:type="pct"/>
            <w:vAlign w:val="center"/>
          </w:tcPr>
          <w:p w14:paraId="1003AF9F">
            <w:pPr>
              <w:pStyle w:val="45"/>
              <w:rPr>
                <w:rFonts w:hint="eastAsia"/>
                <w:color w:val="auto"/>
              </w:rPr>
            </w:pPr>
            <w:r>
              <w:rPr>
                <w:rFonts w:hint="eastAsia"/>
                <w:color w:val="auto"/>
              </w:rPr>
              <w:t>未定</w:t>
            </w:r>
          </w:p>
        </w:tc>
        <w:tc>
          <w:tcPr>
            <w:tcW w:w="1354" w:type="pct"/>
            <w:vAlign w:val="center"/>
          </w:tcPr>
          <w:p w14:paraId="78751AAF">
            <w:pPr>
              <w:pStyle w:val="45"/>
              <w:rPr>
                <w:rFonts w:hint="eastAsia"/>
                <w:color w:val="auto"/>
              </w:rPr>
            </w:pPr>
            <w:r>
              <w:rPr>
                <w:rFonts w:hint="eastAsia"/>
                <w:color w:val="auto"/>
              </w:rPr>
              <w:t>GB/T11968-2006</w:t>
            </w:r>
          </w:p>
        </w:tc>
        <w:tc>
          <w:tcPr>
            <w:tcW w:w="708" w:type="pct"/>
            <w:vAlign w:val="center"/>
          </w:tcPr>
          <w:p w14:paraId="3F8DA70E">
            <w:pPr>
              <w:pStyle w:val="45"/>
              <w:rPr>
                <w:rFonts w:hint="eastAsia"/>
                <w:color w:val="auto"/>
              </w:rPr>
            </w:pPr>
            <w:r>
              <w:rPr>
                <w:rFonts w:hint="eastAsia"/>
                <w:color w:val="auto"/>
              </w:rPr>
              <w:t>/</w:t>
            </w:r>
          </w:p>
        </w:tc>
      </w:tr>
      <w:tr w14:paraId="416627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3D074802">
            <w:pPr>
              <w:pStyle w:val="45"/>
              <w:rPr>
                <w:rFonts w:hint="eastAsia"/>
                <w:color w:val="auto"/>
              </w:rPr>
            </w:pPr>
            <w:r>
              <w:rPr>
                <w:rFonts w:hint="eastAsia"/>
                <w:color w:val="auto"/>
              </w:rPr>
              <w:t>抹灰砂浆</w:t>
            </w:r>
          </w:p>
        </w:tc>
        <w:tc>
          <w:tcPr>
            <w:tcW w:w="993" w:type="pct"/>
            <w:vAlign w:val="center"/>
          </w:tcPr>
          <w:p w14:paraId="5B6251B6">
            <w:pPr>
              <w:pStyle w:val="45"/>
              <w:rPr>
                <w:rFonts w:hint="eastAsia"/>
                <w:color w:val="auto"/>
              </w:rPr>
            </w:pPr>
          </w:p>
        </w:tc>
        <w:tc>
          <w:tcPr>
            <w:tcW w:w="582" w:type="pct"/>
            <w:vAlign w:val="center"/>
          </w:tcPr>
          <w:p w14:paraId="65E59CEA">
            <w:pPr>
              <w:pStyle w:val="45"/>
              <w:rPr>
                <w:rFonts w:hint="eastAsia"/>
                <w:color w:val="auto"/>
              </w:rPr>
            </w:pPr>
            <w:r>
              <w:rPr>
                <w:rFonts w:hint="eastAsia"/>
                <w:color w:val="auto"/>
              </w:rPr>
              <w:t>吨</w:t>
            </w:r>
          </w:p>
        </w:tc>
        <w:tc>
          <w:tcPr>
            <w:tcW w:w="620" w:type="pct"/>
            <w:vAlign w:val="center"/>
          </w:tcPr>
          <w:p w14:paraId="34C1A921">
            <w:pPr>
              <w:pStyle w:val="45"/>
              <w:rPr>
                <w:rFonts w:hint="eastAsia"/>
                <w:color w:val="auto"/>
              </w:rPr>
            </w:pPr>
            <w:r>
              <w:rPr>
                <w:rFonts w:hint="eastAsia"/>
                <w:color w:val="auto"/>
              </w:rPr>
              <w:t>未定</w:t>
            </w:r>
          </w:p>
        </w:tc>
        <w:tc>
          <w:tcPr>
            <w:tcW w:w="1354" w:type="pct"/>
            <w:vAlign w:val="center"/>
          </w:tcPr>
          <w:p w14:paraId="048234F4">
            <w:pPr>
              <w:pStyle w:val="45"/>
              <w:rPr>
                <w:rFonts w:hint="eastAsia"/>
                <w:color w:val="auto"/>
              </w:rPr>
            </w:pPr>
            <w:r>
              <w:rPr>
                <w:rFonts w:hint="eastAsia"/>
                <w:color w:val="auto"/>
              </w:rPr>
              <w:t>JC/T890-2017</w:t>
            </w:r>
          </w:p>
        </w:tc>
        <w:tc>
          <w:tcPr>
            <w:tcW w:w="708" w:type="pct"/>
            <w:vAlign w:val="center"/>
          </w:tcPr>
          <w:p w14:paraId="12361F94">
            <w:pPr>
              <w:pStyle w:val="45"/>
              <w:rPr>
                <w:rFonts w:hint="eastAsia"/>
                <w:color w:val="auto"/>
              </w:rPr>
            </w:pPr>
            <w:r>
              <w:rPr>
                <w:rFonts w:hint="eastAsia"/>
                <w:color w:val="auto"/>
              </w:rPr>
              <w:t>/</w:t>
            </w:r>
          </w:p>
        </w:tc>
      </w:tr>
      <w:tr w14:paraId="371843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06FF0AE6">
            <w:pPr>
              <w:pStyle w:val="45"/>
              <w:rPr>
                <w:rFonts w:hint="eastAsia"/>
                <w:color w:val="auto"/>
              </w:rPr>
            </w:pPr>
            <w:r>
              <w:rPr>
                <w:rFonts w:hint="eastAsia"/>
                <w:color w:val="auto"/>
              </w:rPr>
              <w:t>打包箱</w:t>
            </w:r>
          </w:p>
        </w:tc>
        <w:tc>
          <w:tcPr>
            <w:tcW w:w="993" w:type="pct"/>
            <w:vAlign w:val="center"/>
          </w:tcPr>
          <w:p w14:paraId="0151BD13">
            <w:pPr>
              <w:pStyle w:val="45"/>
              <w:rPr>
                <w:rFonts w:hint="eastAsia"/>
                <w:color w:val="auto"/>
              </w:rPr>
            </w:pPr>
            <w:r>
              <w:rPr>
                <w:rFonts w:hint="eastAsia"/>
                <w:color w:val="auto"/>
              </w:rPr>
              <w:t>3×6m</w:t>
            </w:r>
          </w:p>
        </w:tc>
        <w:tc>
          <w:tcPr>
            <w:tcW w:w="582" w:type="pct"/>
            <w:vAlign w:val="center"/>
          </w:tcPr>
          <w:p w14:paraId="37CF3920">
            <w:pPr>
              <w:pStyle w:val="45"/>
              <w:rPr>
                <w:rFonts w:hint="eastAsia"/>
                <w:color w:val="auto"/>
              </w:rPr>
            </w:pPr>
            <w:r>
              <w:rPr>
                <w:rFonts w:hint="eastAsia"/>
                <w:color w:val="auto"/>
              </w:rPr>
              <w:t>间</w:t>
            </w:r>
          </w:p>
        </w:tc>
        <w:tc>
          <w:tcPr>
            <w:tcW w:w="620" w:type="pct"/>
            <w:vAlign w:val="center"/>
          </w:tcPr>
          <w:p w14:paraId="23CF5572">
            <w:pPr>
              <w:pStyle w:val="45"/>
              <w:rPr>
                <w:rFonts w:hint="eastAsia"/>
                <w:color w:val="auto"/>
              </w:rPr>
            </w:pPr>
            <w:r>
              <w:rPr>
                <w:rFonts w:hint="eastAsia"/>
                <w:color w:val="auto"/>
              </w:rPr>
              <w:t>24</w:t>
            </w:r>
          </w:p>
        </w:tc>
        <w:tc>
          <w:tcPr>
            <w:tcW w:w="1354" w:type="pct"/>
            <w:vAlign w:val="center"/>
          </w:tcPr>
          <w:p w14:paraId="640DCD07">
            <w:pPr>
              <w:pStyle w:val="45"/>
              <w:rPr>
                <w:rFonts w:hint="eastAsia"/>
                <w:color w:val="auto"/>
              </w:rPr>
            </w:pPr>
            <w:r>
              <w:rPr>
                <w:color w:val="auto"/>
              </w:rPr>
              <w:t>国</w:t>
            </w:r>
            <w:r>
              <w:rPr>
                <w:rFonts w:hint="eastAsia"/>
                <w:color w:val="auto"/>
              </w:rPr>
              <w:t xml:space="preserve">  </w:t>
            </w:r>
            <w:r>
              <w:rPr>
                <w:color w:val="auto"/>
              </w:rPr>
              <w:t>标</w:t>
            </w:r>
          </w:p>
        </w:tc>
        <w:tc>
          <w:tcPr>
            <w:tcW w:w="708" w:type="pct"/>
            <w:vAlign w:val="center"/>
          </w:tcPr>
          <w:p w14:paraId="007F84DA">
            <w:pPr>
              <w:pStyle w:val="45"/>
              <w:rPr>
                <w:rFonts w:hint="eastAsia"/>
                <w:color w:val="auto"/>
              </w:rPr>
            </w:pPr>
            <w:r>
              <w:rPr>
                <w:rFonts w:hint="eastAsia"/>
                <w:color w:val="auto"/>
              </w:rPr>
              <w:t>/</w:t>
            </w:r>
          </w:p>
        </w:tc>
      </w:tr>
      <w:tr w14:paraId="48E85B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38E69C27">
            <w:pPr>
              <w:pStyle w:val="45"/>
              <w:rPr>
                <w:rFonts w:hint="eastAsia"/>
                <w:color w:val="auto"/>
              </w:rPr>
            </w:pPr>
            <w:r>
              <w:rPr>
                <w:rFonts w:hint="eastAsia"/>
                <w:color w:val="auto"/>
              </w:rPr>
              <w:t>快拼箱</w:t>
            </w:r>
          </w:p>
        </w:tc>
        <w:tc>
          <w:tcPr>
            <w:tcW w:w="993" w:type="pct"/>
            <w:vAlign w:val="center"/>
          </w:tcPr>
          <w:p w14:paraId="0201595E">
            <w:pPr>
              <w:pStyle w:val="45"/>
              <w:rPr>
                <w:rFonts w:hint="eastAsia"/>
                <w:color w:val="auto"/>
              </w:rPr>
            </w:pPr>
            <w:r>
              <w:rPr>
                <w:rFonts w:hint="eastAsia"/>
                <w:color w:val="auto"/>
              </w:rPr>
              <w:t>3×6m</w:t>
            </w:r>
          </w:p>
        </w:tc>
        <w:tc>
          <w:tcPr>
            <w:tcW w:w="582" w:type="pct"/>
            <w:vAlign w:val="center"/>
          </w:tcPr>
          <w:p w14:paraId="08CE0C6C">
            <w:pPr>
              <w:pStyle w:val="45"/>
              <w:rPr>
                <w:rFonts w:hint="eastAsia"/>
                <w:color w:val="auto"/>
              </w:rPr>
            </w:pPr>
            <w:r>
              <w:rPr>
                <w:rFonts w:hint="eastAsia"/>
                <w:color w:val="auto"/>
              </w:rPr>
              <w:t>间</w:t>
            </w:r>
          </w:p>
        </w:tc>
        <w:tc>
          <w:tcPr>
            <w:tcW w:w="620" w:type="pct"/>
            <w:vAlign w:val="center"/>
          </w:tcPr>
          <w:p w14:paraId="63BF3139">
            <w:pPr>
              <w:pStyle w:val="45"/>
              <w:rPr>
                <w:rFonts w:hint="eastAsia"/>
                <w:color w:val="auto"/>
              </w:rPr>
            </w:pPr>
            <w:r>
              <w:rPr>
                <w:rFonts w:hint="eastAsia"/>
                <w:color w:val="auto"/>
              </w:rPr>
              <w:t>18</w:t>
            </w:r>
          </w:p>
        </w:tc>
        <w:tc>
          <w:tcPr>
            <w:tcW w:w="1354" w:type="pct"/>
            <w:vAlign w:val="center"/>
          </w:tcPr>
          <w:p w14:paraId="38D04C10">
            <w:pPr>
              <w:pStyle w:val="45"/>
              <w:rPr>
                <w:rFonts w:hint="eastAsia"/>
                <w:color w:val="auto"/>
              </w:rPr>
            </w:pPr>
            <w:r>
              <w:rPr>
                <w:color w:val="auto"/>
              </w:rPr>
              <w:t>国</w:t>
            </w:r>
            <w:r>
              <w:rPr>
                <w:rFonts w:hint="eastAsia"/>
                <w:color w:val="auto"/>
              </w:rPr>
              <w:t xml:space="preserve">  </w:t>
            </w:r>
            <w:r>
              <w:rPr>
                <w:color w:val="auto"/>
              </w:rPr>
              <w:t>标</w:t>
            </w:r>
          </w:p>
        </w:tc>
        <w:tc>
          <w:tcPr>
            <w:tcW w:w="708" w:type="pct"/>
            <w:vAlign w:val="center"/>
          </w:tcPr>
          <w:p w14:paraId="2A02CFBD">
            <w:pPr>
              <w:pStyle w:val="45"/>
              <w:rPr>
                <w:rFonts w:hint="eastAsia"/>
                <w:color w:val="auto"/>
              </w:rPr>
            </w:pPr>
            <w:r>
              <w:rPr>
                <w:rFonts w:hint="eastAsia"/>
                <w:color w:val="auto"/>
              </w:rPr>
              <w:t>/</w:t>
            </w:r>
          </w:p>
        </w:tc>
      </w:tr>
      <w:tr w14:paraId="3788169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trPr>
        <w:tc>
          <w:tcPr>
            <w:tcW w:w="742" w:type="pct"/>
            <w:vAlign w:val="center"/>
          </w:tcPr>
          <w:p w14:paraId="151A8962">
            <w:pPr>
              <w:pStyle w:val="45"/>
              <w:rPr>
                <w:rFonts w:hint="eastAsia"/>
                <w:color w:val="auto"/>
              </w:rPr>
            </w:pPr>
            <w:r>
              <w:rPr>
                <w:rFonts w:hint="eastAsia"/>
                <w:color w:val="auto"/>
              </w:rPr>
              <w:t>集装箱</w:t>
            </w:r>
          </w:p>
        </w:tc>
        <w:tc>
          <w:tcPr>
            <w:tcW w:w="993" w:type="pct"/>
            <w:vAlign w:val="center"/>
          </w:tcPr>
          <w:p w14:paraId="36152D9F">
            <w:pPr>
              <w:pStyle w:val="45"/>
              <w:rPr>
                <w:rFonts w:hint="eastAsia"/>
                <w:color w:val="auto"/>
              </w:rPr>
            </w:pPr>
            <w:r>
              <w:rPr>
                <w:rFonts w:hint="eastAsia"/>
                <w:color w:val="auto"/>
              </w:rPr>
              <w:t>3×6m</w:t>
            </w:r>
          </w:p>
        </w:tc>
        <w:tc>
          <w:tcPr>
            <w:tcW w:w="582" w:type="pct"/>
            <w:vAlign w:val="center"/>
          </w:tcPr>
          <w:p w14:paraId="65840F5E">
            <w:pPr>
              <w:pStyle w:val="45"/>
              <w:rPr>
                <w:rFonts w:hint="eastAsia"/>
                <w:color w:val="auto"/>
              </w:rPr>
            </w:pPr>
            <w:r>
              <w:rPr>
                <w:rFonts w:hint="eastAsia"/>
                <w:color w:val="auto"/>
              </w:rPr>
              <w:t>间</w:t>
            </w:r>
          </w:p>
        </w:tc>
        <w:tc>
          <w:tcPr>
            <w:tcW w:w="620" w:type="pct"/>
            <w:vAlign w:val="center"/>
          </w:tcPr>
          <w:p w14:paraId="164E647D">
            <w:pPr>
              <w:pStyle w:val="45"/>
              <w:rPr>
                <w:rFonts w:hint="eastAsia"/>
                <w:color w:val="auto"/>
              </w:rPr>
            </w:pPr>
            <w:r>
              <w:rPr>
                <w:rFonts w:hint="eastAsia"/>
                <w:color w:val="auto"/>
              </w:rPr>
              <w:t>64</w:t>
            </w:r>
          </w:p>
        </w:tc>
        <w:tc>
          <w:tcPr>
            <w:tcW w:w="1354" w:type="pct"/>
            <w:vAlign w:val="center"/>
          </w:tcPr>
          <w:p w14:paraId="5871D2FF">
            <w:pPr>
              <w:pStyle w:val="45"/>
              <w:rPr>
                <w:rFonts w:hint="eastAsia"/>
                <w:color w:val="auto"/>
              </w:rPr>
            </w:pPr>
            <w:r>
              <w:rPr>
                <w:color w:val="auto"/>
              </w:rPr>
              <w:t>国</w:t>
            </w:r>
            <w:r>
              <w:rPr>
                <w:rFonts w:hint="eastAsia"/>
                <w:color w:val="auto"/>
              </w:rPr>
              <w:t xml:space="preserve">  </w:t>
            </w:r>
            <w:r>
              <w:rPr>
                <w:color w:val="auto"/>
              </w:rPr>
              <w:t>标</w:t>
            </w:r>
          </w:p>
        </w:tc>
        <w:tc>
          <w:tcPr>
            <w:tcW w:w="708" w:type="pct"/>
            <w:vAlign w:val="center"/>
          </w:tcPr>
          <w:p w14:paraId="21B85455">
            <w:pPr>
              <w:pStyle w:val="45"/>
              <w:rPr>
                <w:rFonts w:hint="eastAsia"/>
                <w:color w:val="auto"/>
              </w:rPr>
            </w:pPr>
            <w:r>
              <w:rPr>
                <w:rFonts w:hint="eastAsia"/>
                <w:color w:val="auto"/>
              </w:rPr>
              <w:t>/</w:t>
            </w:r>
          </w:p>
        </w:tc>
      </w:tr>
    </w:tbl>
    <w:p w14:paraId="7AD7BDA0">
      <w:pPr>
        <w:pStyle w:val="6"/>
        <w:numPr>
          <w:ilvl w:val="3"/>
          <w:numId w:val="7"/>
        </w:numPr>
        <w:ind w:firstLine="480"/>
        <w:rPr>
          <w:color w:val="auto"/>
        </w:rPr>
      </w:pPr>
      <w:r>
        <w:rPr>
          <w:rFonts w:hint="eastAsia"/>
          <w:color w:val="auto"/>
        </w:rPr>
        <w:t>机械设备准备</w:t>
      </w:r>
    </w:p>
    <w:p w14:paraId="41929F5B">
      <w:pPr>
        <w:rPr>
          <w:color w:val="auto"/>
        </w:rPr>
      </w:pPr>
      <w:r>
        <w:rPr>
          <w:rFonts w:hint="eastAsia"/>
          <w:color w:val="auto"/>
        </w:rPr>
        <w:t>在本工程各施工阶段的拟投入的各种机械设备、测试仪器详见“主要施工机械设备表”及“主要仪器设备表”，由项目部根据工程实际进度情况，统一组织调配，利用公路运输手段分别将工程所需设备运抵现场，提前一周进场并完成组装调试。</w:t>
      </w:r>
    </w:p>
    <w:p w14:paraId="30F84631">
      <w:pPr>
        <w:pStyle w:val="54"/>
        <w:rPr>
          <w:color w:val="auto"/>
        </w:rPr>
      </w:pPr>
      <w:r>
        <w:rPr>
          <w:rFonts w:hint="eastAsia"/>
          <w:color w:val="auto"/>
        </w:rPr>
        <w:t>主要施工机械设备表</w:t>
      </w:r>
    </w:p>
    <w:tbl>
      <w:tblPr>
        <w:tblStyle w:val="2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95"/>
        <w:gridCol w:w="1532"/>
        <w:gridCol w:w="1305"/>
        <w:gridCol w:w="595"/>
        <w:gridCol w:w="960"/>
        <w:gridCol w:w="1096"/>
        <w:gridCol w:w="1181"/>
        <w:gridCol w:w="970"/>
        <w:gridCol w:w="620"/>
      </w:tblGrid>
      <w:tr w14:paraId="06BB70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FA9A15D">
            <w:pPr>
              <w:pStyle w:val="45"/>
              <w:rPr>
                <w:rFonts w:hint="eastAsia"/>
                <w:color w:val="auto"/>
              </w:rPr>
            </w:pPr>
            <w:r>
              <w:rPr>
                <w:color w:val="auto"/>
              </w:rPr>
              <w:t>序号</w:t>
            </w:r>
          </w:p>
        </w:tc>
        <w:tc>
          <w:tcPr>
            <w:tcW w:w="865" w:type="pct"/>
            <w:vAlign w:val="center"/>
          </w:tcPr>
          <w:p w14:paraId="69A04546">
            <w:pPr>
              <w:pStyle w:val="45"/>
              <w:rPr>
                <w:rFonts w:hint="eastAsia"/>
                <w:color w:val="auto"/>
              </w:rPr>
            </w:pPr>
            <w:r>
              <w:rPr>
                <w:color w:val="auto"/>
              </w:rPr>
              <w:t>机械设备名称</w:t>
            </w:r>
          </w:p>
        </w:tc>
        <w:tc>
          <w:tcPr>
            <w:tcW w:w="737" w:type="pct"/>
            <w:vAlign w:val="center"/>
          </w:tcPr>
          <w:p w14:paraId="448E7C20">
            <w:pPr>
              <w:pStyle w:val="45"/>
              <w:rPr>
                <w:rFonts w:hint="eastAsia"/>
                <w:color w:val="auto"/>
              </w:rPr>
            </w:pPr>
            <w:r>
              <w:rPr>
                <w:color w:val="auto"/>
              </w:rPr>
              <w:t>型号规格</w:t>
            </w:r>
          </w:p>
        </w:tc>
        <w:tc>
          <w:tcPr>
            <w:tcW w:w="336" w:type="pct"/>
            <w:vAlign w:val="center"/>
          </w:tcPr>
          <w:p w14:paraId="293CAE78">
            <w:pPr>
              <w:pStyle w:val="45"/>
              <w:rPr>
                <w:rFonts w:hint="eastAsia"/>
                <w:color w:val="auto"/>
              </w:rPr>
            </w:pPr>
            <w:r>
              <w:rPr>
                <w:color w:val="auto"/>
              </w:rPr>
              <w:t>数量</w:t>
            </w:r>
          </w:p>
        </w:tc>
        <w:tc>
          <w:tcPr>
            <w:tcW w:w="542" w:type="pct"/>
            <w:vAlign w:val="center"/>
          </w:tcPr>
          <w:p w14:paraId="17FDF914">
            <w:pPr>
              <w:pStyle w:val="45"/>
              <w:rPr>
                <w:rFonts w:hint="eastAsia"/>
                <w:color w:val="auto"/>
              </w:rPr>
            </w:pPr>
            <w:r>
              <w:rPr>
                <w:color w:val="auto"/>
              </w:rPr>
              <w:t>国别产地</w:t>
            </w:r>
          </w:p>
        </w:tc>
        <w:tc>
          <w:tcPr>
            <w:tcW w:w="619" w:type="pct"/>
            <w:vAlign w:val="center"/>
          </w:tcPr>
          <w:p w14:paraId="054932AF">
            <w:pPr>
              <w:pStyle w:val="45"/>
              <w:rPr>
                <w:rFonts w:hint="eastAsia"/>
                <w:color w:val="auto"/>
              </w:rPr>
            </w:pPr>
            <w:r>
              <w:rPr>
                <w:color w:val="auto"/>
              </w:rPr>
              <w:t>制造年份</w:t>
            </w:r>
          </w:p>
        </w:tc>
        <w:tc>
          <w:tcPr>
            <w:tcW w:w="667" w:type="pct"/>
            <w:vAlign w:val="center"/>
          </w:tcPr>
          <w:p w14:paraId="642A22D0">
            <w:pPr>
              <w:pStyle w:val="45"/>
              <w:rPr>
                <w:rFonts w:hint="eastAsia"/>
                <w:color w:val="auto"/>
              </w:rPr>
            </w:pPr>
            <w:r>
              <w:rPr>
                <w:color w:val="auto"/>
              </w:rPr>
              <w:t>额定功率</w:t>
            </w:r>
          </w:p>
          <w:p w14:paraId="3F866B17">
            <w:pPr>
              <w:pStyle w:val="45"/>
              <w:rPr>
                <w:rFonts w:hint="eastAsia"/>
                <w:color w:val="auto"/>
              </w:rPr>
            </w:pPr>
            <w:r>
              <w:rPr>
                <w:color w:val="auto"/>
              </w:rPr>
              <w:t>（KW）</w:t>
            </w:r>
          </w:p>
        </w:tc>
        <w:tc>
          <w:tcPr>
            <w:tcW w:w="548" w:type="pct"/>
            <w:vAlign w:val="center"/>
          </w:tcPr>
          <w:p w14:paraId="22C72FEB">
            <w:pPr>
              <w:pStyle w:val="45"/>
              <w:rPr>
                <w:rFonts w:hint="eastAsia"/>
                <w:color w:val="auto"/>
              </w:rPr>
            </w:pPr>
            <w:r>
              <w:rPr>
                <w:color w:val="auto"/>
              </w:rPr>
              <w:t>生产能力</w:t>
            </w:r>
          </w:p>
        </w:tc>
        <w:tc>
          <w:tcPr>
            <w:tcW w:w="350" w:type="pct"/>
            <w:vAlign w:val="center"/>
          </w:tcPr>
          <w:p w14:paraId="4E8606B0">
            <w:pPr>
              <w:pStyle w:val="45"/>
              <w:rPr>
                <w:rFonts w:hint="eastAsia"/>
                <w:color w:val="auto"/>
              </w:rPr>
            </w:pPr>
            <w:r>
              <w:rPr>
                <w:color w:val="auto"/>
              </w:rPr>
              <w:t>备注</w:t>
            </w:r>
          </w:p>
        </w:tc>
      </w:tr>
      <w:tr w14:paraId="2AE9C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FCDE059">
            <w:pPr>
              <w:pStyle w:val="45"/>
              <w:rPr>
                <w:rFonts w:hint="eastAsia"/>
                <w:color w:val="auto"/>
              </w:rPr>
            </w:pPr>
            <w:r>
              <w:rPr>
                <w:color w:val="auto"/>
              </w:rPr>
              <w:t>1</w:t>
            </w:r>
          </w:p>
        </w:tc>
        <w:tc>
          <w:tcPr>
            <w:tcW w:w="865" w:type="pct"/>
            <w:vAlign w:val="center"/>
          </w:tcPr>
          <w:p w14:paraId="7824B0C3">
            <w:pPr>
              <w:pStyle w:val="45"/>
              <w:rPr>
                <w:rFonts w:hint="eastAsia"/>
                <w:color w:val="auto"/>
              </w:rPr>
            </w:pPr>
            <w:r>
              <w:rPr>
                <w:color w:val="auto"/>
              </w:rPr>
              <w:t>塔吊</w:t>
            </w:r>
          </w:p>
        </w:tc>
        <w:tc>
          <w:tcPr>
            <w:tcW w:w="737" w:type="pct"/>
            <w:vAlign w:val="center"/>
          </w:tcPr>
          <w:p w14:paraId="329E2167">
            <w:pPr>
              <w:pStyle w:val="45"/>
              <w:rPr>
                <w:rFonts w:hint="eastAsia"/>
                <w:color w:val="auto"/>
              </w:rPr>
            </w:pPr>
            <w:r>
              <w:rPr>
                <w:color w:val="auto"/>
              </w:rPr>
              <w:t>STT293</w:t>
            </w:r>
          </w:p>
        </w:tc>
        <w:tc>
          <w:tcPr>
            <w:tcW w:w="336" w:type="pct"/>
            <w:vAlign w:val="center"/>
          </w:tcPr>
          <w:p w14:paraId="777429EE">
            <w:pPr>
              <w:pStyle w:val="45"/>
              <w:rPr>
                <w:rFonts w:hint="eastAsia"/>
                <w:color w:val="auto"/>
              </w:rPr>
            </w:pPr>
            <w:r>
              <w:rPr>
                <w:color w:val="auto"/>
              </w:rPr>
              <w:t>2</w:t>
            </w:r>
          </w:p>
        </w:tc>
        <w:tc>
          <w:tcPr>
            <w:tcW w:w="542" w:type="pct"/>
            <w:vAlign w:val="center"/>
          </w:tcPr>
          <w:p w14:paraId="3E799489">
            <w:pPr>
              <w:pStyle w:val="45"/>
              <w:rPr>
                <w:rFonts w:hint="eastAsia"/>
                <w:color w:val="auto"/>
              </w:rPr>
            </w:pPr>
            <w:r>
              <w:rPr>
                <w:rFonts w:hint="eastAsia"/>
                <w:color w:val="auto"/>
              </w:rPr>
              <w:t>/</w:t>
            </w:r>
          </w:p>
        </w:tc>
        <w:tc>
          <w:tcPr>
            <w:tcW w:w="619" w:type="pct"/>
            <w:vAlign w:val="center"/>
          </w:tcPr>
          <w:p w14:paraId="59441606">
            <w:pPr>
              <w:pStyle w:val="45"/>
              <w:rPr>
                <w:rFonts w:hint="eastAsia"/>
                <w:color w:val="auto"/>
              </w:rPr>
            </w:pPr>
            <w:r>
              <w:rPr>
                <w:color w:val="auto"/>
              </w:rPr>
              <w:t>201</w:t>
            </w:r>
            <w:r>
              <w:rPr>
                <w:rFonts w:hint="eastAsia"/>
                <w:color w:val="auto"/>
              </w:rPr>
              <w:t>8</w:t>
            </w:r>
          </w:p>
        </w:tc>
        <w:tc>
          <w:tcPr>
            <w:tcW w:w="667" w:type="pct"/>
            <w:vAlign w:val="center"/>
          </w:tcPr>
          <w:p w14:paraId="240DBE3F">
            <w:pPr>
              <w:pStyle w:val="45"/>
              <w:rPr>
                <w:rFonts w:hint="eastAsia"/>
                <w:color w:val="auto"/>
              </w:rPr>
            </w:pPr>
          </w:p>
        </w:tc>
        <w:tc>
          <w:tcPr>
            <w:tcW w:w="548" w:type="pct"/>
            <w:vAlign w:val="center"/>
          </w:tcPr>
          <w:p w14:paraId="3E48371A">
            <w:pPr>
              <w:pStyle w:val="45"/>
              <w:rPr>
                <w:rFonts w:hint="eastAsia"/>
                <w:color w:val="auto"/>
              </w:rPr>
            </w:pPr>
            <w:r>
              <w:rPr>
                <w:color w:val="auto"/>
              </w:rPr>
              <w:t>良好</w:t>
            </w:r>
          </w:p>
        </w:tc>
        <w:tc>
          <w:tcPr>
            <w:tcW w:w="350" w:type="pct"/>
            <w:vAlign w:val="center"/>
          </w:tcPr>
          <w:p w14:paraId="7376AD78">
            <w:pPr>
              <w:pStyle w:val="45"/>
              <w:rPr>
                <w:rFonts w:hint="eastAsia"/>
                <w:color w:val="auto"/>
              </w:rPr>
            </w:pPr>
          </w:p>
        </w:tc>
      </w:tr>
      <w:tr w14:paraId="3AB6C0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602F9F6">
            <w:pPr>
              <w:pStyle w:val="45"/>
              <w:rPr>
                <w:rFonts w:hint="eastAsia"/>
                <w:color w:val="auto"/>
              </w:rPr>
            </w:pPr>
            <w:r>
              <w:rPr>
                <w:color w:val="auto"/>
              </w:rPr>
              <w:t>2</w:t>
            </w:r>
          </w:p>
        </w:tc>
        <w:tc>
          <w:tcPr>
            <w:tcW w:w="865" w:type="pct"/>
            <w:vAlign w:val="center"/>
          </w:tcPr>
          <w:p w14:paraId="1B3C343A">
            <w:pPr>
              <w:pStyle w:val="45"/>
              <w:rPr>
                <w:rFonts w:hint="eastAsia"/>
                <w:color w:val="auto"/>
              </w:rPr>
            </w:pPr>
            <w:r>
              <w:rPr>
                <w:color w:val="auto"/>
              </w:rPr>
              <w:t>塔吊</w:t>
            </w:r>
          </w:p>
        </w:tc>
        <w:tc>
          <w:tcPr>
            <w:tcW w:w="737" w:type="pct"/>
            <w:vAlign w:val="center"/>
          </w:tcPr>
          <w:p w14:paraId="6FAC5116">
            <w:pPr>
              <w:pStyle w:val="45"/>
              <w:rPr>
                <w:rFonts w:hint="eastAsia"/>
                <w:color w:val="auto"/>
              </w:rPr>
            </w:pPr>
            <w:r>
              <w:rPr>
                <w:color w:val="auto"/>
              </w:rPr>
              <w:t>WA7025-12E</w:t>
            </w:r>
          </w:p>
        </w:tc>
        <w:tc>
          <w:tcPr>
            <w:tcW w:w="336" w:type="pct"/>
            <w:vAlign w:val="center"/>
          </w:tcPr>
          <w:p w14:paraId="40AFA5CA">
            <w:pPr>
              <w:pStyle w:val="45"/>
              <w:rPr>
                <w:rFonts w:hint="eastAsia"/>
                <w:color w:val="auto"/>
              </w:rPr>
            </w:pPr>
            <w:r>
              <w:rPr>
                <w:rFonts w:hint="eastAsia"/>
                <w:color w:val="auto"/>
              </w:rPr>
              <w:t>1</w:t>
            </w:r>
          </w:p>
        </w:tc>
        <w:tc>
          <w:tcPr>
            <w:tcW w:w="542" w:type="pct"/>
            <w:vAlign w:val="center"/>
          </w:tcPr>
          <w:p w14:paraId="2D780655">
            <w:pPr>
              <w:pStyle w:val="45"/>
              <w:rPr>
                <w:rFonts w:hint="eastAsia"/>
                <w:color w:val="auto"/>
              </w:rPr>
            </w:pPr>
            <w:r>
              <w:rPr>
                <w:rFonts w:hint="eastAsia"/>
                <w:color w:val="auto"/>
              </w:rPr>
              <w:t>/</w:t>
            </w:r>
          </w:p>
        </w:tc>
        <w:tc>
          <w:tcPr>
            <w:tcW w:w="619" w:type="pct"/>
            <w:vAlign w:val="center"/>
          </w:tcPr>
          <w:p w14:paraId="7097BD72">
            <w:pPr>
              <w:pStyle w:val="45"/>
              <w:rPr>
                <w:rFonts w:hint="eastAsia"/>
                <w:color w:val="auto"/>
              </w:rPr>
            </w:pPr>
          </w:p>
        </w:tc>
        <w:tc>
          <w:tcPr>
            <w:tcW w:w="667" w:type="pct"/>
            <w:vAlign w:val="center"/>
          </w:tcPr>
          <w:p w14:paraId="084BC510">
            <w:pPr>
              <w:pStyle w:val="45"/>
              <w:rPr>
                <w:rFonts w:hint="eastAsia"/>
                <w:color w:val="auto"/>
              </w:rPr>
            </w:pPr>
          </w:p>
        </w:tc>
        <w:tc>
          <w:tcPr>
            <w:tcW w:w="548" w:type="pct"/>
          </w:tcPr>
          <w:p w14:paraId="5DD3BA06">
            <w:pPr>
              <w:pStyle w:val="45"/>
              <w:rPr>
                <w:rFonts w:hint="eastAsia"/>
                <w:color w:val="auto"/>
              </w:rPr>
            </w:pPr>
            <w:r>
              <w:rPr>
                <w:color w:val="auto"/>
              </w:rPr>
              <w:t>良好</w:t>
            </w:r>
          </w:p>
        </w:tc>
        <w:tc>
          <w:tcPr>
            <w:tcW w:w="350" w:type="pct"/>
            <w:vAlign w:val="center"/>
          </w:tcPr>
          <w:p w14:paraId="1E944F66">
            <w:pPr>
              <w:pStyle w:val="45"/>
              <w:rPr>
                <w:rFonts w:hint="eastAsia"/>
                <w:color w:val="auto"/>
              </w:rPr>
            </w:pPr>
          </w:p>
        </w:tc>
      </w:tr>
      <w:tr w14:paraId="7E5C2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FF129A1">
            <w:pPr>
              <w:pStyle w:val="45"/>
              <w:rPr>
                <w:rFonts w:hint="eastAsia"/>
                <w:color w:val="auto"/>
              </w:rPr>
            </w:pPr>
            <w:r>
              <w:rPr>
                <w:rFonts w:hint="eastAsia"/>
                <w:color w:val="auto"/>
              </w:rPr>
              <w:t>3</w:t>
            </w:r>
          </w:p>
        </w:tc>
        <w:tc>
          <w:tcPr>
            <w:tcW w:w="865" w:type="pct"/>
            <w:vAlign w:val="center"/>
          </w:tcPr>
          <w:p w14:paraId="31D6C69A">
            <w:pPr>
              <w:pStyle w:val="45"/>
              <w:rPr>
                <w:rFonts w:hint="eastAsia"/>
                <w:color w:val="auto"/>
              </w:rPr>
            </w:pPr>
            <w:r>
              <w:rPr>
                <w:color w:val="auto"/>
              </w:rPr>
              <w:t>塔吊</w:t>
            </w:r>
          </w:p>
        </w:tc>
        <w:tc>
          <w:tcPr>
            <w:tcW w:w="737" w:type="pct"/>
            <w:vAlign w:val="center"/>
          </w:tcPr>
          <w:p w14:paraId="178DD5DE">
            <w:pPr>
              <w:pStyle w:val="45"/>
              <w:rPr>
                <w:rFonts w:hint="eastAsia"/>
                <w:color w:val="auto"/>
              </w:rPr>
            </w:pPr>
            <w:r>
              <w:rPr>
                <w:color w:val="auto"/>
              </w:rPr>
              <w:t>W6515-10B</w:t>
            </w:r>
          </w:p>
        </w:tc>
        <w:tc>
          <w:tcPr>
            <w:tcW w:w="336" w:type="pct"/>
            <w:vAlign w:val="center"/>
          </w:tcPr>
          <w:p w14:paraId="375269E9">
            <w:pPr>
              <w:pStyle w:val="45"/>
              <w:rPr>
                <w:rFonts w:hint="eastAsia"/>
                <w:color w:val="auto"/>
              </w:rPr>
            </w:pPr>
            <w:r>
              <w:rPr>
                <w:rFonts w:hint="eastAsia"/>
                <w:color w:val="auto"/>
              </w:rPr>
              <w:t>1</w:t>
            </w:r>
          </w:p>
        </w:tc>
        <w:tc>
          <w:tcPr>
            <w:tcW w:w="542" w:type="pct"/>
            <w:vAlign w:val="center"/>
          </w:tcPr>
          <w:p w14:paraId="6FB5D553">
            <w:pPr>
              <w:pStyle w:val="45"/>
              <w:rPr>
                <w:rFonts w:hint="eastAsia"/>
                <w:color w:val="auto"/>
              </w:rPr>
            </w:pPr>
          </w:p>
        </w:tc>
        <w:tc>
          <w:tcPr>
            <w:tcW w:w="619" w:type="pct"/>
            <w:vAlign w:val="center"/>
          </w:tcPr>
          <w:p w14:paraId="2DC5CE82">
            <w:pPr>
              <w:pStyle w:val="45"/>
              <w:rPr>
                <w:rFonts w:hint="eastAsia"/>
                <w:color w:val="auto"/>
              </w:rPr>
            </w:pPr>
          </w:p>
        </w:tc>
        <w:tc>
          <w:tcPr>
            <w:tcW w:w="667" w:type="pct"/>
            <w:vAlign w:val="center"/>
          </w:tcPr>
          <w:p w14:paraId="189026B9">
            <w:pPr>
              <w:pStyle w:val="45"/>
              <w:rPr>
                <w:rFonts w:hint="eastAsia"/>
                <w:color w:val="auto"/>
              </w:rPr>
            </w:pPr>
          </w:p>
        </w:tc>
        <w:tc>
          <w:tcPr>
            <w:tcW w:w="548" w:type="pct"/>
          </w:tcPr>
          <w:p w14:paraId="6D2A4459">
            <w:pPr>
              <w:pStyle w:val="45"/>
              <w:rPr>
                <w:rFonts w:hint="eastAsia"/>
                <w:color w:val="auto"/>
              </w:rPr>
            </w:pPr>
            <w:r>
              <w:rPr>
                <w:color w:val="auto"/>
              </w:rPr>
              <w:t>良好</w:t>
            </w:r>
          </w:p>
        </w:tc>
        <w:tc>
          <w:tcPr>
            <w:tcW w:w="350" w:type="pct"/>
            <w:vAlign w:val="center"/>
          </w:tcPr>
          <w:p w14:paraId="098CEC91">
            <w:pPr>
              <w:pStyle w:val="45"/>
              <w:rPr>
                <w:rFonts w:hint="eastAsia"/>
                <w:color w:val="auto"/>
              </w:rPr>
            </w:pPr>
          </w:p>
        </w:tc>
      </w:tr>
      <w:tr w14:paraId="2EFBE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18D630C">
            <w:pPr>
              <w:pStyle w:val="45"/>
              <w:rPr>
                <w:rFonts w:hint="eastAsia"/>
                <w:color w:val="auto"/>
              </w:rPr>
            </w:pPr>
            <w:r>
              <w:rPr>
                <w:rFonts w:hint="eastAsia"/>
                <w:color w:val="auto"/>
              </w:rPr>
              <w:t>4</w:t>
            </w:r>
          </w:p>
        </w:tc>
        <w:tc>
          <w:tcPr>
            <w:tcW w:w="865" w:type="pct"/>
            <w:vAlign w:val="center"/>
          </w:tcPr>
          <w:p w14:paraId="181D9136">
            <w:pPr>
              <w:pStyle w:val="45"/>
              <w:rPr>
                <w:rFonts w:hint="eastAsia"/>
                <w:color w:val="auto"/>
              </w:rPr>
            </w:pPr>
            <w:r>
              <w:rPr>
                <w:color w:val="auto"/>
              </w:rPr>
              <w:t>施工电梯</w:t>
            </w:r>
          </w:p>
        </w:tc>
        <w:tc>
          <w:tcPr>
            <w:tcW w:w="737" w:type="pct"/>
            <w:vAlign w:val="center"/>
          </w:tcPr>
          <w:p w14:paraId="415893E4">
            <w:pPr>
              <w:pStyle w:val="45"/>
              <w:rPr>
                <w:rFonts w:hint="eastAsia"/>
                <w:color w:val="auto"/>
              </w:rPr>
            </w:pPr>
            <w:r>
              <w:rPr>
                <w:color w:val="auto"/>
              </w:rPr>
              <w:t>SC200/200</w:t>
            </w:r>
          </w:p>
        </w:tc>
        <w:tc>
          <w:tcPr>
            <w:tcW w:w="336" w:type="pct"/>
            <w:vAlign w:val="center"/>
          </w:tcPr>
          <w:p w14:paraId="7E2E7268">
            <w:pPr>
              <w:pStyle w:val="45"/>
              <w:rPr>
                <w:rFonts w:hint="eastAsia"/>
                <w:color w:val="auto"/>
              </w:rPr>
            </w:pPr>
            <w:r>
              <w:rPr>
                <w:rFonts w:hint="eastAsia"/>
                <w:color w:val="auto"/>
              </w:rPr>
              <w:t>4</w:t>
            </w:r>
          </w:p>
        </w:tc>
        <w:tc>
          <w:tcPr>
            <w:tcW w:w="542" w:type="pct"/>
            <w:vAlign w:val="center"/>
          </w:tcPr>
          <w:p w14:paraId="56E80527">
            <w:pPr>
              <w:pStyle w:val="45"/>
              <w:rPr>
                <w:rFonts w:hint="eastAsia"/>
                <w:color w:val="auto"/>
              </w:rPr>
            </w:pPr>
            <w:r>
              <w:rPr>
                <w:rFonts w:hint="eastAsia"/>
                <w:color w:val="auto"/>
              </w:rPr>
              <w:t>/</w:t>
            </w:r>
          </w:p>
        </w:tc>
        <w:tc>
          <w:tcPr>
            <w:tcW w:w="619" w:type="pct"/>
            <w:vAlign w:val="center"/>
          </w:tcPr>
          <w:p w14:paraId="1E1A8F4C">
            <w:pPr>
              <w:pStyle w:val="45"/>
              <w:rPr>
                <w:rFonts w:hint="eastAsia"/>
                <w:color w:val="auto"/>
              </w:rPr>
            </w:pPr>
            <w:r>
              <w:rPr>
                <w:color w:val="auto"/>
              </w:rPr>
              <w:t>2017</w:t>
            </w:r>
          </w:p>
        </w:tc>
        <w:tc>
          <w:tcPr>
            <w:tcW w:w="667" w:type="pct"/>
            <w:vAlign w:val="center"/>
          </w:tcPr>
          <w:p w14:paraId="7BF82030">
            <w:pPr>
              <w:pStyle w:val="45"/>
              <w:rPr>
                <w:rFonts w:hint="eastAsia"/>
                <w:color w:val="auto"/>
              </w:rPr>
            </w:pPr>
            <w:r>
              <w:rPr>
                <w:color w:val="auto"/>
              </w:rPr>
              <w:t>44</w:t>
            </w:r>
          </w:p>
        </w:tc>
        <w:tc>
          <w:tcPr>
            <w:tcW w:w="548" w:type="pct"/>
            <w:vAlign w:val="center"/>
          </w:tcPr>
          <w:p w14:paraId="78F7B982">
            <w:pPr>
              <w:pStyle w:val="45"/>
              <w:rPr>
                <w:rFonts w:hint="eastAsia"/>
                <w:color w:val="auto"/>
              </w:rPr>
            </w:pPr>
            <w:r>
              <w:rPr>
                <w:color w:val="auto"/>
              </w:rPr>
              <w:t>良好</w:t>
            </w:r>
          </w:p>
        </w:tc>
        <w:tc>
          <w:tcPr>
            <w:tcW w:w="350" w:type="pct"/>
            <w:vAlign w:val="center"/>
          </w:tcPr>
          <w:p w14:paraId="5294BBF8">
            <w:pPr>
              <w:pStyle w:val="45"/>
              <w:rPr>
                <w:rFonts w:hint="eastAsia"/>
                <w:color w:val="auto"/>
              </w:rPr>
            </w:pPr>
          </w:p>
        </w:tc>
      </w:tr>
      <w:tr w14:paraId="01097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144DC47">
            <w:pPr>
              <w:pStyle w:val="45"/>
              <w:rPr>
                <w:rFonts w:hint="eastAsia"/>
                <w:color w:val="auto"/>
              </w:rPr>
            </w:pPr>
            <w:r>
              <w:rPr>
                <w:rFonts w:hint="eastAsia"/>
                <w:color w:val="auto"/>
              </w:rPr>
              <w:t>5</w:t>
            </w:r>
          </w:p>
        </w:tc>
        <w:tc>
          <w:tcPr>
            <w:tcW w:w="865" w:type="pct"/>
            <w:vAlign w:val="center"/>
          </w:tcPr>
          <w:p w14:paraId="19C346DE">
            <w:pPr>
              <w:pStyle w:val="45"/>
              <w:rPr>
                <w:rFonts w:hint="eastAsia"/>
                <w:color w:val="auto"/>
              </w:rPr>
            </w:pPr>
            <w:r>
              <w:rPr>
                <w:rFonts w:hint="eastAsia"/>
                <w:color w:val="auto"/>
              </w:rPr>
              <w:t>长螺旋引孔机</w:t>
            </w:r>
          </w:p>
        </w:tc>
        <w:tc>
          <w:tcPr>
            <w:tcW w:w="737" w:type="pct"/>
            <w:vAlign w:val="center"/>
          </w:tcPr>
          <w:p w14:paraId="73827987">
            <w:pPr>
              <w:pStyle w:val="45"/>
              <w:rPr>
                <w:rFonts w:hint="eastAsia"/>
                <w:color w:val="auto"/>
              </w:rPr>
            </w:pPr>
            <w:r>
              <w:rPr>
                <w:color w:val="auto"/>
              </w:rPr>
              <w:t>YTZ26</w:t>
            </w:r>
          </w:p>
        </w:tc>
        <w:tc>
          <w:tcPr>
            <w:tcW w:w="336" w:type="pct"/>
            <w:vAlign w:val="center"/>
          </w:tcPr>
          <w:p w14:paraId="6F7D29CD">
            <w:pPr>
              <w:pStyle w:val="45"/>
              <w:rPr>
                <w:rFonts w:hint="eastAsia"/>
                <w:color w:val="auto"/>
              </w:rPr>
            </w:pPr>
            <w:r>
              <w:rPr>
                <w:color w:val="auto"/>
              </w:rPr>
              <w:t>1</w:t>
            </w:r>
          </w:p>
        </w:tc>
        <w:tc>
          <w:tcPr>
            <w:tcW w:w="542" w:type="pct"/>
            <w:vAlign w:val="center"/>
          </w:tcPr>
          <w:p w14:paraId="2FB97DC2">
            <w:pPr>
              <w:pStyle w:val="45"/>
              <w:rPr>
                <w:rFonts w:hint="eastAsia"/>
                <w:color w:val="auto"/>
              </w:rPr>
            </w:pPr>
            <w:r>
              <w:rPr>
                <w:rFonts w:hint="eastAsia"/>
                <w:color w:val="auto"/>
              </w:rPr>
              <w:t>/</w:t>
            </w:r>
          </w:p>
        </w:tc>
        <w:tc>
          <w:tcPr>
            <w:tcW w:w="619" w:type="pct"/>
            <w:vAlign w:val="center"/>
          </w:tcPr>
          <w:p w14:paraId="7A1A3EAF">
            <w:pPr>
              <w:pStyle w:val="45"/>
              <w:rPr>
                <w:rFonts w:hint="eastAsia"/>
                <w:color w:val="auto"/>
              </w:rPr>
            </w:pPr>
            <w:r>
              <w:rPr>
                <w:color w:val="auto"/>
              </w:rPr>
              <w:t>/</w:t>
            </w:r>
          </w:p>
        </w:tc>
        <w:tc>
          <w:tcPr>
            <w:tcW w:w="667" w:type="pct"/>
            <w:vAlign w:val="center"/>
          </w:tcPr>
          <w:p w14:paraId="5BE3BD27">
            <w:pPr>
              <w:pStyle w:val="45"/>
              <w:rPr>
                <w:rFonts w:hint="eastAsia"/>
                <w:color w:val="auto"/>
              </w:rPr>
            </w:pPr>
            <w:r>
              <w:rPr>
                <w:rFonts w:hint="eastAsia"/>
                <w:color w:val="auto"/>
              </w:rPr>
              <w:t>/</w:t>
            </w:r>
          </w:p>
        </w:tc>
        <w:tc>
          <w:tcPr>
            <w:tcW w:w="548" w:type="pct"/>
            <w:vAlign w:val="center"/>
          </w:tcPr>
          <w:p w14:paraId="4ADC6B7E">
            <w:pPr>
              <w:pStyle w:val="45"/>
              <w:rPr>
                <w:rFonts w:hint="eastAsia"/>
                <w:color w:val="auto"/>
              </w:rPr>
            </w:pPr>
            <w:r>
              <w:rPr>
                <w:rFonts w:hint="eastAsia"/>
                <w:color w:val="auto"/>
              </w:rPr>
              <w:t>良好</w:t>
            </w:r>
          </w:p>
        </w:tc>
        <w:tc>
          <w:tcPr>
            <w:tcW w:w="350" w:type="pct"/>
            <w:vAlign w:val="center"/>
          </w:tcPr>
          <w:p w14:paraId="051490F3">
            <w:pPr>
              <w:pStyle w:val="45"/>
              <w:rPr>
                <w:rFonts w:hint="eastAsia"/>
                <w:color w:val="auto"/>
              </w:rPr>
            </w:pPr>
          </w:p>
        </w:tc>
      </w:tr>
      <w:tr w14:paraId="192CE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3CF7F3F">
            <w:pPr>
              <w:pStyle w:val="45"/>
              <w:rPr>
                <w:rFonts w:hint="eastAsia"/>
                <w:color w:val="auto"/>
              </w:rPr>
            </w:pPr>
            <w:r>
              <w:rPr>
                <w:rFonts w:hint="eastAsia"/>
                <w:color w:val="auto"/>
              </w:rPr>
              <w:t>6</w:t>
            </w:r>
          </w:p>
        </w:tc>
        <w:tc>
          <w:tcPr>
            <w:tcW w:w="865" w:type="pct"/>
            <w:vAlign w:val="center"/>
          </w:tcPr>
          <w:p w14:paraId="2A517E83">
            <w:pPr>
              <w:pStyle w:val="45"/>
              <w:rPr>
                <w:rFonts w:hint="eastAsia"/>
                <w:color w:val="auto"/>
              </w:rPr>
            </w:pPr>
            <w:r>
              <w:rPr>
                <w:rFonts w:hint="eastAsia"/>
                <w:color w:val="auto"/>
              </w:rPr>
              <w:t>液压式静压机</w:t>
            </w:r>
          </w:p>
        </w:tc>
        <w:tc>
          <w:tcPr>
            <w:tcW w:w="737" w:type="pct"/>
            <w:vAlign w:val="center"/>
          </w:tcPr>
          <w:p w14:paraId="136F38BD">
            <w:pPr>
              <w:pStyle w:val="45"/>
              <w:rPr>
                <w:rFonts w:hint="eastAsia"/>
                <w:color w:val="auto"/>
              </w:rPr>
            </w:pPr>
            <w:r>
              <w:rPr>
                <w:color w:val="auto"/>
              </w:rPr>
              <w:t>ZYJ680D</w:t>
            </w:r>
          </w:p>
        </w:tc>
        <w:tc>
          <w:tcPr>
            <w:tcW w:w="336" w:type="pct"/>
            <w:vAlign w:val="center"/>
          </w:tcPr>
          <w:p w14:paraId="2CE079A3">
            <w:pPr>
              <w:pStyle w:val="45"/>
              <w:rPr>
                <w:rFonts w:hint="eastAsia"/>
                <w:color w:val="auto"/>
              </w:rPr>
            </w:pPr>
            <w:r>
              <w:rPr>
                <w:rFonts w:hint="eastAsia"/>
                <w:color w:val="auto"/>
              </w:rPr>
              <w:t>1</w:t>
            </w:r>
          </w:p>
        </w:tc>
        <w:tc>
          <w:tcPr>
            <w:tcW w:w="542" w:type="pct"/>
          </w:tcPr>
          <w:p w14:paraId="3AA726ED">
            <w:pPr>
              <w:pStyle w:val="45"/>
              <w:rPr>
                <w:rFonts w:hint="eastAsia"/>
                <w:color w:val="auto"/>
              </w:rPr>
            </w:pPr>
            <w:r>
              <w:rPr>
                <w:rFonts w:hint="eastAsia"/>
                <w:color w:val="auto"/>
              </w:rPr>
              <w:t>/</w:t>
            </w:r>
          </w:p>
        </w:tc>
        <w:tc>
          <w:tcPr>
            <w:tcW w:w="619" w:type="pct"/>
            <w:vAlign w:val="center"/>
          </w:tcPr>
          <w:p w14:paraId="398D1B3A">
            <w:pPr>
              <w:pStyle w:val="45"/>
              <w:rPr>
                <w:rFonts w:hint="eastAsia"/>
                <w:color w:val="auto"/>
              </w:rPr>
            </w:pPr>
            <w:r>
              <w:rPr>
                <w:color w:val="auto"/>
              </w:rPr>
              <w:t>/</w:t>
            </w:r>
          </w:p>
        </w:tc>
        <w:tc>
          <w:tcPr>
            <w:tcW w:w="667" w:type="pct"/>
            <w:vAlign w:val="center"/>
          </w:tcPr>
          <w:p w14:paraId="755A64B2">
            <w:pPr>
              <w:pStyle w:val="45"/>
              <w:rPr>
                <w:rFonts w:hint="eastAsia"/>
                <w:color w:val="auto"/>
              </w:rPr>
            </w:pPr>
            <w:r>
              <w:rPr>
                <w:rFonts w:hint="eastAsia"/>
                <w:color w:val="auto"/>
              </w:rPr>
              <w:t>/</w:t>
            </w:r>
          </w:p>
        </w:tc>
        <w:tc>
          <w:tcPr>
            <w:tcW w:w="548" w:type="pct"/>
            <w:vAlign w:val="center"/>
          </w:tcPr>
          <w:p w14:paraId="27D5FEB2">
            <w:pPr>
              <w:pStyle w:val="45"/>
              <w:rPr>
                <w:rFonts w:hint="eastAsia"/>
                <w:color w:val="auto"/>
              </w:rPr>
            </w:pPr>
            <w:r>
              <w:rPr>
                <w:rFonts w:hint="eastAsia"/>
                <w:color w:val="auto"/>
              </w:rPr>
              <w:t>良好</w:t>
            </w:r>
          </w:p>
        </w:tc>
        <w:tc>
          <w:tcPr>
            <w:tcW w:w="350" w:type="pct"/>
            <w:vAlign w:val="center"/>
          </w:tcPr>
          <w:p w14:paraId="5798BA38">
            <w:pPr>
              <w:pStyle w:val="45"/>
              <w:rPr>
                <w:rFonts w:hint="eastAsia"/>
                <w:color w:val="auto"/>
              </w:rPr>
            </w:pPr>
          </w:p>
        </w:tc>
      </w:tr>
      <w:tr w14:paraId="0E1D1A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9EA6DD6">
            <w:pPr>
              <w:pStyle w:val="45"/>
              <w:rPr>
                <w:rFonts w:hint="eastAsia"/>
                <w:color w:val="auto"/>
              </w:rPr>
            </w:pPr>
            <w:r>
              <w:rPr>
                <w:rFonts w:hint="eastAsia"/>
                <w:color w:val="auto"/>
              </w:rPr>
              <w:t>7</w:t>
            </w:r>
          </w:p>
        </w:tc>
        <w:tc>
          <w:tcPr>
            <w:tcW w:w="865" w:type="pct"/>
            <w:vAlign w:val="center"/>
          </w:tcPr>
          <w:p w14:paraId="618490A5">
            <w:pPr>
              <w:pStyle w:val="45"/>
              <w:rPr>
                <w:rFonts w:hint="eastAsia"/>
                <w:color w:val="auto"/>
              </w:rPr>
            </w:pPr>
            <w:r>
              <w:rPr>
                <w:rFonts w:hint="eastAsia"/>
                <w:color w:val="auto"/>
              </w:rPr>
              <w:t>液压式静压机</w:t>
            </w:r>
          </w:p>
        </w:tc>
        <w:tc>
          <w:tcPr>
            <w:tcW w:w="737" w:type="pct"/>
            <w:vAlign w:val="center"/>
          </w:tcPr>
          <w:p w14:paraId="35ADE4FB">
            <w:pPr>
              <w:pStyle w:val="45"/>
              <w:rPr>
                <w:rFonts w:hint="eastAsia"/>
                <w:color w:val="auto"/>
              </w:rPr>
            </w:pPr>
            <w:r>
              <w:rPr>
                <w:color w:val="auto"/>
              </w:rPr>
              <w:t>YZY800</w:t>
            </w:r>
          </w:p>
        </w:tc>
        <w:tc>
          <w:tcPr>
            <w:tcW w:w="336" w:type="pct"/>
            <w:vAlign w:val="center"/>
          </w:tcPr>
          <w:p w14:paraId="6B363F42">
            <w:pPr>
              <w:pStyle w:val="45"/>
              <w:rPr>
                <w:rFonts w:hint="eastAsia"/>
                <w:color w:val="auto"/>
              </w:rPr>
            </w:pPr>
            <w:r>
              <w:rPr>
                <w:rFonts w:hint="eastAsia"/>
                <w:color w:val="auto"/>
              </w:rPr>
              <w:t>1</w:t>
            </w:r>
            <w:r>
              <w:rPr>
                <w:color w:val="auto"/>
              </w:rPr>
              <w:t xml:space="preserve"> </w:t>
            </w:r>
          </w:p>
        </w:tc>
        <w:tc>
          <w:tcPr>
            <w:tcW w:w="542" w:type="pct"/>
          </w:tcPr>
          <w:p w14:paraId="1B25AB29">
            <w:pPr>
              <w:pStyle w:val="45"/>
              <w:rPr>
                <w:rFonts w:hint="eastAsia"/>
                <w:color w:val="auto"/>
              </w:rPr>
            </w:pPr>
            <w:r>
              <w:rPr>
                <w:rFonts w:hint="eastAsia"/>
                <w:color w:val="auto"/>
              </w:rPr>
              <w:t>/</w:t>
            </w:r>
          </w:p>
        </w:tc>
        <w:tc>
          <w:tcPr>
            <w:tcW w:w="619" w:type="pct"/>
          </w:tcPr>
          <w:p w14:paraId="0F23F1D4">
            <w:pPr>
              <w:pStyle w:val="45"/>
              <w:rPr>
                <w:rFonts w:hint="eastAsia"/>
                <w:color w:val="auto"/>
              </w:rPr>
            </w:pPr>
            <w:r>
              <w:rPr>
                <w:color w:val="auto"/>
              </w:rPr>
              <w:t>/</w:t>
            </w:r>
          </w:p>
        </w:tc>
        <w:tc>
          <w:tcPr>
            <w:tcW w:w="667" w:type="pct"/>
            <w:vAlign w:val="center"/>
          </w:tcPr>
          <w:p w14:paraId="710112C0">
            <w:pPr>
              <w:pStyle w:val="45"/>
              <w:rPr>
                <w:rFonts w:hint="eastAsia"/>
                <w:color w:val="auto"/>
              </w:rPr>
            </w:pPr>
            <w:r>
              <w:rPr>
                <w:rFonts w:hint="eastAsia"/>
                <w:color w:val="auto"/>
              </w:rPr>
              <w:t>/</w:t>
            </w:r>
          </w:p>
        </w:tc>
        <w:tc>
          <w:tcPr>
            <w:tcW w:w="548" w:type="pct"/>
            <w:vAlign w:val="center"/>
          </w:tcPr>
          <w:p w14:paraId="51394D8E">
            <w:pPr>
              <w:pStyle w:val="45"/>
              <w:rPr>
                <w:rFonts w:hint="eastAsia"/>
                <w:color w:val="auto"/>
              </w:rPr>
            </w:pPr>
            <w:r>
              <w:rPr>
                <w:rFonts w:hint="eastAsia"/>
                <w:color w:val="auto"/>
              </w:rPr>
              <w:t>良好</w:t>
            </w:r>
          </w:p>
        </w:tc>
        <w:tc>
          <w:tcPr>
            <w:tcW w:w="350" w:type="pct"/>
            <w:vAlign w:val="center"/>
          </w:tcPr>
          <w:p w14:paraId="1E611987">
            <w:pPr>
              <w:pStyle w:val="45"/>
              <w:rPr>
                <w:rFonts w:hint="eastAsia"/>
                <w:color w:val="auto"/>
              </w:rPr>
            </w:pPr>
          </w:p>
        </w:tc>
      </w:tr>
      <w:tr w14:paraId="794D0B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D9ACEC5">
            <w:pPr>
              <w:pStyle w:val="45"/>
              <w:rPr>
                <w:rFonts w:hint="eastAsia"/>
                <w:color w:val="auto"/>
              </w:rPr>
            </w:pPr>
            <w:r>
              <w:rPr>
                <w:rFonts w:hint="eastAsia"/>
                <w:color w:val="auto"/>
              </w:rPr>
              <w:t>8</w:t>
            </w:r>
          </w:p>
        </w:tc>
        <w:tc>
          <w:tcPr>
            <w:tcW w:w="865" w:type="pct"/>
            <w:vAlign w:val="center"/>
          </w:tcPr>
          <w:p w14:paraId="06FB254D">
            <w:pPr>
              <w:pStyle w:val="45"/>
              <w:rPr>
                <w:rFonts w:hint="eastAsia"/>
                <w:color w:val="auto"/>
              </w:rPr>
            </w:pPr>
            <w:r>
              <w:rPr>
                <w:rFonts w:hint="eastAsia"/>
                <w:color w:val="auto"/>
              </w:rPr>
              <w:t>筒式柴油打桩机</w:t>
            </w:r>
          </w:p>
        </w:tc>
        <w:tc>
          <w:tcPr>
            <w:tcW w:w="737" w:type="pct"/>
            <w:vAlign w:val="center"/>
          </w:tcPr>
          <w:p w14:paraId="6BD2A441">
            <w:pPr>
              <w:pStyle w:val="45"/>
              <w:rPr>
                <w:rFonts w:hint="eastAsia"/>
                <w:color w:val="auto"/>
              </w:rPr>
            </w:pPr>
            <w:r>
              <w:rPr>
                <w:color w:val="auto"/>
              </w:rPr>
              <w:t>Df80</w:t>
            </w:r>
          </w:p>
        </w:tc>
        <w:tc>
          <w:tcPr>
            <w:tcW w:w="336" w:type="pct"/>
            <w:vAlign w:val="center"/>
          </w:tcPr>
          <w:p w14:paraId="0AF4550B">
            <w:pPr>
              <w:pStyle w:val="45"/>
              <w:rPr>
                <w:rFonts w:hint="eastAsia"/>
                <w:color w:val="auto"/>
              </w:rPr>
            </w:pPr>
            <w:r>
              <w:rPr>
                <w:rFonts w:hint="eastAsia"/>
                <w:color w:val="auto"/>
              </w:rPr>
              <w:t>1</w:t>
            </w:r>
            <w:r>
              <w:rPr>
                <w:color w:val="auto"/>
              </w:rPr>
              <w:t xml:space="preserve"> </w:t>
            </w:r>
          </w:p>
        </w:tc>
        <w:tc>
          <w:tcPr>
            <w:tcW w:w="542" w:type="pct"/>
          </w:tcPr>
          <w:p w14:paraId="5A6F2B2F">
            <w:pPr>
              <w:pStyle w:val="45"/>
              <w:rPr>
                <w:rFonts w:hint="eastAsia"/>
                <w:color w:val="auto"/>
              </w:rPr>
            </w:pPr>
            <w:r>
              <w:rPr>
                <w:rFonts w:hint="eastAsia"/>
                <w:color w:val="auto"/>
              </w:rPr>
              <w:t>/</w:t>
            </w:r>
          </w:p>
        </w:tc>
        <w:tc>
          <w:tcPr>
            <w:tcW w:w="619" w:type="pct"/>
          </w:tcPr>
          <w:p w14:paraId="75D8A002">
            <w:pPr>
              <w:pStyle w:val="45"/>
              <w:rPr>
                <w:rFonts w:hint="eastAsia"/>
                <w:color w:val="auto"/>
              </w:rPr>
            </w:pPr>
            <w:r>
              <w:rPr>
                <w:color w:val="auto"/>
              </w:rPr>
              <w:t>/</w:t>
            </w:r>
          </w:p>
        </w:tc>
        <w:tc>
          <w:tcPr>
            <w:tcW w:w="667" w:type="pct"/>
            <w:vAlign w:val="center"/>
          </w:tcPr>
          <w:p w14:paraId="127F6930">
            <w:pPr>
              <w:pStyle w:val="45"/>
              <w:rPr>
                <w:rFonts w:hint="eastAsia"/>
                <w:color w:val="auto"/>
              </w:rPr>
            </w:pPr>
            <w:r>
              <w:rPr>
                <w:color w:val="auto"/>
              </w:rPr>
              <w:t>/</w:t>
            </w:r>
          </w:p>
        </w:tc>
        <w:tc>
          <w:tcPr>
            <w:tcW w:w="548" w:type="pct"/>
            <w:vAlign w:val="center"/>
          </w:tcPr>
          <w:p w14:paraId="3CF2FEAD">
            <w:pPr>
              <w:pStyle w:val="45"/>
              <w:rPr>
                <w:rFonts w:hint="eastAsia"/>
                <w:color w:val="auto"/>
              </w:rPr>
            </w:pPr>
            <w:r>
              <w:rPr>
                <w:rFonts w:hint="eastAsia"/>
                <w:color w:val="auto"/>
              </w:rPr>
              <w:t>良好</w:t>
            </w:r>
          </w:p>
        </w:tc>
        <w:tc>
          <w:tcPr>
            <w:tcW w:w="350" w:type="pct"/>
            <w:vAlign w:val="center"/>
          </w:tcPr>
          <w:p w14:paraId="5120FB14">
            <w:pPr>
              <w:pStyle w:val="45"/>
              <w:rPr>
                <w:rFonts w:hint="eastAsia"/>
                <w:color w:val="auto"/>
              </w:rPr>
            </w:pPr>
          </w:p>
        </w:tc>
      </w:tr>
      <w:tr w14:paraId="73082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BD23EC2">
            <w:pPr>
              <w:pStyle w:val="45"/>
              <w:rPr>
                <w:rFonts w:hint="eastAsia"/>
                <w:color w:val="auto"/>
              </w:rPr>
            </w:pPr>
            <w:r>
              <w:rPr>
                <w:rFonts w:hint="eastAsia"/>
                <w:color w:val="auto"/>
              </w:rPr>
              <w:t>9</w:t>
            </w:r>
          </w:p>
        </w:tc>
        <w:tc>
          <w:tcPr>
            <w:tcW w:w="865" w:type="pct"/>
            <w:vAlign w:val="center"/>
          </w:tcPr>
          <w:p w14:paraId="6BBE5B89">
            <w:pPr>
              <w:pStyle w:val="45"/>
              <w:rPr>
                <w:rFonts w:hint="eastAsia"/>
                <w:color w:val="auto"/>
              </w:rPr>
            </w:pPr>
            <w:r>
              <w:rPr>
                <w:rFonts w:hint="eastAsia"/>
                <w:color w:val="auto"/>
              </w:rPr>
              <w:t>高压泵</w:t>
            </w:r>
          </w:p>
        </w:tc>
        <w:tc>
          <w:tcPr>
            <w:tcW w:w="737" w:type="pct"/>
            <w:vAlign w:val="center"/>
          </w:tcPr>
          <w:p w14:paraId="00CA866B">
            <w:pPr>
              <w:pStyle w:val="45"/>
              <w:rPr>
                <w:rFonts w:hint="eastAsia"/>
                <w:color w:val="auto"/>
              </w:rPr>
            </w:pPr>
            <w:r>
              <w:rPr>
                <w:rFonts w:hint="eastAsia"/>
                <w:color w:val="auto"/>
              </w:rPr>
              <w:t>GYB-55E</w:t>
            </w:r>
          </w:p>
        </w:tc>
        <w:tc>
          <w:tcPr>
            <w:tcW w:w="336" w:type="pct"/>
            <w:vAlign w:val="center"/>
          </w:tcPr>
          <w:p w14:paraId="74935CDB">
            <w:pPr>
              <w:pStyle w:val="45"/>
              <w:rPr>
                <w:rFonts w:hint="eastAsia"/>
                <w:color w:val="auto"/>
              </w:rPr>
            </w:pPr>
            <w:r>
              <w:rPr>
                <w:rFonts w:hint="eastAsia"/>
                <w:color w:val="auto"/>
              </w:rPr>
              <w:t>1台</w:t>
            </w:r>
          </w:p>
        </w:tc>
        <w:tc>
          <w:tcPr>
            <w:tcW w:w="542" w:type="pct"/>
            <w:vAlign w:val="center"/>
          </w:tcPr>
          <w:p w14:paraId="545E4148">
            <w:pPr>
              <w:pStyle w:val="45"/>
              <w:rPr>
                <w:rFonts w:hint="eastAsia"/>
                <w:color w:val="auto"/>
              </w:rPr>
            </w:pPr>
            <w:r>
              <w:rPr>
                <w:rFonts w:hint="eastAsia"/>
                <w:color w:val="auto"/>
              </w:rPr>
              <w:t>河南</w:t>
            </w:r>
          </w:p>
        </w:tc>
        <w:tc>
          <w:tcPr>
            <w:tcW w:w="619" w:type="pct"/>
            <w:vAlign w:val="center"/>
          </w:tcPr>
          <w:p w14:paraId="3EFB58F9">
            <w:pPr>
              <w:pStyle w:val="45"/>
              <w:rPr>
                <w:rFonts w:hint="eastAsia"/>
                <w:color w:val="auto"/>
              </w:rPr>
            </w:pPr>
            <w:r>
              <w:rPr>
                <w:rFonts w:hint="eastAsia"/>
                <w:color w:val="auto"/>
              </w:rPr>
              <w:t>2017</w:t>
            </w:r>
          </w:p>
        </w:tc>
        <w:tc>
          <w:tcPr>
            <w:tcW w:w="667" w:type="pct"/>
            <w:vAlign w:val="center"/>
          </w:tcPr>
          <w:p w14:paraId="4B911EED">
            <w:pPr>
              <w:pStyle w:val="45"/>
              <w:rPr>
                <w:rFonts w:hint="eastAsia"/>
                <w:color w:val="auto"/>
              </w:rPr>
            </w:pPr>
            <w:r>
              <w:rPr>
                <w:rFonts w:hint="eastAsia"/>
                <w:color w:val="auto"/>
              </w:rPr>
              <w:t>15</w:t>
            </w:r>
          </w:p>
        </w:tc>
        <w:tc>
          <w:tcPr>
            <w:tcW w:w="548" w:type="pct"/>
            <w:vAlign w:val="center"/>
          </w:tcPr>
          <w:p w14:paraId="195C351B">
            <w:pPr>
              <w:pStyle w:val="45"/>
              <w:rPr>
                <w:rFonts w:hint="eastAsia"/>
                <w:color w:val="auto"/>
              </w:rPr>
            </w:pPr>
            <w:r>
              <w:rPr>
                <w:rFonts w:hint="eastAsia"/>
                <w:color w:val="auto"/>
              </w:rPr>
              <w:t>良好</w:t>
            </w:r>
          </w:p>
        </w:tc>
        <w:tc>
          <w:tcPr>
            <w:tcW w:w="350" w:type="pct"/>
            <w:vAlign w:val="center"/>
          </w:tcPr>
          <w:p w14:paraId="016DF978">
            <w:pPr>
              <w:pStyle w:val="45"/>
              <w:rPr>
                <w:rFonts w:hint="eastAsia"/>
                <w:color w:val="auto"/>
              </w:rPr>
            </w:pPr>
          </w:p>
        </w:tc>
      </w:tr>
      <w:tr w14:paraId="6C462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BD80725">
            <w:pPr>
              <w:pStyle w:val="45"/>
              <w:rPr>
                <w:rFonts w:hint="eastAsia"/>
                <w:color w:val="auto"/>
              </w:rPr>
            </w:pPr>
            <w:r>
              <w:rPr>
                <w:rFonts w:hint="eastAsia"/>
                <w:color w:val="auto"/>
              </w:rPr>
              <w:t>1</w:t>
            </w:r>
            <w:r>
              <w:rPr>
                <w:color w:val="auto"/>
              </w:rPr>
              <w:t>0</w:t>
            </w:r>
          </w:p>
        </w:tc>
        <w:tc>
          <w:tcPr>
            <w:tcW w:w="865" w:type="pct"/>
            <w:vAlign w:val="center"/>
          </w:tcPr>
          <w:p w14:paraId="4996CE1D">
            <w:pPr>
              <w:pStyle w:val="45"/>
              <w:rPr>
                <w:rFonts w:hint="eastAsia"/>
                <w:color w:val="auto"/>
              </w:rPr>
            </w:pPr>
            <w:r>
              <w:rPr>
                <w:color w:val="auto"/>
              </w:rPr>
              <w:t>车载泵</w:t>
            </w:r>
          </w:p>
        </w:tc>
        <w:tc>
          <w:tcPr>
            <w:tcW w:w="737" w:type="pct"/>
            <w:vAlign w:val="center"/>
          </w:tcPr>
          <w:p w14:paraId="396E06CD">
            <w:pPr>
              <w:pStyle w:val="45"/>
              <w:rPr>
                <w:rFonts w:hint="eastAsia"/>
                <w:color w:val="auto"/>
              </w:rPr>
            </w:pPr>
            <w:r>
              <w:rPr>
                <w:color w:val="auto"/>
              </w:rPr>
              <w:t>HBT60C</w:t>
            </w:r>
          </w:p>
        </w:tc>
        <w:tc>
          <w:tcPr>
            <w:tcW w:w="336" w:type="pct"/>
            <w:vAlign w:val="center"/>
          </w:tcPr>
          <w:p w14:paraId="4D07BF43">
            <w:pPr>
              <w:pStyle w:val="45"/>
              <w:rPr>
                <w:rFonts w:hint="eastAsia"/>
                <w:color w:val="auto"/>
              </w:rPr>
            </w:pPr>
            <w:r>
              <w:rPr>
                <w:rFonts w:hint="eastAsia"/>
                <w:color w:val="auto"/>
              </w:rPr>
              <w:t>5</w:t>
            </w:r>
          </w:p>
        </w:tc>
        <w:tc>
          <w:tcPr>
            <w:tcW w:w="542" w:type="pct"/>
            <w:vAlign w:val="center"/>
          </w:tcPr>
          <w:p w14:paraId="3D41508C">
            <w:pPr>
              <w:pStyle w:val="45"/>
              <w:rPr>
                <w:rFonts w:hint="eastAsia"/>
                <w:color w:val="auto"/>
              </w:rPr>
            </w:pPr>
            <w:r>
              <w:rPr>
                <w:color w:val="auto"/>
              </w:rPr>
              <w:t>湖南</w:t>
            </w:r>
          </w:p>
        </w:tc>
        <w:tc>
          <w:tcPr>
            <w:tcW w:w="619" w:type="pct"/>
            <w:vAlign w:val="center"/>
          </w:tcPr>
          <w:p w14:paraId="0DBBD138">
            <w:pPr>
              <w:pStyle w:val="45"/>
              <w:rPr>
                <w:rFonts w:hint="eastAsia"/>
                <w:color w:val="auto"/>
              </w:rPr>
            </w:pPr>
            <w:r>
              <w:rPr>
                <w:color w:val="auto"/>
              </w:rPr>
              <w:t>2017</w:t>
            </w:r>
          </w:p>
        </w:tc>
        <w:tc>
          <w:tcPr>
            <w:tcW w:w="667" w:type="pct"/>
            <w:vAlign w:val="center"/>
          </w:tcPr>
          <w:p w14:paraId="79561A52">
            <w:pPr>
              <w:pStyle w:val="45"/>
              <w:rPr>
                <w:rFonts w:hint="eastAsia"/>
                <w:color w:val="auto"/>
              </w:rPr>
            </w:pPr>
            <w:r>
              <w:rPr>
                <w:color w:val="auto"/>
              </w:rPr>
              <w:t>柴油</w:t>
            </w:r>
          </w:p>
        </w:tc>
        <w:tc>
          <w:tcPr>
            <w:tcW w:w="548" w:type="pct"/>
            <w:vAlign w:val="center"/>
          </w:tcPr>
          <w:p w14:paraId="773CB8D7">
            <w:pPr>
              <w:pStyle w:val="45"/>
              <w:rPr>
                <w:rFonts w:hint="eastAsia"/>
                <w:color w:val="auto"/>
              </w:rPr>
            </w:pPr>
            <w:r>
              <w:rPr>
                <w:color w:val="auto"/>
              </w:rPr>
              <w:t>良好</w:t>
            </w:r>
          </w:p>
        </w:tc>
        <w:tc>
          <w:tcPr>
            <w:tcW w:w="350" w:type="pct"/>
            <w:vAlign w:val="center"/>
          </w:tcPr>
          <w:p w14:paraId="6F8C1673">
            <w:pPr>
              <w:pStyle w:val="45"/>
              <w:rPr>
                <w:rFonts w:hint="eastAsia"/>
                <w:color w:val="auto"/>
              </w:rPr>
            </w:pPr>
          </w:p>
        </w:tc>
      </w:tr>
      <w:tr w14:paraId="363CB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B5978E1">
            <w:pPr>
              <w:pStyle w:val="45"/>
              <w:rPr>
                <w:rFonts w:hint="eastAsia"/>
                <w:color w:val="auto"/>
              </w:rPr>
            </w:pPr>
            <w:r>
              <w:rPr>
                <w:color w:val="auto"/>
              </w:rPr>
              <w:t>11</w:t>
            </w:r>
          </w:p>
        </w:tc>
        <w:tc>
          <w:tcPr>
            <w:tcW w:w="865" w:type="pct"/>
            <w:vAlign w:val="center"/>
          </w:tcPr>
          <w:p w14:paraId="127F3F9C">
            <w:pPr>
              <w:pStyle w:val="45"/>
              <w:rPr>
                <w:rFonts w:hint="eastAsia"/>
                <w:color w:val="auto"/>
              </w:rPr>
            </w:pPr>
            <w:r>
              <w:rPr>
                <w:color w:val="auto"/>
              </w:rPr>
              <w:t>布料机</w:t>
            </w:r>
          </w:p>
        </w:tc>
        <w:tc>
          <w:tcPr>
            <w:tcW w:w="737" w:type="pct"/>
            <w:vAlign w:val="center"/>
          </w:tcPr>
          <w:p w14:paraId="36B7FE6B">
            <w:pPr>
              <w:pStyle w:val="45"/>
              <w:rPr>
                <w:rFonts w:hint="eastAsia"/>
                <w:color w:val="auto"/>
              </w:rPr>
            </w:pPr>
            <w:r>
              <w:rPr>
                <w:color w:val="auto"/>
              </w:rPr>
              <w:t>BLG-18</w:t>
            </w:r>
          </w:p>
        </w:tc>
        <w:tc>
          <w:tcPr>
            <w:tcW w:w="336" w:type="pct"/>
            <w:vAlign w:val="center"/>
          </w:tcPr>
          <w:p w14:paraId="4BA811EE">
            <w:pPr>
              <w:pStyle w:val="45"/>
              <w:rPr>
                <w:rFonts w:hint="eastAsia"/>
                <w:color w:val="auto"/>
              </w:rPr>
            </w:pPr>
            <w:r>
              <w:rPr>
                <w:rFonts w:hint="eastAsia"/>
                <w:color w:val="auto"/>
              </w:rPr>
              <w:t>4</w:t>
            </w:r>
          </w:p>
        </w:tc>
        <w:tc>
          <w:tcPr>
            <w:tcW w:w="542" w:type="pct"/>
            <w:vAlign w:val="center"/>
          </w:tcPr>
          <w:p w14:paraId="09C4C71C">
            <w:pPr>
              <w:pStyle w:val="45"/>
              <w:rPr>
                <w:rFonts w:hint="eastAsia"/>
                <w:color w:val="auto"/>
              </w:rPr>
            </w:pPr>
            <w:r>
              <w:rPr>
                <w:color w:val="auto"/>
              </w:rPr>
              <w:t>湖南</w:t>
            </w:r>
          </w:p>
        </w:tc>
        <w:tc>
          <w:tcPr>
            <w:tcW w:w="619" w:type="pct"/>
            <w:vAlign w:val="center"/>
          </w:tcPr>
          <w:p w14:paraId="5D172302">
            <w:pPr>
              <w:pStyle w:val="45"/>
              <w:rPr>
                <w:rFonts w:hint="eastAsia"/>
                <w:color w:val="auto"/>
              </w:rPr>
            </w:pPr>
            <w:r>
              <w:rPr>
                <w:color w:val="auto"/>
              </w:rPr>
              <w:t>2018</w:t>
            </w:r>
          </w:p>
        </w:tc>
        <w:tc>
          <w:tcPr>
            <w:tcW w:w="667" w:type="pct"/>
            <w:vAlign w:val="center"/>
          </w:tcPr>
          <w:p w14:paraId="5BA6F983">
            <w:pPr>
              <w:pStyle w:val="45"/>
              <w:rPr>
                <w:rFonts w:hint="eastAsia"/>
                <w:color w:val="auto"/>
              </w:rPr>
            </w:pPr>
            <w:r>
              <w:rPr>
                <w:color w:val="auto"/>
              </w:rPr>
              <w:t>/</w:t>
            </w:r>
          </w:p>
        </w:tc>
        <w:tc>
          <w:tcPr>
            <w:tcW w:w="548" w:type="pct"/>
            <w:vAlign w:val="center"/>
          </w:tcPr>
          <w:p w14:paraId="2FBF051C">
            <w:pPr>
              <w:pStyle w:val="45"/>
              <w:rPr>
                <w:rFonts w:hint="eastAsia"/>
                <w:color w:val="auto"/>
              </w:rPr>
            </w:pPr>
            <w:r>
              <w:rPr>
                <w:color w:val="auto"/>
              </w:rPr>
              <w:t>良好</w:t>
            </w:r>
          </w:p>
        </w:tc>
        <w:tc>
          <w:tcPr>
            <w:tcW w:w="350" w:type="pct"/>
            <w:vAlign w:val="center"/>
          </w:tcPr>
          <w:p w14:paraId="4E33D9F0">
            <w:pPr>
              <w:pStyle w:val="45"/>
              <w:rPr>
                <w:rFonts w:hint="eastAsia"/>
                <w:color w:val="auto"/>
              </w:rPr>
            </w:pPr>
          </w:p>
        </w:tc>
      </w:tr>
      <w:tr w14:paraId="6A76D7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1AE55B6">
            <w:pPr>
              <w:pStyle w:val="45"/>
              <w:rPr>
                <w:rFonts w:hint="eastAsia"/>
                <w:color w:val="auto"/>
              </w:rPr>
            </w:pPr>
            <w:r>
              <w:rPr>
                <w:rFonts w:hint="eastAsia"/>
                <w:color w:val="auto"/>
              </w:rPr>
              <w:t>1</w:t>
            </w:r>
            <w:r>
              <w:rPr>
                <w:color w:val="auto"/>
              </w:rPr>
              <w:t>2</w:t>
            </w:r>
          </w:p>
        </w:tc>
        <w:tc>
          <w:tcPr>
            <w:tcW w:w="865" w:type="pct"/>
            <w:vAlign w:val="center"/>
          </w:tcPr>
          <w:p w14:paraId="281B0C59">
            <w:pPr>
              <w:pStyle w:val="45"/>
              <w:rPr>
                <w:rFonts w:hint="eastAsia"/>
                <w:color w:val="auto"/>
              </w:rPr>
            </w:pPr>
            <w:r>
              <w:rPr>
                <w:color w:val="auto"/>
              </w:rPr>
              <w:t>汽车吊</w:t>
            </w:r>
          </w:p>
        </w:tc>
        <w:tc>
          <w:tcPr>
            <w:tcW w:w="737" w:type="pct"/>
            <w:vAlign w:val="center"/>
          </w:tcPr>
          <w:p w14:paraId="30B57505">
            <w:pPr>
              <w:pStyle w:val="45"/>
              <w:rPr>
                <w:rFonts w:hint="eastAsia"/>
                <w:color w:val="auto"/>
              </w:rPr>
            </w:pPr>
            <w:r>
              <w:rPr>
                <w:color w:val="auto"/>
              </w:rPr>
              <w:t>25t</w:t>
            </w:r>
          </w:p>
        </w:tc>
        <w:tc>
          <w:tcPr>
            <w:tcW w:w="336" w:type="pct"/>
            <w:vAlign w:val="center"/>
          </w:tcPr>
          <w:p w14:paraId="3C570D9E">
            <w:pPr>
              <w:pStyle w:val="45"/>
              <w:rPr>
                <w:rFonts w:hint="eastAsia"/>
                <w:color w:val="auto"/>
              </w:rPr>
            </w:pPr>
            <w:r>
              <w:rPr>
                <w:color w:val="auto"/>
              </w:rPr>
              <w:t>6</w:t>
            </w:r>
          </w:p>
        </w:tc>
        <w:tc>
          <w:tcPr>
            <w:tcW w:w="542" w:type="pct"/>
            <w:vAlign w:val="center"/>
          </w:tcPr>
          <w:p w14:paraId="72B24734">
            <w:pPr>
              <w:pStyle w:val="45"/>
              <w:rPr>
                <w:rFonts w:hint="eastAsia"/>
                <w:color w:val="auto"/>
              </w:rPr>
            </w:pPr>
            <w:r>
              <w:rPr>
                <w:color w:val="auto"/>
              </w:rPr>
              <w:t>湖南</w:t>
            </w:r>
          </w:p>
        </w:tc>
        <w:tc>
          <w:tcPr>
            <w:tcW w:w="619" w:type="pct"/>
            <w:vAlign w:val="center"/>
          </w:tcPr>
          <w:p w14:paraId="3C6289CE">
            <w:pPr>
              <w:pStyle w:val="45"/>
              <w:rPr>
                <w:rFonts w:hint="eastAsia"/>
                <w:color w:val="auto"/>
              </w:rPr>
            </w:pPr>
            <w:r>
              <w:rPr>
                <w:color w:val="auto"/>
              </w:rPr>
              <w:t>2016</w:t>
            </w:r>
          </w:p>
        </w:tc>
        <w:tc>
          <w:tcPr>
            <w:tcW w:w="667" w:type="pct"/>
            <w:vAlign w:val="center"/>
          </w:tcPr>
          <w:p w14:paraId="2B4D7DAD">
            <w:pPr>
              <w:pStyle w:val="45"/>
              <w:rPr>
                <w:rFonts w:hint="eastAsia"/>
                <w:color w:val="auto"/>
              </w:rPr>
            </w:pPr>
            <w:r>
              <w:rPr>
                <w:color w:val="auto"/>
              </w:rPr>
              <w:t>/</w:t>
            </w:r>
          </w:p>
        </w:tc>
        <w:tc>
          <w:tcPr>
            <w:tcW w:w="548" w:type="pct"/>
            <w:vAlign w:val="center"/>
          </w:tcPr>
          <w:p w14:paraId="56DB2785">
            <w:pPr>
              <w:pStyle w:val="45"/>
              <w:rPr>
                <w:rFonts w:hint="eastAsia"/>
                <w:color w:val="auto"/>
              </w:rPr>
            </w:pPr>
            <w:r>
              <w:rPr>
                <w:color w:val="auto"/>
              </w:rPr>
              <w:t>良好</w:t>
            </w:r>
          </w:p>
        </w:tc>
        <w:tc>
          <w:tcPr>
            <w:tcW w:w="350" w:type="pct"/>
            <w:vAlign w:val="center"/>
          </w:tcPr>
          <w:p w14:paraId="3087F2B5">
            <w:pPr>
              <w:pStyle w:val="45"/>
              <w:rPr>
                <w:rFonts w:hint="eastAsia"/>
                <w:color w:val="auto"/>
              </w:rPr>
            </w:pPr>
          </w:p>
        </w:tc>
      </w:tr>
      <w:tr w14:paraId="05B86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C4883EF">
            <w:pPr>
              <w:pStyle w:val="45"/>
              <w:rPr>
                <w:rFonts w:hint="eastAsia"/>
                <w:color w:val="auto"/>
              </w:rPr>
            </w:pPr>
            <w:r>
              <w:rPr>
                <w:color w:val="auto"/>
              </w:rPr>
              <w:t>13</w:t>
            </w:r>
          </w:p>
        </w:tc>
        <w:tc>
          <w:tcPr>
            <w:tcW w:w="865" w:type="pct"/>
            <w:vAlign w:val="center"/>
          </w:tcPr>
          <w:p w14:paraId="34FA5A2A">
            <w:pPr>
              <w:pStyle w:val="45"/>
              <w:rPr>
                <w:rFonts w:hint="eastAsia"/>
                <w:color w:val="auto"/>
              </w:rPr>
            </w:pPr>
            <w:r>
              <w:rPr>
                <w:color w:val="auto"/>
              </w:rPr>
              <w:t>反铲挖掘机</w:t>
            </w:r>
          </w:p>
        </w:tc>
        <w:tc>
          <w:tcPr>
            <w:tcW w:w="737" w:type="pct"/>
            <w:vAlign w:val="center"/>
          </w:tcPr>
          <w:p w14:paraId="0361DE4B">
            <w:pPr>
              <w:pStyle w:val="45"/>
              <w:rPr>
                <w:rFonts w:hint="eastAsia"/>
                <w:color w:val="auto"/>
              </w:rPr>
            </w:pPr>
            <w:r>
              <w:rPr>
                <w:color w:val="auto"/>
              </w:rPr>
              <w:t>PC120</w:t>
            </w:r>
          </w:p>
        </w:tc>
        <w:tc>
          <w:tcPr>
            <w:tcW w:w="336" w:type="pct"/>
            <w:vAlign w:val="center"/>
          </w:tcPr>
          <w:p w14:paraId="5C999F56">
            <w:pPr>
              <w:pStyle w:val="45"/>
              <w:rPr>
                <w:rFonts w:hint="eastAsia"/>
                <w:color w:val="auto"/>
              </w:rPr>
            </w:pPr>
            <w:r>
              <w:rPr>
                <w:rFonts w:hint="eastAsia"/>
                <w:color w:val="auto"/>
              </w:rPr>
              <w:t>2</w:t>
            </w:r>
          </w:p>
        </w:tc>
        <w:tc>
          <w:tcPr>
            <w:tcW w:w="542" w:type="pct"/>
            <w:vAlign w:val="center"/>
          </w:tcPr>
          <w:p w14:paraId="0C829A03">
            <w:pPr>
              <w:pStyle w:val="45"/>
              <w:rPr>
                <w:rFonts w:hint="eastAsia"/>
                <w:color w:val="auto"/>
              </w:rPr>
            </w:pPr>
            <w:r>
              <w:rPr>
                <w:color w:val="auto"/>
              </w:rPr>
              <w:t>上海</w:t>
            </w:r>
          </w:p>
        </w:tc>
        <w:tc>
          <w:tcPr>
            <w:tcW w:w="619" w:type="pct"/>
            <w:vAlign w:val="center"/>
          </w:tcPr>
          <w:p w14:paraId="095B0A8F">
            <w:pPr>
              <w:pStyle w:val="45"/>
              <w:rPr>
                <w:rFonts w:hint="eastAsia"/>
                <w:color w:val="auto"/>
              </w:rPr>
            </w:pPr>
            <w:r>
              <w:rPr>
                <w:color w:val="auto"/>
              </w:rPr>
              <w:t>2017</w:t>
            </w:r>
          </w:p>
        </w:tc>
        <w:tc>
          <w:tcPr>
            <w:tcW w:w="667" w:type="pct"/>
            <w:vAlign w:val="center"/>
          </w:tcPr>
          <w:p w14:paraId="04B0BC89">
            <w:pPr>
              <w:pStyle w:val="45"/>
              <w:rPr>
                <w:rFonts w:hint="eastAsia"/>
                <w:color w:val="auto"/>
              </w:rPr>
            </w:pPr>
            <w:r>
              <w:rPr>
                <w:color w:val="auto"/>
              </w:rPr>
              <w:t>柴油</w:t>
            </w:r>
          </w:p>
        </w:tc>
        <w:tc>
          <w:tcPr>
            <w:tcW w:w="548" w:type="pct"/>
            <w:vAlign w:val="center"/>
          </w:tcPr>
          <w:p w14:paraId="0B3D8A2C">
            <w:pPr>
              <w:pStyle w:val="45"/>
              <w:rPr>
                <w:rFonts w:hint="eastAsia"/>
                <w:color w:val="auto"/>
              </w:rPr>
            </w:pPr>
            <w:r>
              <w:rPr>
                <w:color w:val="auto"/>
              </w:rPr>
              <w:t>良好</w:t>
            </w:r>
          </w:p>
        </w:tc>
        <w:tc>
          <w:tcPr>
            <w:tcW w:w="350" w:type="pct"/>
            <w:vAlign w:val="center"/>
          </w:tcPr>
          <w:p w14:paraId="52EA6884">
            <w:pPr>
              <w:pStyle w:val="45"/>
              <w:rPr>
                <w:rFonts w:hint="eastAsia"/>
                <w:color w:val="auto"/>
              </w:rPr>
            </w:pPr>
          </w:p>
        </w:tc>
      </w:tr>
      <w:tr w14:paraId="2EAF8D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D974FBE">
            <w:pPr>
              <w:pStyle w:val="45"/>
              <w:rPr>
                <w:rFonts w:hint="eastAsia"/>
                <w:color w:val="auto"/>
              </w:rPr>
            </w:pPr>
            <w:r>
              <w:rPr>
                <w:color w:val="auto"/>
              </w:rPr>
              <w:t>14</w:t>
            </w:r>
          </w:p>
        </w:tc>
        <w:tc>
          <w:tcPr>
            <w:tcW w:w="865" w:type="pct"/>
            <w:vAlign w:val="center"/>
          </w:tcPr>
          <w:p w14:paraId="00DAE187">
            <w:pPr>
              <w:pStyle w:val="45"/>
              <w:rPr>
                <w:rFonts w:hint="eastAsia"/>
                <w:color w:val="auto"/>
              </w:rPr>
            </w:pPr>
            <w:r>
              <w:rPr>
                <w:color w:val="auto"/>
              </w:rPr>
              <w:t>反铲挖掘机</w:t>
            </w:r>
          </w:p>
        </w:tc>
        <w:tc>
          <w:tcPr>
            <w:tcW w:w="737" w:type="pct"/>
            <w:vAlign w:val="center"/>
          </w:tcPr>
          <w:p w14:paraId="680A9FAE">
            <w:pPr>
              <w:pStyle w:val="45"/>
              <w:rPr>
                <w:rFonts w:hint="eastAsia"/>
                <w:color w:val="auto"/>
              </w:rPr>
            </w:pPr>
            <w:r>
              <w:rPr>
                <w:color w:val="auto"/>
              </w:rPr>
              <w:t>PC220</w:t>
            </w:r>
          </w:p>
        </w:tc>
        <w:tc>
          <w:tcPr>
            <w:tcW w:w="336" w:type="pct"/>
            <w:vAlign w:val="center"/>
          </w:tcPr>
          <w:p w14:paraId="7A9CB36B">
            <w:pPr>
              <w:pStyle w:val="45"/>
              <w:rPr>
                <w:rFonts w:hint="eastAsia"/>
                <w:color w:val="auto"/>
              </w:rPr>
            </w:pPr>
            <w:r>
              <w:rPr>
                <w:color w:val="auto"/>
              </w:rPr>
              <w:t>6</w:t>
            </w:r>
          </w:p>
        </w:tc>
        <w:tc>
          <w:tcPr>
            <w:tcW w:w="542" w:type="pct"/>
            <w:vAlign w:val="center"/>
          </w:tcPr>
          <w:p w14:paraId="689C1A09">
            <w:pPr>
              <w:pStyle w:val="45"/>
              <w:rPr>
                <w:rFonts w:hint="eastAsia"/>
                <w:color w:val="auto"/>
              </w:rPr>
            </w:pPr>
            <w:r>
              <w:rPr>
                <w:color w:val="auto"/>
              </w:rPr>
              <w:t>上海</w:t>
            </w:r>
          </w:p>
        </w:tc>
        <w:tc>
          <w:tcPr>
            <w:tcW w:w="619" w:type="pct"/>
            <w:vAlign w:val="center"/>
          </w:tcPr>
          <w:p w14:paraId="479FC960">
            <w:pPr>
              <w:pStyle w:val="45"/>
              <w:rPr>
                <w:rFonts w:hint="eastAsia"/>
                <w:color w:val="auto"/>
              </w:rPr>
            </w:pPr>
            <w:r>
              <w:rPr>
                <w:color w:val="auto"/>
              </w:rPr>
              <w:t>2017</w:t>
            </w:r>
          </w:p>
        </w:tc>
        <w:tc>
          <w:tcPr>
            <w:tcW w:w="667" w:type="pct"/>
            <w:vAlign w:val="center"/>
          </w:tcPr>
          <w:p w14:paraId="57FD3640">
            <w:pPr>
              <w:pStyle w:val="45"/>
              <w:rPr>
                <w:rFonts w:hint="eastAsia"/>
                <w:color w:val="auto"/>
              </w:rPr>
            </w:pPr>
            <w:r>
              <w:rPr>
                <w:color w:val="auto"/>
              </w:rPr>
              <w:t>柴油</w:t>
            </w:r>
          </w:p>
        </w:tc>
        <w:tc>
          <w:tcPr>
            <w:tcW w:w="548" w:type="pct"/>
            <w:vAlign w:val="center"/>
          </w:tcPr>
          <w:p w14:paraId="28170EF1">
            <w:pPr>
              <w:pStyle w:val="45"/>
              <w:rPr>
                <w:rFonts w:hint="eastAsia"/>
                <w:color w:val="auto"/>
              </w:rPr>
            </w:pPr>
            <w:r>
              <w:rPr>
                <w:color w:val="auto"/>
              </w:rPr>
              <w:t>良好</w:t>
            </w:r>
          </w:p>
        </w:tc>
        <w:tc>
          <w:tcPr>
            <w:tcW w:w="350" w:type="pct"/>
            <w:vAlign w:val="center"/>
          </w:tcPr>
          <w:p w14:paraId="17A4F74A">
            <w:pPr>
              <w:pStyle w:val="45"/>
              <w:rPr>
                <w:rFonts w:hint="eastAsia"/>
                <w:color w:val="auto"/>
              </w:rPr>
            </w:pPr>
          </w:p>
        </w:tc>
      </w:tr>
      <w:tr w14:paraId="346027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FC6DEA5">
            <w:pPr>
              <w:pStyle w:val="45"/>
              <w:rPr>
                <w:rFonts w:hint="eastAsia"/>
                <w:color w:val="auto"/>
              </w:rPr>
            </w:pPr>
            <w:r>
              <w:rPr>
                <w:color w:val="auto"/>
              </w:rPr>
              <w:t>15</w:t>
            </w:r>
          </w:p>
        </w:tc>
        <w:tc>
          <w:tcPr>
            <w:tcW w:w="865" w:type="pct"/>
            <w:vAlign w:val="center"/>
          </w:tcPr>
          <w:p w14:paraId="2B5832BD">
            <w:pPr>
              <w:pStyle w:val="45"/>
              <w:rPr>
                <w:rFonts w:hint="eastAsia"/>
                <w:color w:val="auto"/>
              </w:rPr>
            </w:pPr>
            <w:r>
              <w:rPr>
                <w:color w:val="auto"/>
              </w:rPr>
              <w:t>自卸汽车</w:t>
            </w:r>
          </w:p>
        </w:tc>
        <w:tc>
          <w:tcPr>
            <w:tcW w:w="737" w:type="pct"/>
            <w:vAlign w:val="center"/>
          </w:tcPr>
          <w:p w14:paraId="719F4B7B">
            <w:pPr>
              <w:pStyle w:val="45"/>
              <w:rPr>
                <w:rFonts w:hint="eastAsia"/>
                <w:color w:val="auto"/>
              </w:rPr>
            </w:pPr>
            <w:r>
              <w:rPr>
                <w:rFonts w:hint="eastAsia"/>
                <w:color w:val="auto"/>
              </w:rPr>
              <w:t>8</w:t>
            </w:r>
            <w:r>
              <w:rPr>
                <w:color w:val="auto"/>
              </w:rPr>
              <w:t>m³</w:t>
            </w:r>
          </w:p>
        </w:tc>
        <w:tc>
          <w:tcPr>
            <w:tcW w:w="336" w:type="pct"/>
            <w:vAlign w:val="center"/>
          </w:tcPr>
          <w:p w14:paraId="071FB130">
            <w:pPr>
              <w:pStyle w:val="45"/>
              <w:rPr>
                <w:rFonts w:hint="eastAsia"/>
                <w:color w:val="auto"/>
              </w:rPr>
            </w:pPr>
            <w:r>
              <w:rPr>
                <w:rFonts w:hint="eastAsia"/>
                <w:color w:val="auto"/>
              </w:rPr>
              <w:t>4</w:t>
            </w:r>
            <w:r>
              <w:rPr>
                <w:color w:val="auto"/>
              </w:rPr>
              <w:t>0</w:t>
            </w:r>
          </w:p>
        </w:tc>
        <w:tc>
          <w:tcPr>
            <w:tcW w:w="542" w:type="pct"/>
            <w:vAlign w:val="center"/>
          </w:tcPr>
          <w:p w14:paraId="65DD2985">
            <w:pPr>
              <w:pStyle w:val="45"/>
              <w:rPr>
                <w:rFonts w:hint="eastAsia"/>
                <w:color w:val="auto"/>
              </w:rPr>
            </w:pPr>
            <w:r>
              <w:rPr>
                <w:color w:val="auto"/>
              </w:rPr>
              <w:t>国产</w:t>
            </w:r>
          </w:p>
        </w:tc>
        <w:tc>
          <w:tcPr>
            <w:tcW w:w="619" w:type="pct"/>
            <w:vAlign w:val="center"/>
          </w:tcPr>
          <w:p w14:paraId="708EBE29">
            <w:pPr>
              <w:pStyle w:val="45"/>
              <w:rPr>
                <w:rFonts w:hint="eastAsia"/>
                <w:color w:val="auto"/>
              </w:rPr>
            </w:pPr>
            <w:r>
              <w:rPr>
                <w:color w:val="auto"/>
              </w:rPr>
              <w:t>2017</w:t>
            </w:r>
          </w:p>
        </w:tc>
        <w:tc>
          <w:tcPr>
            <w:tcW w:w="667" w:type="pct"/>
            <w:vAlign w:val="center"/>
          </w:tcPr>
          <w:p w14:paraId="2F222BD9">
            <w:pPr>
              <w:pStyle w:val="45"/>
              <w:rPr>
                <w:rFonts w:hint="eastAsia"/>
                <w:color w:val="auto"/>
              </w:rPr>
            </w:pPr>
            <w:r>
              <w:rPr>
                <w:color w:val="auto"/>
              </w:rPr>
              <w:t>/</w:t>
            </w:r>
          </w:p>
        </w:tc>
        <w:tc>
          <w:tcPr>
            <w:tcW w:w="548" w:type="pct"/>
            <w:vAlign w:val="center"/>
          </w:tcPr>
          <w:p w14:paraId="4CF8EE89">
            <w:pPr>
              <w:pStyle w:val="45"/>
              <w:rPr>
                <w:rFonts w:hint="eastAsia"/>
                <w:color w:val="auto"/>
              </w:rPr>
            </w:pPr>
            <w:r>
              <w:rPr>
                <w:color w:val="auto"/>
              </w:rPr>
              <w:t>良好</w:t>
            </w:r>
          </w:p>
        </w:tc>
        <w:tc>
          <w:tcPr>
            <w:tcW w:w="350" w:type="pct"/>
            <w:vAlign w:val="center"/>
          </w:tcPr>
          <w:p w14:paraId="04E3DB49">
            <w:pPr>
              <w:pStyle w:val="45"/>
              <w:rPr>
                <w:rFonts w:hint="eastAsia"/>
                <w:color w:val="auto"/>
              </w:rPr>
            </w:pPr>
          </w:p>
        </w:tc>
      </w:tr>
      <w:tr w14:paraId="0136E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tcBorders>
              <w:bottom w:val="single" w:color="000000" w:sz="6" w:space="0"/>
            </w:tcBorders>
            <w:vAlign w:val="center"/>
          </w:tcPr>
          <w:p w14:paraId="67C54700">
            <w:pPr>
              <w:pStyle w:val="45"/>
              <w:rPr>
                <w:rFonts w:hint="eastAsia"/>
                <w:color w:val="auto"/>
              </w:rPr>
            </w:pPr>
            <w:r>
              <w:rPr>
                <w:color w:val="auto"/>
              </w:rPr>
              <w:t>16</w:t>
            </w:r>
          </w:p>
        </w:tc>
        <w:tc>
          <w:tcPr>
            <w:tcW w:w="865" w:type="pct"/>
            <w:tcBorders>
              <w:bottom w:val="single" w:color="000000" w:sz="6" w:space="0"/>
            </w:tcBorders>
            <w:vAlign w:val="center"/>
          </w:tcPr>
          <w:p w14:paraId="1641AB96">
            <w:pPr>
              <w:pStyle w:val="45"/>
              <w:rPr>
                <w:rFonts w:hint="eastAsia"/>
                <w:color w:val="auto"/>
              </w:rPr>
            </w:pPr>
            <w:r>
              <w:rPr>
                <w:color w:val="auto"/>
              </w:rPr>
              <w:t>钢筋弯曲机</w:t>
            </w:r>
          </w:p>
        </w:tc>
        <w:tc>
          <w:tcPr>
            <w:tcW w:w="737" w:type="pct"/>
            <w:tcBorders>
              <w:bottom w:val="single" w:color="000000" w:sz="6" w:space="0"/>
            </w:tcBorders>
            <w:vAlign w:val="center"/>
          </w:tcPr>
          <w:p w14:paraId="70605223">
            <w:pPr>
              <w:pStyle w:val="45"/>
              <w:rPr>
                <w:rFonts w:hint="eastAsia"/>
                <w:color w:val="auto"/>
              </w:rPr>
            </w:pPr>
            <w:r>
              <w:rPr>
                <w:color w:val="auto"/>
              </w:rPr>
              <w:t>GW40</w:t>
            </w:r>
          </w:p>
        </w:tc>
        <w:tc>
          <w:tcPr>
            <w:tcW w:w="336" w:type="pct"/>
            <w:tcBorders>
              <w:bottom w:val="single" w:color="000000" w:sz="6" w:space="0"/>
            </w:tcBorders>
            <w:vAlign w:val="center"/>
          </w:tcPr>
          <w:p w14:paraId="3A3BEED8">
            <w:pPr>
              <w:pStyle w:val="45"/>
              <w:rPr>
                <w:rFonts w:hint="eastAsia"/>
                <w:color w:val="auto"/>
              </w:rPr>
            </w:pPr>
            <w:r>
              <w:rPr>
                <w:rFonts w:hint="eastAsia"/>
                <w:color w:val="auto"/>
              </w:rPr>
              <w:t>3</w:t>
            </w:r>
          </w:p>
        </w:tc>
        <w:tc>
          <w:tcPr>
            <w:tcW w:w="542" w:type="pct"/>
            <w:tcBorders>
              <w:bottom w:val="single" w:color="000000" w:sz="6" w:space="0"/>
            </w:tcBorders>
            <w:vAlign w:val="center"/>
          </w:tcPr>
          <w:p w14:paraId="28469E20">
            <w:pPr>
              <w:pStyle w:val="45"/>
              <w:rPr>
                <w:rFonts w:hint="eastAsia"/>
                <w:color w:val="auto"/>
              </w:rPr>
            </w:pPr>
            <w:r>
              <w:rPr>
                <w:color w:val="auto"/>
              </w:rPr>
              <w:t>重庆</w:t>
            </w:r>
          </w:p>
        </w:tc>
        <w:tc>
          <w:tcPr>
            <w:tcW w:w="619" w:type="pct"/>
            <w:tcBorders>
              <w:bottom w:val="single" w:color="000000" w:sz="6" w:space="0"/>
            </w:tcBorders>
            <w:vAlign w:val="center"/>
          </w:tcPr>
          <w:p w14:paraId="382CFA4E">
            <w:pPr>
              <w:pStyle w:val="45"/>
              <w:rPr>
                <w:rFonts w:hint="eastAsia"/>
                <w:color w:val="auto"/>
              </w:rPr>
            </w:pPr>
            <w:r>
              <w:rPr>
                <w:color w:val="auto"/>
              </w:rPr>
              <w:t>2017</w:t>
            </w:r>
          </w:p>
        </w:tc>
        <w:tc>
          <w:tcPr>
            <w:tcW w:w="667" w:type="pct"/>
            <w:tcBorders>
              <w:bottom w:val="single" w:color="000000" w:sz="6" w:space="0"/>
            </w:tcBorders>
            <w:vAlign w:val="center"/>
          </w:tcPr>
          <w:p w14:paraId="308B6385">
            <w:pPr>
              <w:pStyle w:val="45"/>
              <w:rPr>
                <w:rFonts w:hint="eastAsia"/>
                <w:color w:val="auto"/>
              </w:rPr>
            </w:pPr>
            <w:r>
              <w:rPr>
                <w:color w:val="auto"/>
              </w:rPr>
              <w:t>3</w:t>
            </w:r>
          </w:p>
        </w:tc>
        <w:tc>
          <w:tcPr>
            <w:tcW w:w="548" w:type="pct"/>
            <w:tcBorders>
              <w:bottom w:val="single" w:color="000000" w:sz="6" w:space="0"/>
            </w:tcBorders>
            <w:vAlign w:val="center"/>
          </w:tcPr>
          <w:p w14:paraId="6E75AF58">
            <w:pPr>
              <w:pStyle w:val="45"/>
              <w:rPr>
                <w:rFonts w:hint="eastAsia"/>
                <w:color w:val="auto"/>
              </w:rPr>
            </w:pPr>
            <w:r>
              <w:rPr>
                <w:color w:val="auto"/>
              </w:rPr>
              <w:t>良好</w:t>
            </w:r>
          </w:p>
        </w:tc>
        <w:tc>
          <w:tcPr>
            <w:tcW w:w="350" w:type="pct"/>
            <w:tcBorders>
              <w:bottom w:val="single" w:color="000000" w:sz="6" w:space="0"/>
            </w:tcBorders>
            <w:vAlign w:val="center"/>
          </w:tcPr>
          <w:p w14:paraId="33D4AE7E">
            <w:pPr>
              <w:pStyle w:val="45"/>
              <w:rPr>
                <w:rFonts w:hint="eastAsia"/>
                <w:color w:val="auto"/>
              </w:rPr>
            </w:pPr>
          </w:p>
        </w:tc>
      </w:tr>
      <w:tr w14:paraId="33145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tcBorders>
              <w:top w:val="single" w:color="000000" w:sz="6" w:space="0"/>
            </w:tcBorders>
            <w:vAlign w:val="center"/>
          </w:tcPr>
          <w:p w14:paraId="31E5FC78">
            <w:pPr>
              <w:pStyle w:val="45"/>
              <w:rPr>
                <w:rFonts w:hint="eastAsia"/>
                <w:color w:val="auto"/>
              </w:rPr>
            </w:pPr>
            <w:r>
              <w:rPr>
                <w:color w:val="auto"/>
              </w:rPr>
              <w:t>17</w:t>
            </w:r>
          </w:p>
        </w:tc>
        <w:tc>
          <w:tcPr>
            <w:tcW w:w="865" w:type="pct"/>
            <w:tcBorders>
              <w:top w:val="single" w:color="000000" w:sz="6" w:space="0"/>
            </w:tcBorders>
            <w:vAlign w:val="center"/>
          </w:tcPr>
          <w:p w14:paraId="5F135D63">
            <w:pPr>
              <w:pStyle w:val="45"/>
              <w:rPr>
                <w:rFonts w:hint="eastAsia"/>
                <w:color w:val="auto"/>
              </w:rPr>
            </w:pPr>
            <w:r>
              <w:rPr>
                <w:color w:val="auto"/>
              </w:rPr>
              <w:t>钢筋切断机</w:t>
            </w:r>
          </w:p>
        </w:tc>
        <w:tc>
          <w:tcPr>
            <w:tcW w:w="737" w:type="pct"/>
            <w:tcBorders>
              <w:top w:val="single" w:color="000000" w:sz="6" w:space="0"/>
            </w:tcBorders>
            <w:vAlign w:val="center"/>
          </w:tcPr>
          <w:p w14:paraId="04F2837C">
            <w:pPr>
              <w:pStyle w:val="45"/>
              <w:rPr>
                <w:rFonts w:hint="eastAsia"/>
                <w:color w:val="auto"/>
              </w:rPr>
            </w:pPr>
            <w:r>
              <w:rPr>
                <w:color w:val="auto"/>
              </w:rPr>
              <w:t>GQ40</w:t>
            </w:r>
          </w:p>
        </w:tc>
        <w:tc>
          <w:tcPr>
            <w:tcW w:w="336" w:type="pct"/>
            <w:tcBorders>
              <w:top w:val="single" w:color="000000" w:sz="6" w:space="0"/>
            </w:tcBorders>
            <w:vAlign w:val="center"/>
          </w:tcPr>
          <w:p w14:paraId="66AAE60A">
            <w:pPr>
              <w:pStyle w:val="45"/>
              <w:rPr>
                <w:rFonts w:hint="eastAsia"/>
                <w:color w:val="auto"/>
              </w:rPr>
            </w:pPr>
            <w:r>
              <w:rPr>
                <w:rFonts w:hint="eastAsia"/>
                <w:color w:val="auto"/>
              </w:rPr>
              <w:t>3</w:t>
            </w:r>
          </w:p>
        </w:tc>
        <w:tc>
          <w:tcPr>
            <w:tcW w:w="542" w:type="pct"/>
            <w:tcBorders>
              <w:top w:val="single" w:color="000000" w:sz="6" w:space="0"/>
            </w:tcBorders>
            <w:vAlign w:val="center"/>
          </w:tcPr>
          <w:p w14:paraId="4547FE1A">
            <w:pPr>
              <w:pStyle w:val="45"/>
              <w:rPr>
                <w:rFonts w:hint="eastAsia"/>
                <w:color w:val="auto"/>
              </w:rPr>
            </w:pPr>
            <w:r>
              <w:rPr>
                <w:color w:val="auto"/>
              </w:rPr>
              <w:t>重庆</w:t>
            </w:r>
          </w:p>
        </w:tc>
        <w:tc>
          <w:tcPr>
            <w:tcW w:w="619" w:type="pct"/>
            <w:tcBorders>
              <w:top w:val="single" w:color="000000" w:sz="6" w:space="0"/>
            </w:tcBorders>
            <w:vAlign w:val="center"/>
          </w:tcPr>
          <w:p w14:paraId="75EBF792">
            <w:pPr>
              <w:pStyle w:val="45"/>
              <w:rPr>
                <w:rFonts w:hint="eastAsia"/>
                <w:color w:val="auto"/>
              </w:rPr>
            </w:pPr>
            <w:r>
              <w:rPr>
                <w:color w:val="auto"/>
              </w:rPr>
              <w:t>2018</w:t>
            </w:r>
          </w:p>
        </w:tc>
        <w:tc>
          <w:tcPr>
            <w:tcW w:w="667" w:type="pct"/>
            <w:tcBorders>
              <w:top w:val="single" w:color="000000" w:sz="6" w:space="0"/>
            </w:tcBorders>
            <w:vAlign w:val="center"/>
          </w:tcPr>
          <w:p w14:paraId="78858ADB">
            <w:pPr>
              <w:pStyle w:val="45"/>
              <w:rPr>
                <w:rFonts w:hint="eastAsia"/>
                <w:color w:val="auto"/>
              </w:rPr>
            </w:pPr>
            <w:r>
              <w:rPr>
                <w:color w:val="auto"/>
              </w:rPr>
              <w:t>4</w:t>
            </w:r>
          </w:p>
        </w:tc>
        <w:tc>
          <w:tcPr>
            <w:tcW w:w="548" w:type="pct"/>
            <w:tcBorders>
              <w:top w:val="single" w:color="000000" w:sz="6" w:space="0"/>
            </w:tcBorders>
            <w:vAlign w:val="center"/>
          </w:tcPr>
          <w:p w14:paraId="362CE646">
            <w:pPr>
              <w:pStyle w:val="45"/>
              <w:rPr>
                <w:rFonts w:hint="eastAsia"/>
                <w:color w:val="auto"/>
              </w:rPr>
            </w:pPr>
            <w:r>
              <w:rPr>
                <w:color w:val="auto"/>
              </w:rPr>
              <w:t>良好</w:t>
            </w:r>
          </w:p>
        </w:tc>
        <w:tc>
          <w:tcPr>
            <w:tcW w:w="350" w:type="pct"/>
            <w:tcBorders>
              <w:top w:val="single" w:color="000000" w:sz="6" w:space="0"/>
            </w:tcBorders>
            <w:vAlign w:val="center"/>
          </w:tcPr>
          <w:p w14:paraId="738AE8DD">
            <w:pPr>
              <w:pStyle w:val="45"/>
              <w:rPr>
                <w:rFonts w:hint="eastAsia"/>
                <w:color w:val="auto"/>
              </w:rPr>
            </w:pPr>
          </w:p>
        </w:tc>
      </w:tr>
      <w:tr w14:paraId="441C3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2DD55BF4">
            <w:pPr>
              <w:pStyle w:val="45"/>
              <w:rPr>
                <w:rFonts w:hint="eastAsia"/>
                <w:color w:val="auto"/>
              </w:rPr>
            </w:pPr>
            <w:r>
              <w:rPr>
                <w:color w:val="auto"/>
              </w:rPr>
              <w:t>18</w:t>
            </w:r>
          </w:p>
        </w:tc>
        <w:tc>
          <w:tcPr>
            <w:tcW w:w="865" w:type="pct"/>
            <w:vAlign w:val="center"/>
          </w:tcPr>
          <w:p w14:paraId="6D35676B">
            <w:pPr>
              <w:pStyle w:val="45"/>
              <w:rPr>
                <w:rFonts w:hint="eastAsia"/>
                <w:color w:val="auto"/>
              </w:rPr>
            </w:pPr>
            <w:r>
              <w:rPr>
                <w:color w:val="auto"/>
              </w:rPr>
              <w:t>钢筋调直机</w:t>
            </w:r>
          </w:p>
        </w:tc>
        <w:tc>
          <w:tcPr>
            <w:tcW w:w="737" w:type="pct"/>
            <w:vAlign w:val="center"/>
          </w:tcPr>
          <w:p w14:paraId="34CD7486">
            <w:pPr>
              <w:pStyle w:val="45"/>
              <w:rPr>
                <w:rFonts w:hint="eastAsia"/>
                <w:color w:val="auto"/>
              </w:rPr>
            </w:pPr>
            <w:r>
              <w:rPr>
                <w:color w:val="auto"/>
              </w:rPr>
              <w:t>JK3</w:t>
            </w:r>
          </w:p>
        </w:tc>
        <w:tc>
          <w:tcPr>
            <w:tcW w:w="336" w:type="pct"/>
            <w:vAlign w:val="center"/>
          </w:tcPr>
          <w:p w14:paraId="48FC0DDF">
            <w:pPr>
              <w:pStyle w:val="45"/>
              <w:rPr>
                <w:rFonts w:hint="eastAsia"/>
                <w:color w:val="auto"/>
              </w:rPr>
            </w:pPr>
            <w:r>
              <w:rPr>
                <w:rFonts w:hint="eastAsia"/>
                <w:color w:val="auto"/>
              </w:rPr>
              <w:t>3</w:t>
            </w:r>
          </w:p>
        </w:tc>
        <w:tc>
          <w:tcPr>
            <w:tcW w:w="542" w:type="pct"/>
            <w:vAlign w:val="center"/>
          </w:tcPr>
          <w:p w14:paraId="08AD1203">
            <w:pPr>
              <w:pStyle w:val="45"/>
              <w:rPr>
                <w:rFonts w:hint="eastAsia"/>
                <w:color w:val="auto"/>
              </w:rPr>
            </w:pPr>
            <w:r>
              <w:rPr>
                <w:color w:val="auto"/>
              </w:rPr>
              <w:t>重庆</w:t>
            </w:r>
          </w:p>
        </w:tc>
        <w:tc>
          <w:tcPr>
            <w:tcW w:w="619" w:type="pct"/>
            <w:vAlign w:val="center"/>
          </w:tcPr>
          <w:p w14:paraId="7298A313">
            <w:pPr>
              <w:pStyle w:val="45"/>
              <w:rPr>
                <w:rFonts w:hint="eastAsia"/>
                <w:color w:val="auto"/>
              </w:rPr>
            </w:pPr>
            <w:r>
              <w:rPr>
                <w:color w:val="auto"/>
              </w:rPr>
              <w:t>2018</w:t>
            </w:r>
          </w:p>
        </w:tc>
        <w:tc>
          <w:tcPr>
            <w:tcW w:w="667" w:type="pct"/>
            <w:vAlign w:val="center"/>
          </w:tcPr>
          <w:p w14:paraId="64B513A0">
            <w:pPr>
              <w:pStyle w:val="45"/>
              <w:rPr>
                <w:rFonts w:hint="eastAsia"/>
                <w:color w:val="auto"/>
              </w:rPr>
            </w:pPr>
            <w:r>
              <w:rPr>
                <w:color w:val="auto"/>
              </w:rPr>
              <w:t>7</w:t>
            </w:r>
          </w:p>
        </w:tc>
        <w:tc>
          <w:tcPr>
            <w:tcW w:w="548" w:type="pct"/>
            <w:vAlign w:val="center"/>
          </w:tcPr>
          <w:p w14:paraId="11BEC78E">
            <w:pPr>
              <w:pStyle w:val="45"/>
              <w:rPr>
                <w:rFonts w:hint="eastAsia"/>
                <w:color w:val="auto"/>
              </w:rPr>
            </w:pPr>
            <w:r>
              <w:rPr>
                <w:color w:val="auto"/>
              </w:rPr>
              <w:t>良好</w:t>
            </w:r>
          </w:p>
        </w:tc>
        <w:tc>
          <w:tcPr>
            <w:tcW w:w="350" w:type="pct"/>
            <w:vAlign w:val="center"/>
          </w:tcPr>
          <w:p w14:paraId="5EFA51AD">
            <w:pPr>
              <w:pStyle w:val="45"/>
              <w:rPr>
                <w:rFonts w:hint="eastAsia"/>
                <w:color w:val="auto"/>
              </w:rPr>
            </w:pPr>
          </w:p>
        </w:tc>
      </w:tr>
      <w:tr w14:paraId="7D0C70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8A17C7E">
            <w:pPr>
              <w:pStyle w:val="45"/>
              <w:rPr>
                <w:rFonts w:hint="eastAsia"/>
                <w:color w:val="auto"/>
              </w:rPr>
            </w:pPr>
            <w:r>
              <w:rPr>
                <w:color w:val="auto"/>
              </w:rPr>
              <w:t>19</w:t>
            </w:r>
          </w:p>
        </w:tc>
        <w:tc>
          <w:tcPr>
            <w:tcW w:w="865" w:type="pct"/>
            <w:vAlign w:val="center"/>
          </w:tcPr>
          <w:p w14:paraId="3631A958">
            <w:pPr>
              <w:pStyle w:val="45"/>
              <w:rPr>
                <w:rFonts w:hint="eastAsia"/>
                <w:color w:val="auto"/>
              </w:rPr>
            </w:pPr>
            <w:r>
              <w:rPr>
                <w:color w:val="auto"/>
              </w:rPr>
              <w:t>直螺纹套丝机</w:t>
            </w:r>
          </w:p>
        </w:tc>
        <w:tc>
          <w:tcPr>
            <w:tcW w:w="737" w:type="pct"/>
            <w:vAlign w:val="center"/>
          </w:tcPr>
          <w:p w14:paraId="2A3A57F5">
            <w:pPr>
              <w:pStyle w:val="45"/>
              <w:rPr>
                <w:rFonts w:hint="eastAsia"/>
                <w:color w:val="auto"/>
              </w:rPr>
            </w:pPr>
            <w:r>
              <w:rPr>
                <w:color w:val="auto"/>
              </w:rPr>
              <w:t>15-15</w:t>
            </w:r>
          </w:p>
        </w:tc>
        <w:tc>
          <w:tcPr>
            <w:tcW w:w="336" w:type="pct"/>
            <w:vAlign w:val="center"/>
          </w:tcPr>
          <w:p w14:paraId="1B4D1451">
            <w:pPr>
              <w:pStyle w:val="45"/>
              <w:rPr>
                <w:rFonts w:hint="eastAsia"/>
                <w:color w:val="auto"/>
              </w:rPr>
            </w:pPr>
            <w:r>
              <w:rPr>
                <w:rFonts w:hint="eastAsia"/>
                <w:color w:val="auto"/>
              </w:rPr>
              <w:t>2</w:t>
            </w:r>
          </w:p>
        </w:tc>
        <w:tc>
          <w:tcPr>
            <w:tcW w:w="542" w:type="pct"/>
            <w:vAlign w:val="center"/>
          </w:tcPr>
          <w:p w14:paraId="771137BF">
            <w:pPr>
              <w:pStyle w:val="45"/>
              <w:rPr>
                <w:rFonts w:hint="eastAsia"/>
                <w:color w:val="auto"/>
              </w:rPr>
            </w:pPr>
            <w:r>
              <w:rPr>
                <w:color w:val="auto"/>
              </w:rPr>
              <w:t>广东</w:t>
            </w:r>
          </w:p>
        </w:tc>
        <w:tc>
          <w:tcPr>
            <w:tcW w:w="619" w:type="pct"/>
            <w:vAlign w:val="center"/>
          </w:tcPr>
          <w:p w14:paraId="6A948FCC">
            <w:pPr>
              <w:pStyle w:val="45"/>
              <w:rPr>
                <w:rFonts w:hint="eastAsia"/>
                <w:color w:val="auto"/>
              </w:rPr>
            </w:pPr>
            <w:r>
              <w:rPr>
                <w:color w:val="auto"/>
              </w:rPr>
              <w:t>2018</w:t>
            </w:r>
          </w:p>
        </w:tc>
        <w:tc>
          <w:tcPr>
            <w:tcW w:w="667" w:type="pct"/>
            <w:vAlign w:val="center"/>
          </w:tcPr>
          <w:p w14:paraId="605D7739">
            <w:pPr>
              <w:pStyle w:val="45"/>
              <w:rPr>
                <w:rFonts w:hint="eastAsia"/>
                <w:color w:val="auto"/>
              </w:rPr>
            </w:pPr>
            <w:r>
              <w:rPr>
                <w:color w:val="auto"/>
              </w:rPr>
              <w:t>4</w:t>
            </w:r>
          </w:p>
        </w:tc>
        <w:tc>
          <w:tcPr>
            <w:tcW w:w="548" w:type="pct"/>
            <w:vAlign w:val="center"/>
          </w:tcPr>
          <w:p w14:paraId="7CB3B80B">
            <w:pPr>
              <w:pStyle w:val="45"/>
              <w:rPr>
                <w:rFonts w:hint="eastAsia"/>
                <w:color w:val="auto"/>
              </w:rPr>
            </w:pPr>
            <w:r>
              <w:rPr>
                <w:color w:val="auto"/>
              </w:rPr>
              <w:t>良好</w:t>
            </w:r>
          </w:p>
        </w:tc>
        <w:tc>
          <w:tcPr>
            <w:tcW w:w="350" w:type="pct"/>
            <w:vAlign w:val="center"/>
          </w:tcPr>
          <w:p w14:paraId="15A8853F">
            <w:pPr>
              <w:pStyle w:val="45"/>
              <w:rPr>
                <w:rFonts w:hint="eastAsia"/>
                <w:color w:val="auto"/>
              </w:rPr>
            </w:pPr>
          </w:p>
        </w:tc>
      </w:tr>
      <w:tr w14:paraId="6FBF8D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1360B82">
            <w:pPr>
              <w:pStyle w:val="45"/>
              <w:rPr>
                <w:rFonts w:hint="eastAsia"/>
                <w:color w:val="auto"/>
              </w:rPr>
            </w:pPr>
            <w:r>
              <w:rPr>
                <w:rFonts w:hint="eastAsia"/>
                <w:color w:val="auto"/>
              </w:rPr>
              <w:t>2</w:t>
            </w:r>
            <w:r>
              <w:rPr>
                <w:color w:val="auto"/>
              </w:rPr>
              <w:t>0</w:t>
            </w:r>
          </w:p>
        </w:tc>
        <w:tc>
          <w:tcPr>
            <w:tcW w:w="865" w:type="pct"/>
            <w:vAlign w:val="center"/>
          </w:tcPr>
          <w:p w14:paraId="7164678B">
            <w:pPr>
              <w:pStyle w:val="45"/>
              <w:rPr>
                <w:rFonts w:hint="eastAsia"/>
                <w:color w:val="auto"/>
              </w:rPr>
            </w:pPr>
            <w:r>
              <w:rPr>
                <w:color w:val="auto"/>
              </w:rPr>
              <w:t>圆盘锯</w:t>
            </w:r>
          </w:p>
        </w:tc>
        <w:tc>
          <w:tcPr>
            <w:tcW w:w="737" w:type="pct"/>
            <w:vAlign w:val="center"/>
          </w:tcPr>
          <w:p w14:paraId="33E54039">
            <w:pPr>
              <w:pStyle w:val="45"/>
              <w:rPr>
                <w:rFonts w:hint="eastAsia"/>
                <w:color w:val="auto"/>
              </w:rPr>
            </w:pPr>
            <w:r>
              <w:rPr>
                <w:color w:val="auto"/>
              </w:rPr>
              <w:t>MJ105</w:t>
            </w:r>
          </w:p>
        </w:tc>
        <w:tc>
          <w:tcPr>
            <w:tcW w:w="336" w:type="pct"/>
            <w:vAlign w:val="center"/>
          </w:tcPr>
          <w:p w14:paraId="7CDDA6F1">
            <w:pPr>
              <w:pStyle w:val="45"/>
              <w:rPr>
                <w:rFonts w:hint="eastAsia"/>
                <w:color w:val="auto"/>
              </w:rPr>
            </w:pPr>
            <w:r>
              <w:rPr>
                <w:rFonts w:hint="eastAsia"/>
                <w:color w:val="auto"/>
              </w:rPr>
              <w:t>4</w:t>
            </w:r>
          </w:p>
        </w:tc>
        <w:tc>
          <w:tcPr>
            <w:tcW w:w="542" w:type="pct"/>
            <w:vAlign w:val="center"/>
          </w:tcPr>
          <w:p w14:paraId="5E5A5C64">
            <w:pPr>
              <w:pStyle w:val="45"/>
              <w:rPr>
                <w:rFonts w:hint="eastAsia"/>
                <w:color w:val="auto"/>
              </w:rPr>
            </w:pPr>
            <w:r>
              <w:rPr>
                <w:color w:val="auto"/>
              </w:rPr>
              <w:t>汕头</w:t>
            </w:r>
          </w:p>
        </w:tc>
        <w:tc>
          <w:tcPr>
            <w:tcW w:w="619" w:type="pct"/>
            <w:vAlign w:val="center"/>
          </w:tcPr>
          <w:p w14:paraId="4B975772">
            <w:pPr>
              <w:pStyle w:val="45"/>
              <w:rPr>
                <w:rFonts w:hint="eastAsia"/>
                <w:color w:val="auto"/>
              </w:rPr>
            </w:pPr>
            <w:r>
              <w:rPr>
                <w:color w:val="auto"/>
              </w:rPr>
              <w:t>2018</w:t>
            </w:r>
          </w:p>
        </w:tc>
        <w:tc>
          <w:tcPr>
            <w:tcW w:w="667" w:type="pct"/>
            <w:vAlign w:val="center"/>
          </w:tcPr>
          <w:p w14:paraId="08029891">
            <w:pPr>
              <w:pStyle w:val="45"/>
              <w:rPr>
                <w:rFonts w:hint="eastAsia"/>
                <w:color w:val="auto"/>
              </w:rPr>
            </w:pPr>
            <w:r>
              <w:rPr>
                <w:color w:val="auto"/>
              </w:rPr>
              <w:t>2</w:t>
            </w:r>
          </w:p>
        </w:tc>
        <w:tc>
          <w:tcPr>
            <w:tcW w:w="548" w:type="pct"/>
            <w:vAlign w:val="center"/>
          </w:tcPr>
          <w:p w14:paraId="66A3B895">
            <w:pPr>
              <w:pStyle w:val="45"/>
              <w:rPr>
                <w:rFonts w:hint="eastAsia"/>
                <w:color w:val="auto"/>
              </w:rPr>
            </w:pPr>
            <w:r>
              <w:rPr>
                <w:color w:val="auto"/>
              </w:rPr>
              <w:t>良好</w:t>
            </w:r>
          </w:p>
        </w:tc>
        <w:tc>
          <w:tcPr>
            <w:tcW w:w="350" w:type="pct"/>
            <w:vAlign w:val="center"/>
          </w:tcPr>
          <w:p w14:paraId="31ED1807">
            <w:pPr>
              <w:pStyle w:val="45"/>
              <w:rPr>
                <w:rFonts w:hint="eastAsia"/>
                <w:color w:val="auto"/>
              </w:rPr>
            </w:pPr>
          </w:p>
        </w:tc>
      </w:tr>
      <w:tr w14:paraId="5D66EC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22A8043F">
            <w:pPr>
              <w:pStyle w:val="45"/>
              <w:rPr>
                <w:rFonts w:hint="eastAsia"/>
                <w:color w:val="auto"/>
              </w:rPr>
            </w:pPr>
            <w:r>
              <w:rPr>
                <w:rFonts w:hint="eastAsia"/>
                <w:color w:val="auto"/>
              </w:rPr>
              <w:t>2</w:t>
            </w:r>
            <w:r>
              <w:rPr>
                <w:color w:val="auto"/>
              </w:rPr>
              <w:t>1</w:t>
            </w:r>
          </w:p>
        </w:tc>
        <w:tc>
          <w:tcPr>
            <w:tcW w:w="865" w:type="pct"/>
            <w:vAlign w:val="center"/>
          </w:tcPr>
          <w:p w14:paraId="22B79A76">
            <w:pPr>
              <w:pStyle w:val="45"/>
              <w:rPr>
                <w:rFonts w:hint="eastAsia"/>
                <w:color w:val="auto"/>
              </w:rPr>
            </w:pPr>
            <w:r>
              <w:rPr>
                <w:color w:val="auto"/>
              </w:rPr>
              <w:t>手提电锯</w:t>
            </w:r>
          </w:p>
        </w:tc>
        <w:tc>
          <w:tcPr>
            <w:tcW w:w="737" w:type="pct"/>
            <w:vAlign w:val="center"/>
          </w:tcPr>
          <w:p w14:paraId="78AD75D5">
            <w:pPr>
              <w:pStyle w:val="45"/>
              <w:rPr>
                <w:rFonts w:hint="eastAsia"/>
                <w:color w:val="auto"/>
              </w:rPr>
            </w:pPr>
            <w:r>
              <w:rPr>
                <w:color w:val="auto"/>
              </w:rPr>
              <w:t>MJ50</w:t>
            </w:r>
          </w:p>
        </w:tc>
        <w:tc>
          <w:tcPr>
            <w:tcW w:w="336" w:type="pct"/>
            <w:vAlign w:val="center"/>
          </w:tcPr>
          <w:p w14:paraId="318E6BD5">
            <w:pPr>
              <w:pStyle w:val="45"/>
              <w:rPr>
                <w:rFonts w:hint="eastAsia"/>
                <w:color w:val="auto"/>
              </w:rPr>
            </w:pPr>
            <w:r>
              <w:rPr>
                <w:rFonts w:hint="eastAsia"/>
                <w:color w:val="auto"/>
              </w:rPr>
              <w:t>8</w:t>
            </w:r>
          </w:p>
        </w:tc>
        <w:tc>
          <w:tcPr>
            <w:tcW w:w="542" w:type="pct"/>
            <w:vAlign w:val="center"/>
          </w:tcPr>
          <w:p w14:paraId="3FCBA32B">
            <w:pPr>
              <w:pStyle w:val="45"/>
              <w:rPr>
                <w:rFonts w:hint="eastAsia"/>
                <w:color w:val="auto"/>
              </w:rPr>
            </w:pPr>
            <w:r>
              <w:rPr>
                <w:color w:val="auto"/>
              </w:rPr>
              <w:t>汕头</w:t>
            </w:r>
          </w:p>
        </w:tc>
        <w:tc>
          <w:tcPr>
            <w:tcW w:w="619" w:type="pct"/>
            <w:vAlign w:val="center"/>
          </w:tcPr>
          <w:p w14:paraId="023F8BD5">
            <w:pPr>
              <w:pStyle w:val="45"/>
              <w:rPr>
                <w:rFonts w:hint="eastAsia"/>
                <w:color w:val="auto"/>
              </w:rPr>
            </w:pPr>
            <w:r>
              <w:rPr>
                <w:color w:val="auto"/>
              </w:rPr>
              <w:t>2018</w:t>
            </w:r>
          </w:p>
        </w:tc>
        <w:tc>
          <w:tcPr>
            <w:tcW w:w="667" w:type="pct"/>
            <w:vAlign w:val="center"/>
          </w:tcPr>
          <w:p w14:paraId="5AE40A5F">
            <w:pPr>
              <w:pStyle w:val="45"/>
              <w:rPr>
                <w:rFonts w:hint="eastAsia"/>
                <w:color w:val="auto"/>
              </w:rPr>
            </w:pPr>
            <w:r>
              <w:rPr>
                <w:color w:val="auto"/>
              </w:rPr>
              <w:t>1.1</w:t>
            </w:r>
          </w:p>
        </w:tc>
        <w:tc>
          <w:tcPr>
            <w:tcW w:w="548" w:type="pct"/>
            <w:vAlign w:val="center"/>
          </w:tcPr>
          <w:p w14:paraId="796ECDDB">
            <w:pPr>
              <w:pStyle w:val="45"/>
              <w:rPr>
                <w:rFonts w:hint="eastAsia"/>
                <w:color w:val="auto"/>
              </w:rPr>
            </w:pPr>
            <w:r>
              <w:rPr>
                <w:color w:val="auto"/>
              </w:rPr>
              <w:t>良好</w:t>
            </w:r>
          </w:p>
        </w:tc>
        <w:tc>
          <w:tcPr>
            <w:tcW w:w="350" w:type="pct"/>
            <w:vAlign w:val="center"/>
          </w:tcPr>
          <w:p w14:paraId="2ADC3841">
            <w:pPr>
              <w:pStyle w:val="45"/>
              <w:rPr>
                <w:rFonts w:hint="eastAsia"/>
                <w:color w:val="auto"/>
              </w:rPr>
            </w:pPr>
          </w:p>
        </w:tc>
      </w:tr>
      <w:tr w14:paraId="5A00B5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08A0BFC">
            <w:pPr>
              <w:pStyle w:val="45"/>
              <w:rPr>
                <w:rFonts w:hint="eastAsia"/>
                <w:color w:val="auto"/>
              </w:rPr>
            </w:pPr>
            <w:r>
              <w:rPr>
                <w:color w:val="auto"/>
              </w:rPr>
              <w:t>22</w:t>
            </w:r>
          </w:p>
        </w:tc>
        <w:tc>
          <w:tcPr>
            <w:tcW w:w="865" w:type="pct"/>
            <w:vAlign w:val="center"/>
          </w:tcPr>
          <w:p w14:paraId="5AFAA753">
            <w:pPr>
              <w:pStyle w:val="45"/>
              <w:rPr>
                <w:rFonts w:hint="eastAsia"/>
                <w:color w:val="auto"/>
              </w:rPr>
            </w:pPr>
            <w:r>
              <w:rPr>
                <w:color w:val="auto"/>
              </w:rPr>
              <w:t>插入式振捣器</w:t>
            </w:r>
          </w:p>
        </w:tc>
        <w:tc>
          <w:tcPr>
            <w:tcW w:w="737" w:type="pct"/>
            <w:vAlign w:val="center"/>
          </w:tcPr>
          <w:p w14:paraId="5CF200C1">
            <w:pPr>
              <w:pStyle w:val="45"/>
              <w:rPr>
                <w:rFonts w:hint="eastAsia"/>
                <w:color w:val="auto"/>
              </w:rPr>
            </w:pPr>
            <w:r>
              <w:rPr>
                <w:color w:val="auto"/>
              </w:rPr>
              <w:t>ZN50</w:t>
            </w:r>
          </w:p>
        </w:tc>
        <w:tc>
          <w:tcPr>
            <w:tcW w:w="336" w:type="pct"/>
            <w:vAlign w:val="center"/>
          </w:tcPr>
          <w:p w14:paraId="4B13D1A4">
            <w:pPr>
              <w:pStyle w:val="45"/>
              <w:rPr>
                <w:rFonts w:hint="eastAsia"/>
                <w:color w:val="auto"/>
              </w:rPr>
            </w:pPr>
            <w:r>
              <w:rPr>
                <w:rFonts w:hint="eastAsia"/>
                <w:color w:val="auto"/>
              </w:rPr>
              <w:t>10</w:t>
            </w:r>
          </w:p>
        </w:tc>
        <w:tc>
          <w:tcPr>
            <w:tcW w:w="542" w:type="pct"/>
            <w:vAlign w:val="center"/>
          </w:tcPr>
          <w:p w14:paraId="525E5F23">
            <w:pPr>
              <w:pStyle w:val="45"/>
              <w:rPr>
                <w:rFonts w:hint="eastAsia"/>
                <w:color w:val="auto"/>
              </w:rPr>
            </w:pPr>
            <w:r>
              <w:rPr>
                <w:color w:val="auto"/>
              </w:rPr>
              <w:t>广东</w:t>
            </w:r>
          </w:p>
        </w:tc>
        <w:tc>
          <w:tcPr>
            <w:tcW w:w="619" w:type="pct"/>
            <w:vAlign w:val="center"/>
          </w:tcPr>
          <w:p w14:paraId="0974A466">
            <w:pPr>
              <w:pStyle w:val="45"/>
              <w:rPr>
                <w:rFonts w:hint="eastAsia"/>
                <w:color w:val="auto"/>
              </w:rPr>
            </w:pPr>
            <w:r>
              <w:rPr>
                <w:color w:val="auto"/>
              </w:rPr>
              <w:t>2018</w:t>
            </w:r>
          </w:p>
        </w:tc>
        <w:tc>
          <w:tcPr>
            <w:tcW w:w="667" w:type="pct"/>
            <w:vAlign w:val="center"/>
          </w:tcPr>
          <w:p w14:paraId="5AD398FF">
            <w:pPr>
              <w:pStyle w:val="45"/>
              <w:rPr>
                <w:rFonts w:hint="eastAsia"/>
                <w:color w:val="auto"/>
              </w:rPr>
            </w:pPr>
            <w:r>
              <w:rPr>
                <w:color w:val="auto"/>
              </w:rPr>
              <w:t>1.45</w:t>
            </w:r>
          </w:p>
        </w:tc>
        <w:tc>
          <w:tcPr>
            <w:tcW w:w="548" w:type="pct"/>
            <w:vAlign w:val="center"/>
          </w:tcPr>
          <w:p w14:paraId="02A15478">
            <w:pPr>
              <w:pStyle w:val="45"/>
              <w:rPr>
                <w:rFonts w:hint="eastAsia"/>
                <w:color w:val="auto"/>
              </w:rPr>
            </w:pPr>
            <w:r>
              <w:rPr>
                <w:color w:val="auto"/>
              </w:rPr>
              <w:t>良好</w:t>
            </w:r>
          </w:p>
        </w:tc>
        <w:tc>
          <w:tcPr>
            <w:tcW w:w="350" w:type="pct"/>
            <w:vAlign w:val="center"/>
          </w:tcPr>
          <w:p w14:paraId="02322D4E">
            <w:pPr>
              <w:pStyle w:val="45"/>
              <w:rPr>
                <w:rFonts w:hint="eastAsia"/>
                <w:color w:val="auto"/>
              </w:rPr>
            </w:pPr>
          </w:p>
        </w:tc>
      </w:tr>
      <w:tr w14:paraId="49C84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8332D6C">
            <w:pPr>
              <w:pStyle w:val="45"/>
              <w:rPr>
                <w:rFonts w:hint="eastAsia"/>
                <w:color w:val="auto"/>
              </w:rPr>
            </w:pPr>
            <w:r>
              <w:rPr>
                <w:color w:val="auto"/>
              </w:rPr>
              <w:t>23</w:t>
            </w:r>
          </w:p>
        </w:tc>
        <w:tc>
          <w:tcPr>
            <w:tcW w:w="865" w:type="pct"/>
            <w:vAlign w:val="center"/>
          </w:tcPr>
          <w:p w14:paraId="0E6275A2">
            <w:pPr>
              <w:pStyle w:val="45"/>
              <w:rPr>
                <w:rFonts w:hint="eastAsia"/>
                <w:color w:val="auto"/>
              </w:rPr>
            </w:pPr>
            <w:r>
              <w:rPr>
                <w:color w:val="auto"/>
              </w:rPr>
              <w:t>平板振动器</w:t>
            </w:r>
          </w:p>
        </w:tc>
        <w:tc>
          <w:tcPr>
            <w:tcW w:w="737" w:type="pct"/>
            <w:vAlign w:val="center"/>
          </w:tcPr>
          <w:p w14:paraId="724782D1">
            <w:pPr>
              <w:pStyle w:val="45"/>
              <w:rPr>
                <w:rFonts w:hint="eastAsia"/>
                <w:color w:val="auto"/>
              </w:rPr>
            </w:pPr>
            <w:r>
              <w:rPr>
                <w:color w:val="auto"/>
              </w:rPr>
              <w:t>ZF55-10</w:t>
            </w:r>
          </w:p>
        </w:tc>
        <w:tc>
          <w:tcPr>
            <w:tcW w:w="336" w:type="pct"/>
            <w:vAlign w:val="center"/>
          </w:tcPr>
          <w:p w14:paraId="3C728A41">
            <w:pPr>
              <w:pStyle w:val="45"/>
              <w:rPr>
                <w:rFonts w:hint="eastAsia"/>
                <w:color w:val="auto"/>
              </w:rPr>
            </w:pPr>
            <w:r>
              <w:rPr>
                <w:rFonts w:hint="eastAsia"/>
                <w:color w:val="auto"/>
              </w:rPr>
              <w:t>4</w:t>
            </w:r>
          </w:p>
        </w:tc>
        <w:tc>
          <w:tcPr>
            <w:tcW w:w="542" w:type="pct"/>
            <w:vAlign w:val="center"/>
          </w:tcPr>
          <w:p w14:paraId="112EC30C">
            <w:pPr>
              <w:pStyle w:val="45"/>
              <w:rPr>
                <w:rFonts w:hint="eastAsia"/>
                <w:color w:val="auto"/>
              </w:rPr>
            </w:pPr>
            <w:r>
              <w:rPr>
                <w:color w:val="auto"/>
              </w:rPr>
              <w:t>广东</w:t>
            </w:r>
          </w:p>
        </w:tc>
        <w:tc>
          <w:tcPr>
            <w:tcW w:w="619" w:type="pct"/>
            <w:vAlign w:val="center"/>
          </w:tcPr>
          <w:p w14:paraId="49FD5842">
            <w:pPr>
              <w:pStyle w:val="45"/>
              <w:rPr>
                <w:rFonts w:hint="eastAsia"/>
                <w:color w:val="auto"/>
              </w:rPr>
            </w:pPr>
            <w:r>
              <w:rPr>
                <w:color w:val="auto"/>
              </w:rPr>
              <w:t>2018</w:t>
            </w:r>
          </w:p>
        </w:tc>
        <w:tc>
          <w:tcPr>
            <w:tcW w:w="667" w:type="pct"/>
            <w:vAlign w:val="center"/>
          </w:tcPr>
          <w:p w14:paraId="172FBEF6">
            <w:pPr>
              <w:pStyle w:val="45"/>
              <w:rPr>
                <w:rFonts w:hint="eastAsia"/>
                <w:color w:val="auto"/>
              </w:rPr>
            </w:pPr>
            <w:r>
              <w:rPr>
                <w:color w:val="auto"/>
              </w:rPr>
              <w:t>0.25</w:t>
            </w:r>
          </w:p>
        </w:tc>
        <w:tc>
          <w:tcPr>
            <w:tcW w:w="548" w:type="pct"/>
            <w:vAlign w:val="center"/>
          </w:tcPr>
          <w:p w14:paraId="1DBD94D3">
            <w:pPr>
              <w:pStyle w:val="45"/>
              <w:rPr>
                <w:rFonts w:hint="eastAsia"/>
                <w:color w:val="auto"/>
              </w:rPr>
            </w:pPr>
            <w:r>
              <w:rPr>
                <w:color w:val="auto"/>
              </w:rPr>
              <w:t>良好</w:t>
            </w:r>
          </w:p>
        </w:tc>
        <w:tc>
          <w:tcPr>
            <w:tcW w:w="350" w:type="pct"/>
            <w:vAlign w:val="center"/>
          </w:tcPr>
          <w:p w14:paraId="0D0311A3">
            <w:pPr>
              <w:pStyle w:val="45"/>
              <w:rPr>
                <w:rFonts w:hint="eastAsia"/>
                <w:color w:val="auto"/>
              </w:rPr>
            </w:pPr>
          </w:p>
        </w:tc>
      </w:tr>
      <w:tr w14:paraId="2F335A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23B57859">
            <w:pPr>
              <w:pStyle w:val="45"/>
              <w:rPr>
                <w:rFonts w:hint="eastAsia"/>
                <w:color w:val="auto"/>
              </w:rPr>
            </w:pPr>
            <w:r>
              <w:rPr>
                <w:rFonts w:hint="eastAsia"/>
                <w:color w:val="auto"/>
              </w:rPr>
              <w:t>2</w:t>
            </w:r>
            <w:r>
              <w:rPr>
                <w:color w:val="auto"/>
              </w:rPr>
              <w:t>4</w:t>
            </w:r>
          </w:p>
        </w:tc>
        <w:tc>
          <w:tcPr>
            <w:tcW w:w="865" w:type="pct"/>
            <w:vAlign w:val="center"/>
          </w:tcPr>
          <w:p w14:paraId="03D6A615">
            <w:pPr>
              <w:pStyle w:val="45"/>
              <w:rPr>
                <w:rFonts w:hint="eastAsia"/>
                <w:color w:val="auto"/>
              </w:rPr>
            </w:pPr>
            <w:r>
              <w:rPr>
                <w:color w:val="auto"/>
              </w:rPr>
              <w:t>电焊机</w:t>
            </w:r>
          </w:p>
        </w:tc>
        <w:tc>
          <w:tcPr>
            <w:tcW w:w="737" w:type="pct"/>
            <w:vAlign w:val="center"/>
          </w:tcPr>
          <w:p w14:paraId="5CAE2C80">
            <w:pPr>
              <w:pStyle w:val="45"/>
              <w:rPr>
                <w:rFonts w:hint="eastAsia"/>
                <w:color w:val="auto"/>
              </w:rPr>
            </w:pPr>
            <w:r>
              <w:rPr>
                <w:color w:val="auto"/>
              </w:rPr>
              <w:t>BX300</w:t>
            </w:r>
          </w:p>
        </w:tc>
        <w:tc>
          <w:tcPr>
            <w:tcW w:w="336" w:type="pct"/>
            <w:vAlign w:val="center"/>
          </w:tcPr>
          <w:p w14:paraId="20EDFF2C">
            <w:pPr>
              <w:pStyle w:val="45"/>
              <w:rPr>
                <w:rFonts w:hint="eastAsia"/>
                <w:color w:val="auto"/>
              </w:rPr>
            </w:pPr>
            <w:r>
              <w:rPr>
                <w:rFonts w:hint="eastAsia"/>
                <w:color w:val="auto"/>
              </w:rPr>
              <w:t>3</w:t>
            </w:r>
          </w:p>
        </w:tc>
        <w:tc>
          <w:tcPr>
            <w:tcW w:w="542" w:type="pct"/>
            <w:vAlign w:val="center"/>
          </w:tcPr>
          <w:p w14:paraId="6562F833">
            <w:pPr>
              <w:pStyle w:val="45"/>
              <w:rPr>
                <w:rFonts w:hint="eastAsia"/>
                <w:color w:val="auto"/>
              </w:rPr>
            </w:pPr>
            <w:r>
              <w:rPr>
                <w:color w:val="auto"/>
              </w:rPr>
              <w:t>广东</w:t>
            </w:r>
          </w:p>
        </w:tc>
        <w:tc>
          <w:tcPr>
            <w:tcW w:w="619" w:type="pct"/>
            <w:vAlign w:val="center"/>
          </w:tcPr>
          <w:p w14:paraId="20D8A5BB">
            <w:pPr>
              <w:pStyle w:val="45"/>
              <w:rPr>
                <w:rFonts w:hint="eastAsia"/>
                <w:color w:val="auto"/>
              </w:rPr>
            </w:pPr>
            <w:r>
              <w:rPr>
                <w:color w:val="auto"/>
              </w:rPr>
              <w:t>2018</w:t>
            </w:r>
          </w:p>
        </w:tc>
        <w:tc>
          <w:tcPr>
            <w:tcW w:w="667" w:type="pct"/>
            <w:vAlign w:val="center"/>
          </w:tcPr>
          <w:p w14:paraId="325AAB4F">
            <w:pPr>
              <w:pStyle w:val="45"/>
              <w:rPr>
                <w:rFonts w:hint="eastAsia"/>
                <w:color w:val="auto"/>
              </w:rPr>
            </w:pPr>
            <w:r>
              <w:rPr>
                <w:color w:val="auto"/>
              </w:rPr>
              <w:t>20</w:t>
            </w:r>
          </w:p>
        </w:tc>
        <w:tc>
          <w:tcPr>
            <w:tcW w:w="548" w:type="pct"/>
            <w:vAlign w:val="center"/>
          </w:tcPr>
          <w:p w14:paraId="5B6ACE43">
            <w:pPr>
              <w:pStyle w:val="45"/>
              <w:rPr>
                <w:rFonts w:hint="eastAsia"/>
                <w:color w:val="auto"/>
              </w:rPr>
            </w:pPr>
            <w:r>
              <w:rPr>
                <w:color w:val="auto"/>
              </w:rPr>
              <w:t>良好</w:t>
            </w:r>
          </w:p>
        </w:tc>
        <w:tc>
          <w:tcPr>
            <w:tcW w:w="350" w:type="pct"/>
            <w:vAlign w:val="center"/>
          </w:tcPr>
          <w:p w14:paraId="2B77D501">
            <w:pPr>
              <w:pStyle w:val="45"/>
              <w:rPr>
                <w:rFonts w:hint="eastAsia"/>
                <w:color w:val="auto"/>
              </w:rPr>
            </w:pPr>
          </w:p>
        </w:tc>
      </w:tr>
      <w:tr w14:paraId="491D64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013C5D9">
            <w:pPr>
              <w:pStyle w:val="45"/>
              <w:rPr>
                <w:rFonts w:hint="eastAsia"/>
                <w:color w:val="auto"/>
              </w:rPr>
            </w:pPr>
            <w:r>
              <w:rPr>
                <w:rFonts w:hint="eastAsia"/>
                <w:color w:val="auto"/>
              </w:rPr>
              <w:t>2</w:t>
            </w:r>
            <w:r>
              <w:rPr>
                <w:color w:val="auto"/>
              </w:rPr>
              <w:t>5</w:t>
            </w:r>
          </w:p>
        </w:tc>
        <w:tc>
          <w:tcPr>
            <w:tcW w:w="865" w:type="pct"/>
            <w:vAlign w:val="center"/>
          </w:tcPr>
          <w:p w14:paraId="7199F716">
            <w:pPr>
              <w:pStyle w:val="45"/>
              <w:rPr>
                <w:rFonts w:hint="eastAsia"/>
                <w:color w:val="auto"/>
              </w:rPr>
            </w:pPr>
            <w:r>
              <w:rPr>
                <w:rFonts w:hint="eastAsia"/>
                <w:color w:val="auto"/>
              </w:rPr>
              <w:t>气体保护焊机</w:t>
            </w:r>
          </w:p>
        </w:tc>
        <w:tc>
          <w:tcPr>
            <w:tcW w:w="737" w:type="pct"/>
            <w:vAlign w:val="center"/>
          </w:tcPr>
          <w:p w14:paraId="3AA8FE5B">
            <w:pPr>
              <w:pStyle w:val="45"/>
              <w:rPr>
                <w:rFonts w:hint="eastAsia"/>
                <w:color w:val="auto"/>
              </w:rPr>
            </w:pPr>
            <w:r>
              <w:rPr>
                <w:rFonts w:hint="eastAsia"/>
                <w:color w:val="auto"/>
              </w:rPr>
              <w:t>N</w:t>
            </w:r>
            <w:r>
              <w:rPr>
                <w:color w:val="auto"/>
              </w:rPr>
              <w:t>BC-500A</w:t>
            </w:r>
          </w:p>
        </w:tc>
        <w:tc>
          <w:tcPr>
            <w:tcW w:w="336" w:type="pct"/>
            <w:vAlign w:val="center"/>
          </w:tcPr>
          <w:p w14:paraId="0032AA2D">
            <w:pPr>
              <w:pStyle w:val="45"/>
              <w:rPr>
                <w:rFonts w:hint="eastAsia"/>
                <w:color w:val="auto"/>
              </w:rPr>
            </w:pPr>
            <w:r>
              <w:rPr>
                <w:rFonts w:hint="eastAsia"/>
                <w:color w:val="auto"/>
              </w:rPr>
              <w:t>3</w:t>
            </w:r>
          </w:p>
        </w:tc>
        <w:tc>
          <w:tcPr>
            <w:tcW w:w="542" w:type="pct"/>
            <w:vAlign w:val="center"/>
          </w:tcPr>
          <w:p w14:paraId="32B72DE8">
            <w:pPr>
              <w:pStyle w:val="45"/>
              <w:rPr>
                <w:rFonts w:hint="eastAsia"/>
                <w:color w:val="auto"/>
              </w:rPr>
            </w:pPr>
            <w:r>
              <w:rPr>
                <w:rFonts w:hint="eastAsia"/>
                <w:color w:val="auto"/>
              </w:rPr>
              <w:t>/</w:t>
            </w:r>
          </w:p>
        </w:tc>
        <w:tc>
          <w:tcPr>
            <w:tcW w:w="619" w:type="pct"/>
            <w:vAlign w:val="center"/>
          </w:tcPr>
          <w:p w14:paraId="3868E18B">
            <w:pPr>
              <w:pStyle w:val="45"/>
              <w:rPr>
                <w:rFonts w:hint="eastAsia"/>
                <w:color w:val="auto"/>
              </w:rPr>
            </w:pPr>
            <w:r>
              <w:rPr>
                <w:rFonts w:hint="eastAsia"/>
                <w:color w:val="auto"/>
              </w:rPr>
              <w:t>/</w:t>
            </w:r>
          </w:p>
        </w:tc>
        <w:tc>
          <w:tcPr>
            <w:tcW w:w="667" w:type="pct"/>
            <w:vAlign w:val="center"/>
          </w:tcPr>
          <w:p w14:paraId="2AA16591">
            <w:pPr>
              <w:pStyle w:val="45"/>
              <w:rPr>
                <w:rFonts w:hint="eastAsia"/>
                <w:color w:val="auto"/>
              </w:rPr>
            </w:pPr>
            <w:r>
              <w:rPr>
                <w:rFonts w:hint="eastAsia"/>
                <w:color w:val="auto"/>
              </w:rPr>
              <w:t>/</w:t>
            </w:r>
          </w:p>
        </w:tc>
        <w:tc>
          <w:tcPr>
            <w:tcW w:w="548" w:type="pct"/>
            <w:vAlign w:val="center"/>
          </w:tcPr>
          <w:p w14:paraId="0CC23DE0">
            <w:pPr>
              <w:pStyle w:val="45"/>
              <w:rPr>
                <w:rFonts w:hint="eastAsia"/>
                <w:color w:val="auto"/>
              </w:rPr>
            </w:pPr>
            <w:r>
              <w:rPr>
                <w:color w:val="auto"/>
              </w:rPr>
              <w:t>良好</w:t>
            </w:r>
          </w:p>
        </w:tc>
        <w:tc>
          <w:tcPr>
            <w:tcW w:w="350" w:type="pct"/>
            <w:vAlign w:val="center"/>
          </w:tcPr>
          <w:p w14:paraId="12CC77D2">
            <w:pPr>
              <w:pStyle w:val="45"/>
              <w:rPr>
                <w:rFonts w:hint="eastAsia"/>
                <w:color w:val="auto"/>
              </w:rPr>
            </w:pPr>
          </w:p>
        </w:tc>
      </w:tr>
      <w:tr w14:paraId="1903A0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7ABC280">
            <w:pPr>
              <w:pStyle w:val="45"/>
              <w:rPr>
                <w:rFonts w:hint="eastAsia"/>
                <w:color w:val="auto"/>
              </w:rPr>
            </w:pPr>
            <w:r>
              <w:rPr>
                <w:rFonts w:hint="eastAsia"/>
                <w:color w:val="auto"/>
              </w:rPr>
              <w:t>2</w:t>
            </w:r>
            <w:r>
              <w:rPr>
                <w:color w:val="auto"/>
              </w:rPr>
              <w:t>6</w:t>
            </w:r>
          </w:p>
        </w:tc>
        <w:tc>
          <w:tcPr>
            <w:tcW w:w="865" w:type="pct"/>
            <w:vAlign w:val="center"/>
          </w:tcPr>
          <w:p w14:paraId="63515BD3">
            <w:pPr>
              <w:pStyle w:val="45"/>
              <w:rPr>
                <w:rFonts w:hint="eastAsia"/>
                <w:color w:val="auto"/>
              </w:rPr>
            </w:pPr>
            <w:r>
              <w:rPr>
                <w:color w:val="auto"/>
              </w:rPr>
              <w:t>气割设备</w:t>
            </w:r>
          </w:p>
        </w:tc>
        <w:tc>
          <w:tcPr>
            <w:tcW w:w="737" w:type="pct"/>
            <w:vAlign w:val="center"/>
          </w:tcPr>
          <w:p w14:paraId="433C97C0">
            <w:pPr>
              <w:pStyle w:val="45"/>
              <w:rPr>
                <w:rFonts w:hint="eastAsia"/>
                <w:color w:val="auto"/>
              </w:rPr>
            </w:pPr>
            <w:r>
              <w:rPr>
                <w:color w:val="auto"/>
              </w:rPr>
              <w:t>/</w:t>
            </w:r>
          </w:p>
        </w:tc>
        <w:tc>
          <w:tcPr>
            <w:tcW w:w="336" w:type="pct"/>
            <w:vAlign w:val="center"/>
          </w:tcPr>
          <w:p w14:paraId="06968263">
            <w:pPr>
              <w:pStyle w:val="45"/>
              <w:rPr>
                <w:rFonts w:hint="eastAsia"/>
                <w:color w:val="auto"/>
              </w:rPr>
            </w:pPr>
            <w:r>
              <w:rPr>
                <w:rFonts w:hint="eastAsia"/>
                <w:color w:val="auto"/>
              </w:rPr>
              <w:t>4</w:t>
            </w:r>
          </w:p>
        </w:tc>
        <w:tc>
          <w:tcPr>
            <w:tcW w:w="542" w:type="pct"/>
            <w:vAlign w:val="center"/>
          </w:tcPr>
          <w:p w14:paraId="5714B714">
            <w:pPr>
              <w:pStyle w:val="45"/>
              <w:rPr>
                <w:rFonts w:hint="eastAsia"/>
                <w:color w:val="auto"/>
              </w:rPr>
            </w:pPr>
            <w:r>
              <w:rPr>
                <w:color w:val="auto"/>
              </w:rPr>
              <w:t>上海</w:t>
            </w:r>
          </w:p>
        </w:tc>
        <w:tc>
          <w:tcPr>
            <w:tcW w:w="619" w:type="pct"/>
            <w:vAlign w:val="center"/>
          </w:tcPr>
          <w:p w14:paraId="50C04D10">
            <w:pPr>
              <w:pStyle w:val="45"/>
              <w:rPr>
                <w:rFonts w:hint="eastAsia"/>
                <w:color w:val="auto"/>
              </w:rPr>
            </w:pPr>
            <w:r>
              <w:rPr>
                <w:color w:val="auto"/>
              </w:rPr>
              <w:t>2018</w:t>
            </w:r>
          </w:p>
        </w:tc>
        <w:tc>
          <w:tcPr>
            <w:tcW w:w="667" w:type="pct"/>
            <w:vAlign w:val="center"/>
          </w:tcPr>
          <w:p w14:paraId="7C592DA2">
            <w:pPr>
              <w:pStyle w:val="45"/>
              <w:rPr>
                <w:rFonts w:hint="eastAsia"/>
                <w:color w:val="auto"/>
              </w:rPr>
            </w:pPr>
            <w:r>
              <w:rPr>
                <w:color w:val="auto"/>
              </w:rPr>
              <w:t>/</w:t>
            </w:r>
          </w:p>
        </w:tc>
        <w:tc>
          <w:tcPr>
            <w:tcW w:w="548" w:type="pct"/>
            <w:vAlign w:val="center"/>
          </w:tcPr>
          <w:p w14:paraId="0438A35B">
            <w:pPr>
              <w:pStyle w:val="45"/>
              <w:rPr>
                <w:rFonts w:hint="eastAsia"/>
                <w:color w:val="auto"/>
              </w:rPr>
            </w:pPr>
            <w:r>
              <w:rPr>
                <w:color w:val="auto"/>
              </w:rPr>
              <w:t>良好</w:t>
            </w:r>
          </w:p>
        </w:tc>
        <w:tc>
          <w:tcPr>
            <w:tcW w:w="350" w:type="pct"/>
            <w:vAlign w:val="center"/>
          </w:tcPr>
          <w:p w14:paraId="0BDF8525">
            <w:pPr>
              <w:pStyle w:val="45"/>
              <w:rPr>
                <w:rFonts w:hint="eastAsia"/>
                <w:color w:val="auto"/>
              </w:rPr>
            </w:pPr>
          </w:p>
        </w:tc>
      </w:tr>
      <w:tr w14:paraId="33C54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B417EB0">
            <w:pPr>
              <w:pStyle w:val="45"/>
              <w:rPr>
                <w:rFonts w:hint="eastAsia"/>
                <w:color w:val="auto"/>
              </w:rPr>
            </w:pPr>
            <w:r>
              <w:rPr>
                <w:rFonts w:hint="eastAsia"/>
                <w:color w:val="auto"/>
              </w:rPr>
              <w:t>2</w:t>
            </w:r>
            <w:r>
              <w:rPr>
                <w:color w:val="auto"/>
              </w:rPr>
              <w:t>7</w:t>
            </w:r>
          </w:p>
        </w:tc>
        <w:tc>
          <w:tcPr>
            <w:tcW w:w="865" w:type="pct"/>
            <w:vAlign w:val="center"/>
          </w:tcPr>
          <w:p w14:paraId="5AA5F091">
            <w:pPr>
              <w:pStyle w:val="45"/>
              <w:rPr>
                <w:rFonts w:hint="eastAsia"/>
                <w:color w:val="auto"/>
              </w:rPr>
            </w:pPr>
            <w:r>
              <w:rPr>
                <w:color w:val="auto"/>
              </w:rPr>
              <w:t>砂轮切割</w:t>
            </w:r>
            <w:r>
              <w:rPr>
                <w:rFonts w:hint="eastAsia"/>
                <w:color w:val="auto"/>
              </w:rPr>
              <w:t>机</w:t>
            </w:r>
          </w:p>
        </w:tc>
        <w:tc>
          <w:tcPr>
            <w:tcW w:w="737" w:type="pct"/>
            <w:vAlign w:val="center"/>
          </w:tcPr>
          <w:p w14:paraId="2B0AC138">
            <w:pPr>
              <w:pStyle w:val="45"/>
              <w:rPr>
                <w:rFonts w:hint="eastAsia"/>
                <w:color w:val="auto"/>
              </w:rPr>
            </w:pPr>
            <w:r>
              <w:rPr>
                <w:color w:val="auto"/>
              </w:rPr>
              <w:t>G10</w:t>
            </w:r>
          </w:p>
        </w:tc>
        <w:tc>
          <w:tcPr>
            <w:tcW w:w="336" w:type="pct"/>
            <w:vAlign w:val="center"/>
          </w:tcPr>
          <w:p w14:paraId="56A35350">
            <w:pPr>
              <w:pStyle w:val="45"/>
              <w:rPr>
                <w:rFonts w:hint="eastAsia"/>
                <w:color w:val="auto"/>
              </w:rPr>
            </w:pPr>
            <w:r>
              <w:rPr>
                <w:rFonts w:hint="eastAsia"/>
                <w:color w:val="auto"/>
              </w:rPr>
              <w:t>4</w:t>
            </w:r>
          </w:p>
        </w:tc>
        <w:tc>
          <w:tcPr>
            <w:tcW w:w="542" w:type="pct"/>
            <w:vAlign w:val="center"/>
          </w:tcPr>
          <w:p w14:paraId="52C01953">
            <w:pPr>
              <w:pStyle w:val="45"/>
              <w:rPr>
                <w:rFonts w:hint="eastAsia"/>
                <w:color w:val="auto"/>
              </w:rPr>
            </w:pPr>
            <w:r>
              <w:rPr>
                <w:color w:val="auto"/>
              </w:rPr>
              <w:t>上海</w:t>
            </w:r>
          </w:p>
        </w:tc>
        <w:tc>
          <w:tcPr>
            <w:tcW w:w="619" w:type="pct"/>
            <w:vAlign w:val="center"/>
          </w:tcPr>
          <w:p w14:paraId="2E986942">
            <w:pPr>
              <w:pStyle w:val="45"/>
              <w:rPr>
                <w:rFonts w:hint="eastAsia"/>
                <w:color w:val="auto"/>
              </w:rPr>
            </w:pPr>
            <w:r>
              <w:rPr>
                <w:color w:val="auto"/>
              </w:rPr>
              <w:t>2018</w:t>
            </w:r>
          </w:p>
        </w:tc>
        <w:tc>
          <w:tcPr>
            <w:tcW w:w="667" w:type="pct"/>
            <w:vAlign w:val="center"/>
          </w:tcPr>
          <w:p w14:paraId="280AD63B">
            <w:pPr>
              <w:pStyle w:val="45"/>
              <w:rPr>
                <w:rFonts w:hint="eastAsia"/>
                <w:color w:val="auto"/>
              </w:rPr>
            </w:pPr>
            <w:r>
              <w:rPr>
                <w:color w:val="auto"/>
              </w:rPr>
              <w:t>7.4</w:t>
            </w:r>
          </w:p>
        </w:tc>
        <w:tc>
          <w:tcPr>
            <w:tcW w:w="548" w:type="pct"/>
            <w:vAlign w:val="center"/>
          </w:tcPr>
          <w:p w14:paraId="42C95353">
            <w:pPr>
              <w:pStyle w:val="45"/>
              <w:rPr>
                <w:rFonts w:hint="eastAsia"/>
                <w:color w:val="auto"/>
              </w:rPr>
            </w:pPr>
            <w:r>
              <w:rPr>
                <w:color w:val="auto"/>
              </w:rPr>
              <w:t>良好</w:t>
            </w:r>
          </w:p>
        </w:tc>
        <w:tc>
          <w:tcPr>
            <w:tcW w:w="350" w:type="pct"/>
            <w:vAlign w:val="center"/>
          </w:tcPr>
          <w:p w14:paraId="408E7257">
            <w:pPr>
              <w:pStyle w:val="45"/>
              <w:rPr>
                <w:rFonts w:hint="eastAsia"/>
                <w:color w:val="auto"/>
              </w:rPr>
            </w:pPr>
          </w:p>
        </w:tc>
      </w:tr>
      <w:tr w14:paraId="5232B9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38C3C56">
            <w:pPr>
              <w:pStyle w:val="45"/>
              <w:rPr>
                <w:rFonts w:hint="eastAsia"/>
                <w:color w:val="auto"/>
              </w:rPr>
            </w:pPr>
            <w:r>
              <w:rPr>
                <w:rFonts w:hint="eastAsia"/>
                <w:color w:val="auto"/>
              </w:rPr>
              <w:t>2</w:t>
            </w:r>
            <w:r>
              <w:rPr>
                <w:color w:val="auto"/>
              </w:rPr>
              <w:t>8</w:t>
            </w:r>
          </w:p>
        </w:tc>
        <w:tc>
          <w:tcPr>
            <w:tcW w:w="865" w:type="pct"/>
            <w:vAlign w:val="center"/>
          </w:tcPr>
          <w:p w14:paraId="25F38436">
            <w:pPr>
              <w:pStyle w:val="45"/>
              <w:rPr>
                <w:rFonts w:hint="eastAsia"/>
                <w:color w:val="auto"/>
              </w:rPr>
            </w:pPr>
            <w:r>
              <w:rPr>
                <w:color w:val="auto"/>
              </w:rPr>
              <w:t>潜水泵</w:t>
            </w:r>
          </w:p>
        </w:tc>
        <w:tc>
          <w:tcPr>
            <w:tcW w:w="737" w:type="pct"/>
            <w:vAlign w:val="center"/>
          </w:tcPr>
          <w:p w14:paraId="0A23E4B6">
            <w:pPr>
              <w:pStyle w:val="45"/>
              <w:rPr>
                <w:rFonts w:hint="eastAsia"/>
                <w:color w:val="auto"/>
              </w:rPr>
            </w:pPr>
            <w:r>
              <w:rPr>
                <w:color w:val="auto"/>
              </w:rPr>
              <w:t>PX10-34</w:t>
            </w:r>
          </w:p>
        </w:tc>
        <w:tc>
          <w:tcPr>
            <w:tcW w:w="336" w:type="pct"/>
            <w:vAlign w:val="center"/>
          </w:tcPr>
          <w:p w14:paraId="1E09CC79">
            <w:pPr>
              <w:pStyle w:val="45"/>
              <w:rPr>
                <w:rFonts w:hint="eastAsia"/>
                <w:color w:val="auto"/>
              </w:rPr>
            </w:pPr>
            <w:r>
              <w:rPr>
                <w:rFonts w:hint="eastAsia"/>
                <w:color w:val="auto"/>
              </w:rPr>
              <w:t>10</w:t>
            </w:r>
          </w:p>
        </w:tc>
        <w:tc>
          <w:tcPr>
            <w:tcW w:w="542" w:type="pct"/>
            <w:vAlign w:val="center"/>
          </w:tcPr>
          <w:p w14:paraId="78F5F3D4">
            <w:pPr>
              <w:pStyle w:val="45"/>
              <w:rPr>
                <w:rFonts w:hint="eastAsia"/>
                <w:color w:val="auto"/>
              </w:rPr>
            </w:pPr>
            <w:r>
              <w:rPr>
                <w:color w:val="auto"/>
              </w:rPr>
              <w:t>广东</w:t>
            </w:r>
          </w:p>
        </w:tc>
        <w:tc>
          <w:tcPr>
            <w:tcW w:w="619" w:type="pct"/>
            <w:vAlign w:val="center"/>
          </w:tcPr>
          <w:p w14:paraId="0E97FCDC">
            <w:pPr>
              <w:pStyle w:val="45"/>
              <w:rPr>
                <w:rFonts w:hint="eastAsia"/>
                <w:color w:val="auto"/>
              </w:rPr>
            </w:pPr>
            <w:r>
              <w:rPr>
                <w:color w:val="auto"/>
              </w:rPr>
              <w:t>2018</w:t>
            </w:r>
          </w:p>
        </w:tc>
        <w:tc>
          <w:tcPr>
            <w:tcW w:w="667" w:type="pct"/>
            <w:vAlign w:val="center"/>
          </w:tcPr>
          <w:p w14:paraId="77CC4CAD">
            <w:pPr>
              <w:pStyle w:val="45"/>
              <w:rPr>
                <w:rFonts w:hint="eastAsia"/>
                <w:color w:val="auto"/>
              </w:rPr>
            </w:pPr>
            <w:r>
              <w:rPr>
                <w:color w:val="auto"/>
              </w:rPr>
              <w:t>5</w:t>
            </w:r>
          </w:p>
        </w:tc>
        <w:tc>
          <w:tcPr>
            <w:tcW w:w="548" w:type="pct"/>
            <w:vAlign w:val="center"/>
          </w:tcPr>
          <w:p w14:paraId="73A670FF">
            <w:pPr>
              <w:pStyle w:val="45"/>
              <w:rPr>
                <w:rFonts w:hint="eastAsia"/>
                <w:color w:val="auto"/>
              </w:rPr>
            </w:pPr>
            <w:r>
              <w:rPr>
                <w:color w:val="auto"/>
              </w:rPr>
              <w:t>良好</w:t>
            </w:r>
          </w:p>
        </w:tc>
        <w:tc>
          <w:tcPr>
            <w:tcW w:w="350" w:type="pct"/>
            <w:vAlign w:val="center"/>
          </w:tcPr>
          <w:p w14:paraId="5349D30F">
            <w:pPr>
              <w:pStyle w:val="45"/>
              <w:rPr>
                <w:rFonts w:hint="eastAsia"/>
                <w:color w:val="auto"/>
              </w:rPr>
            </w:pPr>
          </w:p>
        </w:tc>
      </w:tr>
      <w:tr w14:paraId="2E6749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7F16336A">
            <w:pPr>
              <w:pStyle w:val="45"/>
              <w:rPr>
                <w:rFonts w:hint="eastAsia"/>
                <w:color w:val="auto"/>
              </w:rPr>
            </w:pPr>
            <w:r>
              <w:rPr>
                <w:rFonts w:hint="eastAsia"/>
                <w:color w:val="auto"/>
              </w:rPr>
              <w:t>2</w:t>
            </w:r>
            <w:r>
              <w:rPr>
                <w:color w:val="auto"/>
              </w:rPr>
              <w:t>9</w:t>
            </w:r>
          </w:p>
        </w:tc>
        <w:tc>
          <w:tcPr>
            <w:tcW w:w="865" w:type="pct"/>
            <w:vAlign w:val="center"/>
          </w:tcPr>
          <w:p w14:paraId="11BF6A2A">
            <w:pPr>
              <w:pStyle w:val="45"/>
              <w:rPr>
                <w:rFonts w:hint="eastAsia"/>
                <w:color w:val="auto"/>
              </w:rPr>
            </w:pPr>
            <w:r>
              <w:rPr>
                <w:color w:val="auto"/>
              </w:rPr>
              <w:t>污水泵</w:t>
            </w:r>
          </w:p>
        </w:tc>
        <w:tc>
          <w:tcPr>
            <w:tcW w:w="737" w:type="pct"/>
            <w:vAlign w:val="center"/>
          </w:tcPr>
          <w:p w14:paraId="77587C16">
            <w:pPr>
              <w:pStyle w:val="45"/>
              <w:rPr>
                <w:rFonts w:hint="eastAsia"/>
                <w:color w:val="auto"/>
              </w:rPr>
            </w:pPr>
            <w:r>
              <w:rPr>
                <w:rFonts w:hint="eastAsia"/>
                <w:color w:val="auto"/>
              </w:rPr>
              <w:t>H=30m</w:t>
            </w:r>
          </w:p>
        </w:tc>
        <w:tc>
          <w:tcPr>
            <w:tcW w:w="336" w:type="pct"/>
            <w:vAlign w:val="center"/>
          </w:tcPr>
          <w:p w14:paraId="189D45FD">
            <w:pPr>
              <w:pStyle w:val="45"/>
              <w:rPr>
                <w:rFonts w:hint="eastAsia"/>
                <w:color w:val="auto"/>
              </w:rPr>
            </w:pPr>
            <w:r>
              <w:rPr>
                <w:rFonts w:hint="eastAsia"/>
                <w:color w:val="auto"/>
              </w:rPr>
              <w:t>5</w:t>
            </w:r>
          </w:p>
        </w:tc>
        <w:tc>
          <w:tcPr>
            <w:tcW w:w="542" w:type="pct"/>
            <w:vAlign w:val="center"/>
          </w:tcPr>
          <w:p w14:paraId="6492C743">
            <w:pPr>
              <w:pStyle w:val="45"/>
              <w:rPr>
                <w:rFonts w:hint="eastAsia"/>
                <w:color w:val="auto"/>
              </w:rPr>
            </w:pPr>
            <w:r>
              <w:rPr>
                <w:color w:val="auto"/>
              </w:rPr>
              <w:t>广东</w:t>
            </w:r>
          </w:p>
        </w:tc>
        <w:tc>
          <w:tcPr>
            <w:tcW w:w="619" w:type="pct"/>
            <w:vAlign w:val="center"/>
          </w:tcPr>
          <w:p w14:paraId="6DF332B3">
            <w:pPr>
              <w:pStyle w:val="45"/>
              <w:rPr>
                <w:rFonts w:hint="eastAsia"/>
                <w:color w:val="auto"/>
              </w:rPr>
            </w:pPr>
            <w:r>
              <w:rPr>
                <w:color w:val="auto"/>
              </w:rPr>
              <w:t>2018</w:t>
            </w:r>
          </w:p>
        </w:tc>
        <w:tc>
          <w:tcPr>
            <w:tcW w:w="667" w:type="pct"/>
            <w:vAlign w:val="center"/>
          </w:tcPr>
          <w:p w14:paraId="25ECE34E">
            <w:pPr>
              <w:pStyle w:val="45"/>
              <w:rPr>
                <w:rFonts w:hint="eastAsia"/>
                <w:color w:val="auto"/>
              </w:rPr>
            </w:pPr>
            <w:r>
              <w:rPr>
                <w:rFonts w:hint="eastAsia"/>
                <w:color w:val="auto"/>
              </w:rPr>
              <w:t>5</w:t>
            </w:r>
          </w:p>
        </w:tc>
        <w:tc>
          <w:tcPr>
            <w:tcW w:w="548" w:type="pct"/>
            <w:vAlign w:val="center"/>
          </w:tcPr>
          <w:p w14:paraId="0BD8FEEE">
            <w:pPr>
              <w:pStyle w:val="45"/>
              <w:rPr>
                <w:rFonts w:hint="eastAsia"/>
                <w:color w:val="auto"/>
              </w:rPr>
            </w:pPr>
            <w:r>
              <w:rPr>
                <w:color w:val="auto"/>
              </w:rPr>
              <w:t>良好</w:t>
            </w:r>
          </w:p>
        </w:tc>
        <w:tc>
          <w:tcPr>
            <w:tcW w:w="350" w:type="pct"/>
            <w:vAlign w:val="center"/>
          </w:tcPr>
          <w:p w14:paraId="1EB8B0E7">
            <w:pPr>
              <w:pStyle w:val="45"/>
              <w:rPr>
                <w:rFonts w:hint="eastAsia"/>
                <w:color w:val="auto"/>
              </w:rPr>
            </w:pPr>
          </w:p>
        </w:tc>
      </w:tr>
      <w:tr w14:paraId="2F611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4B7B0365">
            <w:pPr>
              <w:pStyle w:val="45"/>
              <w:rPr>
                <w:rFonts w:hint="eastAsia"/>
                <w:color w:val="auto"/>
              </w:rPr>
            </w:pPr>
            <w:r>
              <w:rPr>
                <w:rFonts w:hint="eastAsia"/>
                <w:color w:val="auto"/>
              </w:rPr>
              <w:t>3</w:t>
            </w:r>
            <w:r>
              <w:rPr>
                <w:color w:val="auto"/>
              </w:rPr>
              <w:t>0</w:t>
            </w:r>
          </w:p>
        </w:tc>
        <w:tc>
          <w:tcPr>
            <w:tcW w:w="865" w:type="pct"/>
            <w:vAlign w:val="center"/>
          </w:tcPr>
          <w:p w14:paraId="493E225E">
            <w:pPr>
              <w:pStyle w:val="45"/>
              <w:rPr>
                <w:rFonts w:hint="eastAsia"/>
                <w:color w:val="auto"/>
              </w:rPr>
            </w:pPr>
            <w:r>
              <w:rPr>
                <w:color w:val="auto"/>
              </w:rPr>
              <w:t>发电机组</w:t>
            </w:r>
          </w:p>
        </w:tc>
        <w:tc>
          <w:tcPr>
            <w:tcW w:w="737" w:type="pct"/>
            <w:vAlign w:val="center"/>
          </w:tcPr>
          <w:p w14:paraId="6FB94078">
            <w:pPr>
              <w:pStyle w:val="45"/>
              <w:rPr>
                <w:rFonts w:hint="eastAsia"/>
                <w:color w:val="auto"/>
              </w:rPr>
            </w:pPr>
            <w:r>
              <w:rPr>
                <w:color w:val="auto"/>
              </w:rPr>
              <w:t>500KW</w:t>
            </w:r>
          </w:p>
        </w:tc>
        <w:tc>
          <w:tcPr>
            <w:tcW w:w="336" w:type="pct"/>
            <w:vAlign w:val="center"/>
          </w:tcPr>
          <w:p w14:paraId="30EB3102">
            <w:pPr>
              <w:pStyle w:val="45"/>
              <w:rPr>
                <w:rFonts w:hint="eastAsia"/>
                <w:color w:val="auto"/>
              </w:rPr>
            </w:pPr>
            <w:r>
              <w:rPr>
                <w:color w:val="auto"/>
              </w:rPr>
              <w:t>2</w:t>
            </w:r>
          </w:p>
        </w:tc>
        <w:tc>
          <w:tcPr>
            <w:tcW w:w="542" w:type="pct"/>
            <w:vAlign w:val="center"/>
          </w:tcPr>
          <w:p w14:paraId="49C3E57B">
            <w:pPr>
              <w:pStyle w:val="45"/>
              <w:rPr>
                <w:rFonts w:hint="eastAsia"/>
                <w:color w:val="auto"/>
              </w:rPr>
            </w:pPr>
            <w:r>
              <w:rPr>
                <w:color w:val="auto"/>
              </w:rPr>
              <w:t>广东</w:t>
            </w:r>
          </w:p>
        </w:tc>
        <w:tc>
          <w:tcPr>
            <w:tcW w:w="619" w:type="pct"/>
            <w:vAlign w:val="center"/>
          </w:tcPr>
          <w:p w14:paraId="7B476BA8">
            <w:pPr>
              <w:pStyle w:val="45"/>
              <w:rPr>
                <w:rFonts w:hint="eastAsia"/>
                <w:color w:val="auto"/>
              </w:rPr>
            </w:pPr>
            <w:r>
              <w:rPr>
                <w:color w:val="auto"/>
              </w:rPr>
              <w:t>2017</w:t>
            </w:r>
          </w:p>
        </w:tc>
        <w:tc>
          <w:tcPr>
            <w:tcW w:w="667" w:type="pct"/>
            <w:vAlign w:val="center"/>
          </w:tcPr>
          <w:p w14:paraId="7DFA1346">
            <w:pPr>
              <w:pStyle w:val="45"/>
              <w:rPr>
                <w:rFonts w:hint="eastAsia"/>
                <w:color w:val="auto"/>
              </w:rPr>
            </w:pPr>
            <w:r>
              <w:rPr>
                <w:color w:val="auto"/>
              </w:rPr>
              <w:t>300W</w:t>
            </w:r>
          </w:p>
        </w:tc>
        <w:tc>
          <w:tcPr>
            <w:tcW w:w="548" w:type="pct"/>
            <w:vAlign w:val="center"/>
          </w:tcPr>
          <w:p w14:paraId="7DC25F62">
            <w:pPr>
              <w:pStyle w:val="45"/>
              <w:rPr>
                <w:rFonts w:hint="eastAsia"/>
                <w:color w:val="auto"/>
              </w:rPr>
            </w:pPr>
            <w:r>
              <w:rPr>
                <w:color w:val="auto"/>
              </w:rPr>
              <w:t>良好</w:t>
            </w:r>
          </w:p>
        </w:tc>
        <w:tc>
          <w:tcPr>
            <w:tcW w:w="350" w:type="pct"/>
            <w:vAlign w:val="center"/>
          </w:tcPr>
          <w:p w14:paraId="24D235A7">
            <w:pPr>
              <w:pStyle w:val="45"/>
              <w:rPr>
                <w:rFonts w:hint="eastAsia"/>
                <w:color w:val="auto"/>
              </w:rPr>
            </w:pPr>
          </w:p>
        </w:tc>
      </w:tr>
      <w:tr w14:paraId="395D7B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5000" w:type="pct"/>
            <w:gridSpan w:val="9"/>
            <w:vAlign w:val="center"/>
          </w:tcPr>
          <w:p w14:paraId="3A891E55">
            <w:pPr>
              <w:pStyle w:val="45"/>
              <w:rPr>
                <w:rFonts w:hint="eastAsia"/>
                <w:color w:val="auto"/>
              </w:rPr>
            </w:pPr>
            <w:r>
              <w:rPr>
                <w:color w:val="auto"/>
              </w:rPr>
              <w:t>机电安装机械设备</w:t>
            </w:r>
          </w:p>
        </w:tc>
      </w:tr>
      <w:tr w14:paraId="2FB57E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24CF31A">
            <w:pPr>
              <w:pStyle w:val="45"/>
              <w:rPr>
                <w:rFonts w:hint="eastAsia"/>
                <w:color w:val="auto"/>
              </w:rPr>
            </w:pPr>
            <w:r>
              <w:rPr>
                <w:color w:val="auto"/>
              </w:rPr>
              <w:t>序号</w:t>
            </w:r>
          </w:p>
        </w:tc>
        <w:tc>
          <w:tcPr>
            <w:tcW w:w="865" w:type="pct"/>
            <w:vAlign w:val="center"/>
          </w:tcPr>
          <w:p w14:paraId="6D170B87">
            <w:pPr>
              <w:pStyle w:val="45"/>
              <w:rPr>
                <w:rFonts w:hint="eastAsia"/>
                <w:color w:val="auto"/>
              </w:rPr>
            </w:pPr>
            <w:r>
              <w:rPr>
                <w:color w:val="auto"/>
              </w:rPr>
              <w:t>机械设备名称</w:t>
            </w:r>
          </w:p>
        </w:tc>
        <w:tc>
          <w:tcPr>
            <w:tcW w:w="737" w:type="pct"/>
            <w:vAlign w:val="center"/>
          </w:tcPr>
          <w:p w14:paraId="28222724">
            <w:pPr>
              <w:pStyle w:val="45"/>
              <w:rPr>
                <w:rFonts w:hint="eastAsia"/>
                <w:color w:val="auto"/>
              </w:rPr>
            </w:pPr>
            <w:r>
              <w:rPr>
                <w:color w:val="auto"/>
              </w:rPr>
              <w:t>型号规格</w:t>
            </w:r>
          </w:p>
        </w:tc>
        <w:tc>
          <w:tcPr>
            <w:tcW w:w="336" w:type="pct"/>
            <w:vAlign w:val="center"/>
          </w:tcPr>
          <w:p w14:paraId="41445589">
            <w:pPr>
              <w:pStyle w:val="45"/>
              <w:rPr>
                <w:rFonts w:hint="eastAsia"/>
                <w:color w:val="auto"/>
              </w:rPr>
            </w:pPr>
            <w:r>
              <w:rPr>
                <w:color w:val="auto"/>
              </w:rPr>
              <w:t>数量</w:t>
            </w:r>
          </w:p>
        </w:tc>
        <w:tc>
          <w:tcPr>
            <w:tcW w:w="542" w:type="pct"/>
            <w:vAlign w:val="center"/>
          </w:tcPr>
          <w:p w14:paraId="75925137">
            <w:pPr>
              <w:pStyle w:val="45"/>
              <w:rPr>
                <w:rFonts w:hint="eastAsia"/>
                <w:color w:val="auto"/>
              </w:rPr>
            </w:pPr>
            <w:r>
              <w:rPr>
                <w:color w:val="auto"/>
              </w:rPr>
              <w:t>国别产地</w:t>
            </w:r>
          </w:p>
        </w:tc>
        <w:tc>
          <w:tcPr>
            <w:tcW w:w="619" w:type="pct"/>
            <w:vAlign w:val="center"/>
          </w:tcPr>
          <w:p w14:paraId="0942B321">
            <w:pPr>
              <w:pStyle w:val="45"/>
              <w:rPr>
                <w:rFonts w:hint="eastAsia"/>
                <w:color w:val="auto"/>
              </w:rPr>
            </w:pPr>
            <w:r>
              <w:rPr>
                <w:color w:val="auto"/>
              </w:rPr>
              <w:t>制造年份</w:t>
            </w:r>
          </w:p>
        </w:tc>
        <w:tc>
          <w:tcPr>
            <w:tcW w:w="667" w:type="pct"/>
            <w:vAlign w:val="center"/>
          </w:tcPr>
          <w:p w14:paraId="5EDEAE1C">
            <w:pPr>
              <w:pStyle w:val="45"/>
              <w:rPr>
                <w:rFonts w:hint="eastAsia"/>
                <w:color w:val="auto"/>
              </w:rPr>
            </w:pPr>
            <w:r>
              <w:rPr>
                <w:color w:val="auto"/>
              </w:rPr>
              <w:t>额定功率</w:t>
            </w:r>
          </w:p>
          <w:p w14:paraId="1FCA600F">
            <w:pPr>
              <w:pStyle w:val="45"/>
              <w:rPr>
                <w:rFonts w:hint="eastAsia"/>
                <w:color w:val="auto"/>
              </w:rPr>
            </w:pPr>
            <w:r>
              <w:rPr>
                <w:color w:val="auto"/>
              </w:rPr>
              <w:t>（KW）</w:t>
            </w:r>
          </w:p>
        </w:tc>
        <w:tc>
          <w:tcPr>
            <w:tcW w:w="548" w:type="pct"/>
            <w:vAlign w:val="center"/>
          </w:tcPr>
          <w:p w14:paraId="31D3EAE7">
            <w:pPr>
              <w:pStyle w:val="45"/>
              <w:rPr>
                <w:rFonts w:hint="eastAsia"/>
                <w:color w:val="auto"/>
              </w:rPr>
            </w:pPr>
            <w:r>
              <w:rPr>
                <w:color w:val="auto"/>
              </w:rPr>
              <w:t>生产能力</w:t>
            </w:r>
          </w:p>
        </w:tc>
        <w:tc>
          <w:tcPr>
            <w:tcW w:w="350" w:type="pct"/>
            <w:vAlign w:val="center"/>
          </w:tcPr>
          <w:p w14:paraId="29E77663">
            <w:pPr>
              <w:pStyle w:val="45"/>
              <w:rPr>
                <w:rFonts w:hint="eastAsia"/>
                <w:color w:val="auto"/>
              </w:rPr>
            </w:pPr>
            <w:r>
              <w:rPr>
                <w:color w:val="auto"/>
              </w:rPr>
              <w:t>备注</w:t>
            </w:r>
          </w:p>
        </w:tc>
      </w:tr>
      <w:tr w14:paraId="42DAF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0D4C31D">
            <w:pPr>
              <w:pStyle w:val="45"/>
              <w:rPr>
                <w:rFonts w:hint="eastAsia"/>
                <w:color w:val="auto"/>
              </w:rPr>
            </w:pPr>
            <w:r>
              <w:rPr>
                <w:color w:val="auto"/>
              </w:rPr>
              <w:t>1</w:t>
            </w:r>
          </w:p>
        </w:tc>
        <w:tc>
          <w:tcPr>
            <w:tcW w:w="865" w:type="pct"/>
            <w:vAlign w:val="center"/>
          </w:tcPr>
          <w:p w14:paraId="5D4E1343">
            <w:pPr>
              <w:pStyle w:val="45"/>
              <w:rPr>
                <w:rFonts w:hint="eastAsia"/>
                <w:color w:val="auto"/>
              </w:rPr>
            </w:pPr>
            <w:r>
              <w:rPr>
                <w:color w:val="auto"/>
              </w:rPr>
              <w:t>箱式移动工作站</w:t>
            </w:r>
          </w:p>
        </w:tc>
        <w:tc>
          <w:tcPr>
            <w:tcW w:w="737" w:type="pct"/>
            <w:vAlign w:val="center"/>
          </w:tcPr>
          <w:p w14:paraId="1745E87B">
            <w:pPr>
              <w:pStyle w:val="45"/>
              <w:rPr>
                <w:rFonts w:hint="eastAsia"/>
                <w:color w:val="auto"/>
              </w:rPr>
            </w:pPr>
            <w:r>
              <w:rPr>
                <w:color w:val="auto"/>
              </w:rPr>
              <w:t>/</w:t>
            </w:r>
          </w:p>
        </w:tc>
        <w:tc>
          <w:tcPr>
            <w:tcW w:w="336" w:type="pct"/>
            <w:vAlign w:val="center"/>
          </w:tcPr>
          <w:p w14:paraId="6FF462D0">
            <w:pPr>
              <w:pStyle w:val="45"/>
              <w:rPr>
                <w:rFonts w:hint="eastAsia"/>
                <w:color w:val="auto"/>
              </w:rPr>
            </w:pPr>
            <w:r>
              <w:rPr>
                <w:color w:val="auto"/>
              </w:rPr>
              <w:t>6</w:t>
            </w:r>
          </w:p>
        </w:tc>
        <w:tc>
          <w:tcPr>
            <w:tcW w:w="542" w:type="pct"/>
            <w:vAlign w:val="center"/>
          </w:tcPr>
          <w:p w14:paraId="0D7FC53E">
            <w:pPr>
              <w:pStyle w:val="45"/>
              <w:rPr>
                <w:rFonts w:hint="eastAsia"/>
                <w:color w:val="auto"/>
              </w:rPr>
            </w:pPr>
            <w:r>
              <w:rPr>
                <w:color w:val="auto"/>
              </w:rPr>
              <w:t>武汉</w:t>
            </w:r>
          </w:p>
        </w:tc>
        <w:tc>
          <w:tcPr>
            <w:tcW w:w="619" w:type="pct"/>
            <w:vAlign w:val="center"/>
          </w:tcPr>
          <w:p w14:paraId="79BEA2C7">
            <w:pPr>
              <w:pStyle w:val="45"/>
              <w:rPr>
                <w:rFonts w:hint="eastAsia"/>
                <w:color w:val="auto"/>
              </w:rPr>
            </w:pPr>
            <w:r>
              <w:rPr>
                <w:color w:val="auto"/>
              </w:rPr>
              <w:t>2017</w:t>
            </w:r>
          </w:p>
        </w:tc>
        <w:tc>
          <w:tcPr>
            <w:tcW w:w="667" w:type="pct"/>
            <w:vAlign w:val="center"/>
          </w:tcPr>
          <w:p w14:paraId="2177A288">
            <w:pPr>
              <w:pStyle w:val="45"/>
              <w:rPr>
                <w:rFonts w:hint="eastAsia"/>
                <w:color w:val="auto"/>
              </w:rPr>
            </w:pPr>
            <w:r>
              <w:rPr>
                <w:color w:val="auto"/>
              </w:rPr>
              <w:t>/</w:t>
            </w:r>
          </w:p>
        </w:tc>
        <w:tc>
          <w:tcPr>
            <w:tcW w:w="548" w:type="pct"/>
            <w:vAlign w:val="center"/>
          </w:tcPr>
          <w:p w14:paraId="05A3072A">
            <w:pPr>
              <w:pStyle w:val="45"/>
              <w:rPr>
                <w:rFonts w:hint="eastAsia"/>
                <w:color w:val="auto"/>
              </w:rPr>
            </w:pPr>
            <w:r>
              <w:rPr>
                <w:color w:val="auto"/>
              </w:rPr>
              <w:t>良好</w:t>
            </w:r>
          </w:p>
        </w:tc>
        <w:tc>
          <w:tcPr>
            <w:tcW w:w="350" w:type="pct"/>
            <w:vAlign w:val="center"/>
          </w:tcPr>
          <w:p w14:paraId="5A567BDF">
            <w:pPr>
              <w:pStyle w:val="45"/>
              <w:rPr>
                <w:rFonts w:hint="eastAsia"/>
                <w:color w:val="auto"/>
              </w:rPr>
            </w:pPr>
          </w:p>
        </w:tc>
      </w:tr>
      <w:tr w14:paraId="2233E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65D7F7B5">
            <w:pPr>
              <w:pStyle w:val="45"/>
              <w:rPr>
                <w:rFonts w:hint="eastAsia"/>
                <w:color w:val="auto"/>
              </w:rPr>
            </w:pPr>
            <w:r>
              <w:rPr>
                <w:color w:val="auto"/>
              </w:rPr>
              <w:t>2</w:t>
            </w:r>
          </w:p>
        </w:tc>
        <w:tc>
          <w:tcPr>
            <w:tcW w:w="865" w:type="pct"/>
            <w:vAlign w:val="center"/>
          </w:tcPr>
          <w:p w14:paraId="2946D6C3">
            <w:pPr>
              <w:pStyle w:val="45"/>
              <w:rPr>
                <w:rFonts w:hint="eastAsia"/>
                <w:color w:val="auto"/>
              </w:rPr>
            </w:pPr>
            <w:r>
              <w:rPr>
                <w:color w:val="auto"/>
              </w:rPr>
              <w:t>汽车吊</w:t>
            </w:r>
          </w:p>
        </w:tc>
        <w:tc>
          <w:tcPr>
            <w:tcW w:w="737" w:type="pct"/>
            <w:vAlign w:val="center"/>
          </w:tcPr>
          <w:p w14:paraId="1DA9C1EC">
            <w:pPr>
              <w:pStyle w:val="45"/>
              <w:rPr>
                <w:rFonts w:hint="eastAsia"/>
                <w:color w:val="auto"/>
              </w:rPr>
            </w:pPr>
            <w:r>
              <w:rPr>
                <w:color w:val="auto"/>
              </w:rPr>
              <w:t>25t</w:t>
            </w:r>
          </w:p>
        </w:tc>
        <w:tc>
          <w:tcPr>
            <w:tcW w:w="336" w:type="pct"/>
            <w:vAlign w:val="center"/>
          </w:tcPr>
          <w:p w14:paraId="14812E5D">
            <w:pPr>
              <w:pStyle w:val="45"/>
              <w:rPr>
                <w:rFonts w:hint="eastAsia"/>
                <w:color w:val="auto"/>
              </w:rPr>
            </w:pPr>
            <w:r>
              <w:rPr>
                <w:rFonts w:hint="eastAsia"/>
                <w:color w:val="auto"/>
              </w:rPr>
              <w:t>2</w:t>
            </w:r>
          </w:p>
        </w:tc>
        <w:tc>
          <w:tcPr>
            <w:tcW w:w="542" w:type="pct"/>
            <w:vAlign w:val="center"/>
          </w:tcPr>
          <w:p w14:paraId="3ADC5F08">
            <w:pPr>
              <w:pStyle w:val="45"/>
              <w:rPr>
                <w:rFonts w:hint="eastAsia"/>
                <w:color w:val="auto"/>
              </w:rPr>
            </w:pPr>
            <w:r>
              <w:rPr>
                <w:color w:val="auto"/>
              </w:rPr>
              <w:t>长沙</w:t>
            </w:r>
          </w:p>
        </w:tc>
        <w:tc>
          <w:tcPr>
            <w:tcW w:w="619" w:type="pct"/>
            <w:vAlign w:val="center"/>
          </w:tcPr>
          <w:p w14:paraId="3336870E">
            <w:pPr>
              <w:pStyle w:val="45"/>
              <w:rPr>
                <w:rFonts w:hint="eastAsia"/>
                <w:color w:val="auto"/>
              </w:rPr>
            </w:pPr>
            <w:r>
              <w:rPr>
                <w:color w:val="auto"/>
              </w:rPr>
              <w:t>2016</w:t>
            </w:r>
          </w:p>
        </w:tc>
        <w:tc>
          <w:tcPr>
            <w:tcW w:w="667" w:type="pct"/>
            <w:vAlign w:val="center"/>
          </w:tcPr>
          <w:p w14:paraId="4DE7F30F">
            <w:pPr>
              <w:pStyle w:val="45"/>
              <w:rPr>
                <w:rFonts w:hint="eastAsia"/>
                <w:color w:val="auto"/>
              </w:rPr>
            </w:pPr>
            <w:r>
              <w:rPr>
                <w:color w:val="auto"/>
              </w:rPr>
              <w:t>/</w:t>
            </w:r>
          </w:p>
        </w:tc>
        <w:tc>
          <w:tcPr>
            <w:tcW w:w="548" w:type="pct"/>
            <w:vAlign w:val="center"/>
          </w:tcPr>
          <w:p w14:paraId="56647185">
            <w:pPr>
              <w:pStyle w:val="45"/>
              <w:rPr>
                <w:rFonts w:hint="eastAsia"/>
                <w:color w:val="auto"/>
              </w:rPr>
            </w:pPr>
            <w:r>
              <w:rPr>
                <w:color w:val="auto"/>
              </w:rPr>
              <w:t>良好</w:t>
            </w:r>
          </w:p>
        </w:tc>
        <w:tc>
          <w:tcPr>
            <w:tcW w:w="350" w:type="pct"/>
            <w:vAlign w:val="center"/>
          </w:tcPr>
          <w:p w14:paraId="6663EACF">
            <w:pPr>
              <w:pStyle w:val="45"/>
              <w:rPr>
                <w:rFonts w:hint="eastAsia"/>
                <w:color w:val="auto"/>
              </w:rPr>
            </w:pPr>
          </w:p>
        </w:tc>
      </w:tr>
      <w:tr w14:paraId="73593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CEAFBAF">
            <w:pPr>
              <w:pStyle w:val="45"/>
              <w:rPr>
                <w:rFonts w:hint="eastAsia"/>
                <w:color w:val="auto"/>
              </w:rPr>
            </w:pPr>
            <w:r>
              <w:rPr>
                <w:color w:val="auto"/>
              </w:rPr>
              <w:t>3</w:t>
            </w:r>
          </w:p>
        </w:tc>
        <w:tc>
          <w:tcPr>
            <w:tcW w:w="865" w:type="pct"/>
            <w:vAlign w:val="center"/>
          </w:tcPr>
          <w:p w14:paraId="1DC62FFC">
            <w:pPr>
              <w:pStyle w:val="45"/>
              <w:rPr>
                <w:rFonts w:hint="eastAsia"/>
                <w:color w:val="auto"/>
              </w:rPr>
            </w:pPr>
            <w:r>
              <w:rPr>
                <w:color w:val="auto"/>
              </w:rPr>
              <w:t>卷扬机</w:t>
            </w:r>
          </w:p>
        </w:tc>
        <w:tc>
          <w:tcPr>
            <w:tcW w:w="737" w:type="pct"/>
            <w:vAlign w:val="center"/>
          </w:tcPr>
          <w:p w14:paraId="572B8DFE">
            <w:pPr>
              <w:pStyle w:val="45"/>
              <w:rPr>
                <w:rFonts w:hint="eastAsia"/>
                <w:color w:val="auto"/>
              </w:rPr>
            </w:pPr>
            <w:r>
              <w:rPr>
                <w:color w:val="auto"/>
              </w:rPr>
              <w:t>5T</w:t>
            </w:r>
          </w:p>
        </w:tc>
        <w:tc>
          <w:tcPr>
            <w:tcW w:w="336" w:type="pct"/>
            <w:vAlign w:val="center"/>
          </w:tcPr>
          <w:p w14:paraId="3CF332FF">
            <w:pPr>
              <w:pStyle w:val="45"/>
              <w:rPr>
                <w:rFonts w:hint="eastAsia"/>
                <w:color w:val="auto"/>
              </w:rPr>
            </w:pPr>
            <w:r>
              <w:rPr>
                <w:rFonts w:hint="eastAsia"/>
                <w:color w:val="auto"/>
              </w:rPr>
              <w:t>6</w:t>
            </w:r>
          </w:p>
        </w:tc>
        <w:tc>
          <w:tcPr>
            <w:tcW w:w="542" w:type="pct"/>
            <w:vAlign w:val="center"/>
          </w:tcPr>
          <w:p w14:paraId="58F845CA">
            <w:pPr>
              <w:pStyle w:val="45"/>
              <w:rPr>
                <w:rFonts w:hint="eastAsia"/>
                <w:color w:val="auto"/>
              </w:rPr>
            </w:pPr>
            <w:r>
              <w:rPr>
                <w:color w:val="auto"/>
              </w:rPr>
              <w:t>武汉</w:t>
            </w:r>
          </w:p>
        </w:tc>
        <w:tc>
          <w:tcPr>
            <w:tcW w:w="619" w:type="pct"/>
            <w:vAlign w:val="center"/>
          </w:tcPr>
          <w:p w14:paraId="479A3877">
            <w:pPr>
              <w:pStyle w:val="45"/>
              <w:rPr>
                <w:rFonts w:hint="eastAsia"/>
                <w:color w:val="auto"/>
              </w:rPr>
            </w:pPr>
            <w:r>
              <w:rPr>
                <w:color w:val="auto"/>
              </w:rPr>
              <w:t>2018</w:t>
            </w:r>
          </w:p>
        </w:tc>
        <w:tc>
          <w:tcPr>
            <w:tcW w:w="667" w:type="pct"/>
            <w:vAlign w:val="center"/>
          </w:tcPr>
          <w:p w14:paraId="0274FE28">
            <w:pPr>
              <w:pStyle w:val="45"/>
              <w:rPr>
                <w:rFonts w:hint="eastAsia"/>
                <w:color w:val="auto"/>
              </w:rPr>
            </w:pPr>
            <w:r>
              <w:rPr>
                <w:color w:val="auto"/>
              </w:rPr>
              <w:t>15</w:t>
            </w:r>
          </w:p>
        </w:tc>
        <w:tc>
          <w:tcPr>
            <w:tcW w:w="548" w:type="pct"/>
            <w:vAlign w:val="center"/>
          </w:tcPr>
          <w:p w14:paraId="5D46FE99">
            <w:pPr>
              <w:pStyle w:val="45"/>
              <w:rPr>
                <w:rFonts w:hint="eastAsia"/>
                <w:color w:val="auto"/>
              </w:rPr>
            </w:pPr>
            <w:r>
              <w:rPr>
                <w:color w:val="auto"/>
              </w:rPr>
              <w:t>良好</w:t>
            </w:r>
          </w:p>
        </w:tc>
        <w:tc>
          <w:tcPr>
            <w:tcW w:w="350" w:type="pct"/>
            <w:vAlign w:val="center"/>
          </w:tcPr>
          <w:p w14:paraId="07A22B06">
            <w:pPr>
              <w:pStyle w:val="45"/>
              <w:rPr>
                <w:rFonts w:hint="eastAsia"/>
                <w:color w:val="auto"/>
              </w:rPr>
            </w:pPr>
          </w:p>
        </w:tc>
      </w:tr>
      <w:tr w14:paraId="1E83B6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41A5ADC8">
            <w:pPr>
              <w:pStyle w:val="45"/>
              <w:rPr>
                <w:rFonts w:hint="eastAsia"/>
                <w:color w:val="auto"/>
              </w:rPr>
            </w:pPr>
            <w:r>
              <w:rPr>
                <w:color w:val="auto"/>
              </w:rPr>
              <w:t>4</w:t>
            </w:r>
          </w:p>
        </w:tc>
        <w:tc>
          <w:tcPr>
            <w:tcW w:w="865" w:type="pct"/>
            <w:vAlign w:val="center"/>
          </w:tcPr>
          <w:p w14:paraId="0C089B50">
            <w:pPr>
              <w:pStyle w:val="45"/>
              <w:rPr>
                <w:rFonts w:hint="eastAsia"/>
                <w:color w:val="auto"/>
              </w:rPr>
            </w:pPr>
            <w:r>
              <w:rPr>
                <w:color w:val="auto"/>
              </w:rPr>
              <w:t>电动葫芦</w:t>
            </w:r>
          </w:p>
        </w:tc>
        <w:tc>
          <w:tcPr>
            <w:tcW w:w="737" w:type="pct"/>
            <w:vAlign w:val="center"/>
          </w:tcPr>
          <w:p w14:paraId="413B14BE">
            <w:pPr>
              <w:pStyle w:val="45"/>
              <w:rPr>
                <w:rFonts w:hint="eastAsia"/>
                <w:color w:val="auto"/>
              </w:rPr>
            </w:pPr>
            <w:r>
              <w:rPr>
                <w:color w:val="auto"/>
              </w:rPr>
              <w:t>CD1-10T</w:t>
            </w:r>
          </w:p>
        </w:tc>
        <w:tc>
          <w:tcPr>
            <w:tcW w:w="336" w:type="pct"/>
            <w:vAlign w:val="center"/>
          </w:tcPr>
          <w:p w14:paraId="12979E35">
            <w:pPr>
              <w:pStyle w:val="45"/>
              <w:rPr>
                <w:rFonts w:hint="eastAsia"/>
                <w:color w:val="auto"/>
              </w:rPr>
            </w:pPr>
            <w:r>
              <w:rPr>
                <w:rFonts w:hint="eastAsia"/>
                <w:color w:val="auto"/>
              </w:rPr>
              <w:t>4</w:t>
            </w:r>
          </w:p>
        </w:tc>
        <w:tc>
          <w:tcPr>
            <w:tcW w:w="542" w:type="pct"/>
            <w:vAlign w:val="center"/>
          </w:tcPr>
          <w:p w14:paraId="5D9D2148">
            <w:pPr>
              <w:pStyle w:val="45"/>
              <w:rPr>
                <w:rFonts w:hint="eastAsia"/>
                <w:color w:val="auto"/>
              </w:rPr>
            </w:pPr>
            <w:r>
              <w:rPr>
                <w:color w:val="auto"/>
              </w:rPr>
              <w:t>河南</w:t>
            </w:r>
          </w:p>
        </w:tc>
        <w:tc>
          <w:tcPr>
            <w:tcW w:w="619" w:type="pct"/>
            <w:vAlign w:val="center"/>
          </w:tcPr>
          <w:p w14:paraId="7012B2AD">
            <w:pPr>
              <w:pStyle w:val="45"/>
              <w:rPr>
                <w:rFonts w:hint="eastAsia"/>
                <w:color w:val="auto"/>
              </w:rPr>
            </w:pPr>
            <w:r>
              <w:rPr>
                <w:color w:val="auto"/>
              </w:rPr>
              <w:t>2018</w:t>
            </w:r>
          </w:p>
        </w:tc>
        <w:tc>
          <w:tcPr>
            <w:tcW w:w="667" w:type="pct"/>
            <w:vAlign w:val="center"/>
          </w:tcPr>
          <w:p w14:paraId="185D89CA">
            <w:pPr>
              <w:pStyle w:val="45"/>
              <w:rPr>
                <w:rFonts w:hint="eastAsia"/>
                <w:color w:val="auto"/>
              </w:rPr>
            </w:pPr>
            <w:r>
              <w:rPr>
                <w:color w:val="auto"/>
              </w:rPr>
              <w:t>13</w:t>
            </w:r>
          </w:p>
        </w:tc>
        <w:tc>
          <w:tcPr>
            <w:tcW w:w="548" w:type="pct"/>
            <w:vAlign w:val="center"/>
          </w:tcPr>
          <w:p w14:paraId="577BD66F">
            <w:pPr>
              <w:pStyle w:val="45"/>
              <w:rPr>
                <w:rFonts w:hint="eastAsia"/>
                <w:color w:val="auto"/>
              </w:rPr>
            </w:pPr>
            <w:r>
              <w:rPr>
                <w:color w:val="auto"/>
              </w:rPr>
              <w:t>良好</w:t>
            </w:r>
          </w:p>
        </w:tc>
        <w:tc>
          <w:tcPr>
            <w:tcW w:w="350" w:type="pct"/>
            <w:vAlign w:val="center"/>
          </w:tcPr>
          <w:p w14:paraId="44DE482D">
            <w:pPr>
              <w:pStyle w:val="45"/>
              <w:rPr>
                <w:rFonts w:hint="eastAsia"/>
                <w:color w:val="auto"/>
              </w:rPr>
            </w:pPr>
          </w:p>
        </w:tc>
      </w:tr>
      <w:tr w14:paraId="1154DF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E069368">
            <w:pPr>
              <w:pStyle w:val="45"/>
              <w:rPr>
                <w:rFonts w:hint="eastAsia"/>
                <w:color w:val="auto"/>
              </w:rPr>
            </w:pPr>
            <w:r>
              <w:rPr>
                <w:color w:val="auto"/>
              </w:rPr>
              <w:t>5</w:t>
            </w:r>
          </w:p>
        </w:tc>
        <w:tc>
          <w:tcPr>
            <w:tcW w:w="865" w:type="pct"/>
            <w:vAlign w:val="center"/>
          </w:tcPr>
          <w:p w14:paraId="1D51C457">
            <w:pPr>
              <w:pStyle w:val="45"/>
              <w:rPr>
                <w:rFonts w:hint="eastAsia"/>
                <w:color w:val="auto"/>
              </w:rPr>
            </w:pPr>
            <w:r>
              <w:rPr>
                <w:color w:val="auto"/>
              </w:rPr>
              <w:t>电动葫芦</w:t>
            </w:r>
          </w:p>
        </w:tc>
        <w:tc>
          <w:tcPr>
            <w:tcW w:w="737" w:type="pct"/>
            <w:vAlign w:val="center"/>
          </w:tcPr>
          <w:p w14:paraId="64E602FD">
            <w:pPr>
              <w:pStyle w:val="45"/>
              <w:rPr>
                <w:rFonts w:hint="eastAsia"/>
                <w:color w:val="auto"/>
              </w:rPr>
            </w:pPr>
            <w:r>
              <w:rPr>
                <w:color w:val="auto"/>
              </w:rPr>
              <w:t>CD1-5T</w:t>
            </w:r>
          </w:p>
        </w:tc>
        <w:tc>
          <w:tcPr>
            <w:tcW w:w="336" w:type="pct"/>
            <w:vAlign w:val="center"/>
          </w:tcPr>
          <w:p w14:paraId="670D8564">
            <w:pPr>
              <w:pStyle w:val="45"/>
              <w:rPr>
                <w:rFonts w:hint="eastAsia"/>
                <w:color w:val="auto"/>
              </w:rPr>
            </w:pPr>
            <w:r>
              <w:rPr>
                <w:rFonts w:hint="eastAsia"/>
                <w:color w:val="auto"/>
              </w:rPr>
              <w:t>6</w:t>
            </w:r>
          </w:p>
        </w:tc>
        <w:tc>
          <w:tcPr>
            <w:tcW w:w="542" w:type="pct"/>
            <w:vAlign w:val="center"/>
          </w:tcPr>
          <w:p w14:paraId="0CC3333C">
            <w:pPr>
              <w:pStyle w:val="45"/>
              <w:rPr>
                <w:rFonts w:hint="eastAsia"/>
                <w:color w:val="auto"/>
              </w:rPr>
            </w:pPr>
            <w:r>
              <w:rPr>
                <w:color w:val="auto"/>
              </w:rPr>
              <w:t>河南</w:t>
            </w:r>
          </w:p>
        </w:tc>
        <w:tc>
          <w:tcPr>
            <w:tcW w:w="619" w:type="pct"/>
            <w:vAlign w:val="center"/>
          </w:tcPr>
          <w:p w14:paraId="37913979">
            <w:pPr>
              <w:pStyle w:val="45"/>
              <w:rPr>
                <w:rFonts w:hint="eastAsia"/>
                <w:color w:val="auto"/>
              </w:rPr>
            </w:pPr>
            <w:r>
              <w:rPr>
                <w:color w:val="auto"/>
              </w:rPr>
              <w:t>2017</w:t>
            </w:r>
          </w:p>
        </w:tc>
        <w:tc>
          <w:tcPr>
            <w:tcW w:w="667" w:type="pct"/>
            <w:vAlign w:val="center"/>
          </w:tcPr>
          <w:p w14:paraId="5956A508">
            <w:pPr>
              <w:pStyle w:val="45"/>
              <w:rPr>
                <w:rFonts w:hint="eastAsia"/>
                <w:color w:val="auto"/>
              </w:rPr>
            </w:pPr>
            <w:r>
              <w:rPr>
                <w:color w:val="auto"/>
              </w:rPr>
              <w:t>7.5</w:t>
            </w:r>
          </w:p>
        </w:tc>
        <w:tc>
          <w:tcPr>
            <w:tcW w:w="548" w:type="pct"/>
            <w:vAlign w:val="center"/>
          </w:tcPr>
          <w:p w14:paraId="6C060815">
            <w:pPr>
              <w:pStyle w:val="45"/>
              <w:rPr>
                <w:rFonts w:hint="eastAsia"/>
                <w:color w:val="auto"/>
              </w:rPr>
            </w:pPr>
            <w:r>
              <w:rPr>
                <w:color w:val="auto"/>
              </w:rPr>
              <w:t>良好</w:t>
            </w:r>
          </w:p>
        </w:tc>
        <w:tc>
          <w:tcPr>
            <w:tcW w:w="350" w:type="pct"/>
            <w:vAlign w:val="center"/>
          </w:tcPr>
          <w:p w14:paraId="3E710836">
            <w:pPr>
              <w:pStyle w:val="45"/>
              <w:rPr>
                <w:rFonts w:hint="eastAsia"/>
                <w:color w:val="auto"/>
              </w:rPr>
            </w:pPr>
          </w:p>
        </w:tc>
      </w:tr>
      <w:tr w14:paraId="2438A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018A451">
            <w:pPr>
              <w:pStyle w:val="45"/>
              <w:rPr>
                <w:rFonts w:hint="eastAsia"/>
                <w:color w:val="auto"/>
              </w:rPr>
            </w:pPr>
            <w:r>
              <w:rPr>
                <w:color w:val="auto"/>
              </w:rPr>
              <w:t>6</w:t>
            </w:r>
          </w:p>
        </w:tc>
        <w:tc>
          <w:tcPr>
            <w:tcW w:w="865" w:type="pct"/>
            <w:vAlign w:val="center"/>
          </w:tcPr>
          <w:p w14:paraId="4C64698D">
            <w:pPr>
              <w:pStyle w:val="45"/>
              <w:rPr>
                <w:rFonts w:hint="eastAsia"/>
                <w:color w:val="auto"/>
              </w:rPr>
            </w:pPr>
            <w:r>
              <w:rPr>
                <w:color w:val="auto"/>
              </w:rPr>
              <w:t>手拉葫芦</w:t>
            </w:r>
          </w:p>
        </w:tc>
        <w:tc>
          <w:tcPr>
            <w:tcW w:w="737" w:type="pct"/>
            <w:vAlign w:val="center"/>
          </w:tcPr>
          <w:p w14:paraId="433233EB">
            <w:pPr>
              <w:pStyle w:val="45"/>
              <w:rPr>
                <w:rFonts w:hint="eastAsia"/>
                <w:color w:val="auto"/>
              </w:rPr>
            </w:pPr>
            <w:r>
              <w:rPr>
                <w:color w:val="auto"/>
              </w:rPr>
              <w:t>HS5</w:t>
            </w:r>
          </w:p>
        </w:tc>
        <w:tc>
          <w:tcPr>
            <w:tcW w:w="336" w:type="pct"/>
            <w:vAlign w:val="center"/>
          </w:tcPr>
          <w:p w14:paraId="77FEA2D9">
            <w:pPr>
              <w:pStyle w:val="45"/>
              <w:rPr>
                <w:rFonts w:hint="eastAsia"/>
                <w:color w:val="auto"/>
              </w:rPr>
            </w:pPr>
            <w:r>
              <w:rPr>
                <w:rFonts w:hint="eastAsia"/>
                <w:color w:val="auto"/>
              </w:rPr>
              <w:t>6</w:t>
            </w:r>
          </w:p>
        </w:tc>
        <w:tc>
          <w:tcPr>
            <w:tcW w:w="542" w:type="pct"/>
            <w:vAlign w:val="center"/>
          </w:tcPr>
          <w:p w14:paraId="7EBA4EEC">
            <w:pPr>
              <w:pStyle w:val="45"/>
              <w:rPr>
                <w:rFonts w:hint="eastAsia"/>
                <w:color w:val="auto"/>
              </w:rPr>
            </w:pPr>
            <w:r>
              <w:rPr>
                <w:color w:val="auto"/>
              </w:rPr>
              <w:t>广东</w:t>
            </w:r>
          </w:p>
        </w:tc>
        <w:tc>
          <w:tcPr>
            <w:tcW w:w="619" w:type="pct"/>
            <w:vAlign w:val="center"/>
          </w:tcPr>
          <w:p w14:paraId="4C72A9BF">
            <w:pPr>
              <w:pStyle w:val="45"/>
              <w:rPr>
                <w:rFonts w:hint="eastAsia"/>
                <w:color w:val="auto"/>
              </w:rPr>
            </w:pPr>
            <w:r>
              <w:rPr>
                <w:color w:val="auto"/>
              </w:rPr>
              <w:t>2018</w:t>
            </w:r>
          </w:p>
        </w:tc>
        <w:tc>
          <w:tcPr>
            <w:tcW w:w="667" w:type="pct"/>
            <w:vAlign w:val="center"/>
          </w:tcPr>
          <w:p w14:paraId="65E6E185">
            <w:pPr>
              <w:pStyle w:val="45"/>
              <w:rPr>
                <w:rFonts w:hint="eastAsia"/>
                <w:color w:val="auto"/>
              </w:rPr>
            </w:pPr>
            <w:r>
              <w:rPr>
                <w:color w:val="auto"/>
              </w:rPr>
              <w:t>/</w:t>
            </w:r>
          </w:p>
        </w:tc>
        <w:tc>
          <w:tcPr>
            <w:tcW w:w="548" w:type="pct"/>
            <w:vAlign w:val="center"/>
          </w:tcPr>
          <w:p w14:paraId="6566A30D">
            <w:pPr>
              <w:pStyle w:val="45"/>
              <w:rPr>
                <w:rFonts w:hint="eastAsia"/>
                <w:color w:val="auto"/>
              </w:rPr>
            </w:pPr>
            <w:r>
              <w:rPr>
                <w:color w:val="auto"/>
              </w:rPr>
              <w:t>良好</w:t>
            </w:r>
          </w:p>
        </w:tc>
        <w:tc>
          <w:tcPr>
            <w:tcW w:w="350" w:type="pct"/>
            <w:vAlign w:val="center"/>
          </w:tcPr>
          <w:p w14:paraId="2D8A0D9B">
            <w:pPr>
              <w:pStyle w:val="45"/>
              <w:rPr>
                <w:rFonts w:hint="eastAsia"/>
                <w:color w:val="auto"/>
              </w:rPr>
            </w:pPr>
          </w:p>
        </w:tc>
      </w:tr>
      <w:tr w14:paraId="23A9B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2D1E1649">
            <w:pPr>
              <w:pStyle w:val="45"/>
              <w:rPr>
                <w:rFonts w:hint="eastAsia"/>
                <w:color w:val="auto"/>
              </w:rPr>
            </w:pPr>
            <w:r>
              <w:rPr>
                <w:color w:val="auto"/>
              </w:rPr>
              <w:t>7</w:t>
            </w:r>
          </w:p>
        </w:tc>
        <w:tc>
          <w:tcPr>
            <w:tcW w:w="865" w:type="pct"/>
            <w:vAlign w:val="center"/>
          </w:tcPr>
          <w:p w14:paraId="7649C895">
            <w:pPr>
              <w:pStyle w:val="45"/>
              <w:rPr>
                <w:rFonts w:hint="eastAsia"/>
                <w:color w:val="auto"/>
              </w:rPr>
            </w:pPr>
            <w:r>
              <w:rPr>
                <w:color w:val="auto"/>
              </w:rPr>
              <w:t>手拉葫芦</w:t>
            </w:r>
          </w:p>
        </w:tc>
        <w:tc>
          <w:tcPr>
            <w:tcW w:w="737" w:type="pct"/>
            <w:vAlign w:val="center"/>
          </w:tcPr>
          <w:p w14:paraId="07A0E2B6">
            <w:pPr>
              <w:pStyle w:val="45"/>
              <w:rPr>
                <w:rFonts w:hint="eastAsia"/>
                <w:color w:val="auto"/>
              </w:rPr>
            </w:pPr>
            <w:r>
              <w:rPr>
                <w:color w:val="auto"/>
              </w:rPr>
              <w:t>HS2</w:t>
            </w:r>
          </w:p>
        </w:tc>
        <w:tc>
          <w:tcPr>
            <w:tcW w:w="336" w:type="pct"/>
            <w:vAlign w:val="center"/>
          </w:tcPr>
          <w:p w14:paraId="422606DB">
            <w:pPr>
              <w:pStyle w:val="45"/>
              <w:rPr>
                <w:rFonts w:hint="eastAsia"/>
                <w:color w:val="auto"/>
              </w:rPr>
            </w:pPr>
            <w:r>
              <w:rPr>
                <w:rFonts w:hint="eastAsia"/>
                <w:color w:val="auto"/>
              </w:rPr>
              <w:t>6</w:t>
            </w:r>
          </w:p>
        </w:tc>
        <w:tc>
          <w:tcPr>
            <w:tcW w:w="542" w:type="pct"/>
            <w:vAlign w:val="center"/>
          </w:tcPr>
          <w:p w14:paraId="47E1D5E0">
            <w:pPr>
              <w:pStyle w:val="45"/>
              <w:rPr>
                <w:rFonts w:hint="eastAsia"/>
                <w:color w:val="auto"/>
              </w:rPr>
            </w:pPr>
            <w:r>
              <w:rPr>
                <w:color w:val="auto"/>
              </w:rPr>
              <w:t>广东</w:t>
            </w:r>
          </w:p>
        </w:tc>
        <w:tc>
          <w:tcPr>
            <w:tcW w:w="619" w:type="pct"/>
            <w:vAlign w:val="center"/>
          </w:tcPr>
          <w:p w14:paraId="3DD6D5CE">
            <w:pPr>
              <w:pStyle w:val="45"/>
              <w:rPr>
                <w:rFonts w:hint="eastAsia"/>
                <w:color w:val="auto"/>
              </w:rPr>
            </w:pPr>
            <w:r>
              <w:rPr>
                <w:color w:val="auto"/>
              </w:rPr>
              <w:t>2018</w:t>
            </w:r>
          </w:p>
        </w:tc>
        <w:tc>
          <w:tcPr>
            <w:tcW w:w="667" w:type="pct"/>
            <w:vAlign w:val="center"/>
          </w:tcPr>
          <w:p w14:paraId="75D51B18">
            <w:pPr>
              <w:pStyle w:val="45"/>
              <w:rPr>
                <w:rFonts w:hint="eastAsia"/>
                <w:color w:val="auto"/>
              </w:rPr>
            </w:pPr>
            <w:r>
              <w:rPr>
                <w:color w:val="auto"/>
              </w:rPr>
              <w:t>/</w:t>
            </w:r>
          </w:p>
        </w:tc>
        <w:tc>
          <w:tcPr>
            <w:tcW w:w="548" w:type="pct"/>
            <w:vAlign w:val="center"/>
          </w:tcPr>
          <w:p w14:paraId="0B7D7111">
            <w:pPr>
              <w:pStyle w:val="45"/>
              <w:rPr>
                <w:rFonts w:hint="eastAsia"/>
                <w:color w:val="auto"/>
              </w:rPr>
            </w:pPr>
            <w:r>
              <w:rPr>
                <w:color w:val="auto"/>
              </w:rPr>
              <w:t>良好</w:t>
            </w:r>
          </w:p>
        </w:tc>
        <w:tc>
          <w:tcPr>
            <w:tcW w:w="350" w:type="pct"/>
            <w:vAlign w:val="center"/>
          </w:tcPr>
          <w:p w14:paraId="66674AB4">
            <w:pPr>
              <w:pStyle w:val="45"/>
              <w:rPr>
                <w:rFonts w:hint="eastAsia"/>
                <w:color w:val="auto"/>
              </w:rPr>
            </w:pPr>
          </w:p>
        </w:tc>
      </w:tr>
      <w:tr w14:paraId="092328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4" w:hRule="atLeast"/>
        </w:trPr>
        <w:tc>
          <w:tcPr>
            <w:tcW w:w="336" w:type="pct"/>
            <w:vAlign w:val="center"/>
          </w:tcPr>
          <w:p w14:paraId="40F945D7">
            <w:pPr>
              <w:pStyle w:val="45"/>
              <w:rPr>
                <w:rFonts w:hint="eastAsia"/>
                <w:color w:val="auto"/>
              </w:rPr>
            </w:pPr>
            <w:r>
              <w:rPr>
                <w:color w:val="auto"/>
              </w:rPr>
              <w:t>8</w:t>
            </w:r>
          </w:p>
        </w:tc>
        <w:tc>
          <w:tcPr>
            <w:tcW w:w="865" w:type="pct"/>
            <w:vAlign w:val="center"/>
          </w:tcPr>
          <w:p w14:paraId="35F90D97">
            <w:pPr>
              <w:pStyle w:val="45"/>
              <w:rPr>
                <w:rFonts w:hint="eastAsia"/>
                <w:color w:val="auto"/>
              </w:rPr>
            </w:pPr>
            <w:r>
              <w:rPr>
                <w:color w:val="auto"/>
              </w:rPr>
              <w:t>叉车</w:t>
            </w:r>
          </w:p>
        </w:tc>
        <w:tc>
          <w:tcPr>
            <w:tcW w:w="737" w:type="pct"/>
            <w:vAlign w:val="center"/>
          </w:tcPr>
          <w:p w14:paraId="2E8B3472">
            <w:pPr>
              <w:pStyle w:val="45"/>
              <w:rPr>
                <w:rFonts w:hint="eastAsia"/>
                <w:color w:val="auto"/>
              </w:rPr>
            </w:pPr>
            <w:r>
              <w:rPr>
                <w:color w:val="auto"/>
              </w:rPr>
              <w:t>CPCD100</w:t>
            </w:r>
          </w:p>
        </w:tc>
        <w:tc>
          <w:tcPr>
            <w:tcW w:w="336" w:type="pct"/>
            <w:vAlign w:val="center"/>
          </w:tcPr>
          <w:p w14:paraId="2D67C40B">
            <w:pPr>
              <w:pStyle w:val="45"/>
              <w:rPr>
                <w:rFonts w:hint="eastAsia"/>
                <w:color w:val="auto"/>
              </w:rPr>
            </w:pPr>
            <w:r>
              <w:rPr>
                <w:rFonts w:hint="eastAsia"/>
                <w:color w:val="auto"/>
              </w:rPr>
              <w:t>2</w:t>
            </w:r>
          </w:p>
        </w:tc>
        <w:tc>
          <w:tcPr>
            <w:tcW w:w="542" w:type="pct"/>
            <w:vAlign w:val="center"/>
          </w:tcPr>
          <w:p w14:paraId="00D8B08B">
            <w:pPr>
              <w:pStyle w:val="45"/>
              <w:rPr>
                <w:rFonts w:hint="eastAsia"/>
                <w:color w:val="auto"/>
              </w:rPr>
            </w:pPr>
            <w:r>
              <w:rPr>
                <w:color w:val="auto"/>
              </w:rPr>
              <w:t>安徽</w:t>
            </w:r>
          </w:p>
        </w:tc>
        <w:tc>
          <w:tcPr>
            <w:tcW w:w="619" w:type="pct"/>
            <w:vAlign w:val="center"/>
          </w:tcPr>
          <w:p w14:paraId="13F9701B">
            <w:pPr>
              <w:pStyle w:val="45"/>
              <w:rPr>
                <w:rFonts w:hint="eastAsia"/>
                <w:color w:val="auto"/>
              </w:rPr>
            </w:pPr>
            <w:r>
              <w:rPr>
                <w:color w:val="auto"/>
              </w:rPr>
              <w:t>2018</w:t>
            </w:r>
          </w:p>
        </w:tc>
        <w:tc>
          <w:tcPr>
            <w:tcW w:w="667" w:type="pct"/>
            <w:vAlign w:val="center"/>
          </w:tcPr>
          <w:p w14:paraId="634E8AB5">
            <w:pPr>
              <w:pStyle w:val="45"/>
              <w:rPr>
                <w:rFonts w:hint="eastAsia"/>
                <w:color w:val="auto"/>
              </w:rPr>
            </w:pPr>
            <w:r>
              <w:rPr>
                <w:color w:val="auto"/>
              </w:rPr>
              <w:t>/</w:t>
            </w:r>
          </w:p>
        </w:tc>
        <w:tc>
          <w:tcPr>
            <w:tcW w:w="548" w:type="pct"/>
            <w:vAlign w:val="center"/>
          </w:tcPr>
          <w:p w14:paraId="572C315C">
            <w:pPr>
              <w:pStyle w:val="45"/>
              <w:rPr>
                <w:rFonts w:hint="eastAsia"/>
                <w:color w:val="auto"/>
              </w:rPr>
            </w:pPr>
            <w:r>
              <w:rPr>
                <w:color w:val="auto"/>
              </w:rPr>
              <w:t>良好</w:t>
            </w:r>
          </w:p>
        </w:tc>
        <w:tc>
          <w:tcPr>
            <w:tcW w:w="350" w:type="pct"/>
            <w:vAlign w:val="center"/>
          </w:tcPr>
          <w:p w14:paraId="556E7248">
            <w:pPr>
              <w:pStyle w:val="45"/>
              <w:rPr>
                <w:rFonts w:hint="eastAsia"/>
                <w:color w:val="auto"/>
              </w:rPr>
            </w:pPr>
          </w:p>
        </w:tc>
      </w:tr>
      <w:tr w14:paraId="6FF2A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24D65387">
            <w:pPr>
              <w:pStyle w:val="45"/>
              <w:rPr>
                <w:rFonts w:hint="eastAsia"/>
                <w:color w:val="auto"/>
              </w:rPr>
            </w:pPr>
            <w:r>
              <w:rPr>
                <w:color w:val="auto"/>
              </w:rPr>
              <w:t>9</w:t>
            </w:r>
          </w:p>
        </w:tc>
        <w:tc>
          <w:tcPr>
            <w:tcW w:w="865" w:type="pct"/>
            <w:vAlign w:val="center"/>
          </w:tcPr>
          <w:p w14:paraId="4D4F3A62">
            <w:pPr>
              <w:pStyle w:val="45"/>
              <w:rPr>
                <w:rFonts w:hint="eastAsia"/>
                <w:color w:val="auto"/>
              </w:rPr>
            </w:pPr>
            <w:r>
              <w:rPr>
                <w:color w:val="auto"/>
              </w:rPr>
              <w:t>搬运小坦克车</w:t>
            </w:r>
          </w:p>
        </w:tc>
        <w:tc>
          <w:tcPr>
            <w:tcW w:w="737" w:type="pct"/>
            <w:vAlign w:val="center"/>
          </w:tcPr>
          <w:p w14:paraId="737FA15B">
            <w:pPr>
              <w:pStyle w:val="45"/>
              <w:rPr>
                <w:rFonts w:hint="eastAsia"/>
                <w:color w:val="auto"/>
              </w:rPr>
            </w:pPr>
            <w:r>
              <w:rPr>
                <w:color w:val="auto"/>
              </w:rPr>
              <w:t>10T</w:t>
            </w:r>
          </w:p>
        </w:tc>
        <w:tc>
          <w:tcPr>
            <w:tcW w:w="336" w:type="pct"/>
            <w:vAlign w:val="center"/>
          </w:tcPr>
          <w:p w14:paraId="025E2583">
            <w:pPr>
              <w:pStyle w:val="45"/>
              <w:rPr>
                <w:rFonts w:hint="eastAsia"/>
                <w:color w:val="auto"/>
              </w:rPr>
            </w:pPr>
            <w:r>
              <w:rPr>
                <w:rFonts w:hint="eastAsia"/>
                <w:color w:val="auto"/>
              </w:rPr>
              <w:t>2</w:t>
            </w:r>
          </w:p>
        </w:tc>
        <w:tc>
          <w:tcPr>
            <w:tcW w:w="542" w:type="pct"/>
            <w:vAlign w:val="center"/>
          </w:tcPr>
          <w:p w14:paraId="70D1B308">
            <w:pPr>
              <w:pStyle w:val="45"/>
              <w:rPr>
                <w:rFonts w:hint="eastAsia"/>
                <w:color w:val="auto"/>
              </w:rPr>
            </w:pPr>
            <w:r>
              <w:rPr>
                <w:color w:val="auto"/>
              </w:rPr>
              <w:t>上海</w:t>
            </w:r>
          </w:p>
        </w:tc>
        <w:tc>
          <w:tcPr>
            <w:tcW w:w="619" w:type="pct"/>
            <w:vAlign w:val="center"/>
          </w:tcPr>
          <w:p w14:paraId="37CE2CB3">
            <w:pPr>
              <w:pStyle w:val="45"/>
              <w:rPr>
                <w:rFonts w:hint="eastAsia"/>
                <w:color w:val="auto"/>
              </w:rPr>
            </w:pPr>
            <w:r>
              <w:rPr>
                <w:color w:val="auto"/>
              </w:rPr>
              <w:t>2017</w:t>
            </w:r>
          </w:p>
        </w:tc>
        <w:tc>
          <w:tcPr>
            <w:tcW w:w="667" w:type="pct"/>
            <w:vAlign w:val="center"/>
          </w:tcPr>
          <w:p w14:paraId="7B95A411">
            <w:pPr>
              <w:pStyle w:val="45"/>
              <w:rPr>
                <w:rFonts w:hint="eastAsia"/>
                <w:color w:val="auto"/>
              </w:rPr>
            </w:pPr>
          </w:p>
        </w:tc>
        <w:tc>
          <w:tcPr>
            <w:tcW w:w="548" w:type="pct"/>
            <w:vAlign w:val="center"/>
          </w:tcPr>
          <w:p w14:paraId="36C42699">
            <w:pPr>
              <w:pStyle w:val="45"/>
              <w:rPr>
                <w:rFonts w:hint="eastAsia"/>
                <w:color w:val="auto"/>
              </w:rPr>
            </w:pPr>
            <w:r>
              <w:rPr>
                <w:color w:val="auto"/>
              </w:rPr>
              <w:t>良好</w:t>
            </w:r>
          </w:p>
        </w:tc>
        <w:tc>
          <w:tcPr>
            <w:tcW w:w="350" w:type="pct"/>
            <w:vAlign w:val="center"/>
          </w:tcPr>
          <w:p w14:paraId="1E099054">
            <w:pPr>
              <w:pStyle w:val="45"/>
              <w:rPr>
                <w:rFonts w:hint="eastAsia"/>
                <w:color w:val="auto"/>
              </w:rPr>
            </w:pPr>
          </w:p>
        </w:tc>
      </w:tr>
      <w:tr w14:paraId="4E37F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4B8B7A1B">
            <w:pPr>
              <w:pStyle w:val="45"/>
              <w:rPr>
                <w:rFonts w:hint="eastAsia"/>
                <w:color w:val="auto"/>
              </w:rPr>
            </w:pPr>
            <w:r>
              <w:rPr>
                <w:color w:val="auto"/>
              </w:rPr>
              <w:t>10</w:t>
            </w:r>
          </w:p>
        </w:tc>
        <w:tc>
          <w:tcPr>
            <w:tcW w:w="865" w:type="pct"/>
            <w:vAlign w:val="center"/>
          </w:tcPr>
          <w:p w14:paraId="40D838FF">
            <w:pPr>
              <w:pStyle w:val="45"/>
              <w:rPr>
                <w:rFonts w:hint="eastAsia"/>
                <w:color w:val="auto"/>
              </w:rPr>
            </w:pPr>
            <w:r>
              <w:rPr>
                <w:color w:val="auto"/>
              </w:rPr>
              <w:t>液压托盘搬运车</w:t>
            </w:r>
          </w:p>
        </w:tc>
        <w:tc>
          <w:tcPr>
            <w:tcW w:w="737" w:type="pct"/>
            <w:vAlign w:val="center"/>
          </w:tcPr>
          <w:p w14:paraId="420F6AA6">
            <w:pPr>
              <w:pStyle w:val="45"/>
              <w:rPr>
                <w:rFonts w:hint="eastAsia"/>
                <w:color w:val="auto"/>
              </w:rPr>
            </w:pPr>
            <w:r>
              <w:rPr>
                <w:color w:val="auto"/>
              </w:rPr>
              <w:t>CBY—2.5</w:t>
            </w:r>
          </w:p>
        </w:tc>
        <w:tc>
          <w:tcPr>
            <w:tcW w:w="336" w:type="pct"/>
            <w:vAlign w:val="center"/>
          </w:tcPr>
          <w:p w14:paraId="647B3E3D">
            <w:pPr>
              <w:pStyle w:val="45"/>
              <w:rPr>
                <w:rFonts w:hint="eastAsia"/>
                <w:color w:val="auto"/>
              </w:rPr>
            </w:pPr>
            <w:r>
              <w:rPr>
                <w:rFonts w:hint="eastAsia"/>
                <w:color w:val="auto"/>
              </w:rPr>
              <w:t>2</w:t>
            </w:r>
          </w:p>
        </w:tc>
        <w:tc>
          <w:tcPr>
            <w:tcW w:w="542" w:type="pct"/>
            <w:vAlign w:val="center"/>
          </w:tcPr>
          <w:p w14:paraId="670FA57D">
            <w:pPr>
              <w:pStyle w:val="45"/>
              <w:rPr>
                <w:rFonts w:hint="eastAsia"/>
                <w:color w:val="auto"/>
              </w:rPr>
            </w:pPr>
            <w:r>
              <w:rPr>
                <w:color w:val="auto"/>
              </w:rPr>
              <w:t>广东</w:t>
            </w:r>
          </w:p>
        </w:tc>
        <w:tc>
          <w:tcPr>
            <w:tcW w:w="619" w:type="pct"/>
            <w:vAlign w:val="center"/>
          </w:tcPr>
          <w:p w14:paraId="5E4CABDD">
            <w:pPr>
              <w:pStyle w:val="45"/>
              <w:rPr>
                <w:rFonts w:hint="eastAsia"/>
                <w:color w:val="auto"/>
              </w:rPr>
            </w:pPr>
            <w:r>
              <w:rPr>
                <w:color w:val="auto"/>
              </w:rPr>
              <w:t>2018</w:t>
            </w:r>
          </w:p>
        </w:tc>
        <w:tc>
          <w:tcPr>
            <w:tcW w:w="667" w:type="pct"/>
            <w:vAlign w:val="center"/>
          </w:tcPr>
          <w:p w14:paraId="3E6A1600">
            <w:pPr>
              <w:pStyle w:val="45"/>
              <w:rPr>
                <w:rFonts w:hint="eastAsia"/>
                <w:color w:val="auto"/>
              </w:rPr>
            </w:pPr>
            <w:r>
              <w:rPr>
                <w:color w:val="auto"/>
              </w:rPr>
              <w:t>/</w:t>
            </w:r>
          </w:p>
        </w:tc>
        <w:tc>
          <w:tcPr>
            <w:tcW w:w="548" w:type="pct"/>
            <w:vAlign w:val="center"/>
          </w:tcPr>
          <w:p w14:paraId="06DADA3E">
            <w:pPr>
              <w:pStyle w:val="45"/>
              <w:rPr>
                <w:rFonts w:hint="eastAsia"/>
                <w:color w:val="auto"/>
              </w:rPr>
            </w:pPr>
            <w:r>
              <w:rPr>
                <w:color w:val="auto"/>
              </w:rPr>
              <w:t>良好</w:t>
            </w:r>
          </w:p>
        </w:tc>
        <w:tc>
          <w:tcPr>
            <w:tcW w:w="350" w:type="pct"/>
            <w:vAlign w:val="center"/>
          </w:tcPr>
          <w:p w14:paraId="14F320A4">
            <w:pPr>
              <w:pStyle w:val="45"/>
              <w:rPr>
                <w:rFonts w:hint="eastAsia"/>
                <w:color w:val="auto"/>
              </w:rPr>
            </w:pPr>
          </w:p>
        </w:tc>
      </w:tr>
      <w:tr w14:paraId="6635D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4D27149">
            <w:pPr>
              <w:pStyle w:val="45"/>
              <w:rPr>
                <w:rFonts w:hint="eastAsia"/>
                <w:color w:val="auto"/>
              </w:rPr>
            </w:pPr>
            <w:r>
              <w:rPr>
                <w:color w:val="auto"/>
              </w:rPr>
              <w:t>11</w:t>
            </w:r>
          </w:p>
        </w:tc>
        <w:tc>
          <w:tcPr>
            <w:tcW w:w="865" w:type="pct"/>
            <w:vAlign w:val="center"/>
          </w:tcPr>
          <w:p w14:paraId="2850F209">
            <w:pPr>
              <w:pStyle w:val="45"/>
              <w:rPr>
                <w:rFonts w:hint="eastAsia"/>
                <w:color w:val="auto"/>
              </w:rPr>
            </w:pPr>
            <w:r>
              <w:rPr>
                <w:color w:val="auto"/>
              </w:rPr>
              <w:t>油压千斤顶</w:t>
            </w:r>
          </w:p>
        </w:tc>
        <w:tc>
          <w:tcPr>
            <w:tcW w:w="737" w:type="pct"/>
            <w:vAlign w:val="center"/>
          </w:tcPr>
          <w:p w14:paraId="4462080E">
            <w:pPr>
              <w:pStyle w:val="45"/>
              <w:rPr>
                <w:rFonts w:hint="eastAsia"/>
                <w:color w:val="auto"/>
              </w:rPr>
            </w:pPr>
            <w:r>
              <w:rPr>
                <w:color w:val="auto"/>
              </w:rPr>
              <w:t>T91001</w:t>
            </w:r>
          </w:p>
        </w:tc>
        <w:tc>
          <w:tcPr>
            <w:tcW w:w="336" w:type="pct"/>
            <w:vAlign w:val="center"/>
          </w:tcPr>
          <w:p w14:paraId="7FDBD12E">
            <w:pPr>
              <w:pStyle w:val="45"/>
              <w:rPr>
                <w:rFonts w:hint="eastAsia"/>
                <w:color w:val="auto"/>
              </w:rPr>
            </w:pPr>
            <w:r>
              <w:rPr>
                <w:rFonts w:hint="eastAsia"/>
                <w:color w:val="auto"/>
              </w:rPr>
              <w:t>6</w:t>
            </w:r>
          </w:p>
        </w:tc>
        <w:tc>
          <w:tcPr>
            <w:tcW w:w="542" w:type="pct"/>
            <w:vAlign w:val="center"/>
          </w:tcPr>
          <w:p w14:paraId="2EF4D895">
            <w:pPr>
              <w:pStyle w:val="45"/>
              <w:rPr>
                <w:rFonts w:hint="eastAsia"/>
                <w:color w:val="auto"/>
              </w:rPr>
            </w:pPr>
            <w:r>
              <w:rPr>
                <w:color w:val="auto"/>
              </w:rPr>
              <w:t>广东</w:t>
            </w:r>
          </w:p>
        </w:tc>
        <w:tc>
          <w:tcPr>
            <w:tcW w:w="619" w:type="pct"/>
            <w:vAlign w:val="center"/>
          </w:tcPr>
          <w:p w14:paraId="0225A42C">
            <w:pPr>
              <w:pStyle w:val="45"/>
              <w:rPr>
                <w:rFonts w:hint="eastAsia"/>
                <w:color w:val="auto"/>
              </w:rPr>
            </w:pPr>
            <w:r>
              <w:rPr>
                <w:color w:val="auto"/>
              </w:rPr>
              <w:t>2018</w:t>
            </w:r>
          </w:p>
        </w:tc>
        <w:tc>
          <w:tcPr>
            <w:tcW w:w="667" w:type="pct"/>
            <w:vAlign w:val="center"/>
          </w:tcPr>
          <w:p w14:paraId="7917EFDE">
            <w:pPr>
              <w:pStyle w:val="45"/>
              <w:rPr>
                <w:rFonts w:hint="eastAsia"/>
                <w:color w:val="auto"/>
              </w:rPr>
            </w:pPr>
            <w:r>
              <w:rPr>
                <w:color w:val="auto"/>
              </w:rPr>
              <w:t>/</w:t>
            </w:r>
          </w:p>
        </w:tc>
        <w:tc>
          <w:tcPr>
            <w:tcW w:w="548" w:type="pct"/>
            <w:vAlign w:val="center"/>
          </w:tcPr>
          <w:p w14:paraId="265A0739">
            <w:pPr>
              <w:pStyle w:val="45"/>
              <w:rPr>
                <w:rFonts w:hint="eastAsia"/>
                <w:color w:val="auto"/>
              </w:rPr>
            </w:pPr>
            <w:r>
              <w:rPr>
                <w:color w:val="auto"/>
              </w:rPr>
              <w:t>良好</w:t>
            </w:r>
          </w:p>
        </w:tc>
        <w:tc>
          <w:tcPr>
            <w:tcW w:w="350" w:type="pct"/>
            <w:vAlign w:val="center"/>
          </w:tcPr>
          <w:p w14:paraId="66D3CB94">
            <w:pPr>
              <w:pStyle w:val="45"/>
              <w:rPr>
                <w:rFonts w:hint="eastAsia"/>
                <w:color w:val="auto"/>
              </w:rPr>
            </w:pPr>
          </w:p>
        </w:tc>
      </w:tr>
      <w:tr w14:paraId="0FD85E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B837247">
            <w:pPr>
              <w:pStyle w:val="45"/>
              <w:rPr>
                <w:rFonts w:hint="eastAsia"/>
                <w:color w:val="auto"/>
              </w:rPr>
            </w:pPr>
            <w:r>
              <w:rPr>
                <w:color w:val="auto"/>
              </w:rPr>
              <w:t>12</w:t>
            </w:r>
          </w:p>
        </w:tc>
        <w:tc>
          <w:tcPr>
            <w:tcW w:w="865" w:type="pct"/>
            <w:vAlign w:val="center"/>
          </w:tcPr>
          <w:p w14:paraId="3CC3E802">
            <w:pPr>
              <w:pStyle w:val="45"/>
              <w:rPr>
                <w:rFonts w:hint="eastAsia"/>
                <w:color w:val="auto"/>
              </w:rPr>
            </w:pPr>
            <w:r>
              <w:rPr>
                <w:color w:val="auto"/>
              </w:rPr>
              <w:t>直流电焊机</w:t>
            </w:r>
          </w:p>
        </w:tc>
        <w:tc>
          <w:tcPr>
            <w:tcW w:w="737" w:type="pct"/>
            <w:vAlign w:val="center"/>
          </w:tcPr>
          <w:p w14:paraId="42A862E0">
            <w:pPr>
              <w:pStyle w:val="45"/>
              <w:rPr>
                <w:rFonts w:hint="eastAsia"/>
                <w:color w:val="auto"/>
              </w:rPr>
            </w:pPr>
            <w:r>
              <w:rPr>
                <w:color w:val="auto"/>
              </w:rPr>
              <w:t>ZX7315</w:t>
            </w:r>
          </w:p>
        </w:tc>
        <w:tc>
          <w:tcPr>
            <w:tcW w:w="336" w:type="pct"/>
            <w:vAlign w:val="center"/>
          </w:tcPr>
          <w:p w14:paraId="50E61686">
            <w:pPr>
              <w:pStyle w:val="45"/>
              <w:rPr>
                <w:rFonts w:hint="eastAsia"/>
                <w:color w:val="auto"/>
              </w:rPr>
            </w:pPr>
            <w:r>
              <w:rPr>
                <w:rFonts w:hint="eastAsia"/>
                <w:color w:val="auto"/>
              </w:rPr>
              <w:t>2</w:t>
            </w:r>
          </w:p>
        </w:tc>
        <w:tc>
          <w:tcPr>
            <w:tcW w:w="542" w:type="pct"/>
            <w:vAlign w:val="center"/>
          </w:tcPr>
          <w:p w14:paraId="25FAE2C8">
            <w:pPr>
              <w:pStyle w:val="45"/>
              <w:rPr>
                <w:rFonts w:hint="eastAsia"/>
                <w:color w:val="auto"/>
              </w:rPr>
            </w:pPr>
            <w:r>
              <w:rPr>
                <w:color w:val="auto"/>
              </w:rPr>
              <w:t>上海</w:t>
            </w:r>
          </w:p>
        </w:tc>
        <w:tc>
          <w:tcPr>
            <w:tcW w:w="619" w:type="pct"/>
            <w:vAlign w:val="center"/>
          </w:tcPr>
          <w:p w14:paraId="24DACCCD">
            <w:pPr>
              <w:pStyle w:val="45"/>
              <w:rPr>
                <w:rFonts w:hint="eastAsia"/>
                <w:color w:val="auto"/>
              </w:rPr>
            </w:pPr>
            <w:r>
              <w:rPr>
                <w:color w:val="auto"/>
              </w:rPr>
              <w:t>2018</w:t>
            </w:r>
          </w:p>
        </w:tc>
        <w:tc>
          <w:tcPr>
            <w:tcW w:w="667" w:type="pct"/>
            <w:vAlign w:val="center"/>
          </w:tcPr>
          <w:p w14:paraId="78EFAC83">
            <w:pPr>
              <w:pStyle w:val="45"/>
              <w:rPr>
                <w:rFonts w:hint="eastAsia"/>
                <w:color w:val="auto"/>
              </w:rPr>
            </w:pPr>
            <w:r>
              <w:rPr>
                <w:color w:val="auto"/>
              </w:rPr>
              <w:t>12.8</w:t>
            </w:r>
          </w:p>
        </w:tc>
        <w:tc>
          <w:tcPr>
            <w:tcW w:w="548" w:type="pct"/>
            <w:vAlign w:val="center"/>
          </w:tcPr>
          <w:p w14:paraId="1DBA07D7">
            <w:pPr>
              <w:pStyle w:val="45"/>
              <w:rPr>
                <w:rFonts w:hint="eastAsia"/>
                <w:color w:val="auto"/>
              </w:rPr>
            </w:pPr>
            <w:r>
              <w:rPr>
                <w:color w:val="auto"/>
              </w:rPr>
              <w:t>良好</w:t>
            </w:r>
          </w:p>
        </w:tc>
        <w:tc>
          <w:tcPr>
            <w:tcW w:w="350" w:type="pct"/>
            <w:vAlign w:val="center"/>
          </w:tcPr>
          <w:p w14:paraId="04CB8C77">
            <w:pPr>
              <w:pStyle w:val="45"/>
              <w:rPr>
                <w:rFonts w:hint="eastAsia"/>
                <w:color w:val="auto"/>
              </w:rPr>
            </w:pPr>
          </w:p>
        </w:tc>
      </w:tr>
      <w:tr w14:paraId="519A76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7A9C70EF">
            <w:pPr>
              <w:pStyle w:val="45"/>
              <w:rPr>
                <w:rFonts w:hint="eastAsia"/>
                <w:color w:val="auto"/>
              </w:rPr>
            </w:pPr>
            <w:r>
              <w:rPr>
                <w:color w:val="auto"/>
              </w:rPr>
              <w:t>13</w:t>
            </w:r>
          </w:p>
        </w:tc>
        <w:tc>
          <w:tcPr>
            <w:tcW w:w="865" w:type="pct"/>
            <w:vAlign w:val="center"/>
          </w:tcPr>
          <w:p w14:paraId="5EA56FB7">
            <w:pPr>
              <w:pStyle w:val="45"/>
              <w:rPr>
                <w:rFonts w:hint="eastAsia"/>
                <w:color w:val="auto"/>
              </w:rPr>
            </w:pPr>
            <w:r>
              <w:rPr>
                <w:color w:val="auto"/>
              </w:rPr>
              <w:t>交流电焊机</w:t>
            </w:r>
          </w:p>
        </w:tc>
        <w:tc>
          <w:tcPr>
            <w:tcW w:w="737" w:type="pct"/>
            <w:vAlign w:val="center"/>
          </w:tcPr>
          <w:p w14:paraId="0BBBB918">
            <w:pPr>
              <w:pStyle w:val="45"/>
              <w:rPr>
                <w:rFonts w:hint="eastAsia"/>
                <w:color w:val="auto"/>
              </w:rPr>
            </w:pPr>
            <w:r>
              <w:rPr>
                <w:color w:val="auto"/>
              </w:rPr>
              <w:t>BX3-315</w:t>
            </w:r>
          </w:p>
        </w:tc>
        <w:tc>
          <w:tcPr>
            <w:tcW w:w="336" w:type="pct"/>
            <w:vAlign w:val="center"/>
          </w:tcPr>
          <w:p w14:paraId="3BB879A1">
            <w:pPr>
              <w:pStyle w:val="45"/>
              <w:rPr>
                <w:rFonts w:hint="eastAsia"/>
                <w:color w:val="auto"/>
              </w:rPr>
            </w:pPr>
            <w:r>
              <w:rPr>
                <w:color w:val="auto"/>
              </w:rPr>
              <w:t>4</w:t>
            </w:r>
          </w:p>
        </w:tc>
        <w:tc>
          <w:tcPr>
            <w:tcW w:w="542" w:type="pct"/>
            <w:vAlign w:val="center"/>
          </w:tcPr>
          <w:p w14:paraId="2F1ED9E6">
            <w:pPr>
              <w:pStyle w:val="45"/>
              <w:rPr>
                <w:rFonts w:hint="eastAsia"/>
                <w:color w:val="auto"/>
              </w:rPr>
            </w:pPr>
            <w:r>
              <w:rPr>
                <w:color w:val="auto"/>
              </w:rPr>
              <w:t>上海</w:t>
            </w:r>
          </w:p>
        </w:tc>
        <w:tc>
          <w:tcPr>
            <w:tcW w:w="619" w:type="pct"/>
            <w:vAlign w:val="center"/>
          </w:tcPr>
          <w:p w14:paraId="4D9A202D">
            <w:pPr>
              <w:pStyle w:val="45"/>
              <w:rPr>
                <w:rFonts w:hint="eastAsia"/>
                <w:color w:val="auto"/>
              </w:rPr>
            </w:pPr>
            <w:r>
              <w:rPr>
                <w:color w:val="auto"/>
              </w:rPr>
              <w:t>2018</w:t>
            </w:r>
          </w:p>
        </w:tc>
        <w:tc>
          <w:tcPr>
            <w:tcW w:w="667" w:type="pct"/>
            <w:vAlign w:val="center"/>
          </w:tcPr>
          <w:p w14:paraId="2CD12D19">
            <w:pPr>
              <w:pStyle w:val="45"/>
              <w:rPr>
                <w:rFonts w:hint="eastAsia"/>
                <w:color w:val="auto"/>
              </w:rPr>
            </w:pPr>
            <w:r>
              <w:rPr>
                <w:color w:val="auto"/>
              </w:rPr>
              <w:t>22.8</w:t>
            </w:r>
          </w:p>
        </w:tc>
        <w:tc>
          <w:tcPr>
            <w:tcW w:w="548" w:type="pct"/>
            <w:vAlign w:val="center"/>
          </w:tcPr>
          <w:p w14:paraId="6FBBEE3F">
            <w:pPr>
              <w:pStyle w:val="45"/>
              <w:rPr>
                <w:rFonts w:hint="eastAsia"/>
                <w:color w:val="auto"/>
              </w:rPr>
            </w:pPr>
            <w:r>
              <w:rPr>
                <w:color w:val="auto"/>
              </w:rPr>
              <w:t>良好</w:t>
            </w:r>
          </w:p>
        </w:tc>
        <w:tc>
          <w:tcPr>
            <w:tcW w:w="350" w:type="pct"/>
            <w:vAlign w:val="center"/>
          </w:tcPr>
          <w:p w14:paraId="17AFE2BF">
            <w:pPr>
              <w:pStyle w:val="45"/>
              <w:rPr>
                <w:rFonts w:hint="eastAsia"/>
                <w:color w:val="auto"/>
              </w:rPr>
            </w:pPr>
          </w:p>
        </w:tc>
      </w:tr>
      <w:tr w14:paraId="21068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2DC4DB25">
            <w:pPr>
              <w:pStyle w:val="45"/>
              <w:rPr>
                <w:rFonts w:hint="eastAsia"/>
                <w:color w:val="auto"/>
              </w:rPr>
            </w:pPr>
            <w:r>
              <w:rPr>
                <w:color w:val="auto"/>
              </w:rPr>
              <w:t>14</w:t>
            </w:r>
          </w:p>
        </w:tc>
        <w:tc>
          <w:tcPr>
            <w:tcW w:w="865" w:type="pct"/>
            <w:vAlign w:val="center"/>
          </w:tcPr>
          <w:p w14:paraId="7417F52D">
            <w:pPr>
              <w:pStyle w:val="45"/>
              <w:rPr>
                <w:rFonts w:hint="eastAsia"/>
                <w:color w:val="auto"/>
              </w:rPr>
            </w:pPr>
            <w:r>
              <w:rPr>
                <w:color w:val="auto"/>
              </w:rPr>
              <w:t>电动坡口机</w:t>
            </w:r>
          </w:p>
        </w:tc>
        <w:tc>
          <w:tcPr>
            <w:tcW w:w="737" w:type="pct"/>
            <w:vAlign w:val="center"/>
          </w:tcPr>
          <w:p w14:paraId="5625BE46">
            <w:pPr>
              <w:pStyle w:val="45"/>
              <w:rPr>
                <w:rFonts w:hint="eastAsia"/>
                <w:color w:val="auto"/>
              </w:rPr>
            </w:pPr>
            <w:r>
              <w:rPr>
                <w:color w:val="auto"/>
              </w:rPr>
              <w:t>ISY—80</w:t>
            </w:r>
          </w:p>
        </w:tc>
        <w:tc>
          <w:tcPr>
            <w:tcW w:w="336" w:type="pct"/>
            <w:vAlign w:val="center"/>
          </w:tcPr>
          <w:p w14:paraId="0101783F">
            <w:pPr>
              <w:pStyle w:val="45"/>
              <w:rPr>
                <w:rFonts w:hint="eastAsia"/>
                <w:color w:val="auto"/>
              </w:rPr>
            </w:pPr>
            <w:r>
              <w:rPr>
                <w:rFonts w:hint="eastAsia"/>
                <w:color w:val="auto"/>
              </w:rPr>
              <w:t>3</w:t>
            </w:r>
          </w:p>
        </w:tc>
        <w:tc>
          <w:tcPr>
            <w:tcW w:w="542" w:type="pct"/>
            <w:vAlign w:val="center"/>
          </w:tcPr>
          <w:p w14:paraId="306EC32F">
            <w:pPr>
              <w:pStyle w:val="45"/>
              <w:rPr>
                <w:rFonts w:hint="eastAsia"/>
                <w:color w:val="auto"/>
              </w:rPr>
            </w:pPr>
            <w:r>
              <w:rPr>
                <w:color w:val="auto"/>
              </w:rPr>
              <w:t>上海</w:t>
            </w:r>
          </w:p>
        </w:tc>
        <w:tc>
          <w:tcPr>
            <w:tcW w:w="619" w:type="pct"/>
            <w:vAlign w:val="center"/>
          </w:tcPr>
          <w:p w14:paraId="2442A1B1">
            <w:pPr>
              <w:pStyle w:val="45"/>
              <w:rPr>
                <w:rFonts w:hint="eastAsia"/>
                <w:color w:val="auto"/>
              </w:rPr>
            </w:pPr>
            <w:r>
              <w:rPr>
                <w:color w:val="auto"/>
              </w:rPr>
              <w:t>2018</w:t>
            </w:r>
          </w:p>
        </w:tc>
        <w:tc>
          <w:tcPr>
            <w:tcW w:w="667" w:type="pct"/>
            <w:vAlign w:val="center"/>
          </w:tcPr>
          <w:p w14:paraId="2B41CA72">
            <w:pPr>
              <w:pStyle w:val="45"/>
              <w:rPr>
                <w:rFonts w:hint="eastAsia"/>
                <w:color w:val="auto"/>
              </w:rPr>
            </w:pPr>
            <w:r>
              <w:rPr>
                <w:color w:val="auto"/>
              </w:rPr>
              <w:t>0.88</w:t>
            </w:r>
          </w:p>
        </w:tc>
        <w:tc>
          <w:tcPr>
            <w:tcW w:w="548" w:type="pct"/>
            <w:vAlign w:val="center"/>
          </w:tcPr>
          <w:p w14:paraId="16005005">
            <w:pPr>
              <w:pStyle w:val="45"/>
              <w:rPr>
                <w:rFonts w:hint="eastAsia"/>
                <w:color w:val="auto"/>
              </w:rPr>
            </w:pPr>
            <w:r>
              <w:rPr>
                <w:color w:val="auto"/>
              </w:rPr>
              <w:t>良好</w:t>
            </w:r>
          </w:p>
        </w:tc>
        <w:tc>
          <w:tcPr>
            <w:tcW w:w="350" w:type="pct"/>
            <w:vAlign w:val="center"/>
          </w:tcPr>
          <w:p w14:paraId="250A8E6C">
            <w:pPr>
              <w:pStyle w:val="45"/>
              <w:rPr>
                <w:rFonts w:hint="eastAsia"/>
                <w:color w:val="auto"/>
              </w:rPr>
            </w:pPr>
          </w:p>
        </w:tc>
      </w:tr>
      <w:tr w14:paraId="443AC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1D16E87">
            <w:pPr>
              <w:pStyle w:val="45"/>
              <w:rPr>
                <w:rFonts w:hint="eastAsia"/>
                <w:color w:val="auto"/>
              </w:rPr>
            </w:pPr>
            <w:r>
              <w:rPr>
                <w:color w:val="auto"/>
              </w:rPr>
              <w:t>15</w:t>
            </w:r>
          </w:p>
        </w:tc>
        <w:tc>
          <w:tcPr>
            <w:tcW w:w="865" w:type="pct"/>
            <w:vAlign w:val="center"/>
          </w:tcPr>
          <w:p w14:paraId="2A89EA2D">
            <w:pPr>
              <w:pStyle w:val="45"/>
              <w:rPr>
                <w:rFonts w:hint="eastAsia"/>
                <w:color w:val="auto"/>
              </w:rPr>
            </w:pPr>
            <w:r>
              <w:rPr>
                <w:color w:val="auto"/>
              </w:rPr>
              <w:t>扩管器</w:t>
            </w:r>
          </w:p>
        </w:tc>
        <w:tc>
          <w:tcPr>
            <w:tcW w:w="737" w:type="pct"/>
            <w:vAlign w:val="center"/>
          </w:tcPr>
          <w:p w14:paraId="07E99A3A">
            <w:pPr>
              <w:pStyle w:val="45"/>
              <w:rPr>
                <w:rFonts w:hint="eastAsia"/>
                <w:color w:val="auto"/>
              </w:rPr>
            </w:pPr>
            <w:r>
              <w:rPr>
                <w:color w:val="auto"/>
              </w:rPr>
              <w:t>CM—808AL</w:t>
            </w:r>
          </w:p>
        </w:tc>
        <w:tc>
          <w:tcPr>
            <w:tcW w:w="336" w:type="pct"/>
            <w:vAlign w:val="center"/>
          </w:tcPr>
          <w:p w14:paraId="27CE650C">
            <w:pPr>
              <w:pStyle w:val="45"/>
              <w:rPr>
                <w:rFonts w:hint="eastAsia"/>
                <w:color w:val="auto"/>
              </w:rPr>
            </w:pPr>
            <w:r>
              <w:rPr>
                <w:rFonts w:hint="eastAsia"/>
                <w:color w:val="auto"/>
              </w:rPr>
              <w:t>3</w:t>
            </w:r>
          </w:p>
        </w:tc>
        <w:tc>
          <w:tcPr>
            <w:tcW w:w="542" w:type="pct"/>
            <w:vAlign w:val="center"/>
          </w:tcPr>
          <w:p w14:paraId="34074182">
            <w:pPr>
              <w:pStyle w:val="45"/>
              <w:rPr>
                <w:rFonts w:hint="eastAsia"/>
                <w:color w:val="auto"/>
              </w:rPr>
            </w:pPr>
            <w:r>
              <w:rPr>
                <w:color w:val="auto"/>
              </w:rPr>
              <w:t>武汉</w:t>
            </w:r>
          </w:p>
        </w:tc>
        <w:tc>
          <w:tcPr>
            <w:tcW w:w="619" w:type="pct"/>
            <w:vAlign w:val="center"/>
          </w:tcPr>
          <w:p w14:paraId="1568E6A4">
            <w:pPr>
              <w:pStyle w:val="45"/>
              <w:rPr>
                <w:rFonts w:hint="eastAsia"/>
                <w:color w:val="auto"/>
              </w:rPr>
            </w:pPr>
            <w:r>
              <w:rPr>
                <w:color w:val="auto"/>
              </w:rPr>
              <w:t>2018</w:t>
            </w:r>
          </w:p>
        </w:tc>
        <w:tc>
          <w:tcPr>
            <w:tcW w:w="667" w:type="pct"/>
            <w:vAlign w:val="center"/>
          </w:tcPr>
          <w:p w14:paraId="7464EB91">
            <w:pPr>
              <w:pStyle w:val="45"/>
              <w:rPr>
                <w:rFonts w:hint="eastAsia"/>
                <w:color w:val="auto"/>
              </w:rPr>
            </w:pPr>
            <w:r>
              <w:rPr>
                <w:color w:val="auto"/>
              </w:rPr>
              <w:t>/</w:t>
            </w:r>
          </w:p>
        </w:tc>
        <w:tc>
          <w:tcPr>
            <w:tcW w:w="548" w:type="pct"/>
            <w:vAlign w:val="center"/>
          </w:tcPr>
          <w:p w14:paraId="5EAE14E5">
            <w:pPr>
              <w:pStyle w:val="45"/>
              <w:rPr>
                <w:rFonts w:hint="eastAsia"/>
                <w:color w:val="auto"/>
              </w:rPr>
            </w:pPr>
            <w:r>
              <w:rPr>
                <w:color w:val="auto"/>
              </w:rPr>
              <w:t>良好</w:t>
            </w:r>
          </w:p>
        </w:tc>
        <w:tc>
          <w:tcPr>
            <w:tcW w:w="350" w:type="pct"/>
            <w:vAlign w:val="center"/>
          </w:tcPr>
          <w:p w14:paraId="5764771F">
            <w:pPr>
              <w:pStyle w:val="45"/>
              <w:rPr>
                <w:rFonts w:hint="eastAsia"/>
                <w:color w:val="auto"/>
              </w:rPr>
            </w:pPr>
          </w:p>
        </w:tc>
      </w:tr>
      <w:tr w14:paraId="4D9E8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E554E59">
            <w:pPr>
              <w:pStyle w:val="45"/>
              <w:rPr>
                <w:rFonts w:hint="eastAsia"/>
                <w:color w:val="auto"/>
              </w:rPr>
            </w:pPr>
            <w:r>
              <w:rPr>
                <w:color w:val="auto"/>
              </w:rPr>
              <w:t>16</w:t>
            </w:r>
          </w:p>
        </w:tc>
        <w:tc>
          <w:tcPr>
            <w:tcW w:w="865" w:type="pct"/>
            <w:vAlign w:val="center"/>
          </w:tcPr>
          <w:p w14:paraId="49AB7CA8">
            <w:pPr>
              <w:pStyle w:val="45"/>
              <w:rPr>
                <w:rFonts w:hint="eastAsia"/>
                <w:color w:val="auto"/>
              </w:rPr>
            </w:pPr>
            <w:r>
              <w:rPr>
                <w:color w:val="auto"/>
              </w:rPr>
              <w:t>电动套丝机</w:t>
            </w:r>
          </w:p>
        </w:tc>
        <w:tc>
          <w:tcPr>
            <w:tcW w:w="737" w:type="pct"/>
            <w:vAlign w:val="center"/>
          </w:tcPr>
          <w:p w14:paraId="52DA0814">
            <w:pPr>
              <w:pStyle w:val="45"/>
              <w:rPr>
                <w:rFonts w:hint="eastAsia"/>
                <w:color w:val="auto"/>
              </w:rPr>
            </w:pPr>
            <w:r>
              <w:rPr>
                <w:color w:val="auto"/>
              </w:rPr>
              <w:t>TQ100CG</w:t>
            </w:r>
          </w:p>
        </w:tc>
        <w:tc>
          <w:tcPr>
            <w:tcW w:w="336" w:type="pct"/>
            <w:vAlign w:val="center"/>
          </w:tcPr>
          <w:p w14:paraId="1174D94F">
            <w:pPr>
              <w:pStyle w:val="45"/>
              <w:rPr>
                <w:rFonts w:hint="eastAsia"/>
                <w:color w:val="auto"/>
              </w:rPr>
            </w:pPr>
            <w:r>
              <w:rPr>
                <w:rFonts w:hint="eastAsia"/>
                <w:color w:val="auto"/>
              </w:rPr>
              <w:t>4</w:t>
            </w:r>
          </w:p>
        </w:tc>
        <w:tc>
          <w:tcPr>
            <w:tcW w:w="542" w:type="pct"/>
            <w:vAlign w:val="center"/>
          </w:tcPr>
          <w:p w14:paraId="4AC170B5">
            <w:pPr>
              <w:pStyle w:val="45"/>
              <w:rPr>
                <w:rFonts w:hint="eastAsia"/>
                <w:color w:val="auto"/>
              </w:rPr>
            </w:pPr>
            <w:r>
              <w:rPr>
                <w:color w:val="auto"/>
              </w:rPr>
              <w:t>四川</w:t>
            </w:r>
          </w:p>
        </w:tc>
        <w:tc>
          <w:tcPr>
            <w:tcW w:w="619" w:type="pct"/>
            <w:vAlign w:val="center"/>
          </w:tcPr>
          <w:p w14:paraId="7A0DB4C1">
            <w:pPr>
              <w:pStyle w:val="45"/>
              <w:rPr>
                <w:rFonts w:hint="eastAsia"/>
                <w:color w:val="auto"/>
              </w:rPr>
            </w:pPr>
            <w:r>
              <w:rPr>
                <w:color w:val="auto"/>
              </w:rPr>
              <w:t>2017</w:t>
            </w:r>
          </w:p>
        </w:tc>
        <w:tc>
          <w:tcPr>
            <w:tcW w:w="667" w:type="pct"/>
            <w:vAlign w:val="center"/>
          </w:tcPr>
          <w:p w14:paraId="7ADC4A9E">
            <w:pPr>
              <w:pStyle w:val="45"/>
              <w:rPr>
                <w:rFonts w:hint="eastAsia"/>
                <w:color w:val="auto"/>
              </w:rPr>
            </w:pPr>
            <w:r>
              <w:rPr>
                <w:color w:val="auto"/>
              </w:rPr>
              <w:t>1</w:t>
            </w:r>
          </w:p>
        </w:tc>
        <w:tc>
          <w:tcPr>
            <w:tcW w:w="548" w:type="pct"/>
            <w:vAlign w:val="center"/>
          </w:tcPr>
          <w:p w14:paraId="70278F00">
            <w:pPr>
              <w:pStyle w:val="45"/>
              <w:rPr>
                <w:rFonts w:hint="eastAsia"/>
                <w:color w:val="auto"/>
              </w:rPr>
            </w:pPr>
            <w:r>
              <w:rPr>
                <w:color w:val="auto"/>
              </w:rPr>
              <w:t>良好</w:t>
            </w:r>
          </w:p>
        </w:tc>
        <w:tc>
          <w:tcPr>
            <w:tcW w:w="350" w:type="pct"/>
            <w:vAlign w:val="center"/>
          </w:tcPr>
          <w:p w14:paraId="38A5D9BA">
            <w:pPr>
              <w:pStyle w:val="45"/>
              <w:rPr>
                <w:rFonts w:hint="eastAsia"/>
                <w:color w:val="auto"/>
              </w:rPr>
            </w:pPr>
          </w:p>
        </w:tc>
      </w:tr>
      <w:tr w14:paraId="4466EF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6F821BF">
            <w:pPr>
              <w:pStyle w:val="45"/>
              <w:rPr>
                <w:rFonts w:hint="eastAsia"/>
                <w:color w:val="auto"/>
              </w:rPr>
            </w:pPr>
            <w:r>
              <w:rPr>
                <w:color w:val="auto"/>
              </w:rPr>
              <w:t>17</w:t>
            </w:r>
          </w:p>
        </w:tc>
        <w:tc>
          <w:tcPr>
            <w:tcW w:w="865" w:type="pct"/>
            <w:vAlign w:val="center"/>
          </w:tcPr>
          <w:p w14:paraId="08338092">
            <w:pPr>
              <w:pStyle w:val="45"/>
              <w:rPr>
                <w:rFonts w:hint="eastAsia"/>
                <w:color w:val="auto"/>
              </w:rPr>
            </w:pPr>
            <w:r>
              <w:rPr>
                <w:color w:val="auto"/>
              </w:rPr>
              <w:t>轻便套丝机</w:t>
            </w:r>
          </w:p>
        </w:tc>
        <w:tc>
          <w:tcPr>
            <w:tcW w:w="737" w:type="pct"/>
            <w:vAlign w:val="center"/>
          </w:tcPr>
          <w:p w14:paraId="3AD80EE5">
            <w:pPr>
              <w:pStyle w:val="45"/>
              <w:rPr>
                <w:rFonts w:hint="eastAsia"/>
                <w:color w:val="auto"/>
              </w:rPr>
            </w:pPr>
            <w:r>
              <w:rPr>
                <w:color w:val="auto"/>
              </w:rPr>
              <w:t>φ15～70</w:t>
            </w:r>
          </w:p>
        </w:tc>
        <w:tc>
          <w:tcPr>
            <w:tcW w:w="336" w:type="pct"/>
            <w:vAlign w:val="center"/>
          </w:tcPr>
          <w:p w14:paraId="0DC04754">
            <w:pPr>
              <w:pStyle w:val="45"/>
              <w:rPr>
                <w:rFonts w:hint="eastAsia"/>
                <w:color w:val="auto"/>
              </w:rPr>
            </w:pPr>
            <w:r>
              <w:rPr>
                <w:rFonts w:hint="eastAsia"/>
                <w:color w:val="auto"/>
              </w:rPr>
              <w:t>4</w:t>
            </w:r>
          </w:p>
        </w:tc>
        <w:tc>
          <w:tcPr>
            <w:tcW w:w="542" w:type="pct"/>
            <w:vAlign w:val="center"/>
          </w:tcPr>
          <w:p w14:paraId="247D16B7">
            <w:pPr>
              <w:pStyle w:val="45"/>
              <w:rPr>
                <w:rFonts w:hint="eastAsia"/>
                <w:color w:val="auto"/>
              </w:rPr>
            </w:pPr>
            <w:r>
              <w:rPr>
                <w:color w:val="auto"/>
              </w:rPr>
              <w:t>上海</w:t>
            </w:r>
          </w:p>
        </w:tc>
        <w:tc>
          <w:tcPr>
            <w:tcW w:w="619" w:type="pct"/>
            <w:vAlign w:val="center"/>
          </w:tcPr>
          <w:p w14:paraId="6DDD42F8">
            <w:pPr>
              <w:pStyle w:val="45"/>
              <w:rPr>
                <w:rFonts w:hint="eastAsia"/>
                <w:color w:val="auto"/>
              </w:rPr>
            </w:pPr>
            <w:r>
              <w:rPr>
                <w:color w:val="auto"/>
              </w:rPr>
              <w:t>2018</w:t>
            </w:r>
          </w:p>
        </w:tc>
        <w:tc>
          <w:tcPr>
            <w:tcW w:w="667" w:type="pct"/>
            <w:vAlign w:val="center"/>
          </w:tcPr>
          <w:p w14:paraId="5C5F11CA">
            <w:pPr>
              <w:pStyle w:val="45"/>
              <w:rPr>
                <w:rFonts w:hint="eastAsia"/>
                <w:color w:val="auto"/>
              </w:rPr>
            </w:pPr>
            <w:r>
              <w:rPr>
                <w:color w:val="auto"/>
              </w:rPr>
              <w:t>/</w:t>
            </w:r>
          </w:p>
        </w:tc>
        <w:tc>
          <w:tcPr>
            <w:tcW w:w="548" w:type="pct"/>
            <w:vAlign w:val="center"/>
          </w:tcPr>
          <w:p w14:paraId="463A493A">
            <w:pPr>
              <w:pStyle w:val="45"/>
              <w:rPr>
                <w:rFonts w:hint="eastAsia"/>
                <w:color w:val="auto"/>
              </w:rPr>
            </w:pPr>
            <w:r>
              <w:rPr>
                <w:color w:val="auto"/>
              </w:rPr>
              <w:t>良好</w:t>
            </w:r>
          </w:p>
        </w:tc>
        <w:tc>
          <w:tcPr>
            <w:tcW w:w="350" w:type="pct"/>
            <w:vAlign w:val="center"/>
          </w:tcPr>
          <w:p w14:paraId="4517FD8D">
            <w:pPr>
              <w:pStyle w:val="45"/>
              <w:rPr>
                <w:rFonts w:hint="eastAsia"/>
                <w:color w:val="auto"/>
              </w:rPr>
            </w:pPr>
          </w:p>
        </w:tc>
      </w:tr>
      <w:tr w14:paraId="4A1AC8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BEBB89A">
            <w:pPr>
              <w:pStyle w:val="45"/>
              <w:rPr>
                <w:rFonts w:hint="eastAsia"/>
                <w:color w:val="auto"/>
              </w:rPr>
            </w:pPr>
            <w:r>
              <w:rPr>
                <w:color w:val="auto"/>
              </w:rPr>
              <w:t>18</w:t>
            </w:r>
          </w:p>
        </w:tc>
        <w:tc>
          <w:tcPr>
            <w:tcW w:w="865" w:type="pct"/>
            <w:vAlign w:val="center"/>
          </w:tcPr>
          <w:p w14:paraId="5D15D179">
            <w:pPr>
              <w:pStyle w:val="45"/>
              <w:rPr>
                <w:rFonts w:hint="eastAsia"/>
                <w:color w:val="auto"/>
              </w:rPr>
            </w:pPr>
            <w:r>
              <w:rPr>
                <w:color w:val="auto"/>
              </w:rPr>
              <w:t>弯管机</w:t>
            </w:r>
          </w:p>
        </w:tc>
        <w:tc>
          <w:tcPr>
            <w:tcW w:w="737" w:type="pct"/>
            <w:vAlign w:val="center"/>
          </w:tcPr>
          <w:p w14:paraId="2911ED85">
            <w:pPr>
              <w:pStyle w:val="45"/>
              <w:rPr>
                <w:rFonts w:hint="eastAsia"/>
                <w:color w:val="auto"/>
              </w:rPr>
            </w:pPr>
            <w:r>
              <w:rPr>
                <w:color w:val="auto"/>
              </w:rPr>
              <w:t>SYM—3A</w:t>
            </w:r>
          </w:p>
        </w:tc>
        <w:tc>
          <w:tcPr>
            <w:tcW w:w="336" w:type="pct"/>
            <w:vAlign w:val="center"/>
          </w:tcPr>
          <w:p w14:paraId="2FD1C3A3">
            <w:pPr>
              <w:pStyle w:val="45"/>
              <w:rPr>
                <w:rFonts w:hint="eastAsia"/>
                <w:color w:val="auto"/>
              </w:rPr>
            </w:pPr>
            <w:r>
              <w:rPr>
                <w:rFonts w:hint="eastAsia"/>
                <w:color w:val="auto"/>
              </w:rPr>
              <w:t>4</w:t>
            </w:r>
          </w:p>
        </w:tc>
        <w:tc>
          <w:tcPr>
            <w:tcW w:w="542" w:type="pct"/>
            <w:vAlign w:val="center"/>
          </w:tcPr>
          <w:p w14:paraId="1D4B0029">
            <w:pPr>
              <w:pStyle w:val="45"/>
              <w:rPr>
                <w:rFonts w:hint="eastAsia"/>
                <w:color w:val="auto"/>
              </w:rPr>
            </w:pPr>
            <w:r>
              <w:rPr>
                <w:color w:val="auto"/>
              </w:rPr>
              <w:t>广东</w:t>
            </w:r>
          </w:p>
        </w:tc>
        <w:tc>
          <w:tcPr>
            <w:tcW w:w="619" w:type="pct"/>
            <w:vAlign w:val="center"/>
          </w:tcPr>
          <w:p w14:paraId="6151E45B">
            <w:pPr>
              <w:pStyle w:val="45"/>
              <w:rPr>
                <w:rFonts w:hint="eastAsia"/>
                <w:color w:val="auto"/>
              </w:rPr>
            </w:pPr>
            <w:r>
              <w:rPr>
                <w:color w:val="auto"/>
              </w:rPr>
              <w:t>2018</w:t>
            </w:r>
          </w:p>
        </w:tc>
        <w:tc>
          <w:tcPr>
            <w:tcW w:w="667" w:type="pct"/>
            <w:vAlign w:val="center"/>
          </w:tcPr>
          <w:p w14:paraId="1DB2717E">
            <w:pPr>
              <w:pStyle w:val="45"/>
              <w:rPr>
                <w:rFonts w:hint="eastAsia"/>
                <w:color w:val="auto"/>
              </w:rPr>
            </w:pPr>
            <w:r>
              <w:rPr>
                <w:color w:val="auto"/>
              </w:rPr>
              <w:t>/</w:t>
            </w:r>
          </w:p>
        </w:tc>
        <w:tc>
          <w:tcPr>
            <w:tcW w:w="548" w:type="pct"/>
            <w:vAlign w:val="center"/>
          </w:tcPr>
          <w:p w14:paraId="61B8C0F8">
            <w:pPr>
              <w:pStyle w:val="45"/>
              <w:rPr>
                <w:rFonts w:hint="eastAsia"/>
                <w:color w:val="auto"/>
              </w:rPr>
            </w:pPr>
            <w:r>
              <w:rPr>
                <w:color w:val="auto"/>
              </w:rPr>
              <w:t>良好</w:t>
            </w:r>
          </w:p>
        </w:tc>
        <w:tc>
          <w:tcPr>
            <w:tcW w:w="350" w:type="pct"/>
            <w:vAlign w:val="center"/>
          </w:tcPr>
          <w:p w14:paraId="07CFCDE7">
            <w:pPr>
              <w:pStyle w:val="45"/>
              <w:rPr>
                <w:rFonts w:hint="eastAsia"/>
                <w:color w:val="auto"/>
              </w:rPr>
            </w:pPr>
          </w:p>
        </w:tc>
      </w:tr>
      <w:tr w14:paraId="5B17E9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0082D9FD">
            <w:pPr>
              <w:pStyle w:val="45"/>
              <w:rPr>
                <w:rFonts w:hint="eastAsia"/>
                <w:color w:val="auto"/>
              </w:rPr>
            </w:pPr>
            <w:r>
              <w:rPr>
                <w:color w:val="auto"/>
              </w:rPr>
              <w:t>19</w:t>
            </w:r>
          </w:p>
        </w:tc>
        <w:tc>
          <w:tcPr>
            <w:tcW w:w="865" w:type="pct"/>
            <w:vAlign w:val="center"/>
          </w:tcPr>
          <w:p w14:paraId="36F1723D">
            <w:pPr>
              <w:pStyle w:val="45"/>
              <w:rPr>
                <w:rFonts w:hint="eastAsia"/>
                <w:color w:val="auto"/>
              </w:rPr>
            </w:pPr>
            <w:r>
              <w:rPr>
                <w:color w:val="auto"/>
              </w:rPr>
              <w:t>切割机</w:t>
            </w:r>
          </w:p>
        </w:tc>
        <w:tc>
          <w:tcPr>
            <w:tcW w:w="737" w:type="pct"/>
            <w:vAlign w:val="center"/>
          </w:tcPr>
          <w:p w14:paraId="67B851E5">
            <w:pPr>
              <w:pStyle w:val="45"/>
              <w:rPr>
                <w:rFonts w:hint="eastAsia"/>
                <w:color w:val="auto"/>
              </w:rPr>
            </w:pPr>
            <w:r>
              <w:rPr>
                <w:color w:val="auto"/>
              </w:rPr>
              <w:t>J3G2—400</w:t>
            </w:r>
          </w:p>
        </w:tc>
        <w:tc>
          <w:tcPr>
            <w:tcW w:w="336" w:type="pct"/>
            <w:vAlign w:val="center"/>
          </w:tcPr>
          <w:p w14:paraId="252AAB4A">
            <w:pPr>
              <w:pStyle w:val="45"/>
              <w:rPr>
                <w:rFonts w:hint="eastAsia"/>
                <w:color w:val="auto"/>
              </w:rPr>
            </w:pPr>
            <w:r>
              <w:rPr>
                <w:rFonts w:hint="eastAsia"/>
                <w:color w:val="auto"/>
              </w:rPr>
              <w:t>6</w:t>
            </w:r>
          </w:p>
        </w:tc>
        <w:tc>
          <w:tcPr>
            <w:tcW w:w="542" w:type="pct"/>
            <w:vAlign w:val="center"/>
          </w:tcPr>
          <w:p w14:paraId="70F9FB57">
            <w:pPr>
              <w:pStyle w:val="45"/>
              <w:rPr>
                <w:rFonts w:hint="eastAsia"/>
                <w:color w:val="auto"/>
              </w:rPr>
            </w:pPr>
            <w:r>
              <w:rPr>
                <w:color w:val="auto"/>
              </w:rPr>
              <w:t>广东</w:t>
            </w:r>
          </w:p>
        </w:tc>
        <w:tc>
          <w:tcPr>
            <w:tcW w:w="619" w:type="pct"/>
            <w:vAlign w:val="center"/>
          </w:tcPr>
          <w:p w14:paraId="412C210E">
            <w:pPr>
              <w:pStyle w:val="45"/>
              <w:rPr>
                <w:rFonts w:hint="eastAsia"/>
                <w:color w:val="auto"/>
              </w:rPr>
            </w:pPr>
            <w:r>
              <w:rPr>
                <w:color w:val="auto"/>
              </w:rPr>
              <w:t>2018</w:t>
            </w:r>
          </w:p>
        </w:tc>
        <w:tc>
          <w:tcPr>
            <w:tcW w:w="667" w:type="pct"/>
            <w:vAlign w:val="center"/>
          </w:tcPr>
          <w:p w14:paraId="54FCF804">
            <w:pPr>
              <w:pStyle w:val="45"/>
              <w:rPr>
                <w:rFonts w:hint="eastAsia"/>
                <w:color w:val="auto"/>
              </w:rPr>
            </w:pPr>
            <w:r>
              <w:rPr>
                <w:color w:val="auto"/>
              </w:rPr>
              <w:t>1.5</w:t>
            </w:r>
          </w:p>
        </w:tc>
        <w:tc>
          <w:tcPr>
            <w:tcW w:w="548" w:type="pct"/>
            <w:vAlign w:val="center"/>
          </w:tcPr>
          <w:p w14:paraId="07C39ACE">
            <w:pPr>
              <w:pStyle w:val="45"/>
              <w:rPr>
                <w:rFonts w:hint="eastAsia"/>
                <w:color w:val="auto"/>
              </w:rPr>
            </w:pPr>
            <w:r>
              <w:rPr>
                <w:color w:val="auto"/>
              </w:rPr>
              <w:t>良好</w:t>
            </w:r>
          </w:p>
        </w:tc>
        <w:tc>
          <w:tcPr>
            <w:tcW w:w="350" w:type="pct"/>
            <w:vAlign w:val="center"/>
          </w:tcPr>
          <w:p w14:paraId="76169325">
            <w:pPr>
              <w:pStyle w:val="45"/>
              <w:rPr>
                <w:rFonts w:hint="eastAsia"/>
                <w:color w:val="auto"/>
              </w:rPr>
            </w:pPr>
          </w:p>
        </w:tc>
      </w:tr>
      <w:tr w14:paraId="115A9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F57660A">
            <w:pPr>
              <w:pStyle w:val="45"/>
              <w:rPr>
                <w:rFonts w:hint="eastAsia"/>
                <w:color w:val="auto"/>
              </w:rPr>
            </w:pPr>
            <w:r>
              <w:rPr>
                <w:color w:val="auto"/>
              </w:rPr>
              <w:t>20</w:t>
            </w:r>
          </w:p>
        </w:tc>
        <w:tc>
          <w:tcPr>
            <w:tcW w:w="865" w:type="pct"/>
            <w:vAlign w:val="center"/>
          </w:tcPr>
          <w:p w14:paraId="16F25950">
            <w:pPr>
              <w:pStyle w:val="45"/>
              <w:rPr>
                <w:rFonts w:hint="eastAsia"/>
                <w:color w:val="auto"/>
              </w:rPr>
            </w:pPr>
            <w:r>
              <w:rPr>
                <w:color w:val="auto"/>
              </w:rPr>
              <w:t>磨光机</w:t>
            </w:r>
          </w:p>
        </w:tc>
        <w:tc>
          <w:tcPr>
            <w:tcW w:w="737" w:type="pct"/>
            <w:vAlign w:val="center"/>
          </w:tcPr>
          <w:p w14:paraId="6A591712">
            <w:pPr>
              <w:pStyle w:val="45"/>
              <w:rPr>
                <w:rFonts w:hint="eastAsia"/>
                <w:color w:val="auto"/>
              </w:rPr>
            </w:pPr>
            <w:r>
              <w:rPr>
                <w:color w:val="auto"/>
              </w:rPr>
              <w:t>Z1M—KY01</w:t>
            </w:r>
          </w:p>
        </w:tc>
        <w:tc>
          <w:tcPr>
            <w:tcW w:w="336" w:type="pct"/>
            <w:vAlign w:val="center"/>
          </w:tcPr>
          <w:p w14:paraId="76D6F28A">
            <w:pPr>
              <w:pStyle w:val="45"/>
              <w:rPr>
                <w:rFonts w:hint="eastAsia"/>
                <w:color w:val="auto"/>
              </w:rPr>
            </w:pPr>
            <w:r>
              <w:rPr>
                <w:rFonts w:hint="eastAsia"/>
                <w:color w:val="auto"/>
              </w:rPr>
              <w:t>4</w:t>
            </w:r>
          </w:p>
        </w:tc>
        <w:tc>
          <w:tcPr>
            <w:tcW w:w="542" w:type="pct"/>
            <w:vAlign w:val="center"/>
          </w:tcPr>
          <w:p w14:paraId="2F2392A4">
            <w:pPr>
              <w:pStyle w:val="45"/>
              <w:rPr>
                <w:rFonts w:hint="eastAsia"/>
                <w:color w:val="auto"/>
              </w:rPr>
            </w:pPr>
            <w:r>
              <w:rPr>
                <w:color w:val="auto"/>
              </w:rPr>
              <w:t>浙江</w:t>
            </w:r>
          </w:p>
        </w:tc>
        <w:tc>
          <w:tcPr>
            <w:tcW w:w="619" w:type="pct"/>
            <w:vAlign w:val="center"/>
          </w:tcPr>
          <w:p w14:paraId="02BD76D2">
            <w:pPr>
              <w:pStyle w:val="45"/>
              <w:rPr>
                <w:rFonts w:hint="eastAsia"/>
                <w:color w:val="auto"/>
              </w:rPr>
            </w:pPr>
            <w:r>
              <w:rPr>
                <w:color w:val="auto"/>
              </w:rPr>
              <w:t>2017</w:t>
            </w:r>
          </w:p>
        </w:tc>
        <w:tc>
          <w:tcPr>
            <w:tcW w:w="667" w:type="pct"/>
            <w:vAlign w:val="center"/>
          </w:tcPr>
          <w:p w14:paraId="39841694">
            <w:pPr>
              <w:pStyle w:val="45"/>
              <w:rPr>
                <w:rFonts w:hint="eastAsia"/>
                <w:color w:val="auto"/>
              </w:rPr>
            </w:pPr>
            <w:r>
              <w:rPr>
                <w:color w:val="auto"/>
              </w:rPr>
              <w:t>1</w:t>
            </w:r>
          </w:p>
        </w:tc>
        <w:tc>
          <w:tcPr>
            <w:tcW w:w="548" w:type="pct"/>
            <w:vAlign w:val="center"/>
          </w:tcPr>
          <w:p w14:paraId="1B62FFC4">
            <w:pPr>
              <w:pStyle w:val="45"/>
              <w:rPr>
                <w:rFonts w:hint="eastAsia"/>
                <w:color w:val="auto"/>
              </w:rPr>
            </w:pPr>
            <w:r>
              <w:rPr>
                <w:color w:val="auto"/>
              </w:rPr>
              <w:t>良好</w:t>
            </w:r>
          </w:p>
        </w:tc>
        <w:tc>
          <w:tcPr>
            <w:tcW w:w="350" w:type="pct"/>
            <w:vAlign w:val="center"/>
          </w:tcPr>
          <w:p w14:paraId="3FFABE12">
            <w:pPr>
              <w:pStyle w:val="45"/>
              <w:rPr>
                <w:rFonts w:hint="eastAsia"/>
                <w:color w:val="auto"/>
              </w:rPr>
            </w:pPr>
          </w:p>
        </w:tc>
      </w:tr>
      <w:tr w14:paraId="07903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B6EFC3E">
            <w:pPr>
              <w:pStyle w:val="45"/>
              <w:rPr>
                <w:rFonts w:hint="eastAsia"/>
                <w:color w:val="auto"/>
              </w:rPr>
            </w:pPr>
            <w:r>
              <w:rPr>
                <w:color w:val="auto"/>
              </w:rPr>
              <w:t>21</w:t>
            </w:r>
          </w:p>
        </w:tc>
        <w:tc>
          <w:tcPr>
            <w:tcW w:w="865" w:type="pct"/>
            <w:vAlign w:val="center"/>
          </w:tcPr>
          <w:p w14:paraId="4BCFCEB5">
            <w:pPr>
              <w:pStyle w:val="45"/>
              <w:rPr>
                <w:rFonts w:hint="eastAsia"/>
                <w:color w:val="auto"/>
              </w:rPr>
            </w:pPr>
            <w:r>
              <w:rPr>
                <w:color w:val="auto"/>
              </w:rPr>
              <w:t>滚槽机</w:t>
            </w:r>
          </w:p>
        </w:tc>
        <w:tc>
          <w:tcPr>
            <w:tcW w:w="737" w:type="pct"/>
            <w:vAlign w:val="center"/>
          </w:tcPr>
          <w:p w14:paraId="7E39DD14">
            <w:pPr>
              <w:pStyle w:val="45"/>
              <w:rPr>
                <w:rFonts w:hint="eastAsia"/>
                <w:color w:val="auto"/>
              </w:rPr>
            </w:pPr>
            <w:r>
              <w:rPr>
                <w:color w:val="auto"/>
              </w:rPr>
              <w:t>RSG-3</w:t>
            </w:r>
          </w:p>
        </w:tc>
        <w:tc>
          <w:tcPr>
            <w:tcW w:w="336" w:type="pct"/>
            <w:vAlign w:val="center"/>
          </w:tcPr>
          <w:p w14:paraId="0CE3349E">
            <w:pPr>
              <w:pStyle w:val="45"/>
              <w:rPr>
                <w:rFonts w:hint="eastAsia"/>
                <w:color w:val="auto"/>
              </w:rPr>
            </w:pPr>
            <w:r>
              <w:rPr>
                <w:rFonts w:hint="eastAsia"/>
                <w:color w:val="auto"/>
              </w:rPr>
              <w:t>2</w:t>
            </w:r>
          </w:p>
        </w:tc>
        <w:tc>
          <w:tcPr>
            <w:tcW w:w="542" w:type="pct"/>
            <w:vAlign w:val="center"/>
          </w:tcPr>
          <w:p w14:paraId="036637B1">
            <w:pPr>
              <w:pStyle w:val="45"/>
              <w:rPr>
                <w:rFonts w:hint="eastAsia"/>
                <w:color w:val="auto"/>
              </w:rPr>
            </w:pPr>
            <w:r>
              <w:rPr>
                <w:color w:val="auto"/>
              </w:rPr>
              <w:t>上海</w:t>
            </w:r>
          </w:p>
        </w:tc>
        <w:tc>
          <w:tcPr>
            <w:tcW w:w="619" w:type="pct"/>
            <w:vAlign w:val="center"/>
          </w:tcPr>
          <w:p w14:paraId="03732DD0">
            <w:pPr>
              <w:pStyle w:val="45"/>
              <w:rPr>
                <w:rFonts w:hint="eastAsia"/>
                <w:color w:val="auto"/>
              </w:rPr>
            </w:pPr>
            <w:r>
              <w:rPr>
                <w:color w:val="auto"/>
              </w:rPr>
              <w:t>2018</w:t>
            </w:r>
          </w:p>
        </w:tc>
        <w:tc>
          <w:tcPr>
            <w:tcW w:w="667" w:type="pct"/>
            <w:vAlign w:val="center"/>
          </w:tcPr>
          <w:p w14:paraId="74B133FD">
            <w:pPr>
              <w:pStyle w:val="45"/>
              <w:rPr>
                <w:rFonts w:hint="eastAsia"/>
                <w:color w:val="auto"/>
              </w:rPr>
            </w:pPr>
            <w:r>
              <w:rPr>
                <w:color w:val="auto"/>
              </w:rPr>
              <w:t>1.1</w:t>
            </w:r>
          </w:p>
        </w:tc>
        <w:tc>
          <w:tcPr>
            <w:tcW w:w="548" w:type="pct"/>
            <w:vAlign w:val="center"/>
          </w:tcPr>
          <w:p w14:paraId="4D24704A">
            <w:pPr>
              <w:pStyle w:val="45"/>
              <w:rPr>
                <w:rFonts w:hint="eastAsia"/>
                <w:color w:val="auto"/>
              </w:rPr>
            </w:pPr>
            <w:r>
              <w:rPr>
                <w:color w:val="auto"/>
              </w:rPr>
              <w:t>良好</w:t>
            </w:r>
          </w:p>
        </w:tc>
        <w:tc>
          <w:tcPr>
            <w:tcW w:w="350" w:type="pct"/>
            <w:vAlign w:val="center"/>
          </w:tcPr>
          <w:p w14:paraId="09F498A2">
            <w:pPr>
              <w:pStyle w:val="45"/>
              <w:rPr>
                <w:rFonts w:hint="eastAsia"/>
                <w:color w:val="auto"/>
              </w:rPr>
            </w:pPr>
          </w:p>
        </w:tc>
      </w:tr>
      <w:tr w14:paraId="05275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42E1A6F0">
            <w:pPr>
              <w:pStyle w:val="45"/>
              <w:rPr>
                <w:rFonts w:hint="eastAsia"/>
                <w:color w:val="auto"/>
              </w:rPr>
            </w:pPr>
            <w:r>
              <w:rPr>
                <w:color w:val="auto"/>
              </w:rPr>
              <w:t>22</w:t>
            </w:r>
          </w:p>
        </w:tc>
        <w:tc>
          <w:tcPr>
            <w:tcW w:w="865" w:type="pct"/>
            <w:vAlign w:val="center"/>
          </w:tcPr>
          <w:p w14:paraId="65CE1150">
            <w:pPr>
              <w:pStyle w:val="45"/>
              <w:rPr>
                <w:rFonts w:hint="eastAsia"/>
                <w:color w:val="auto"/>
              </w:rPr>
            </w:pPr>
            <w:r>
              <w:rPr>
                <w:color w:val="auto"/>
              </w:rPr>
              <w:t>冲击钻</w:t>
            </w:r>
          </w:p>
        </w:tc>
        <w:tc>
          <w:tcPr>
            <w:tcW w:w="737" w:type="pct"/>
            <w:vAlign w:val="center"/>
          </w:tcPr>
          <w:p w14:paraId="2D7B18E2">
            <w:pPr>
              <w:pStyle w:val="45"/>
              <w:rPr>
                <w:rFonts w:hint="eastAsia"/>
                <w:color w:val="auto"/>
              </w:rPr>
            </w:pPr>
            <w:r>
              <w:rPr>
                <w:color w:val="auto"/>
              </w:rPr>
              <w:t>TE—24/42</w:t>
            </w:r>
          </w:p>
        </w:tc>
        <w:tc>
          <w:tcPr>
            <w:tcW w:w="336" w:type="pct"/>
            <w:vAlign w:val="center"/>
          </w:tcPr>
          <w:p w14:paraId="66766260">
            <w:pPr>
              <w:pStyle w:val="45"/>
              <w:rPr>
                <w:rFonts w:hint="eastAsia"/>
                <w:color w:val="auto"/>
              </w:rPr>
            </w:pPr>
            <w:r>
              <w:rPr>
                <w:rFonts w:hint="eastAsia"/>
                <w:color w:val="auto"/>
              </w:rPr>
              <w:t>10</w:t>
            </w:r>
          </w:p>
        </w:tc>
        <w:tc>
          <w:tcPr>
            <w:tcW w:w="542" w:type="pct"/>
            <w:vAlign w:val="center"/>
          </w:tcPr>
          <w:p w14:paraId="66A8F9A1">
            <w:pPr>
              <w:pStyle w:val="45"/>
              <w:rPr>
                <w:rFonts w:hint="eastAsia"/>
                <w:color w:val="auto"/>
              </w:rPr>
            </w:pPr>
            <w:r>
              <w:rPr>
                <w:color w:val="auto"/>
              </w:rPr>
              <w:t>广东</w:t>
            </w:r>
          </w:p>
        </w:tc>
        <w:tc>
          <w:tcPr>
            <w:tcW w:w="619" w:type="pct"/>
            <w:vAlign w:val="center"/>
          </w:tcPr>
          <w:p w14:paraId="7B7D7FE2">
            <w:pPr>
              <w:pStyle w:val="45"/>
              <w:rPr>
                <w:rFonts w:hint="eastAsia"/>
                <w:color w:val="auto"/>
              </w:rPr>
            </w:pPr>
            <w:r>
              <w:rPr>
                <w:color w:val="auto"/>
              </w:rPr>
              <w:t>2018</w:t>
            </w:r>
          </w:p>
        </w:tc>
        <w:tc>
          <w:tcPr>
            <w:tcW w:w="667" w:type="pct"/>
            <w:vAlign w:val="center"/>
          </w:tcPr>
          <w:p w14:paraId="189FFE9C">
            <w:pPr>
              <w:pStyle w:val="45"/>
              <w:rPr>
                <w:rFonts w:hint="eastAsia"/>
                <w:color w:val="auto"/>
              </w:rPr>
            </w:pPr>
            <w:r>
              <w:rPr>
                <w:color w:val="auto"/>
              </w:rPr>
              <w:t>1.5</w:t>
            </w:r>
          </w:p>
        </w:tc>
        <w:tc>
          <w:tcPr>
            <w:tcW w:w="548" w:type="pct"/>
            <w:vAlign w:val="center"/>
          </w:tcPr>
          <w:p w14:paraId="4CF763BD">
            <w:pPr>
              <w:pStyle w:val="45"/>
              <w:rPr>
                <w:rFonts w:hint="eastAsia"/>
                <w:color w:val="auto"/>
              </w:rPr>
            </w:pPr>
            <w:r>
              <w:rPr>
                <w:color w:val="auto"/>
              </w:rPr>
              <w:t>良好</w:t>
            </w:r>
          </w:p>
        </w:tc>
        <w:tc>
          <w:tcPr>
            <w:tcW w:w="350" w:type="pct"/>
            <w:vAlign w:val="center"/>
          </w:tcPr>
          <w:p w14:paraId="49BA24EC">
            <w:pPr>
              <w:pStyle w:val="45"/>
              <w:rPr>
                <w:rFonts w:hint="eastAsia"/>
                <w:color w:val="auto"/>
              </w:rPr>
            </w:pPr>
          </w:p>
        </w:tc>
      </w:tr>
      <w:tr w14:paraId="693E4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0E9C84C">
            <w:pPr>
              <w:pStyle w:val="45"/>
              <w:rPr>
                <w:rFonts w:hint="eastAsia"/>
                <w:color w:val="auto"/>
              </w:rPr>
            </w:pPr>
            <w:r>
              <w:rPr>
                <w:color w:val="auto"/>
              </w:rPr>
              <w:t>23</w:t>
            </w:r>
          </w:p>
        </w:tc>
        <w:tc>
          <w:tcPr>
            <w:tcW w:w="865" w:type="pct"/>
            <w:vAlign w:val="center"/>
          </w:tcPr>
          <w:p w14:paraId="33B5E0F4">
            <w:pPr>
              <w:pStyle w:val="45"/>
              <w:rPr>
                <w:rFonts w:hint="eastAsia"/>
                <w:color w:val="auto"/>
              </w:rPr>
            </w:pPr>
            <w:r>
              <w:rPr>
                <w:color w:val="auto"/>
              </w:rPr>
              <w:t>电动试压泵</w:t>
            </w:r>
          </w:p>
        </w:tc>
        <w:tc>
          <w:tcPr>
            <w:tcW w:w="737" w:type="pct"/>
            <w:vAlign w:val="center"/>
          </w:tcPr>
          <w:p w14:paraId="6383C635">
            <w:pPr>
              <w:pStyle w:val="45"/>
              <w:rPr>
                <w:rFonts w:hint="eastAsia"/>
                <w:color w:val="auto"/>
              </w:rPr>
            </w:pPr>
            <w:r>
              <w:rPr>
                <w:color w:val="auto"/>
              </w:rPr>
              <w:t>3D—SY</w:t>
            </w:r>
          </w:p>
        </w:tc>
        <w:tc>
          <w:tcPr>
            <w:tcW w:w="336" w:type="pct"/>
            <w:vAlign w:val="center"/>
          </w:tcPr>
          <w:p w14:paraId="5157C9BA">
            <w:pPr>
              <w:pStyle w:val="45"/>
              <w:rPr>
                <w:rFonts w:hint="eastAsia"/>
                <w:color w:val="auto"/>
              </w:rPr>
            </w:pPr>
            <w:r>
              <w:rPr>
                <w:rFonts w:hint="eastAsia"/>
                <w:color w:val="auto"/>
              </w:rPr>
              <w:t>2</w:t>
            </w:r>
          </w:p>
        </w:tc>
        <w:tc>
          <w:tcPr>
            <w:tcW w:w="542" w:type="pct"/>
            <w:vAlign w:val="center"/>
          </w:tcPr>
          <w:p w14:paraId="2FE2C2AE">
            <w:pPr>
              <w:pStyle w:val="45"/>
              <w:rPr>
                <w:rFonts w:hint="eastAsia"/>
                <w:color w:val="auto"/>
              </w:rPr>
            </w:pPr>
            <w:r>
              <w:rPr>
                <w:color w:val="auto"/>
              </w:rPr>
              <w:t>武汉</w:t>
            </w:r>
          </w:p>
        </w:tc>
        <w:tc>
          <w:tcPr>
            <w:tcW w:w="619" w:type="pct"/>
            <w:vAlign w:val="center"/>
          </w:tcPr>
          <w:p w14:paraId="29536C72">
            <w:pPr>
              <w:pStyle w:val="45"/>
              <w:rPr>
                <w:rFonts w:hint="eastAsia"/>
                <w:color w:val="auto"/>
              </w:rPr>
            </w:pPr>
            <w:r>
              <w:rPr>
                <w:color w:val="auto"/>
              </w:rPr>
              <w:t>2017</w:t>
            </w:r>
          </w:p>
        </w:tc>
        <w:tc>
          <w:tcPr>
            <w:tcW w:w="667" w:type="pct"/>
            <w:vAlign w:val="center"/>
          </w:tcPr>
          <w:p w14:paraId="00742616">
            <w:pPr>
              <w:pStyle w:val="45"/>
              <w:rPr>
                <w:rFonts w:hint="eastAsia"/>
                <w:color w:val="auto"/>
              </w:rPr>
            </w:pPr>
            <w:r>
              <w:rPr>
                <w:color w:val="auto"/>
              </w:rPr>
              <w:t>1.54</w:t>
            </w:r>
          </w:p>
        </w:tc>
        <w:tc>
          <w:tcPr>
            <w:tcW w:w="548" w:type="pct"/>
            <w:vAlign w:val="center"/>
          </w:tcPr>
          <w:p w14:paraId="02E5D736">
            <w:pPr>
              <w:pStyle w:val="45"/>
              <w:rPr>
                <w:rFonts w:hint="eastAsia"/>
                <w:color w:val="auto"/>
              </w:rPr>
            </w:pPr>
            <w:r>
              <w:rPr>
                <w:color w:val="auto"/>
              </w:rPr>
              <w:t>良好</w:t>
            </w:r>
          </w:p>
        </w:tc>
        <w:tc>
          <w:tcPr>
            <w:tcW w:w="350" w:type="pct"/>
            <w:vAlign w:val="center"/>
          </w:tcPr>
          <w:p w14:paraId="467DF574">
            <w:pPr>
              <w:pStyle w:val="45"/>
              <w:rPr>
                <w:rFonts w:hint="eastAsia"/>
                <w:color w:val="auto"/>
              </w:rPr>
            </w:pPr>
          </w:p>
        </w:tc>
      </w:tr>
      <w:tr w14:paraId="661E4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591DE7D">
            <w:pPr>
              <w:pStyle w:val="45"/>
              <w:rPr>
                <w:rFonts w:hint="eastAsia"/>
                <w:color w:val="auto"/>
              </w:rPr>
            </w:pPr>
            <w:r>
              <w:rPr>
                <w:color w:val="auto"/>
              </w:rPr>
              <w:t>24</w:t>
            </w:r>
          </w:p>
        </w:tc>
        <w:tc>
          <w:tcPr>
            <w:tcW w:w="865" w:type="pct"/>
            <w:vAlign w:val="center"/>
          </w:tcPr>
          <w:p w14:paraId="1811297E">
            <w:pPr>
              <w:pStyle w:val="45"/>
              <w:rPr>
                <w:rFonts w:hint="eastAsia"/>
                <w:color w:val="auto"/>
              </w:rPr>
            </w:pPr>
            <w:r>
              <w:rPr>
                <w:color w:val="auto"/>
              </w:rPr>
              <w:t>空气压缩机</w:t>
            </w:r>
          </w:p>
        </w:tc>
        <w:tc>
          <w:tcPr>
            <w:tcW w:w="737" w:type="pct"/>
            <w:vAlign w:val="center"/>
          </w:tcPr>
          <w:p w14:paraId="65719692">
            <w:pPr>
              <w:pStyle w:val="45"/>
              <w:rPr>
                <w:rFonts w:hint="eastAsia"/>
                <w:color w:val="auto"/>
              </w:rPr>
            </w:pPr>
            <w:r>
              <w:rPr>
                <w:color w:val="auto"/>
              </w:rPr>
              <w:t>PS40120</w:t>
            </w:r>
          </w:p>
        </w:tc>
        <w:tc>
          <w:tcPr>
            <w:tcW w:w="336" w:type="pct"/>
            <w:vAlign w:val="center"/>
          </w:tcPr>
          <w:p w14:paraId="51AA4A09">
            <w:pPr>
              <w:pStyle w:val="45"/>
              <w:rPr>
                <w:rFonts w:hint="eastAsia"/>
                <w:color w:val="auto"/>
              </w:rPr>
            </w:pPr>
            <w:r>
              <w:rPr>
                <w:color w:val="auto"/>
              </w:rPr>
              <w:t>12</w:t>
            </w:r>
          </w:p>
        </w:tc>
        <w:tc>
          <w:tcPr>
            <w:tcW w:w="542" w:type="pct"/>
            <w:vAlign w:val="center"/>
          </w:tcPr>
          <w:p w14:paraId="0CE723CC">
            <w:pPr>
              <w:pStyle w:val="45"/>
              <w:rPr>
                <w:rFonts w:hint="eastAsia"/>
                <w:color w:val="auto"/>
              </w:rPr>
            </w:pPr>
            <w:r>
              <w:rPr>
                <w:color w:val="auto"/>
              </w:rPr>
              <w:t>上海</w:t>
            </w:r>
          </w:p>
        </w:tc>
        <w:tc>
          <w:tcPr>
            <w:tcW w:w="619" w:type="pct"/>
            <w:vAlign w:val="center"/>
          </w:tcPr>
          <w:p w14:paraId="1A550B80">
            <w:pPr>
              <w:pStyle w:val="45"/>
              <w:rPr>
                <w:rFonts w:hint="eastAsia"/>
                <w:color w:val="auto"/>
              </w:rPr>
            </w:pPr>
            <w:r>
              <w:rPr>
                <w:color w:val="auto"/>
              </w:rPr>
              <w:t>2018</w:t>
            </w:r>
          </w:p>
        </w:tc>
        <w:tc>
          <w:tcPr>
            <w:tcW w:w="667" w:type="pct"/>
            <w:vAlign w:val="center"/>
          </w:tcPr>
          <w:p w14:paraId="4BA6DE6E">
            <w:pPr>
              <w:pStyle w:val="45"/>
              <w:rPr>
                <w:rFonts w:hint="eastAsia"/>
                <w:color w:val="auto"/>
              </w:rPr>
            </w:pPr>
            <w:r>
              <w:rPr>
                <w:color w:val="auto"/>
              </w:rPr>
              <w:t>3</w:t>
            </w:r>
          </w:p>
        </w:tc>
        <w:tc>
          <w:tcPr>
            <w:tcW w:w="548" w:type="pct"/>
            <w:vAlign w:val="center"/>
          </w:tcPr>
          <w:p w14:paraId="5BAFECE3">
            <w:pPr>
              <w:pStyle w:val="45"/>
              <w:rPr>
                <w:rFonts w:hint="eastAsia"/>
                <w:color w:val="auto"/>
              </w:rPr>
            </w:pPr>
            <w:r>
              <w:rPr>
                <w:color w:val="auto"/>
              </w:rPr>
              <w:t>良好</w:t>
            </w:r>
          </w:p>
        </w:tc>
        <w:tc>
          <w:tcPr>
            <w:tcW w:w="350" w:type="pct"/>
            <w:vAlign w:val="center"/>
          </w:tcPr>
          <w:p w14:paraId="071FB2E2">
            <w:pPr>
              <w:pStyle w:val="45"/>
              <w:rPr>
                <w:rFonts w:hint="eastAsia"/>
                <w:color w:val="auto"/>
              </w:rPr>
            </w:pPr>
          </w:p>
        </w:tc>
      </w:tr>
      <w:tr w14:paraId="41B106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2F9F641">
            <w:pPr>
              <w:pStyle w:val="45"/>
              <w:rPr>
                <w:rFonts w:hint="eastAsia"/>
                <w:color w:val="auto"/>
              </w:rPr>
            </w:pPr>
            <w:r>
              <w:rPr>
                <w:color w:val="auto"/>
              </w:rPr>
              <w:t>25</w:t>
            </w:r>
          </w:p>
        </w:tc>
        <w:tc>
          <w:tcPr>
            <w:tcW w:w="865" w:type="pct"/>
            <w:vAlign w:val="center"/>
          </w:tcPr>
          <w:p w14:paraId="3A68F1A2">
            <w:pPr>
              <w:pStyle w:val="45"/>
              <w:rPr>
                <w:rFonts w:hint="eastAsia"/>
                <w:color w:val="auto"/>
              </w:rPr>
            </w:pPr>
            <w:r>
              <w:rPr>
                <w:color w:val="auto"/>
              </w:rPr>
              <w:t>电钻</w:t>
            </w:r>
          </w:p>
        </w:tc>
        <w:tc>
          <w:tcPr>
            <w:tcW w:w="737" w:type="pct"/>
            <w:vAlign w:val="center"/>
          </w:tcPr>
          <w:p w14:paraId="670A9B68">
            <w:pPr>
              <w:pStyle w:val="45"/>
              <w:rPr>
                <w:rFonts w:hint="eastAsia"/>
                <w:color w:val="auto"/>
              </w:rPr>
            </w:pPr>
            <w:r>
              <w:rPr>
                <w:color w:val="auto"/>
              </w:rPr>
              <w:t>6—13mm</w:t>
            </w:r>
          </w:p>
        </w:tc>
        <w:tc>
          <w:tcPr>
            <w:tcW w:w="336" w:type="pct"/>
            <w:vAlign w:val="center"/>
          </w:tcPr>
          <w:p w14:paraId="1CF8D088">
            <w:pPr>
              <w:pStyle w:val="45"/>
              <w:rPr>
                <w:rFonts w:hint="eastAsia"/>
                <w:color w:val="auto"/>
              </w:rPr>
            </w:pPr>
            <w:r>
              <w:rPr>
                <w:color w:val="auto"/>
              </w:rPr>
              <w:t>12</w:t>
            </w:r>
          </w:p>
        </w:tc>
        <w:tc>
          <w:tcPr>
            <w:tcW w:w="542" w:type="pct"/>
            <w:vAlign w:val="center"/>
          </w:tcPr>
          <w:p w14:paraId="1064AC87">
            <w:pPr>
              <w:pStyle w:val="45"/>
              <w:rPr>
                <w:rFonts w:hint="eastAsia"/>
                <w:color w:val="auto"/>
              </w:rPr>
            </w:pPr>
            <w:r>
              <w:rPr>
                <w:color w:val="auto"/>
              </w:rPr>
              <w:t>广东</w:t>
            </w:r>
          </w:p>
        </w:tc>
        <w:tc>
          <w:tcPr>
            <w:tcW w:w="619" w:type="pct"/>
            <w:vAlign w:val="center"/>
          </w:tcPr>
          <w:p w14:paraId="013B7696">
            <w:pPr>
              <w:pStyle w:val="45"/>
              <w:rPr>
                <w:rFonts w:hint="eastAsia"/>
                <w:color w:val="auto"/>
              </w:rPr>
            </w:pPr>
            <w:r>
              <w:rPr>
                <w:color w:val="auto"/>
              </w:rPr>
              <w:t>2017</w:t>
            </w:r>
          </w:p>
        </w:tc>
        <w:tc>
          <w:tcPr>
            <w:tcW w:w="667" w:type="pct"/>
            <w:vAlign w:val="center"/>
          </w:tcPr>
          <w:p w14:paraId="61410D2A">
            <w:pPr>
              <w:pStyle w:val="45"/>
              <w:rPr>
                <w:rFonts w:hint="eastAsia"/>
                <w:color w:val="auto"/>
              </w:rPr>
            </w:pPr>
            <w:r>
              <w:rPr>
                <w:color w:val="auto"/>
              </w:rPr>
              <w:t>1.1</w:t>
            </w:r>
          </w:p>
        </w:tc>
        <w:tc>
          <w:tcPr>
            <w:tcW w:w="548" w:type="pct"/>
            <w:vAlign w:val="center"/>
          </w:tcPr>
          <w:p w14:paraId="17A2F8B3">
            <w:pPr>
              <w:pStyle w:val="45"/>
              <w:rPr>
                <w:rFonts w:hint="eastAsia"/>
                <w:color w:val="auto"/>
              </w:rPr>
            </w:pPr>
            <w:r>
              <w:rPr>
                <w:color w:val="auto"/>
              </w:rPr>
              <w:t>良好</w:t>
            </w:r>
          </w:p>
        </w:tc>
        <w:tc>
          <w:tcPr>
            <w:tcW w:w="350" w:type="pct"/>
            <w:vAlign w:val="center"/>
          </w:tcPr>
          <w:p w14:paraId="622BB44E">
            <w:pPr>
              <w:pStyle w:val="45"/>
              <w:rPr>
                <w:rFonts w:hint="eastAsia"/>
                <w:color w:val="auto"/>
              </w:rPr>
            </w:pPr>
          </w:p>
        </w:tc>
      </w:tr>
      <w:tr w14:paraId="5E326E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F629B58">
            <w:pPr>
              <w:pStyle w:val="45"/>
              <w:rPr>
                <w:rFonts w:hint="eastAsia"/>
                <w:color w:val="auto"/>
              </w:rPr>
            </w:pPr>
            <w:r>
              <w:rPr>
                <w:color w:val="auto"/>
              </w:rPr>
              <w:t>26</w:t>
            </w:r>
          </w:p>
        </w:tc>
        <w:tc>
          <w:tcPr>
            <w:tcW w:w="865" w:type="pct"/>
            <w:vAlign w:val="center"/>
          </w:tcPr>
          <w:p w14:paraId="44EE4720">
            <w:pPr>
              <w:pStyle w:val="45"/>
              <w:rPr>
                <w:rFonts w:hint="eastAsia"/>
                <w:color w:val="auto"/>
              </w:rPr>
            </w:pPr>
            <w:r>
              <w:rPr>
                <w:color w:val="auto"/>
              </w:rPr>
              <w:t>台钻</w:t>
            </w:r>
          </w:p>
        </w:tc>
        <w:tc>
          <w:tcPr>
            <w:tcW w:w="737" w:type="pct"/>
            <w:vAlign w:val="center"/>
          </w:tcPr>
          <w:p w14:paraId="042B6D65">
            <w:pPr>
              <w:pStyle w:val="45"/>
              <w:rPr>
                <w:rFonts w:hint="eastAsia"/>
                <w:color w:val="auto"/>
              </w:rPr>
            </w:pPr>
            <w:r>
              <w:rPr>
                <w:color w:val="auto"/>
              </w:rPr>
              <w:t>DP—25</w:t>
            </w:r>
          </w:p>
        </w:tc>
        <w:tc>
          <w:tcPr>
            <w:tcW w:w="336" w:type="pct"/>
            <w:vAlign w:val="center"/>
          </w:tcPr>
          <w:p w14:paraId="11107C35">
            <w:pPr>
              <w:pStyle w:val="45"/>
              <w:rPr>
                <w:rFonts w:hint="eastAsia"/>
                <w:color w:val="auto"/>
              </w:rPr>
            </w:pPr>
            <w:r>
              <w:rPr>
                <w:color w:val="auto"/>
              </w:rPr>
              <w:t>20</w:t>
            </w:r>
          </w:p>
        </w:tc>
        <w:tc>
          <w:tcPr>
            <w:tcW w:w="542" w:type="pct"/>
            <w:vAlign w:val="center"/>
          </w:tcPr>
          <w:p w14:paraId="4079BFCA">
            <w:pPr>
              <w:pStyle w:val="45"/>
              <w:rPr>
                <w:rFonts w:hint="eastAsia"/>
                <w:color w:val="auto"/>
              </w:rPr>
            </w:pPr>
            <w:r>
              <w:rPr>
                <w:color w:val="auto"/>
              </w:rPr>
              <w:t>广东</w:t>
            </w:r>
          </w:p>
        </w:tc>
        <w:tc>
          <w:tcPr>
            <w:tcW w:w="619" w:type="pct"/>
            <w:vAlign w:val="center"/>
          </w:tcPr>
          <w:p w14:paraId="19BF8D9D">
            <w:pPr>
              <w:pStyle w:val="45"/>
              <w:rPr>
                <w:rFonts w:hint="eastAsia"/>
                <w:color w:val="auto"/>
              </w:rPr>
            </w:pPr>
            <w:r>
              <w:rPr>
                <w:color w:val="auto"/>
              </w:rPr>
              <w:t>2018</w:t>
            </w:r>
          </w:p>
        </w:tc>
        <w:tc>
          <w:tcPr>
            <w:tcW w:w="667" w:type="pct"/>
            <w:vAlign w:val="center"/>
          </w:tcPr>
          <w:p w14:paraId="64A882B8">
            <w:pPr>
              <w:pStyle w:val="45"/>
              <w:rPr>
                <w:rFonts w:hint="eastAsia"/>
                <w:color w:val="auto"/>
              </w:rPr>
            </w:pPr>
            <w:r>
              <w:rPr>
                <w:color w:val="auto"/>
              </w:rPr>
              <w:t>1.5</w:t>
            </w:r>
          </w:p>
        </w:tc>
        <w:tc>
          <w:tcPr>
            <w:tcW w:w="548" w:type="pct"/>
            <w:vAlign w:val="center"/>
          </w:tcPr>
          <w:p w14:paraId="2FABC003">
            <w:pPr>
              <w:pStyle w:val="45"/>
              <w:rPr>
                <w:rFonts w:hint="eastAsia"/>
                <w:color w:val="auto"/>
              </w:rPr>
            </w:pPr>
            <w:r>
              <w:rPr>
                <w:color w:val="auto"/>
              </w:rPr>
              <w:t>良好</w:t>
            </w:r>
          </w:p>
        </w:tc>
        <w:tc>
          <w:tcPr>
            <w:tcW w:w="350" w:type="pct"/>
            <w:vAlign w:val="center"/>
          </w:tcPr>
          <w:p w14:paraId="6AF1ED88">
            <w:pPr>
              <w:pStyle w:val="45"/>
              <w:rPr>
                <w:rFonts w:hint="eastAsia"/>
                <w:color w:val="auto"/>
              </w:rPr>
            </w:pPr>
          </w:p>
        </w:tc>
      </w:tr>
      <w:tr w14:paraId="3C653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4FBF19A1">
            <w:pPr>
              <w:pStyle w:val="45"/>
              <w:rPr>
                <w:rFonts w:hint="eastAsia"/>
                <w:color w:val="auto"/>
              </w:rPr>
            </w:pPr>
            <w:r>
              <w:rPr>
                <w:color w:val="auto"/>
              </w:rPr>
              <w:t>27</w:t>
            </w:r>
          </w:p>
        </w:tc>
        <w:tc>
          <w:tcPr>
            <w:tcW w:w="865" w:type="pct"/>
            <w:vAlign w:val="center"/>
          </w:tcPr>
          <w:p w14:paraId="71470728">
            <w:pPr>
              <w:pStyle w:val="45"/>
              <w:rPr>
                <w:rFonts w:hint="eastAsia"/>
                <w:color w:val="auto"/>
              </w:rPr>
            </w:pPr>
            <w:r>
              <w:rPr>
                <w:color w:val="auto"/>
              </w:rPr>
              <w:t>真空泵</w:t>
            </w:r>
          </w:p>
        </w:tc>
        <w:tc>
          <w:tcPr>
            <w:tcW w:w="737" w:type="pct"/>
            <w:vAlign w:val="center"/>
          </w:tcPr>
          <w:p w14:paraId="4CEA8949">
            <w:pPr>
              <w:pStyle w:val="45"/>
              <w:rPr>
                <w:rFonts w:hint="eastAsia"/>
                <w:color w:val="auto"/>
              </w:rPr>
            </w:pPr>
            <w:r>
              <w:rPr>
                <w:color w:val="auto"/>
              </w:rPr>
              <w:t>2BE1</w:t>
            </w:r>
          </w:p>
        </w:tc>
        <w:tc>
          <w:tcPr>
            <w:tcW w:w="336" w:type="pct"/>
            <w:vAlign w:val="center"/>
          </w:tcPr>
          <w:p w14:paraId="5CA183D1">
            <w:pPr>
              <w:pStyle w:val="45"/>
              <w:rPr>
                <w:rFonts w:hint="eastAsia"/>
                <w:color w:val="auto"/>
              </w:rPr>
            </w:pPr>
            <w:r>
              <w:rPr>
                <w:rFonts w:hint="eastAsia"/>
                <w:color w:val="auto"/>
              </w:rPr>
              <w:t>4</w:t>
            </w:r>
          </w:p>
        </w:tc>
        <w:tc>
          <w:tcPr>
            <w:tcW w:w="542" w:type="pct"/>
            <w:vAlign w:val="center"/>
          </w:tcPr>
          <w:p w14:paraId="3B4AE203">
            <w:pPr>
              <w:pStyle w:val="45"/>
              <w:rPr>
                <w:rFonts w:hint="eastAsia"/>
                <w:color w:val="auto"/>
              </w:rPr>
            </w:pPr>
            <w:r>
              <w:rPr>
                <w:color w:val="auto"/>
              </w:rPr>
              <w:t>武汉</w:t>
            </w:r>
          </w:p>
        </w:tc>
        <w:tc>
          <w:tcPr>
            <w:tcW w:w="619" w:type="pct"/>
            <w:vAlign w:val="center"/>
          </w:tcPr>
          <w:p w14:paraId="42CD54F2">
            <w:pPr>
              <w:pStyle w:val="45"/>
              <w:rPr>
                <w:rFonts w:hint="eastAsia"/>
                <w:color w:val="auto"/>
              </w:rPr>
            </w:pPr>
            <w:r>
              <w:rPr>
                <w:color w:val="auto"/>
              </w:rPr>
              <w:t>2017</w:t>
            </w:r>
          </w:p>
        </w:tc>
        <w:tc>
          <w:tcPr>
            <w:tcW w:w="667" w:type="pct"/>
            <w:vAlign w:val="center"/>
          </w:tcPr>
          <w:p w14:paraId="5A40A92B">
            <w:pPr>
              <w:pStyle w:val="45"/>
              <w:rPr>
                <w:rFonts w:hint="eastAsia"/>
                <w:color w:val="auto"/>
              </w:rPr>
            </w:pPr>
            <w:r>
              <w:rPr>
                <w:color w:val="auto"/>
              </w:rPr>
              <w:t>/</w:t>
            </w:r>
          </w:p>
        </w:tc>
        <w:tc>
          <w:tcPr>
            <w:tcW w:w="548" w:type="pct"/>
            <w:vAlign w:val="center"/>
          </w:tcPr>
          <w:p w14:paraId="7DA6CDFA">
            <w:pPr>
              <w:pStyle w:val="45"/>
              <w:rPr>
                <w:rFonts w:hint="eastAsia"/>
                <w:color w:val="auto"/>
              </w:rPr>
            </w:pPr>
            <w:r>
              <w:rPr>
                <w:color w:val="auto"/>
              </w:rPr>
              <w:t>良好</w:t>
            </w:r>
          </w:p>
        </w:tc>
        <w:tc>
          <w:tcPr>
            <w:tcW w:w="350" w:type="pct"/>
            <w:vAlign w:val="center"/>
          </w:tcPr>
          <w:p w14:paraId="0338FD97">
            <w:pPr>
              <w:pStyle w:val="45"/>
              <w:rPr>
                <w:rFonts w:hint="eastAsia"/>
                <w:color w:val="auto"/>
              </w:rPr>
            </w:pPr>
          </w:p>
        </w:tc>
      </w:tr>
      <w:tr w14:paraId="5A8D6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11004DCD">
            <w:pPr>
              <w:pStyle w:val="45"/>
              <w:rPr>
                <w:rFonts w:hint="eastAsia"/>
                <w:color w:val="auto"/>
              </w:rPr>
            </w:pPr>
            <w:r>
              <w:rPr>
                <w:color w:val="auto"/>
              </w:rPr>
              <w:t>28</w:t>
            </w:r>
          </w:p>
        </w:tc>
        <w:tc>
          <w:tcPr>
            <w:tcW w:w="865" w:type="pct"/>
            <w:vAlign w:val="center"/>
          </w:tcPr>
          <w:p w14:paraId="53B5676C">
            <w:pPr>
              <w:pStyle w:val="45"/>
              <w:rPr>
                <w:rFonts w:hint="eastAsia"/>
                <w:color w:val="auto"/>
              </w:rPr>
            </w:pPr>
            <w:r>
              <w:rPr>
                <w:color w:val="auto"/>
              </w:rPr>
              <w:t>便携式电动冲孔机</w:t>
            </w:r>
          </w:p>
        </w:tc>
        <w:tc>
          <w:tcPr>
            <w:tcW w:w="737" w:type="pct"/>
            <w:vAlign w:val="center"/>
          </w:tcPr>
          <w:p w14:paraId="714D6BAE">
            <w:pPr>
              <w:pStyle w:val="45"/>
              <w:rPr>
                <w:rFonts w:hint="eastAsia"/>
                <w:color w:val="auto"/>
              </w:rPr>
            </w:pPr>
            <w:r>
              <w:rPr>
                <w:color w:val="auto"/>
              </w:rPr>
              <w:t>MHP-20</w:t>
            </w:r>
          </w:p>
        </w:tc>
        <w:tc>
          <w:tcPr>
            <w:tcW w:w="336" w:type="pct"/>
            <w:vAlign w:val="center"/>
          </w:tcPr>
          <w:p w14:paraId="4228DD0F">
            <w:pPr>
              <w:pStyle w:val="45"/>
              <w:rPr>
                <w:rFonts w:hint="eastAsia"/>
                <w:color w:val="auto"/>
              </w:rPr>
            </w:pPr>
            <w:r>
              <w:rPr>
                <w:rFonts w:hint="eastAsia"/>
                <w:color w:val="auto"/>
              </w:rPr>
              <w:t>6</w:t>
            </w:r>
          </w:p>
        </w:tc>
        <w:tc>
          <w:tcPr>
            <w:tcW w:w="542" w:type="pct"/>
            <w:vAlign w:val="center"/>
          </w:tcPr>
          <w:p w14:paraId="34B56330">
            <w:pPr>
              <w:pStyle w:val="45"/>
              <w:rPr>
                <w:rFonts w:hint="eastAsia"/>
                <w:color w:val="auto"/>
              </w:rPr>
            </w:pPr>
            <w:r>
              <w:rPr>
                <w:color w:val="auto"/>
              </w:rPr>
              <w:t>浙江</w:t>
            </w:r>
          </w:p>
        </w:tc>
        <w:tc>
          <w:tcPr>
            <w:tcW w:w="619" w:type="pct"/>
            <w:vAlign w:val="center"/>
          </w:tcPr>
          <w:p w14:paraId="2DAB0101">
            <w:pPr>
              <w:pStyle w:val="45"/>
              <w:rPr>
                <w:rFonts w:hint="eastAsia"/>
                <w:color w:val="auto"/>
              </w:rPr>
            </w:pPr>
            <w:r>
              <w:rPr>
                <w:color w:val="auto"/>
              </w:rPr>
              <w:t>2018</w:t>
            </w:r>
          </w:p>
        </w:tc>
        <w:tc>
          <w:tcPr>
            <w:tcW w:w="667" w:type="pct"/>
            <w:vAlign w:val="center"/>
          </w:tcPr>
          <w:p w14:paraId="145251AB">
            <w:pPr>
              <w:pStyle w:val="45"/>
              <w:rPr>
                <w:rFonts w:hint="eastAsia"/>
                <w:color w:val="auto"/>
              </w:rPr>
            </w:pPr>
            <w:r>
              <w:rPr>
                <w:color w:val="auto"/>
              </w:rPr>
              <w:t>0.9</w:t>
            </w:r>
          </w:p>
        </w:tc>
        <w:tc>
          <w:tcPr>
            <w:tcW w:w="548" w:type="pct"/>
            <w:vAlign w:val="center"/>
          </w:tcPr>
          <w:p w14:paraId="3513B97B">
            <w:pPr>
              <w:pStyle w:val="45"/>
              <w:rPr>
                <w:rFonts w:hint="eastAsia"/>
                <w:color w:val="auto"/>
              </w:rPr>
            </w:pPr>
            <w:r>
              <w:rPr>
                <w:color w:val="auto"/>
              </w:rPr>
              <w:t>良好</w:t>
            </w:r>
          </w:p>
        </w:tc>
        <w:tc>
          <w:tcPr>
            <w:tcW w:w="350" w:type="pct"/>
            <w:vAlign w:val="center"/>
          </w:tcPr>
          <w:p w14:paraId="50BF6B8A">
            <w:pPr>
              <w:pStyle w:val="45"/>
              <w:rPr>
                <w:rFonts w:hint="eastAsia"/>
                <w:color w:val="auto"/>
              </w:rPr>
            </w:pPr>
          </w:p>
        </w:tc>
      </w:tr>
      <w:tr w14:paraId="735AB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7ED0C352">
            <w:pPr>
              <w:pStyle w:val="45"/>
              <w:rPr>
                <w:rFonts w:hint="eastAsia"/>
                <w:color w:val="auto"/>
              </w:rPr>
            </w:pPr>
            <w:r>
              <w:rPr>
                <w:color w:val="auto"/>
              </w:rPr>
              <w:t>29</w:t>
            </w:r>
          </w:p>
        </w:tc>
        <w:tc>
          <w:tcPr>
            <w:tcW w:w="865" w:type="pct"/>
            <w:vAlign w:val="center"/>
          </w:tcPr>
          <w:p w14:paraId="29E22E8E">
            <w:pPr>
              <w:pStyle w:val="45"/>
              <w:rPr>
                <w:rFonts w:hint="eastAsia"/>
                <w:color w:val="auto"/>
              </w:rPr>
            </w:pPr>
            <w:r>
              <w:rPr>
                <w:color w:val="auto"/>
              </w:rPr>
              <w:t>对讲机</w:t>
            </w:r>
          </w:p>
        </w:tc>
        <w:tc>
          <w:tcPr>
            <w:tcW w:w="737" w:type="pct"/>
            <w:vAlign w:val="center"/>
          </w:tcPr>
          <w:p w14:paraId="6520CA89">
            <w:pPr>
              <w:pStyle w:val="45"/>
              <w:rPr>
                <w:rFonts w:hint="eastAsia"/>
                <w:color w:val="auto"/>
              </w:rPr>
            </w:pPr>
            <w:r>
              <w:rPr>
                <w:color w:val="auto"/>
              </w:rPr>
              <w:t>2290ZWP</w:t>
            </w:r>
          </w:p>
        </w:tc>
        <w:tc>
          <w:tcPr>
            <w:tcW w:w="336" w:type="pct"/>
            <w:vAlign w:val="center"/>
          </w:tcPr>
          <w:p w14:paraId="3606D884">
            <w:pPr>
              <w:pStyle w:val="45"/>
              <w:rPr>
                <w:rFonts w:hint="eastAsia"/>
                <w:color w:val="auto"/>
              </w:rPr>
            </w:pPr>
            <w:r>
              <w:rPr>
                <w:rFonts w:hint="eastAsia"/>
                <w:color w:val="auto"/>
              </w:rPr>
              <w:t>10</w:t>
            </w:r>
          </w:p>
        </w:tc>
        <w:tc>
          <w:tcPr>
            <w:tcW w:w="542" w:type="pct"/>
            <w:vAlign w:val="center"/>
          </w:tcPr>
          <w:p w14:paraId="3FAD0543">
            <w:pPr>
              <w:pStyle w:val="45"/>
              <w:rPr>
                <w:rFonts w:hint="eastAsia"/>
                <w:color w:val="auto"/>
              </w:rPr>
            </w:pPr>
            <w:r>
              <w:rPr>
                <w:color w:val="auto"/>
              </w:rPr>
              <w:t>广东</w:t>
            </w:r>
          </w:p>
        </w:tc>
        <w:tc>
          <w:tcPr>
            <w:tcW w:w="619" w:type="pct"/>
            <w:vAlign w:val="center"/>
          </w:tcPr>
          <w:p w14:paraId="6BAFB5DA">
            <w:pPr>
              <w:pStyle w:val="45"/>
              <w:rPr>
                <w:rFonts w:hint="eastAsia"/>
                <w:color w:val="auto"/>
              </w:rPr>
            </w:pPr>
            <w:r>
              <w:rPr>
                <w:color w:val="auto"/>
              </w:rPr>
              <w:t>2018</w:t>
            </w:r>
          </w:p>
        </w:tc>
        <w:tc>
          <w:tcPr>
            <w:tcW w:w="667" w:type="pct"/>
            <w:vAlign w:val="center"/>
          </w:tcPr>
          <w:p w14:paraId="4EE05638">
            <w:pPr>
              <w:pStyle w:val="45"/>
              <w:rPr>
                <w:rFonts w:hint="eastAsia"/>
                <w:color w:val="auto"/>
              </w:rPr>
            </w:pPr>
            <w:r>
              <w:rPr>
                <w:color w:val="auto"/>
              </w:rPr>
              <w:t>/</w:t>
            </w:r>
          </w:p>
        </w:tc>
        <w:tc>
          <w:tcPr>
            <w:tcW w:w="548" w:type="pct"/>
            <w:vAlign w:val="center"/>
          </w:tcPr>
          <w:p w14:paraId="0F587D16">
            <w:pPr>
              <w:pStyle w:val="45"/>
              <w:rPr>
                <w:rFonts w:hint="eastAsia"/>
                <w:color w:val="auto"/>
              </w:rPr>
            </w:pPr>
            <w:r>
              <w:rPr>
                <w:color w:val="auto"/>
              </w:rPr>
              <w:t>良好</w:t>
            </w:r>
          </w:p>
        </w:tc>
        <w:tc>
          <w:tcPr>
            <w:tcW w:w="350" w:type="pct"/>
            <w:vAlign w:val="center"/>
          </w:tcPr>
          <w:p w14:paraId="50C36732">
            <w:pPr>
              <w:pStyle w:val="45"/>
              <w:rPr>
                <w:rFonts w:hint="eastAsia"/>
                <w:color w:val="auto"/>
              </w:rPr>
            </w:pPr>
          </w:p>
        </w:tc>
      </w:tr>
      <w:tr w14:paraId="09BB5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7A3D22F3">
            <w:pPr>
              <w:pStyle w:val="45"/>
              <w:rPr>
                <w:rFonts w:hint="eastAsia"/>
                <w:color w:val="auto"/>
              </w:rPr>
            </w:pPr>
            <w:r>
              <w:rPr>
                <w:color w:val="auto"/>
              </w:rPr>
              <w:t>30</w:t>
            </w:r>
          </w:p>
        </w:tc>
        <w:tc>
          <w:tcPr>
            <w:tcW w:w="865" w:type="pct"/>
            <w:vAlign w:val="center"/>
          </w:tcPr>
          <w:p w14:paraId="1672B280">
            <w:pPr>
              <w:pStyle w:val="45"/>
              <w:rPr>
                <w:rFonts w:hint="eastAsia"/>
                <w:color w:val="auto"/>
              </w:rPr>
            </w:pPr>
            <w:r>
              <w:rPr>
                <w:color w:val="auto"/>
              </w:rPr>
              <w:t>移动操作平台</w:t>
            </w:r>
          </w:p>
        </w:tc>
        <w:tc>
          <w:tcPr>
            <w:tcW w:w="737" w:type="pct"/>
            <w:vAlign w:val="center"/>
          </w:tcPr>
          <w:p w14:paraId="49369378">
            <w:pPr>
              <w:pStyle w:val="45"/>
              <w:rPr>
                <w:rFonts w:hint="eastAsia"/>
                <w:color w:val="auto"/>
              </w:rPr>
            </w:pPr>
            <w:r>
              <w:rPr>
                <w:color w:val="auto"/>
              </w:rPr>
              <w:t>RLFEP</w:t>
            </w:r>
          </w:p>
        </w:tc>
        <w:tc>
          <w:tcPr>
            <w:tcW w:w="336" w:type="pct"/>
            <w:vAlign w:val="center"/>
          </w:tcPr>
          <w:p w14:paraId="4DC43A8F">
            <w:pPr>
              <w:pStyle w:val="45"/>
              <w:rPr>
                <w:rFonts w:hint="eastAsia"/>
                <w:color w:val="auto"/>
              </w:rPr>
            </w:pPr>
            <w:r>
              <w:rPr>
                <w:rFonts w:hint="eastAsia"/>
                <w:color w:val="auto"/>
              </w:rPr>
              <w:t>10</w:t>
            </w:r>
          </w:p>
        </w:tc>
        <w:tc>
          <w:tcPr>
            <w:tcW w:w="542" w:type="pct"/>
            <w:vAlign w:val="center"/>
          </w:tcPr>
          <w:p w14:paraId="7C07633A">
            <w:pPr>
              <w:pStyle w:val="45"/>
              <w:rPr>
                <w:rFonts w:hint="eastAsia"/>
                <w:color w:val="auto"/>
              </w:rPr>
            </w:pPr>
            <w:r>
              <w:rPr>
                <w:color w:val="auto"/>
              </w:rPr>
              <w:t>广东</w:t>
            </w:r>
          </w:p>
        </w:tc>
        <w:tc>
          <w:tcPr>
            <w:tcW w:w="619" w:type="pct"/>
            <w:vAlign w:val="center"/>
          </w:tcPr>
          <w:p w14:paraId="42769BC3">
            <w:pPr>
              <w:pStyle w:val="45"/>
              <w:rPr>
                <w:rFonts w:hint="eastAsia"/>
                <w:color w:val="auto"/>
              </w:rPr>
            </w:pPr>
            <w:r>
              <w:rPr>
                <w:color w:val="auto"/>
              </w:rPr>
              <w:t>2018</w:t>
            </w:r>
          </w:p>
        </w:tc>
        <w:tc>
          <w:tcPr>
            <w:tcW w:w="667" w:type="pct"/>
            <w:vAlign w:val="center"/>
          </w:tcPr>
          <w:p w14:paraId="5B424CB3">
            <w:pPr>
              <w:pStyle w:val="45"/>
              <w:rPr>
                <w:rFonts w:hint="eastAsia"/>
                <w:color w:val="auto"/>
              </w:rPr>
            </w:pPr>
            <w:r>
              <w:rPr>
                <w:color w:val="auto"/>
              </w:rPr>
              <w:t>/</w:t>
            </w:r>
          </w:p>
        </w:tc>
        <w:tc>
          <w:tcPr>
            <w:tcW w:w="548" w:type="pct"/>
            <w:vAlign w:val="center"/>
          </w:tcPr>
          <w:p w14:paraId="19854619">
            <w:pPr>
              <w:pStyle w:val="45"/>
              <w:rPr>
                <w:rFonts w:hint="eastAsia"/>
                <w:color w:val="auto"/>
              </w:rPr>
            </w:pPr>
            <w:r>
              <w:rPr>
                <w:color w:val="auto"/>
              </w:rPr>
              <w:t>良好</w:t>
            </w:r>
          </w:p>
        </w:tc>
        <w:tc>
          <w:tcPr>
            <w:tcW w:w="350" w:type="pct"/>
            <w:vAlign w:val="center"/>
          </w:tcPr>
          <w:p w14:paraId="28DEE31B">
            <w:pPr>
              <w:pStyle w:val="45"/>
              <w:rPr>
                <w:rFonts w:hint="eastAsia"/>
                <w:color w:val="auto"/>
              </w:rPr>
            </w:pPr>
          </w:p>
        </w:tc>
      </w:tr>
      <w:tr w14:paraId="15A40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73A7806E">
            <w:pPr>
              <w:pStyle w:val="45"/>
              <w:rPr>
                <w:rFonts w:hint="eastAsia"/>
                <w:color w:val="auto"/>
              </w:rPr>
            </w:pPr>
            <w:r>
              <w:rPr>
                <w:color w:val="auto"/>
              </w:rPr>
              <w:t>31</w:t>
            </w:r>
          </w:p>
        </w:tc>
        <w:tc>
          <w:tcPr>
            <w:tcW w:w="865" w:type="pct"/>
            <w:vAlign w:val="center"/>
          </w:tcPr>
          <w:p w14:paraId="7BF6FD49">
            <w:pPr>
              <w:pStyle w:val="45"/>
              <w:rPr>
                <w:rFonts w:hint="eastAsia"/>
                <w:color w:val="auto"/>
              </w:rPr>
            </w:pPr>
            <w:r>
              <w:rPr>
                <w:color w:val="auto"/>
              </w:rPr>
              <w:t>临时配电箱</w:t>
            </w:r>
          </w:p>
        </w:tc>
        <w:tc>
          <w:tcPr>
            <w:tcW w:w="737" w:type="pct"/>
            <w:vAlign w:val="center"/>
          </w:tcPr>
          <w:p w14:paraId="4D5FC724">
            <w:pPr>
              <w:pStyle w:val="45"/>
              <w:rPr>
                <w:rFonts w:hint="eastAsia"/>
                <w:color w:val="auto"/>
              </w:rPr>
            </w:pPr>
            <w:r>
              <w:rPr>
                <w:color w:val="auto"/>
              </w:rPr>
              <w:t>/</w:t>
            </w:r>
          </w:p>
        </w:tc>
        <w:tc>
          <w:tcPr>
            <w:tcW w:w="336" w:type="pct"/>
            <w:vAlign w:val="center"/>
          </w:tcPr>
          <w:p w14:paraId="6E678006">
            <w:pPr>
              <w:pStyle w:val="45"/>
              <w:rPr>
                <w:rFonts w:hint="eastAsia"/>
                <w:color w:val="auto"/>
              </w:rPr>
            </w:pPr>
            <w:r>
              <w:rPr>
                <w:rFonts w:hint="eastAsia"/>
                <w:color w:val="auto"/>
              </w:rPr>
              <w:t>12</w:t>
            </w:r>
          </w:p>
        </w:tc>
        <w:tc>
          <w:tcPr>
            <w:tcW w:w="542" w:type="pct"/>
            <w:vAlign w:val="center"/>
          </w:tcPr>
          <w:p w14:paraId="13A75F1E">
            <w:pPr>
              <w:pStyle w:val="45"/>
              <w:rPr>
                <w:rFonts w:hint="eastAsia"/>
                <w:color w:val="auto"/>
              </w:rPr>
            </w:pPr>
            <w:r>
              <w:rPr>
                <w:color w:val="auto"/>
              </w:rPr>
              <w:t>广东</w:t>
            </w:r>
          </w:p>
        </w:tc>
        <w:tc>
          <w:tcPr>
            <w:tcW w:w="619" w:type="pct"/>
            <w:vAlign w:val="center"/>
          </w:tcPr>
          <w:p w14:paraId="16F8BBF8">
            <w:pPr>
              <w:pStyle w:val="45"/>
              <w:rPr>
                <w:rFonts w:hint="eastAsia"/>
                <w:color w:val="auto"/>
              </w:rPr>
            </w:pPr>
            <w:r>
              <w:rPr>
                <w:color w:val="auto"/>
              </w:rPr>
              <w:t>2018</w:t>
            </w:r>
          </w:p>
        </w:tc>
        <w:tc>
          <w:tcPr>
            <w:tcW w:w="667" w:type="pct"/>
            <w:vAlign w:val="center"/>
          </w:tcPr>
          <w:p w14:paraId="5F4FEA2A">
            <w:pPr>
              <w:pStyle w:val="45"/>
              <w:rPr>
                <w:rFonts w:hint="eastAsia"/>
                <w:color w:val="auto"/>
              </w:rPr>
            </w:pPr>
            <w:r>
              <w:rPr>
                <w:color w:val="auto"/>
              </w:rPr>
              <w:t>/</w:t>
            </w:r>
          </w:p>
        </w:tc>
        <w:tc>
          <w:tcPr>
            <w:tcW w:w="548" w:type="pct"/>
            <w:vAlign w:val="center"/>
          </w:tcPr>
          <w:p w14:paraId="17D73BA1">
            <w:pPr>
              <w:pStyle w:val="45"/>
              <w:rPr>
                <w:rFonts w:hint="eastAsia"/>
                <w:color w:val="auto"/>
              </w:rPr>
            </w:pPr>
            <w:r>
              <w:rPr>
                <w:color w:val="auto"/>
              </w:rPr>
              <w:t>良好</w:t>
            </w:r>
          </w:p>
        </w:tc>
        <w:tc>
          <w:tcPr>
            <w:tcW w:w="350" w:type="pct"/>
            <w:vAlign w:val="center"/>
          </w:tcPr>
          <w:p w14:paraId="37175852">
            <w:pPr>
              <w:pStyle w:val="45"/>
              <w:rPr>
                <w:rFonts w:hint="eastAsia"/>
                <w:color w:val="auto"/>
              </w:rPr>
            </w:pPr>
          </w:p>
        </w:tc>
      </w:tr>
      <w:tr w14:paraId="18092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51355EA5">
            <w:pPr>
              <w:pStyle w:val="45"/>
              <w:rPr>
                <w:rFonts w:hint="eastAsia"/>
                <w:color w:val="auto"/>
              </w:rPr>
            </w:pPr>
            <w:r>
              <w:rPr>
                <w:color w:val="auto"/>
              </w:rPr>
              <w:t>32</w:t>
            </w:r>
          </w:p>
        </w:tc>
        <w:tc>
          <w:tcPr>
            <w:tcW w:w="865" w:type="pct"/>
            <w:vAlign w:val="center"/>
          </w:tcPr>
          <w:p w14:paraId="077CCC37">
            <w:pPr>
              <w:pStyle w:val="45"/>
              <w:rPr>
                <w:rFonts w:hint="eastAsia"/>
                <w:color w:val="auto"/>
              </w:rPr>
            </w:pPr>
            <w:r>
              <w:rPr>
                <w:color w:val="auto"/>
              </w:rPr>
              <w:t>移动式液压升降平台</w:t>
            </w:r>
          </w:p>
        </w:tc>
        <w:tc>
          <w:tcPr>
            <w:tcW w:w="737" w:type="pct"/>
            <w:vAlign w:val="center"/>
          </w:tcPr>
          <w:p w14:paraId="59B31F83">
            <w:pPr>
              <w:pStyle w:val="45"/>
              <w:rPr>
                <w:rFonts w:hint="eastAsia"/>
                <w:color w:val="auto"/>
              </w:rPr>
            </w:pPr>
            <w:r>
              <w:rPr>
                <w:color w:val="auto"/>
              </w:rPr>
              <w:t>RLFEP</w:t>
            </w:r>
          </w:p>
        </w:tc>
        <w:tc>
          <w:tcPr>
            <w:tcW w:w="336" w:type="pct"/>
            <w:vAlign w:val="center"/>
          </w:tcPr>
          <w:p w14:paraId="47CCD402">
            <w:pPr>
              <w:pStyle w:val="45"/>
              <w:rPr>
                <w:rFonts w:hint="eastAsia"/>
                <w:color w:val="auto"/>
              </w:rPr>
            </w:pPr>
            <w:r>
              <w:rPr>
                <w:rFonts w:hint="eastAsia"/>
                <w:color w:val="auto"/>
              </w:rPr>
              <w:t>4</w:t>
            </w:r>
          </w:p>
        </w:tc>
        <w:tc>
          <w:tcPr>
            <w:tcW w:w="542" w:type="pct"/>
            <w:vAlign w:val="center"/>
          </w:tcPr>
          <w:p w14:paraId="17EE2E64">
            <w:pPr>
              <w:pStyle w:val="45"/>
              <w:rPr>
                <w:rFonts w:hint="eastAsia"/>
                <w:color w:val="auto"/>
              </w:rPr>
            </w:pPr>
            <w:r>
              <w:rPr>
                <w:color w:val="auto"/>
              </w:rPr>
              <w:t>广东</w:t>
            </w:r>
          </w:p>
        </w:tc>
        <w:tc>
          <w:tcPr>
            <w:tcW w:w="619" w:type="pct"/>
            <w:vAlign w:val="center"/>
          </w:tcPr>
          <w:p w14:paraId="277667C1">
            <w:pPr>
              <w:pStyle w:val="45"/>
              <w:rPr>
                <w:rFonts w:hint="eastAsia"/>
                <w:color w:val="auto"/>
              </w:rPr>
            </w:pPr>
            <w:r>
              <w:rPr>
                <w:color w:val="auto"/>
              </w:rPr>
              <w:t>2018</w:t>
            </w:r>
          </w:p>
        </w:tc>
        <w:tc>
          <w:tcPr>
            <w:tcW w:w="667" w:type="pct"/>
            <w:vAlign w:val="center"/>
          </w:tcPr>
          <w:p w14:paraId="04771E26">
            <w:pPr>
              <w:pStyle w:val="45"/>
              <w:rPr>
                <w:rFonts w:hint="eastAsia"/>
                <w:color w:val="auto"/>
              </w:rPr>
            </w:pPr>
            <w:r>
              <w:rPr>
                <w:color w:val="auto"/>
              </w:rPr>
              <w:t>/</w:t>
            </w:r>
          </w:p>
        </w:tc>
        <w:tc>
          <w:tcPr>
            <w:tcW w:w="548" w:type="pct"/>
            <w:vAlign w:val="center"/>
          </w:tcPr>
          <w:p w14:paraId="68CC52C5">
            <w:pPr>
              <w:pStyle w:val="45"/>
              <w:rPr>
                <w:rFonts w:hint="eastAsia"/>
                <w:color w:val="auto"/>
              </w:rPr>
            </w:pPr>
            <w:r>
              <w:rPr>
                <w:color w:val="auto"/>
              </w:rPr>
              <w:t>良好</w:t>
            </w:r>
          </w:p>
        </w:tc>
        <w:tc>
          <w:tcPr>
            <w:tcW w:w="350" w:type="pct"/>
            <w:vAlign w:val="center"/>
          </w:tcPr>
          <w:p w14:paraId="01904DE6">
            <w:pPr>
              <w:pStyle w:val="45"/>
              <w:rPr>
                <w:rFonts w:hint="eastAsia"/>
                <w:color w:val="auto"/>
              </w:rPr>
            </w:pPr>
          </w:p>
        </w:tc>
      </w:tr>
      <w:tr w14:paraId="2BC5E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36" w:type="pct"/>
            <w:vAlign w:val="center"/>
          </w:tcPr>
          <w:p w14:paraId="33224849">
            <w:pPr>
              <w:pStyle w:val="45"/>
              <w:rPr>
                <w:rFonts w:hint="eastAsia"/>
                <w:color w:val="auto"/>
              </w:rPr>
            </w:pPr>
            <w:r>
              <w:rPr>
                <w:color w:val="auto"/>
              </w:rPr>
              <w:t>33</w:t>
            </w:r>
          </w:p>
        </w:tc>
        <w:tc>
          <w:tcPr>
            <w:tcW w:w="865" w:type="pct"/>
            <w:vAlign w:val="center"/>
          </w:tcPr>
          <w:p w14:paraId="453BE8E1">
            <w:pPr>
              <w:pStyle w:val="45"/>
              <w:rPr>
                <w:rFonts w:hint="eastAsia"/>
                <w:color w:val="auto"/>
              </w:rPr>
            </w:pPr>
            <w:r>
              <w:rPr>
                <w:color w:val="auto"/>
              </w:rPr>
              <w:t>液压拖车</w:t>
            </w:r>
          </w:p>
        </w:tc>
        <w:tc>
          <w:tcPr>
            <w:tcW w:w="737" w:type="pct"/>
            <w:vAlign w:val="center"/>
          </w:tcPr>
          <w:p w14:paraId="2661E575">
            <w:pPr>
              <w:pStyle w:val="45"/>
              <w:rPr>
                <w:rFonts w:hint="eastAsia"/>
                <w:color w:val="auto"/>
              </w:rPr>
            </w:pPr>
            <w:r>
              <w:rPr>
                <w:color w:val="auto"/>
              </w:rPr>
              <w:t>20T</w:t>
            </w:r>
          </w:p>
        </w:tc>
        <w:tc>
          <w:tcPr>
            <w:tcW w:w="336" w:type="pct"/>
            <w:vAlign w:val="center"/>
          </w:tcPr>
          <w:p w14:paraId="14AC6FE8">
            <w:pPr>
              <w:pStyle w:val="45"/>
              <w:rPr>
                <w:rFonts w:hint="eastAsia"/>
                <w:color w:val="auto"/>
              </w:rPr>
            </w:pPr>
            <w:r>
              <w:rPr>
                <w:color w:val="auto"/>
              </w:rPr>
              <w:t>2</w:t>
            </w:r>
          </w:p>
        </w:tc>
        <w:tc>
          <w:tcPr>
            <w:tcW w:w="542" w:type="pct"/>
            <w:vAlign w:val="center"/>
          </w:tcPr>
          <w:p w14:paraId="364DC5D0">
            <w:pPr>
              <w:pStyle w:val="45"/>
              <w:rPr>
                <w:rFonts w:hint="eastAsia"/>
                <w:color w:val="auto"/>
              </w:rPr>
            </w:pPr>
            <w:r>
              <w:rPr>
                <w:color w:val="auto"/>
              </w:rPr>
              <w:t>上海</w:t>
            </w:r>
          </w:p>
        </w:tc>
        <w:tc>
          <w:tcPr>
            <w:tcW w:w="619" w:type="pct"/>
            <w:vAlign w:val="center"/>
          </w:tcPr>
          <w:p w14:paraId="60AA8EAF">
            <w:pPr>
              <w:pStyle w:val="45"/>
              <w:rPr>
                <w:rFonts w:hint="eastAsia"/>
                <w:color w:val="auto"/>
              </w:rPr>
            </w:pPr>
            <w:r>
              <w:rPr>
                <w:color w:val="auto"/>
              </w:rPr>
              <w:t>2017</w:t>
            </w:r>
          </w:p>
        </w:tc>
        <w:tc>
          <w:tcPr>
            <w:tcW w:w="667" w:type="pct"/>
            <w:vAlign w:val="center"/>
          </w:tcPr>
          <w:p w14:paraId="0A30AC6A">
            <w:pPr>
              <w:pStyle w:val="45"/>
              <w:rPr>
                <w:rFonts w:hint="eastAsia"/>
                <w:color w:val="auto"/>
              </w:rPr>
            </w:pPr>
            <w:r>
              <w:rPr>
                <w:color w:val="auto"/>
              </w:rPr>
              <w:t>/</w:t>
            </w:r>
          </w:p>
        </w:tc>
        <w:tc>
          <w:tcPr>
            <w:tcW w:w="548" w:type="pct"/>
            <w:vAlign w:val="center"/>
          </w:tcPr>
          <w:p w14:paraId="08531403">
            <w:pPr>
              <w:pStyle w:val="45"/>
              <w:rPr>
                <w:rFonts w:hint="eastAsia"/>
                <w:color w:val="auto"/>
              </w:rPr>
            </w:pPr>
            <w:r>
              <w:rPr>
                <w:color w:val="auto"/>
              </w:rPr>
              <w:t>良好</w:t>
            </w:r>
          </w:p>
        </w:tc>
        <w:tc>
          <w:tcPr>
            <w:tcW w:w="350" w:type="pct"/>
            <w:vAlign w:val="center"/>
          </w:tcPr>
          <w:p w14:paraId="76335EB9">
            <w:pPr>
              <w:pStyle w:val="45"/>
              <w:rPr>
                <w:rFonts w:hint="eastAsia"/>
                <w:color w:val="auto"/>
              </w:rPr>
            </w:pPr>
          </w:p>
        </w:tc>
      </w:tr>
    </w:tbl>
    <w:p w14:paraId="6199EAFF">
      <w:pPr>
        <w:pStyle w:val="54"/>
        <w:rPr>
          <w:color w:val="auto"/>
        </w:rPr>
      </w:pPr>
      <w:r>
        <w:rPr>
          <w:rFonts w:hint="eastAsia"/>
          <w:color w:val="auto"/>
        </w:rPr>
        <w:t>主要仪器设备表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2"/>
        <w:gridCol w:w="1450"/>
        <w:gridCol w:w="1937"/>
        <w:gridCol w:w="781"/>
        <w:gridCol w:w="821"/>
        <w:gridCol w:w="890"/>
        <w:gridCol w:w="1388"/>
        <w:gridCol w:w="1261"/>
      </w:tblGrid>
      <w:tr w14:paraId="43D3D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294" w:type="pct"/>
            <w:tcBorders>
              <w:top w:val="single" w:color="auto" w:sz="4" w:space="0"/>
              <w:left w:val="single" w:color="auto" w:sz="4" w:space="0"/>
              <w:bottom w:val="single" w:color="auto" w:sz="4" w:space="0"/>
              <w:right w:val="single" w:color="auto" w:sz="4" w:space="0"/>
            </w:tcBorders>
            <w:vAlign w:val="center"/>
          </w:tcPr>
          <w:p w14:paraId="68D91865">
            <w:pPr>
              <w:pStyle w:val="45"/>
              <w:rPr>
                <w:rFonts w:hint="eastAsia"/>
                <w:color w:val="auto"/>
              </w:rPr>
            </w:pPr>
            <w:r>
              <w:rPr>
                <w:rFonts w:hint="eastAsia"/>
                <w:color w:val="auto"/>
              </w:rPr>
              <w:t>序号</w:t>
            </w:r>
          </w:p>
        </w:tc>
        <w:tc>
          <w:tcPr>
            <w:tcW w:w="800" w:type="pct"/>
            <w:tcBorders>
              <w:top w:val="single" w:color="auto" w:sz="4" w:space="0"/>
              <w:left w:val="single" w:color="auto" w:sz="4" w:space="0"/>
              <w:bottom w:val="single" w:color="auto" w:sz="4" w:space="0"/>
              <w:right w:val="single" w:color="auto" w:sz="4" w:space="0"/>
            </w:tcBorders>
            <w:vAlign w:val="center"/>
          </w:tcPr>
          <w:p w14:paraId="6B89B9C6">
            <w:pPr>
              <w:pStyle w:val="45"/>
              <w:rPr>
                <w:rFonts w:hint="eastAsia"/>
                <w:color w:val="auto"/>
              </w:rPr>
            </w:pPr>
            <w:r>
              <w:rPr>
                <w:rFonts w:hint="eastAsia"/>
                <w:color w:val="auto"/>
              </w:rPr>
              <w:t>仪器设备名称</w:t>
            </w:r>
          </w:p>
        </w:tc>
        <w:tc>
          <w:tcPr>
            <w:tcW w:w="1069" w:type="pct"/>
            <w:tcBorders>
              <w:top w:val="single" w:color="auto" w:sz="4" w:space="0"/>
              <w:left w:val="single" w:color="auto" w:sz="4" w:space="0"/>
              <w:bottom w:val="single" w:color="auto" w:sz="4" w:space="0"/>
              <w:right w:val="single" w:color="auto" w:sz="4" w:space="0"/>
            </w:tcBorders>
            <w:vAlign w:val="center"/>
          </w:tcPr>
          <w:p w14:paraId="1DA8CE07">
            <w:pPr>
              <w:pStyle w:val="45"/>
              <w:rPr>
                <w:rFonts w:hint="eastAsia"/>
                <w:color w:val="auto"/>
              </w:rPr>
            </w:pPr>
            <w:r>
              <w:rPr>
                <w:rFonts w:hint="eastAsia"/>
                <w:color w:val="auto"/>
              </w:rPr>
              <w:t>型号规格</w:t>
            </w:r>
          </w:p>
        </w:tc>
        <w:tc>
          <w:tcPr>
            <w:tcW w:w="431" w:type="pct"/>
            <w:tcBorders>
              <w:top w:val="single" w:color="auto" w:sz="4" w:space="0"/>
              <w:left w:val="single" w:color="auto" w:sz="4" w:space="0"/>
              <w:bottom w:val="single" w:color="auto" w:sz="4" w:space="0"/>
              <w:right w:val="single" w:color="auto" w:sz="4" w:space="0"/>
            </w:tcBorders>
            <w:vAlign w:val="center"/>
          </w:tcPr>
          <w:p w14:paraId="6FF4A800">
            <w:pPr>
              <w:pStyle w:val="45"/>
              <w:rPr>
                <w:rFonts w:hint="eastAsia"/>
                <w:color w:val="auto"/>
              </w:rPr>
            </w:pPr>
            <w:r>
              <w:rPr>
                <w:rFonts w:hint="eastAsia"/>
                <w:color w:val="auto"/>
              </w:rPr>
              <w:t>数量</w:t>
            </w:r>
          </w:p>
        </w:tc>
        <w:tc>
          <w:tcPr>
            <w:tcW w:w="453" w:type="pct"/>
            <w:tcBorders>
              <w:top w:val="single" w:color="auto" w:sz="4" w:space="0"/>
              <w:left w:val="single" w:color="auto" w:sz="4" w:space="0"/>
              <w:bottom w:val="single" w:color="auto" w:sz="4" w:space="0"/>
              <w:right w:val="single" w:color="auto" w:sz="4" w:space="0"/>
            </w:tcBorders>
            <w:vAlign w:val="center"/>
          </w:tcPr>
          <w:p w14:paraId="17DDF074">
            <w:pPr>
              <w:pStyle w:val="45"/>
              <w:rPr>
                <w:rFonts w:hint="eastAsia"/>
                <w:color w:val="auto"/>
              </w:rPr>
            </w:pPr>
            <w:r>
              <w:rPr>
                <w:rFonts w:hint="eastAsia"/>
                <w:color w:val="auto"/>
              </w:rPr>
              <w:t>国别产地</w:t>
            </w:r>
          </w:p>
        </w:tc>
        <w:tc>
          <w:tcPr>
            <w:tcW w:w="491" w:type="pct"/>
            <w:tcBorders>
              <w:top w:val="single" w:color="auto" w:sz="4" w:space="0"/>
              <w:left w:val="single" w:color="auto" w:sz="4" w:space="0"/>
              <w:bottom w:val="single" w:color="auto" w:sz="4" w:space="0"/>
              <w:right w:val="single" w:color="auto" w:sz="4" w:space="0"/>
            </w:tcBorders>
            <w:vAlign w:val="center"/>
          </w:tcPr>
          <w:p w14:paraId="385E4DB6">
            <w:pPr>
              <w:pStyle w:val="45"/>
              <w:rPr>
                <w:rFonts w:hint="eastAsia"/>
                <w:color w:val="auto"/>
              </w:rPr>
            </w:pPr>
            <w:r>
              <w:rPr>
                <w:rFonts w:hint="eastAsia"/>
                <w:color w:val="auto"/>
              </w:rPr>
              <w:t>制造年份</w:t>
            </w:r>
          </w:p>
        </w:tc>
        <w:tc>
          <w:tcPr>
            <w:tcW w:w="766" w:type="pct"/>
            <w:tcBorders>
              <w:top w:val="single" w:color="auto" w:sz="4" w:space="0"/>
              <w:left w:val="single" w:color="auto" w:sz="4" w:space="0"/>
              <w:bottom w:val="single" w:color="auto" w:sz="4" w:space="0"/>
              <w:right w:val="single" w:color="auto" w:sz="4" w:space="0"/>
            </w:tcBorders>
            <w:vAlign w:val="center"/>
          </w:tcPr>
          <w:p w14:paraId="14D8021B">
            <w:pPr>
              <w:pStyle w:val="45"/>
              <w:rPr>
                <w:rFonts w:hint="eastAsia"/>
                <w:color w:val="auto"/>
              </w:rPr>
            </w:pPr>
            <w:r>
              <w:rPr>
                <w:rFonts w:hint="eastAsia"/>
                <w:color w:val="auto"/>
              </w:rPr>
              <w:t>已使用台时数</w:t>
            </w:r>
          </w:p>
        </w:tc>
        <w:tc>
          <w:tcPr>
            <w:tcW w:w="696" w:type="pct"/>
            <w:tcBorders>
              <w:top w:val="single" w:color="auto" w:sz="4" w:space="0"/>
              <w:left w:val="single" w:color="auto" w:sz="4" w:space="0"/>
              <w:bottom w:val="single" w:color="auto" w:sz="4" w:space="0"/>
              <w:right w:val="single" w:color="auto" w:sz="4" w:space="0"/>
            </w:tcBorders>
            <w:vAlign w:val="center"/>
          </w:tcPr>
          <w:p w14:paraId="3DD5881F">
            <w:pPr>
              <w:pStyle w:val="45"/>
              <w:rPr>
                <w:rFonts w:hint="eastAsia"/>
                <w:color w:val="auto"/>
              </w:rPr>
            </w:pPr>
            <w:r>
              <w:rPr>
                <w:rFonts w:hint="eastAsia"/>
                <w:color w:val="auto"/>
              </w:rPr>
              <w:t>用途</w:t>
            </w:r>
          </w:p>
        </w:tc>
      </w:tr>
      <w:tr w14:paraId="5F612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1E8928B">
            <w:pPr>
              <w:pStyle w:val="45"/>
              <w:rPr>
                <w:rFonts w:hint="eastAsia"/>
                <w:color w:val="auto"/>
              </w:rPr>
            </w:pPr>
            <w:r>
              <w:rPr>
                <w:color w:val="auto"/>
              </w:rPr>
              <w:t>1</w:t>
            </w:r>
          </w:p>
        </w:tc>
        <w:tc>
          <w:tcPr>
            <w:tcW w:w="800" w:type="pct"/>
            <w:tcBorders>
              <w:top w:val="single" w:color="auto" w:sz="4" w:space="0"/>
              <w:left w:val="single" w:color="auto" w:sz="4" w:space="0"/>
              <w:bottom w:val="single" w:color="auto" w:sz="4" w:space="0"/>
              <w:right w:val="single" w:color="auto" w:sz="4" w:space="0"/>
            </w:tcBorders>
            <w:vAlign w:val="center"/>
          </w:tcPr>
          <w:p w14:paraId="424AAA2D">
            <w:pPr>
              <w:pStyle w:val="45"/>
              <w:rPr>
                <w:rFonts w:hint="eastAsia"/>
                <w:color w:val="auto"/>
              </w:rPr>
            </w:pPr>
            <w:r>
              <w:rPr>
                <w:rFonts w:hint="eastAsia"/>
                <w:color w:val="auto"/>
              </w:rPr>
              <w:t>全站仪</w:t>
            </w:r>
          </w:p>
        </w:tc>
        <w:tc>
          <w:tcPr>
            <w:tcW w:w="1069" w:type="pct"/>
            <w:tcBorders>
              <w:top w:val="single" w:color="auto" w:sz="4" w:space="0"/>
              <w:left w:val="single" w:color="auto" w:sz="4" w:space="0"/>
              <w:bottom w:val="single" w:color="auto" w:sz="4" w:space="0"/>
              <w:right w:val="single" w:color="auto" w:sz="4" w:space="0"/>
            </w:tcBorders>
            <w:vAlign w:val="center"/>
          </w:tcPr>
          <w:p w14:paraId="456F455B">
            <w:pPr>
              <w:pStyle w:val="45"/>
              <w:rPr>
                <w:rFonts w:hint="eastAsia"/>
                <w:color w:val="auto"/>
              </w:rPr>
            </w:pPr>
            <w:r>
              <w:rPr>
                <w:color w:val="auto"/>
              </w:rPr>
              <w:t>SETCX-101</w:t>
            </w:r>
          </w:p>
        </w:tc>
        <w:tc>
          <w:tcPr>
            <w:tcW w:w="431" w:type="pct"/>
            <w:tcBorders>
              <w:top w:val="single" w:color="auto" w:sz="4" w:space="0"/>
              <w:left w:val="single" w:color="auto" w:sz="4" w:space="0"/>
              <w:bottom w:val="single" w:color="auto" w:sz="4" w:space="0"/>
              <w:right w:val="single" w:color="auto" w:sz="4" w:space="0"/>
            </w:tcBorders>
            <w:vAlign w:val="center"/>
          </w:tcPr>
          <w:p w14:paraId="58C49910">
            <w:pPr>
              <w:pStyle w:val="45"/>
              <w:rPr>
                <w:rFonts w:hint="eastAsia"/>
                <w:color w:val="auto"/>
              </w:rPr>
            </w:pPr>
            <w:r>
              <w:rPr>
                <w:color w:val="auto"/>
              </w:rPr>
              <w:t>2</w:t>
            </w:r>
          </w:p>
        </w:tc>
        <w:tc>
          <w:tcPr>
            <w:tcW w:w="453" w:type="pct"/>
            <w:tcBorders>
              <w:top w:val="single" w:color="auto" w:sz="4" w:space="0"/>
              <w:left w:val="single" w:color="auto" w:sz="4" w:space="0"/>
              <w:bottom w:val="single" w:color="auto" w:sz="4" w:space="0"/>
              <w:right w:val="single" w:color="auto" w:sz="4" w:space="0"/>
            </w:tcBorders>
            <w:vAlign w:val="center"/>
          </w:tcPr>
          <w:p w14:paraId="0930CEF6">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080662B">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48DC5F4E">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49410B74">
            <w:pPr>
              <w:pStyle w:val="45"/>
              <w:rPr>
                <w:rFonts w:hint="eastAsia"/>
                <w:color w:val="auto"/>
              </w:rPr>
            </w:pPr>
            <w:r>
              <w:rPr>
                <w:rFonts w:hint="eastAsia"/>
                <w:color w:val="auto"/>
              </w:rPr>
              <w:t>测量</w:t>
            </w:r>
          </w:p>
        </w:tc>
      </w:tr>
      <w:tr w14:paraId="26922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2DE19AB9">
            <w:pPr>
              <w:pStyle w:val="45"/>
              <w:rPr>
                <w:rFonts w:hint="eastAsia"/>
                <w:color w:val="auto"/>
              </w:rPr>
            </w:pPr>
            <w:r>
              <w:rPr>
                <w:color w:val="auto"/>
              </w:rPr>
              <w:t>2</w:t>
            </w:r>
          </w:p>
        </w:tc>
        <w:tc>
          <w:tcPr>
            <w:tcW w:w="800" w:type="pct"/>
            <w:tcBorders>
              <w:top w:val="single" w:color="auto" w:sz="4" w:space="0"/>
              <w:left w:val="single" w:color="auto" w:sz="4" w:space="0"/>
              <w:bottom w:val="single" w:color="auto" w:sz="4" w:space="0"/>
              <w:right w:val="single" w:color="auto" w:sz="4" w:space="0"/>
            </w:tcBorders>
            <w:vAlign w:val="center"/>
          </w:tcPr>
          <w:p w14:paraId="42F970D1">
            <w:pPr>
              <w:pStyle w:val="45"/>
              <w:rPr>
                <w:rFonts w:hint="eastAsia"/>
                <w:color w:val="auto"/>
              </w:rPr>
            </w:pPr>
            <w:r>
              <w:rPr>
                <w:rFonts w:hint="eastAsia"/>
                <w:color w:val="auto"/>
              </w:rPr>
              <w:t>GPS</w:t>
            </w:r>
          </w:p>
        </w:tc>
        <w:tc>
          <w:tcPr>
            <w:tcW w:w="1069" w:type="pct"/>
            <w:tcBorders>
              <w:top w:val="single" w:color="auto" w:sz="4" w:space="0"/>
              <w:left w:val="single" w:color="auto" w:sz="4" w:space="0"/>
              <w:bottom w:val="single" w:color="auto" w:sz="4" w:space="0"/>
              <w:right w:val="single" w:color="auto" w:sz="4" w:space="0"/>
            </w:tcBorders>
            <w:vAlign w:val="center"/>
          </w:tcPr>
          <w:p w14:paraId="7669D1F2">
            <w:pPr>
              <w:pStyle w:val="45"/>
              <w:rPr>
                <w:rFonts w:hint="eastAsia"/>
                <w:color w:val="auto"/>
              </w:rPr>
            </w:pPr>
            <w:r>
              <w:rPr>
                <w:rFonts w:hint="eastAsia"/>
                <w:color w:val="auto"/>
              </w:rPr>
              <w:t>苏州一光A35</w:t>
            </w:r>
          </w:p>
        </w:tc>
        <w:tc>
          <w:tcPr>
            <w:tcW w:w="431" w:type="pct"/>
            <w:tcBorders>
              <w:top w:val="single" w:color="auto" w:sz="4" w:space="0"/>
              <w:left w:val="single" w:color="auto" w:sz="4" w:space="0"/>
              <w:bottom w:val="single" w:color="auto" w:sz="4" w:space="0"/>
              <w:right w:val="single" w:color="auto" w:sz="4" w:space="0"/>
            </w:tcBorders>
            <w:vAlign w:val="center"/>
          </w:tcPr>
          <w:p w14:paraId="54A830D1">
            <w:pPr>
              <w:pStyle w:val="45"/>
              <w:rPr>
                <w:rFonts w:hint="eastAsia"/>
                <w:color w:val="auto"/>
              </w:rPr>
            </w:pPr>
            <w:r>
              <w:rPr>
                <w:rFonts w:hint="eastAsia"/>
                <w:color w:val="auto"/>
              </w:rPr>
              <w:t>1</w:t>
            </w:r>
          </w:p>
        </w:tc>
        <w:tc>
          <w:tcPr>
            <w:tcW w:w="453" w:type="pct"/>
            <w:tcBorders>
              <w:top w:val="single" w:color="auto" w:sz="4" w:space="0"/>
              <w:left w:val="single" w:color="auto" w:sz="4" w:space="0"/>
              <w:bottom w:val="single" w:color="auto" w:sz="4" w:space="0"/>
              <w:right w:val="single" w:color="auto" w:sz="4" w:space="0"/>
            </w:tcBorders>
            <w:vAlign w:val="center"/>
          </w:tcPr>
          <w:p w14:paraId="53659E29">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7C717BBC">
            <w:pPr>
              <w:pStyle w:val="45"/>
              <w:rPr>
                <w:rFonts w:hint="eastAsia"/>
                <w:color w:val="auto"/>
              </w:rPr>
            </w:pPr>
            <w:r>
              <w:rPr>
                <w:color w:val="auto"/>
              </w:rPr>
              <w:t>2016</w:t>
            </w:r>
          </w:p>
        </w:tc>
        <w:tc>
          <w:tcPr>
            <w:tcW w:w="766" w:type="pct"/>
            <w:tcBorders>
              <w:top w:val="single" w:color="auto" w:sz="4" w:space="0"/>
              <w:left w:val="single" w:color="auto" w:sz="4" w:space="0"/>
              <w:bottom w:val="single" w:color="auto" w:sz="4" w:space="0"/>
              <w:right w:val="single" w:color="auto" w:sz="4" w:space="0"/>
            </w:tcBorders>
            <w:vAlign w:val="center"/>
          </w:tcPr>
          <w:p w14:paraId="28A4CA44">
            <w:pPr>
              <w:pStyle w:val="45"/>
              <w:rPr>
                <w:rFonts w:hint="eastAsia"/>
                <w:color w:val="auto"/>
              </w:rPr>
            </w:pPr>
            <w:r>
              <w:rPr>
                <w:rFonts w:hint="eastAsia"/>
                <w:color w:val="auto"/>
              </w:rPr>
              <w:t>/</w:t>
            </w:r>
          </w:p>
        </w:tc>
        <w:tc>
          <w:tcPr>
            <w:tcW w:w="696" w:type="pct"/>
            <w:tcBorders>
              <w:top w:val="single" w:color="auto" w:sz="4" w:space="0"/>
              <w:left w:val="single" w:color="auto" w:sz="4" w:space="0"/>
              <w:bottom w:val="single" w:color="auto" w:sz="4" w:space="0"/>
              <w:right w:val="single" w:color="auto" w:sz="4" w:space="0"/>
            </w:tcBorders>
            <w:vAlign w:val="center"/>
          </w:tcPr>
          <w:p w14:paraId="54F06CFE">
            <w:pPr>
              <w:pStyle w:val="45"/>
              <w:rPr>
                <w:rFonts w:hint="eastAsia"/>
                <w:color w:val="auto"/>
              </w:rPr>
            </w:pPr>
            <w:r>
              <w:rPr>
                <w:rFonts w:hint="eastAsia"/>
                <w:color w:val="auto"/>
              </w:rPr>
              <w:t>测量</w:t>
            </w:r>
          </w:p>
        </w:tc>
      </w:tr>
      <w:tr w14:paraId="2503D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4F17E05B">
            <w:pPr>
              <w:pStyle w:val="45"/>
              <w:rPr>
                <w:rFonts w:hint="eastAsia"/>
                <w:color w:val="auto"/>
              </w:rPr>
            </w:pPr>
            <w:r>
              <w:rPr>
                <w:rFonts w:hint="eastAsia"/>
                <w:color w:val="auto"/>
              </w:rPr>
              <w:t>3</w:t>
            </w:r>
          </w:p>
        </w:tc>
        <w:tc>
          <w:tcPr>
            <w:tcW w:w="800" w:type="pct"/>
            <w:tcBorders>
              <w:top w:val="single" w:color="auto" w:sz="4" w:space="0"/>
              <w:left w:val="single" w:color="auto" w:sz="4" w:space="0"/>
              <w:bottom w:val="single" w:color="auto" w:sz="4" w:space="0"/>
              <w:right w:val="single" w:color="auto" w:sz="4" w:space="0"/>
            </w:tcBorders>
            <w:vAlign w:val="center"/>
          </w:tcPr>
          <w:p w14:paraId="6206D388">
            <w:pPr>
              <w:pStyle w:val="45"/>
              <w:rPr>
                <w:rFonts w:hint="eastAsia"/>
                <w:color w:val="auto"/>
              </w:rPr>
            </w:pPr>
            <w:r>
              <w:rPr>
                <w:rFonts w:hint="eastAsia"/>
                <w:color w:val="auto"/>
              </w:rPr>
              <w:t>水准仪</w:t>
            </w:r>
          </w:p>
        </w:tc>
        <w:tc>
          <w:tcPr>
            <w:tcW w:w="1069" w:type="pct"/>
            <w:tcBorders>
              <w:top w:val="single" w:color="auto" w:sz="4" w:space="0"/>
              <w:left w:val="single" w:color="auto" w:sz="4" w:space="0"/>
              <w:bottom w:val="single" w:color="auto" w:sz="4" w:space="0"/>
              <w:right w:val="single" w:color="auto" w:sz="4" w:space="0"/>
            </w:tcBorders>
            <w:vAlign w:val="center"/>
          </w:tcPr>
          <w:p w14:paraId="3AEDE565">
            <w:pPr>
              <w:pStyle w:val="45"/>
              <w:rPr>
                <w:rFonts w:hint="eastAsia"/>
                <w:color w:val="auto"/>
              </w:rPr>
            </w:pPr>
            <w:r>
              <w:rPr>
                <w:rFonts w:hint="eastAsia"/>
                <w:color w:val="auto"/>
              </w:rPr>
              <w:t>LeicaNA2/DSZ2</w:t>
            </w:r>
          </w:p>
        </w:tc>
        <w:tc>
          <w:tcPr>
            <w:tcW w:w="431" w:type="pct"/>
            <w:tcBorders>
              <w:top w:val="single" w:color="auto" w:sz="4" w:space="0"/>
              <w:left w:val="single" w:color="auto" w:sz="4" w:space="0"/>
              <w:bottom w:val="single" w:color="auto" w:sz="4" w:space="0"/>
              <w:right w:val="single" w:color="auto" w:sz="4" w:space="0"/>
            </w:tcBorders>
            <w:vAlign w:val="center"/>
          </w:tcPr>
          <w:p w14:paraId="53861720">
            <w:pPr>
              <w:pStyle w:val="45"/>
              <w:rPr>
                <w:rFonts w:hint="eastAsia"/>
                <w:color w:val="auto"/>
              </w:rPr>
            </w:pPr>
            <w:r>
              <w:rPr>
                <w:color w:val="auto"/>
              </w:rPr>
              <w:t>2</w:t>
            </w:r>
          </w:p>
        </w:tc>
        <w:tc>
          <w:tcPr>
            <w:tcW w:w="453" w:type="pct"/>
            <w:tcBorders>
              <w:top w:val="single" w:color="auto" w:sz="4" w:space="0"/>
              <w:left w:val="single" w:color="auto" w:sz="4" w:space="0"/>
              <w:bottom w:val="single" w:color="auto" w:sz="4" w:space="0"/>
              <w:right w:val="single" w:color="auto" w:sz="4" w:space="0"/>
            </w:tcBorders>
            <w:vAlign w:val="center"/>
          </w:tcPr>
          <w:p w14:paraId="5A3212BF">
            <w:pPr>
              <w:pStyle w:val="45"/>
              <w:rPr>
                <w:rFonts w:hint="eastAsia"/>
                <w:color w:val="auto"/>
              </w:rPr>
            </w:pPr>
            <w:r>
              <w:rPr>
                <w:rFonts w:hint="eastAsia"/>
                <w:color w:val="auto"/>
              </w:rPr>
              <w:t>江苏</w:t>
            </w:r>
          </w:p>
        </w:tc>
        <w:tc>
          <w:tcPr>
            <w:tcW w:w="491" w:type="pct"/>
            <w:tcBorders>
              <w:top w:val="single" w:color="auto" w:sz="4" w:space="0"/>
              <w:left w:val="single" w:color="auto" w:sz="4" w:space="0"/>
              <w:bottom w:val="single" w:color="auto" w:sz="4" w:space="0"/>
              <w:right w:val="single" w:color="auto" w:sz="4" w:space="0"/>
            </w:tcBorders>
            <w:vAlign w:val="center"/>
          </w:tcPr>
          <w:p w14:paraId="4E060759">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5854B2A1">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4455A766">
            <w:pPr>
              <w:pStyle w:val="45"/>
              <w:rPr>
                <w:rFonts w:hint="eastAsia"/>
                <w:color w:val="auto"/>
              </w:rPr>
            </w:pPr>
            <w:r>
              <w:rPr>
                <w:rFonts w:hint="eastAsia"/>
                <w:color w:val="auto"/>
              </w:rPr>
              <w:t>测量</w:t>
            </w:r>
          </w:p>
        </w:tc>
      </w:tr>
      <w:tr w14:paraId="021F1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1F578C59">
            <w:pPr>
              <w:pStyle w:val="45"/>
              <w:rPr>
                <w:rFonts w:hint="eastAsia"/>
                <w:color w:val="auto"/>
              </w:rPr>
            </w:pPr>
            <w:r>
              <w:rPr>
                <w:rFonts w:hint="eastAsia"/>
                <w:color w:val="auto"/>
              </w:rPr>
              <w:t>4</w:t>
            </w:r>
          </w:p>
        </w:tc>
        <w:tc>
          <w:tcPr>
            <w:tcW w:w="800" w:type="pct"/>
            <w:tcBorders>
              <w:top w:val="single" w:color="auto" w:sz="4" w:space="0"/>
              <w:left w:val="single" w:color="auto" w:sz="4" w:space="0"/>
              <w:bottom w:val="single" w:color="auto" w:sz="4" w:space="0"/>
              <w:right w:val="single" w:color="auto" w:sz="4" w:space="0"/>
            </w:tcBorders>
            <w:vAlign w:val="center"/>
          </w:tcPr>
          <w:p w14:paraId="7CAFE98D">
            <w:pPr>
              <w:pStyle w:val="45"/>
              <w:rPr>
                <w:rFonts w:hint="eastAsia"/>
                <w:color w:val="auto"/>
              </w:rPr>
            </w:pPr>
            <w:r>
              <w:rPr>
                <w:rFonts w:hint="eastAsia"/>
                <w:color w:val="auto"/>
              </w:rPr>
              <w:t>激光垂准仪</w:t>
            </w:r>
          </w:p>
        </w:tc>
        <w:tc>
          <w:tcPr>
            <w:tcW w:w="1069" w:type="pct"/>
            <w:tcBorders>
              <w:top w:val="single" w:color="auto" w:sz="4" w:space="0"/>
              <w:left w:val="single" w:color="auto" w:sz="4" w:space="0"/>
              <w:bottom w:val="single" w:color="auto" w:sz="4" w:space="0"/>
              <w:right w:val="single" w:color="auto" w:sz="4" w:space="0"/>
            </w:tcBorders>
            <w:vAlign w:val="center"/>
          </w:tcPr>
          <w:p w14:paraId="039FC169">
            <w:pPr>
              <w:pStyle w:val="45"/>
              <w:rPr>
                <w:rFonts w:hint="eastAsia"/>
                <w:color w:val="auto"/>
              </w:rPr>
            </w:pPr>
            <w:r>
              <w:rPr>
                <w:rFonts w:hint="eastAsia"/>
                <w:color w:val="auto"/>
              </w:rPr>
              <w:t>DZJ2</w:t>
            </w:r>
          </w:p>
        </w:tc>
        <w:tc>
          <w:tcPr>
            <w:tcW w:w="431" w:type="pct"/>
            <w:tcBorders>
              <w:top w:val="single" w:color="auto" w:sz="4" w:space="0"/>
              <w:left w:val="single" w:color="auto" w:sz="4" w:space="0"/>
              <w:bottom w:val="single" w:color="auto" w:sz="4" w:space="0"/>
              <w:right w:val="single" w:color="auto" w:sz="4" w:space="0"/>
            </w:tcBorders>
            <w:vAlign w:val="center"/>
          </w:tcPr>
          <w:p w14:paraId="22CB7DF0">
            <w:pPr>
              <w:pStyle w:val="45"/>
              <w:rPr>
                <w:rFonts w:hint="eastAsia"/>
                <w:color w:val="auto"/>
              </w:rPr>
            </w:pPr>
            <w:r>
              <w:rPr>
                <w:rFonts w:hint="eastAsia"/>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73AB1AC7">
            <w:pPr>
              <w:pStyle w:val="45"/>
              <w:rPr>
                <w:rFonts w:hint="eastAsia"/>
                <w:color w:val="auto"/>
              </w:rPr>
            </w:pPr>
            <w:r>
              <w:rPr>
                <w:rFonts w:hint="eastAsia"/>
                <w:color w:val="auto"/>
              </w:rPr>
              <w:t>江苏</w:t>
            </w:r>
          </w:p>
        </w:tc>
        <w:tc>
          <w:tcPr>
            <w:tcW w:w="491" w:type="pct"/>
            <w:tcBorders>
              <w:top w:val="single" w:color="auto" w:sz="4" w:space="0"/>
              <w:left w:val="single" w:color="auto" w:sz="4" w:space="0"/>
              <w:bottom w:val="single" w:color="auto" w:sz="4" w:space="0"/>
              <w:right w:val="single" w:color="auto" w:sz="4" w:space="0"/>
            </w:tcBorders>
            <w:vAlign w:val="center"/>
          </w:tcPr>
          <w:p w14:paraId="062F4626">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5EA2CB09">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2654110E">
            <w:pPr>
              <w:pStyle w:val="45"/>
              <w:rPr>
                <w:rFonts w:hint="eastAsia"/>
                <w:color w:val="auto"/>
              </w:rPr>
            </w:pPr>
            <w:r>
              <w:rPr>
                <w:rFonts w:hint="eastAsia"/>
                <w:color w:val="auto"/>
              </w:rPr>
              <w:t>测量</w:t>
            </w:r>
          </w:p>
        </w:tc>
      </w:tr>
      <w:tr w14:paraId="63878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DF925B3">
            <w:pPr>
              <w:pStyle w:val="45"/>
              <w:rPr>
                <w:rFonts w:hint="eastAsia"/>
                <w:color w:val="auto"/>
              </w:rPr>
            </w:pPr>
            <w:r>
              <w:rPr>
                <w:rFonts w:hint="eastAsia"/>
                <w:color w:val="auto"/>
              </w:rPr>
              <w:t>5</w:t>
            </w:r>
          </w:p>
        </w:tc>
        <w:tc>
          <w:tcPr>
            <w:tcW w:w="800" w:type="pct"/>
            <w:tcBorders>
              <w:top w:val="single" w:color="auto" w:sz="4" w:space="0"/>
              <w:left w:val="single" w:color="auto" w:sz="4" w:space="0"/>
              <w:bottom w:val="single" w:color="auto" w:sz="4" w:space="0"/>
              <w:right w:val="single" w:color="auto" w:sz="4" w:space="0"/>
            </w:tcBorders>
            <w:vAlign w:val="center"/>
          </w:tcPr>
          <w:p w14:paraId="5A2839E4">
            <w:pPr>
              <w:pStyle w:val="45"/>
              <w:rPr>
                <w:rFonts w:hint="eastAsia"/>
                <w:color w:val="auto"/>
              </w:rPr>
            </w:pPr>
            <w:r>
              <w:rPr>
                <w:rFonts w:hint="eastAsia"/>
                <w:color w:val="auto"/>
              </w:rPr>
              <w:t>经纬仪</w:t>
            </w:r>
          </w:p>
        </w:tc>
        <w:tc>
          <w:tcPr>
            <w:tcW w:w="1069" w:type="pct"/>
            <w:tcBorders>
              <w:top w:val="single" w:color="auto" w:sz="4" w:space="0"/>
              <w:left w:val="single" w:color="auto" w:sz="4" w:space="0"/>
              <w:bottom w:val="single" w:color="auto" w:sz="4" w:space="0"/>
              <w:right w:val="single" w:color="auto" w:sz="4" w:space="0"/>
            </w:tcBorders>
            <w:vAlign w:val="center"/>
          </w:tcPr>
          <w:p w14:paraId="5441C5F4">
            <w:pPr>
              <w:pStyle w:val="45"/>
              <w:rPr>
                <w:rFonts w:hint="eastAsia"/>
                <w:color w:val="auto"/>
              </w:rPr>
            </w:pPr>
            <w:r>
              <w:rPr>
                <w:rFonts w:hint="eastAsia"/>
                <w:color w:val="auto"/>
              </w:rPr>
              <w:t>苏光J2-2</w:t>
            </w:r>
          </w:p>
        </w:tc>
        <w:tc>
          <w:tcPr>
            <w:tcW w:w="431" w:type="pct"/>
            <w:tcBorders>
              <w:top w:val="single" w:color="auto" w:sz="4" w:space="0"/>
              <w:left w:val="single" w:color="auto" w:sz="4" w:space="0"/>
              <w:bottom w:val="single" w:color="auto" w:sz="4" w:space="0"/>
              <w:right w:val="single" w:color="auto" w:sz="4" w:space="0"/>
            </w:tcBorders>
            <w:vAlign w:val="center"/>
          </w:tcPr>
          <w:p w14:paraId="7A541195">
            <w:pPr>
              <w:pStyle w:val="45"/>
              <w:rPr>
                <w:rFonts w:hint="eastAsia"/>
                <w:color w:val="auto"/>
              </w:rPr>
            </w:pPr>
            <w:r>
              <w:rPr>
                <w:rFonts w:hint="eastAsia"/>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06336935">
            <w:pPr>
              <w:pStyle w:val="45"/>
              <w:rPr>
                <w:rFonts w:hint="eastAsia"/>
                <w:color w:val="auto"/>
              </w:rPr>
            </w:pPr>
            <w:r>
              <w:rPr>
                <w:rFonts w:hint="eastAsia"/>
                <w:color w:val="auto"/>
              </w:rPr>
              <w:t>江苏</w:t>
            </w:r>
          </w:p>
        </w:tc>
        <w:tc>
          <w:tcPr>
            <w:tcW w:w="491" w:type="pct"/>
            <w:tcBorders>
              <w:top w:val="single" w:color="auto" w:sz="4" w:space="0"/>
              <w:left w:val="single" w:color="auto" w:sz="4" w:space="0"/>
              <w:bottom w:val="single" w:color="auto" w:sz="4" w:space="0"/>
              <w:right w:val="single" w:color="auto" w:sz="4" w:space="0"/>
            </w:tcBorders>
            <w:vAlign w:val="center"/>
          </w:tcPr>
          <w:p w14:paraId="7D57D544">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2D9D88B1">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0F91B2DD">
            <w:pPr>
              <w:pStyle w:val="45"/>
              <w:rPr>
                <w:rFonts w:hint="eastAsia"/>
                <w:color w:val="auto"/>
              </w:rPr>
            </w:pPr>
            <w:r>
              <w:rPr>
                <w:rFonts w:hint="eastAsia"/>
                <w:color w:val="auto"/>
              </w:rPr>
              <w:t>测量</w:t>
            </w:r>
          </w:p>
        </w:tc>
      </w:tr>
      <w:tr w14:paraId="34D1C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60CBCC30">
            <w:pPr>
              <w:pStyle w:val="45"/>
              <w:rPr>
                <w:rFonts w:hint="eastAsia"/>
                <w:color w:val="auto"/>
              </w:rPr>
            </w:pPr>
            <w:r>
              <w:rPr>
                <w:rFonts w:hint="eastAsia"/>
                <w:color w:val="auto"/>
              </w:rPr>
              <w:t>6</w:t>
            </w:r>
          </w:p>
        </w:tc>
        <w:tc>
          <w:tcPr>
            <w:tcW w:w="800" w:type="pct"/>
            <w:tcBorders>
              <w:top w:val="single" w:color="auto" w:sz="4" w:space="0"/>
              <w:left w:val="single" w:color="auto" w:sz="4" w:space="0"/>
              <w:bottom w:val="single" w:color="auto" w:sz="4" w:space="0"/>
              <w:right w:val="single" w:color="auto" w:sz="4" w:space="0"/>
            </w:tcBorders>
            <w:vAlign w:val="center"/>
          </w:tcPr>
          <w:p w14:paraId="05654AB9">
            <w:pPr>
              <w:pStyle w:val="45"/>
              <w:rPr>
                <w:rFonts w:hint="eastAsia"/>
                <w:color w:val="auto"/>
              </w:rPr>
            </w:pPr>
            <w:r>
              <w:rPr>
                <w:rFonts w:hint="eastAsia"/>
                <w:color w:val="auto"/>
              </w:rPr>
              <w:t>钢卷尺</w:t>
            </w:r>
          </w:p>
        </w:tc>
        <w:tc>
          <w:tcPr>
            <w:tcW w:w="1069" w:type="pct"/>
            <w:tcBorders>
              <w:top w:val="single" w:color="auto" w:sz="4" w:space="0"/>
              <w:left w:val="single" w:color="auto" w:sz="4" w:space="0"/>
              <w:bottom w:val="single" w:color="auto" w:sz="4" w:space="0"/>
              <w:right w:val="single" w:color="auto" w:sz="4" w:space="0"/>
            </w:tcBorders>
            <w:vAlign w:val="center"/>
          </w:tcPr>
          <w:p w14:paraId="19F0434C">
            <w:pPr>
              <w:pStyle w:val="45"/>
              <w:rPr>
                <w:rFonts w:hint="eastAsia"/>
                <w:color w:val="auto"/>
              </w:rPr>
            </w:pPr>
            <w:r>
              <w:rPr>
                <w:rFonts w:hint="eastAsia"/>
                <w:color w:val="auto"/>
              </w:rPr>
              <w:t>5</w:t>
            </w:r>
            <w:r>
              <w:rPr>
                <w:color w:val="auto"/>
              </w:rPr>
              <w:t>0</w:t>
            </w:r>
            <w:r>
              <w:rPr>
                <w:rFonts w:hint="eastAsia"/>
                <w:color w:val="auto"/>
              </w:rPr>
              <w:t>m</w:t>
            </w:r>
          </w:p>
        </w:tc>
        <w:tc>
          <w:tcPr>
            <w:tcW w:w="431" w:type="pct"/>
            <w:tcBorders>
              <w:top w:val="single" w:color="auto" w:sz="4" w:space="0"/>
              <w:left w:val="single" w:color="auto" w:sz="4" w:space="0"/>
              <w:bottom w:val="single" w:color="auto" w:sz="4" w:space="0"/>
              <w:right w:val="single" w:color="auto" w:sz="4" w:space="0"/>
            </w:tcBorders>
            <w:vAlign w:val="center"/>
          </w:tcPr>
          <w:p w14:paraId="315274E8">
            <w:pPr>
              <w:pStyle w:val="45"/>
              <w:rPr>
                <w:rFonts w:hint="eastAsia"/>
                <w:color w:val="auto"/>
              </w:rPr>
            </w:pPr>
            <w:r>
              <w:rPr>
                <w:color w:val="auto"/>
              </w:rPr>
              <w:t>2</w:t>
            </w:r>
          </w:p>
        </w:tc>
        <w:tc>
          <w:tcPr>
            <w:tcW w:w="453" w:type="pct"/>
            <w:tcBorders>
              <w:top w:val="single" w:color="auto" w:sz="4" w:space="0"/>
              <w:left w:val="single" w:color="auto" w:sz="4" w:space="0"/>
              <w:bottom w:val="single" w:color="auto" w:sz="4" w:space="0"/>
              <w:right w:val="single" w:color="auto" w:sz="4" w:space="0"/>
            </w:tcBorders>
            <w:vAlign w:val="center"/>
          </w:tcPr>
          <w:p w14:paraId="435BA7E5">
            <w:pPr>
              <w:pStyle w:val="45"/>
              <w:rPr>
                <w:rFonts w:hint="eastAsia"/>
                <w:color w:val="auto"/>
              </w:rPr>
            </w:pPr>
            <w:r>
              <w:rPr>
                <w:rFonts w:hint="eastAsia"/>
                <w:color w:val="auto"/>
              </w:rPr>
              <w:t>四川</w:t>
            </w:r>
          </w:p>
        </w:tc>
        <w:tc>
          <w:tcPr>
            <w:tcW w:w="491" w:type="pct"/>
            <w:tcBorders>
              <w:top w:val="single" w:color="auto" w:sz="4" w:space="0"/>
              <w:left w:val="single" w:color="auto" w:sz="4" w:space="0"/>
              <w:bottom w:val="single" w:color="auto" w:sz="4" w:space="0"/>
              <w:right w:val="single" w:color="auto" w:sz="4" w:space="0"/>
            </w:tcBorders>
            <w:vAlign w:val="center"/>
          </w:tcPr>
          <w:p w14:paraId="2E44DE33">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30D147C">
            <w:pPr>
              <w:pStyle w:val="45"/>
              <w:rPr>
                <w:rFonts w:hint="eastAsia"/>
                <w:color w:val="auto"/>
              </w:rPr>
            </w:pPr>
            <w:r>
              <w:rPr>
                <w:rFonts w:hint="eastAsia"/>
                <w:color w:val="auto"/>
              </w:rPr>
              <w:t>约5h/台</w:t>
            </w:r>
          </w:p>
        </w:tc>
        <w:tc>
          <w:tcPr>
            <w:tcW w:w="696" w:type="pct"/>
            <w:tcBorders>
              <w:top w:val="single" w:color="auto" w:sz="4" w:space="0"/>
              <w:left w:val="single" w:color="auto" w:sz="4" w:space="0"/>
              <w:bottom w:val="single" w:color="auto" w:sz="4" w:space="0"/>
              <w:right w:val="single" w:color="auto" w:sz="4" w:space="0"/>
            </w:tcBorders>
            <w:vAlign w:val="center"/>
          </w:tcPr>
          <w:p w14:paraId="47D7973D">
            <w:pPr>
              <w:pStyle w:val="45"/>
              <w:rPr>
                <w:rFonts w:hint="eastAsia"/>
                <w:color w:val="auto"/>
              </w:rPr>
            </w:pPr>
            <w:r>
              <w:rPr>
                <w:rFonts w:hint="eastAsia"/>
                <w:color w:val="auto"/>
              </w:rPr>
              <w:t>测量</w:t>
            </w:r>
          </w:p>
        </w:tc>
      </w:tr>
      <w:tr w14:paraId="08C5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01FF672">
            <w:pPr>
              <w:pStyle w:val="45"/>
              <w:rPr>
                <w:rFonts w:hint="eastAsia"/>
                <w:color w:val="auto"/>
              </w:rPr>
            </w:pPr>
            <w:r>
              <w:rPr>
                <w:rFonts w:hint="eastAsia"/>
                <w:color w:val="auto"/>
              </w:rPr>
              <w:t>7</w:t>
            </w:r>
          </w:p>
        </w:tc>
        <w:tc>
          <w:tcPr>
            <w:tcW w:w="800" w:type="pct"/>
            <w:tcBorders>
              <w:top w:val="single" w:color="auto" w:sz="4" w:space="0"/>
              <w:left w:val="single" w:color="auto" w:sz="4" w:space="0"/>
              <w:bottom w:val="single" w:color="auto" w:sz="4" w:space="0"/>
              <w:right w:val="single" w:color="auto" w:sz="4" w:space="0"/>
            </w:tcBorders>
            <w:vAlign w:val="center"/>
          </w:tcPr>
          <w:p w14:paraId="153E7737">
            <w:pPr>
              <w:pStyle w:val="45"/>
              <w:rPr>
                <w:rFonts w:hint="eastAsia"/>
                <w:color w:val="auto"/>
              </w:rPr>
            </w:pPr>
            <w:r>
              <w:rPr>
                <w:rFonts w:hint="eastAsia"/>
                <w:color w:val="auto"/>
              </w:rPr>
              <w:t>铟钢尺</w:t>
            </w:r>
          </w:p>
        </w:tc>
        <w:tc>
          <w:tcPr>
            <w:tcW w:w="1069" w:type="pct"/>
            <w:tcBorders>
              <w:top w:val="single" w:color="auto" w:sz="4" w:space="0"/>
              <w:left w:val="single" w:color="auto" w:sz="4" w:space="0"/>
              <w:bottom w:val="single" w:color="auto" w:sz="4" w:space="0"/>
              <w:right w:val="single" w:color="auto" w:sz="4" w:space="0"/>
            </w:tcBorders>
            <w:vAlign w:val="center"/>
          </w:tcPr>
          <w:p w14:paraId="18703FF1">
            <w:pPr>
              <w:pStyle w:val="45"/>
              <w:rPr>
                <w:rFonts w:hint="eastAsia"/>
                <w:color w:val="auto"/>
              </w:rPr>
            </w:pPr>
            <w:r>
              <w:rPr>
                <w:rFonts w:hint="eastAsia"/>
                <w:color w:val="auto"/>
              </w:rPr>
              <w:t>3m</w:t>
            </w:r>
          </w:p>
        </w:tc>
        <w:tc>
          <w:tcPr>
            <w:tcW w:w="431" w:type="pct"/>
            <w:tcBorders>
              <w:top w:val="single" w:color="auto" w:sz="4" w:space="0"/>
              <w:left w:val="single" w:color="auto" w:sz="4" w:space="0"/>
              <w:bottom w:val="single" w:color="auto" w:sz="4" w:space="0"/>
              <w:right w:val="single" w:color="auto" w:sz="4" w:space="0"/>
            </w:tcBorders>
            <w:vAlign w:val="center"/>
          </w:tcPr>
          <w:p w14:paraId="2551B48E">
            <w:pPr>
              <w:pStyle w:val="45"/>
              <w:rPr>
                <w:rFonts w:hint="eastAsia"/>
                <w:color w:val="auto"/>
              </w:rPr>
            </w:pPr>
            <w:r>
              <w:rPr>
                <w:rFonts w:hint="eastAsia"/>
                <w:color w:val="auto"/>
              </w:rPr>
              <w:t>12</w:t>
            </w:r>
          </w:p>
        </w:tc>
        <w:tc>
          <w:tcPr>
            <w:tcW w:w="453" w:type="pct"/>
            <w:tcBorders>
              <w:top w:val="single" w:color="auto" w:sz="4" w:space="0"/>
              <w:left w:val="single" w:color="auto" w:sz="4" w:space="0"/>
              <w:bottom w:val="single" w:color="auto" w:sz="4" w:space="0"/>
              <w:right w:val="single" w:color="auto" w:sz="4" w:space="0"/>
            </w:tcBorders>
            <w:vAlign w:val="center"/>
          </w:tcPr>
          <w:p w14:paraId="4A88614F">
            <w:pPr>
              <w:pStyle w:val="45"/>
              <w:rPr>
                <w:rFonts w:hint="eastAsia"/>
                <w:color w:val="auto"/>
              </w:rPr>
            </w:pPr>
            <w:r>
              <w:rPr>
                <w:rFonts w:hint="eastAsia"/>
                <w:color w:val="auto"/>
              </w:rPr>
              <w:t>日本</w:t>
            </w:r>
          </w:p>
        </w:tc>
        <w:tc>
          <w:tcPr>
            <w:tcW w:w="491" w:type="pct"/>
            <w:tcBorders>
              <w:top w:val="single" w:color="auto" w:sz="4" w:space="0"/>
              <w:left w:val="single" w:color="auto" w:sz="4" w:space="0"/>
              <w:bottom w:val="single" w:color="auto" w:sz="4" w:space="0"/>
              <w:right w:val="single" w:color="auto" w:sz="4" w:space="0"/>
            </w:tcBorders>
            <w:vAlign w:val="center"/>
          </w:tcPr>
          <w:p w14:paraId="6D09F69A">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32466928">
            <w:pPr>
              <w:pStyle w:val="45"/>
              <w:rPr>
                <w:rFonts w:hint="eastAsia"/>
                <w:color w:val="auto"/>
              </w:rPr>
            </w:pPr>
            <w:r>
              <w:rPr>
                <w:rFonts w:hint="eastAsia"/>
                <w:color w:val="auto"/>
              </w:rPr>
              <w:t>约20h/台</w:t>
            </w:r>
          </w:p>
        </w:tc>
        <w:tc>
          <w:tcPr>
            <w:tcW w:w="696" w:type="pct"/>
            <w:tcBorders>
              <w:top w:val="single" w:color="auto" w:sz="4" w:space="0"/>
              <w:left w:val="single" w:color="auto" w:sz="4" w:space="0"/>
              <w:bottom w:val="single" w:color="auto" w:sz="4" w:space="0"/>
              <w:right w:val="single" w:color="auto" w:sz="4" w:space="0"/>
            </w:tcBorders>
            <w:vAlign w:val="center"/>
          </w:tcPr>
          <w:p w14:paraId="523CFD12">
            <w:pPr>
              <w:pStyle w:val="45"/>
              <w:rPr>
                <w:rFonts w:hint="eastAsia"/>
                <w:color w:val="auto"/>
              </w:rPr>
            </w:pPr>
            <w:r>
              <w:rPr>
                <w:rFonts w:hint="eastAsia"/>
                <w:color w:val="auto"/>
              </w:rPr>
              <w:t>测量</w:t>
            </w:r>
          </w:p>
        </w:tc>
      </w:tr>
      <w:tr w14:paraId="4950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1A8DF7E7">
            <w:pPr>
              <w:pStyle w:val="45"/>
              <w:rPr>
                <w:rFonts w:hint="eastAsia"/>
                <w:color w:val="auto"/>
              </w:rPr>
            </w:pPr>
            <w:r>
              <w:rPr>
                <w:rFonts w:hint="eastAsia"/>
                <w:color w:val="auto"/>
              </w:rPr>
              <w:t>8</w:t>
            </w:r>
          </w:p>
        </w:tc>
        <w:tc>
          <w:tcPr>
            <w:tcW w:w="800" w:type="pct"/>
            <w:tcBorders>
              <w:top w:val="single" w:color="auto" w:sz="4" w:space="0"/>
              <w:left w:val="single" w:color="auto" w:sz="4" w:space="0"/>
              <w:bottom w:val="single" w:color="auto" w:sz="4" w:space="0"/>
              <w:right w:val="single" w:color="auto" w:sz="4" w:space="0"/>
            </w:tcBorders>
            <w:vAlign w:val="center"/>
          </w:tcPr>
          <w:p w14:paraId="536C25A5">
            <w:pPr>
              <w:pStyle w:val="45"/>
              <w:rPr>
                <w:rFonts w:hint="eastAsia"/>
                <w:color w:val="auto"/>
              </w:rPr>
            </w:pPr>
            <w:r>
              <w:rPr>
                <w:rFonts w:hint="eastAsia"/>
                <w:color w:val="auto"/>
              </w:rPr>
              <w:t>铟钢尺尺撑</w:t>
            </w:r>
          </w:p>
        </w:tc>
        <w:tc>
          <w:tcPr>
            <w:tcW w:w="1069" w:type="pct"/>
            <w:tcBorders>
              <w:top w:val="single" w:color="auto" w:sz="4" w:space="0"/>
              <w:left w:val="single" w:color="auto" w:sz="4" w:space="0"/>
              <w:bottom w:val="single" w:color="auto" w:sz="4" w:space="0"/>
              <w:right w:val="single" w:color="auto" w:sz="4" w:space="0"/>
            </w:tcBorders>
            <w:vAlign w:val="center"/>
          </w:tcPr>
          <w:p w14:paraId="76ED04C7">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7DDD3E53">
            <w:pPr>
              <w:pStyle w:val="45"/>
              <w:rPr>
                <w:rFonts w:hint="eastAsia"/>
                <w:color w:val="auto"/>
              </w:rPr>
            </w:pPr>
            <w:r>
              <w:rPr>
                <w:rFonts w:hint="eastAsia"/>
                <w:color w:val="auto"/>
              </w:rPr>
              <w:t>8</w:t>
            </w:r>
          </w:p>
        </w:tc>
        <w:tc>
          <w:tcPr>
            <w:tcW w:w="453" w:type="pct"/>
            <w:tcBorders>
              <w:top w:val="single" w:color="auto" w:sz="4" w:space="0"/>
              <w:left w:val="single" w:color="auto" w:sz="4" w:space="0"/>
              <w:bottom w:val="single" w:color="auto" w:sz="4" w:space="0"/>
              <w:right w:val="single" w:color="auto" w:sz="4" w:space="0"/>
            </w:tcBorders>
            <w:vAlign w:val="center"/>
          </w:tcPr>
          <w:p w14:paraId="2BACF60E">
            <w:pPr>
              <w:pStyle w:val="45"/>
              <w:rPr>
                <w:rFonts w:hint="eastAsia"/>
                <w:color w:val="auto"/>
              </w:rPr>
            </w:pPr>
            <w:r>
              <w:rPr>
                <w:rFonts w:hint="eastAsia"/>
                <w:color w:val="auto"/>
              </w:rPr>
              <w:t>日本</w:t>
            </w:r>
          </w:p>
        </w:tc>
        <w:tc>
          <w:tcPr>
            <w:tcW w:w="491" w:type="pct"/>
            <w:tcBorders>
              <w:top w:val="single" w:color="auto" w:sz="4" w:space="0"/>
              <w:left w:val="single" w:color="auto" w:sz="4" w:space="0"/>
              <w:bottom w:val="single" w:color="auto" w:sz="4" w:space="0"/>
              <w:right w:val="single" w:color="auto" w:sz="4" w:space="0"/>
            </w:tcBorders>
            <w:vAlign w:val="center"/>
          </w:tcPr>
          <w:p w14:paraId="25685353">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E5161A2">
            <w:pPr>
              <w:pStyle w:val="45"/>
              <w:rPr>
                <w:rFonts w:hint="eastAsia"/>
                <w:color w:val="auto"/>
              </w:rPr>
            </w:pPr>
            <w:r>
              <w:rPr>
                <w:rFonts w:hint="eastAsia"/>
                <w:color w:val="auto"/>
              </w:rPr>
              <w:t>约50h/台</w:t>
            </w:r>
          </w:p>
        </w:tc>
        <w:tc>
          <w:tcPr>
            <w:tcW w:w="696" w:type="pct"/>
            <w:tcBorders>
              <w:top w:val="single" w:color="auto" w:sz="4" w:space="0"/>
              <w:left w:val="single" w:color="auto" w:sz="4" w:space="0"/>
              <w:bottom w:val="single" w:color="auto" w:sz="4" w:space="0"/>
              <w:right w:val="single" w:color="auto" w:sz="4" w:space="0"/>
            </w:tcBorders>
            <w:vAlign w:val="center"/>
          </w:tcPr>
          <w:p w14:paraId="031B4C76">
            <w:pPr>
              <w:pStyle w:val="45"/>
              <w:rPr>
                <w:rFonts w:hint="eastAsia"/>
                <w:color w:val="auto"/>
              </w:rPr>
            </w:pPr>
            <w:r>
              <w:rPr>
                <w:rFonts w:hint="eastAsia"/>
                <w:color w:val="auto"/>
              </w:rPr>
              <w:t>测量</w:t>
            </w:r>
          </w:p>
        </w:tc>
      </w:tr>
      <w:tr w14:paraId="108E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4348A6FF">
            <w:pPr>
              <w:pStyle w:val="45"/>
              <w:rPr>
                <w:rFonts w:hint="eastAsia"/>
                <w:color w:val="auto"/>
              </w:rPr>
            </w:pPr>
            <w:r>
              <w:rPr>
                <w:rFonts w:hint="eastAsia"/>
                <w:color w:val="auto"/>
              </w:rPr>
              <w:t>9</w:t>
            </w:r>
          </w:p>
        </w:tc>
        <w:tc>
          <w:tcPr>
            <w:tcW w:w="800" w:type="pct"/>
            <w:tcBorders>
              <w:top w:val="single" w:color="auto" w:sz="4" w:space="0"/>
              <w:left w:val="single" w:color="auto" w:sz="4" w:space="0"/>
              <w:bottom w:val="single" w:color="auto" w:sz="4" w:space="0"/>
              <w:right w:val="single" w:color="auto" w:sz="4" w:space="0"/>
            </w:tcBorders>
            <w:vAlign w:val="center"/>
          </w:tcPr>
          <w:p w14:paraId="553B606C">
            <w:pPr>
              <w:pStyle w:val="45"/>
              <w:rPr>
                <w:rFonts w:hint="eastAsia"/>
                <w:color w:val="auto"/>
              </w:rPr>
            </w:pPr>
            <w:r>
              <w:rPr>
                <w:rFonts w:hint="eastAsia"/>
                <w:color w:val="auto"/>
              </w:rPr>
              <w:t>塔尺</w:t>
            </w:r>
          </w:p>
        </w:tc>
        <w:tc>
          <w:tcPr>
            <w:tcW w:w="1069" w:type="pct"/>
            <w:tcBorders>
              <w:top w:val="single" w:color="auto" w:sz="4" w:space="0"/>
              <w:left w:val="single" w:color="auto" w:sz="4" w:space="0"/>
              <w:bottom w:val="single" w:color="auto" w:sz="4" w:space="0"/>
              <w:right w:val="single" w:color="auto" w:sz="4" w:space="0"/>
            </w:tcBorders>
            <w:vAlign w:val="center"/>
          </w:tcPr>
          <w:p w14:paraId="61EEFCA1">
            <w:pPr>
              <w:pStyle w:val="45"/>
              <w:rPr>
                <w:rFonts w:hint="eastAsia"/>
                <w:color w:val="auto"/>
              </w:rPr>
            </w:pPr>
            <w:r>
              <w:rPr>
                <w:rFonts w:hint="eastAsia"/>
                <w:color w:val="auto"/>
              </w:rPr>
              <w:t>5m</w:t>
            </w:r>
          </w:p>
        </w:tc>
        <w:tc>
          <w:tcPr>
            <w:tcW w:w="431" w:type="pct"/>
            <w:tcBorders>
              <w:top w:val="single" w:color="auto" w:sz="4" w:space="0"/>
              <w:left w:val="single" w:color="auto" w:sz="4" w:space="0"/>
              <w:bottom w:val="single" w:color="auto" w:sz="4" w:space="0"/>
              <w:right w:val="single" w:color="auto" w:sz="4" w:space="0"/>
            </w:tcBorders>
            <w:vAlign w:val="center"/>
          </w:tcPr>
          <w:p w14:paraId="285E8DD2">
            <w:pPr>
              <w:pStyle w:val="45"/>
              <w:rPr>
                <w:rFonts w:hint="eastAsia"/>
                <w:color w:val="auto"/>
              </w:rPr>
            </w:pPr>
            <w:r>
              <w:rPr>
                <w:rFonts w:hint="eastAsia"/>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4E738941">
            <w:pPr>
              <w:pStyle w:val="45"/>
              <w:rPr>
                <w:rFonts w:hint="eastAsia"/>
                <w:color w:val="auto"/>
              </w:rPr>
            </w:pPr>
            <w:r>
              <w:rPr>
                <w:rFonts w:hint="eastAsia"/>
                <w:color w:val="auto"/>
              </w:rPr>
              <w:t>江苏</w:t>
            </w:r>
          </w:p>
        </w:tc>
        <w:tc>
          <w:tcPr>
            <w:tcW w:w="491" w:type="pct"/>
            <w:tcBorders>
              <w:top w:val="single" w:color="auto" w:sz="4" w:space="0"/>
              <w:left w:val="single" w:color="auto" w:sz="4" w:space="0"/>
              <w:bottom w:val="single" w:color="auto" w:sz="4" w:space="0"/>
              <w:right w:val="single" w:color="auto" w:sz="4" w:space="0"/>
            </w:tcBorders>
            <w:vAlign w:val="center"/>
          </w:tcPr>
          <w:p w14:paraId="416565E5">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6A02CF84">
            <w:pPr>
              <w:pStyle w:val="45"/>
              <w:rPr>
                <w:rFonts w:hint="eastAsia"/>
                <w:color w:val="auto"/>
              </w:rPr>
            </w:pPr>
            <w:r>
              <w:rPr>
                <w:rFonts w:hint="eastAsia"/>
                <w:color w:val="auto"/>
              </w:rPr>
              <w:t>约10h/台</w:t>
            </w:r>
          </w:p>
        </w:tc>
        <w:tc>
          <w:tcPr>
            <w:tcW w:w="696" w:type="pct"/>
            <w:tcBorders>
              <w:top w:val="single" w:color="auto" w:sz="4" w:space="0"/>
              <w:left w:val="single" w:color="auto" w:sz="4" w:space="0"/>
              <w:bottom w:val="single" w:color="auto" w:sz="4" w:space="0"/>
              <w:right w:val="single" w:color="auto" w:sz="4" w:space="0"/>
            </w:tcBorders>
            <w:vAlign w:val="center"/>
          </w:tcPr>
          <w:p w14:paraId="08DFE62E">
            <w:pPr>
              <w:pStyle w:val="45"/>
              <w:rPr>
                <w:rFonts w:hint="eastAsia"/>
                <w:color w:val="auto"/>
              </w:rPr>
            </w:pPr>
            <w:r>
              <w:rPr>
                <w:rFonts w:hint="eastAsia"/>
                <w:color w:val="auto"/>
              </w:rPr>
              <w:t>测量</w:t>
            </w:r>
          </w:p>
        </w:tc>
      </w:tr>
      <w:tr w14:paraId="00C0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7F175E5">
            <w:pPr>
              <w:pStyle w:val="45"/>
              <w:rPr>
                <w:rFonts w:hint="eastAsia"/>
                <w:color w:val="auto"/>
              </w:rPr>
            </w:pPr>
            <w:r>
              <w:rPr>
                <w:rFonts w:hint="eastAsia"/>
                <w:color w:val="auto"/>
              </w:rPr>
              <w:t>10</w:t>
            </w:r>
          </w:p>
        </w:tc>
        <w:tc>
          <w:tcPr>
            <w:tcW w:w="800" w:type="pct"/>
            <w:tcBorders>
              <w:top w:val="single" w:color="auto" w:sz="4" w:space="0"/>
              <w:left w:val="single" w:color="auto" w:sz="4" w:space="0"/>
              <w:bottom w:val="single" w:color="auto" w:sz="4" w:space="0"/>
              <w:right w:val="single" w:color="auto" w:sz="4" w:space="0"/>
            </w:tcBorders>
            <w:vAlign w:val="center"/>
          </w:tcPr>
          <w:p w14:paraId="4544AA9B">
            <w:pPr>
              <w:pStyle w:val="45"/>
              <w:rPr>
                <w:rFonts w:hint="eastAsia"/>
                <w:color w:val="auto"/>
              </w:rPr>
            </w:pPr>
            <w:r>
              <w:rPr>
                <w:rFonts w:hint="eastAsia"/>
                <w:color w:val="auto"/>
              </w:rPr>
              <w:t>手摇盘钢尺</w:t>
            </w:r>
          </w:p>
        </w:tc>
        <w:tc>
          <w:tcPr>
            <w:tcW w:w="1069" w:type="pct"/>
            <w:tcBorders>
              <w:top w:val="single" w:color="auto" w:sz="4" w:space="0"/>
              <w:left w:val="single" w:color="auto" w:sz="4" w:space="0"/>
              <w:bottom w:val="single" w:color="auto" w:sz="4" w:space="0"/>
              <w:right w:val="single" w:color="auto" w:sz="4" w:space="0"/>
            </w:tcBorders>
            <w:vAlign w:val="center"/>
          </w:tcPr>
          <w:p w14:paraId="7651E308">
            <w:pPr>
              <w:pStyle w:val="45"/>
              <w:rPr>
                <w:rFonts w:hint="eastAsia"/>
                <w:color w:val="auto"/>
              </w:rPr>
            </w:pPr>
            <w:r>
              <w:rPr>
                <w:rFonts w:hint="eastAsia"/>
                <w:color w:val="auto"/>
              </w:rPr>
              <w:t>50m</w:t>
            </w:r>
          </w:p>
        </w:tc>
        <w:tc>
          <w:tcPr>
            <w:tcW w:w="431" w:type="pct"/>
            <w:tcBorders>
              <w:top w:val="single" w:color="auto" w:sz="4" w:space="0"/>
              <w:left w:val="single" w:color="auto" w:sz="4" w:space="0"/>
              <w:bottom w:val="single" w:color="auto" w:sz="4" w:space="0"/>
              <w:right w:val="single" w:color="auto" w:sz="4" w:space="0"/>
            </w:tcBorders>
            <w:vAlign w:val="center"/>
          </w:tcPr>
          <w:p w14:paraId="3E7FAB3C">
            <w:pPr>
              <w:pStyle w:val="45"/>
              <w:rPr>
                <w:rFonts w:hint="eastAsia"/>
                <w:color w:val="auto"/>
              </w:rPr>
            </w:pPr>
            <w:r>
              <w:rPr>
                <w:rFonts w:hint="eastAsia"/>
                <w:color w:val="auto"/>
              </w:rPr>
              <w:t>6</w:t>
            </w:r>
          </w:p>
        </w:tc>
        <w:tc>
          <w:tcPr>
            <w:tcW w:w="453" w:type="pct"/>
            <w:tcBorders>
              <w:top w:val="single" w:color="auto" w:sz="4" w:space="0"/>
              <w:left w:val="single" w:color="auto" w:sz="4" w:space="0"/>
              <w:bottom w:val="single" w:color="auto" w:sz="4" w:space="0"/>
              <w:right w:val="single" w:color="auto" w:sz="4" w:space="0"/>
            </w:tcBorders>
            <w:vAlign w:val="center"/>
          </w:tcPr>
          <w:p w14:paraId="42D8E40E">
            <w:pPr>
              <w:pStyle w:val="45"/>
              <w:rPr>
                <w:rFonts w:hint="eastAsia"/>
                <w:color w:val="auto"/>
              </w:rPr>
            </w:pPr>
            <w:r>
              <w:rPr>
                <w:rFonts w:hint="eastAsia"/>
                <w:color w:val="auto"/>
              </w:rPr>
              <w:t>浙江</w:t>
            </w:r>
          </w:p>
        </w:tc>
        <w:tc>
          <w:tcPr>
            <w:tcW w:w="491" w:type="pct"/>
            <w:tcBorders>
              <w:top w:val="single" w:color="auto" w:sz="4" w:space="0"/>
              <w:left w:val="single" w:color="auto" w:sz="4" w:space="0"/>
              <w:bottom w:val="single" w:color="auto" w:sz="4" w:space="0"/>
              <w:right w:val="single" w:color="auto" w:sz="4" w:space="0"/>
            </w:tcBorders>
            <w:vAlign w:val="center"/>
          </w:tcPr>
          <w:p w14:paraId="15B1BCF6">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5EAAF4F8">
            <w:pPr>
              <w:pStyle w:val="45"/>
              <w:rPr>
                <w:rFonts w:hint="eastAsia"/>
                <w:color w:val="auto"/>
              </w:rPr>
            </w:pPr>
            <w:r>
              <w:rPr>
                <w:rFonts w:hint="eastAsia"/>
                <w:color w:val="auto"/>
              </w:rPr>
              <w:t>约5h/台</w:t>
            </w:r>
          </w:p>
        </w:tc>
        <w:tc>
          <w:tcPr>
            <w:tcW w:w="696" w:type="pct"/>
            <w:tcBorders>
              <w:top w:val="single" w:color="auto" w:sz="4" w:space="0"/>
              <w:left w:val="single" w:color="auto" w:sz="4" w:space="0"/>
              <w:bottom w:val="single" w:color="auto" w:sz="4" w:space="0"/>
              <w:right w:val="single" w:color="auto" w:sz="4" w:space="0"/>
            </w:tcBorders>
            <w:vAlign w:val="center"/>
          </w:tcPr>
          <w:p w14:paraId="5F84B27F">
            <w:pPr>
              <w:pStyle w:val="45"/>
              <w:rPr>
                <w:rFonts w:hint="eastAsia"/>
                <w:color w:val="auto"/>
              </w:rPr>
            </w:pPr>
            <w:r>
              <w:rPr>
                <w:rFonts w:hint="eastAsia"/>
                <w:color w:val="auto"/>
              </w:rPr>
              <w:t>测量</w:t>
            </w:r>
          </w:p>
        </w:tc>
      </w:tr>
      <w:tr w14:paraId="31C2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8112D1B">
            <w:pPr>
              <w:pStyle w:val="45"/>
              <w:rPr>
                <w:rFonts w:hint="eastAsia"/>
                <w:color w:val="auto"/>
              </w:rPr>
            </w:pPr>
            <w:r>
              <w:rPr>
                <w:rFonts w:hint="eastAsia"/>
                <w:color w:val="auto"/>
              </w:rPr>
              <w:t>11</w:t>
            </w:r>
          </w:p>
        </w:tc>
        <w:tc>
          <w:tcPr>
            <w:tcW w:w="800" w:type="pct"/>
            <w:tcBorders>
              <w:top w:val="single" w:color="auto" w:sz="4" w:space="0"/>
              <w:left w:val="single" w:color="auto" w:sz="4" w:space="0"/>
              <w:bottom w:val="single" w:color="auto" w:sz="4" w:space="0"/>
              <w:right w:val="single" w:color="auto" w:sz="4" w:space="0"/>
            </w:tcBorders>
            <w:vAlign w:val="center"/>
          </w:tcPr>
          <w:p w14:paraId="45FC67DC">
            <w:pPr>
              <w:pStyle w:val="45"/>
              <w:rPr>
                <w:rFonts w:hint="eastAsia"/>
                <w:color w:val="auto"/>
              </w:rPr>
            </w:pPr>
            <w:r>
              <w:rPr>
                <w:rFonts w:hint="eastAsia"/>
                <w:color w:val="auto"/>
              </w:rPr>
              <w:t>水平尺</w:t>
            </w:r>
          </w:p>
        </w:tc>
        <w:tc>
          <w:tcPr>
            <w:tcW w:w="1069" w:type="pct"/>
            <w:tcBorders>
              <w:top w:val="single" w:color="auto" w:sz="4" w:space="0"/>
              <w:left w:val="single" w:color="auto" w:sz="4" w:space="0"/>
              <w:bottom w:val="single" w:color="auto" w:sz="4" w:space="0"/>
              <w:right w:val="single" w:color="auto" w:sz="4" w:space="0"/>
            </w:tcBorders>
            <w:vAlign w:val="center"/>
          </w:tcPr>
          <w:p w14:paraId="7F293C75">
            <w:pPr>
              <w:pStyle w:val="45"/>
              <w:rPr>
                <w:rFonts w:hint="eastAsia"/>
                <w:color w:val="auto"/>
              </w:rPr>
            </w:pPr>
            <w:r>
              <w:rPr>
                <w:rFonts w:hint="eastAsia"/>
                <w:color w:val="auto"/>
              </w:rPr>
              <w:t>0.1mm/m</w:t>
            </w:r>
          </w:p>
        </w:tc>
        <w:tc>
          <w:tcPr>
            <w:tcW w:w="431" w:type="pct"/>
            <w:tcBorders>
              <w:top w:val="single" w:color="auto" w:sz="4" w:space="0"/>
              <w:left w:val="single" w:color="auto" w:sz="4" w:space="0"/>
              <w:bottom w:val="single" w:color="auto" w:sz="4" w:space="0"/>
              <w:right w:val="single" w:color="auto" w:sz="4" w:space="0"/>
            </w:tcBorders>
            <w:vAlign w:val="center"/>
          </w:tcPr>
          <w:p w14:paraId="6C015707">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0A749192">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501426A">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0C5DB514">
            <w:pPr>
              <w:pStyle w:val="45"/>
              <w:rPr>
                <w:rFonts w:hint="eastAsia"/>
                <w:color w:val="auto"/>
              </w:rPr>
            </w:pPr>
            <w:r>
              <w:rPr>
                <w:rFonts w:hint="eastAsia"/>
                <w:color w:val="auto"/>
              </w:rPr>
              <w:t>约10h/台</w:t>
            </w:r>
          </w:p>
        </w:tc>
        <w:tc>
          <w:tcPr>
            <w:tcW w:w="696" w:type="pct"/>
            <w:tcBorders>
              <w:top w:val="single" w:color="auto" w:sz="4" w:space="0"/>
              <w:left w:val="single" w:color="auto" w:sz="4" w:space="0"/>
              <w:bottom w:val="single" w:color="auto" w:sz="4" w:space="0"/>
              <w:right w:val="single" w:color="auto" w:sz="4" w:space="0"/>
            </w:tcBorders>
            <w:vAlign w:val="center"/>
          </w:tcPr>
          <w:p w14:paraId="01F86835">
            <w:pPr>
              <w:pStyle w:val="45"/>
              <w:rPr>
                <w:rFonts w:hint="eastAsia"/>
                <w:color w:val="auto"/>
              </w:rPr>
            </w:pPr>
            <w:r>
              <w:rPr>
                <w:rFonts w:hint="eastAsia"/>
                <w:color w:val="auto"/>
              </w:rPr>
              <w:t>测量</w:t>
            </w:r>
          </w:p>
        </w:tc>
      </w:tr>
      <w:tr w14:paraId="7B20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09C0FFE6">
            <w:pPr>
              <w:pStyle w:val="45"/>
              <w:rPr>
                <w:rFonts w:hint="eastAsia"/>
                <w:color w:val="auto"/>
              </w:rPr>
            </w:pPr>
            <w:r>
              <w:rPr>
                <w:rFonts w:hint="eastAsia"/>
                <w:color w:val="auto"/>
              </w:rPr>
              <w:t>12</w:t>
            </w:r>
          </w:p>
        </w:tc>
        <w:tc>
          <w:tcPr>
            <w:tcW w:w="800" w:type="pct"/>
            <w:tcBorders>
              <w:top w:val="single" w:color="auto" w:sz="4" w:space="0"/>
              <w:left w:val="single" w:color="auto" w:sz="4" w:space="0"/>
              <w:bottom w:val="single" w:color="auto" w:sz="4" w:space="0"/>
              <w:right w:val="single" w:color="auto" w:sz="4" w:space="0"/>
            </w:tcBorders>
            <w:vAlign w:val="center"/>
          </w:tcPr>
          <w:p w14:paraId="4C25C616">
            <w:pPr>
              <w:pStyle w:val="45"/>
              <w:rPr>
                <w:rFonts w:hint="eastAsia"/>
                <w:color w:val="auto"/>
              </w:rPr>
            </w:pPr>
            <w:r>
              <w:rPr>
                <w:rFonts w:hint="eastAsia"/>
                <w:color w:val="auto"/>
              </w:rPr>
              <w:t>自动安平水准仪</w:t>
            </w:r>
          </w:p>
        </w:tc>
        <w:tc>
          <w:tcPr>
            <w:tcW w:w="1069" w:type="pct"/>
            <w:tcBorders>
              <w:top w:val="single" w:color="auto" w:sz="4" w:space="0"/>
              <w:left w:val="single" w:color="auto" w:sz="4" w:space="0"/>
              <w:bottom w:val="single" w:color="auto" w:sz="4" w:space="0"/>
              <w:right w:val="single" w:color="auto" w:sz="4" w:space="0"/>
            </w:tcBorders>
            <w:vAlign w:val="center"/>
          </w:tcPr>
          <w:p w14:paraId="602D2849">
            <w:pPr>
              <w:pStyle w:val="45"/>
              <w:rPr>
                <w:rFonts w:hint="eastAsia"/>
                <w:color w:val="auto"/>
              </w:rPr>
            </w:pPr>
            <w:r>
              <w:rPr>
                <w:rFonts w:hint="eastAsia"/>
                <w:color w:val="auto"/>
              </w:rPr>
              <w:t>苏光D</w:t>
            </w:r>
            <w:r>
              <w:rPr>
                <w:color w:val="auto"/>
              </w:rPr>
              <w:t>SZ2+FS1</w:t>
            </w:r>
          </w:p>
        </w:tc>
        <w:tc>
          <w:tcPr>
            <w:tcW w:w="431" w:type="pct"/>
            <w:tcBorders>
              <w:top w:val="single" w:color="auto" w:sz="4" w:space="0"/>
              <w:left w:val="single" w:color="auto" w:sz="4" w:space="0"/>
              <w:bottom w:val="single" w:color="auto" w:sz="4" w:space="0"/>
              <w:right w:val="single" w:color="auto" w:sz="4" w:space="0"/>
            </w:tcBorders>
            <w:vAlign w:val="center"/>
          </w:tcPr>
          <w:p w14:paraId="3F6F60BF">
            <w:pPr>
              <w:pStyle w:val="45"/>
              <w:rPr>
                <w:rFonts w:hint="eastAsia"/>
                <w:color w:val="auto"/>
              </w:rPr>
            </w:pPr>
            <w:r>
              <w:rPr>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2EDF4C44">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477D8E1E">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36C1DE54">
            <w:pPr>
              <w:pStyle w:val="45"/>
              <w:rPr>
                <w:rFonts w:hint="eastAsia"/>
                <w:color w:val="auto"/>
              </w:rPr>
            </w:pPr>
            <w:r>
              <w:rPr>
                <w:rFonts w:hint="eastAsia"/>
                <w:color w:val="auto"/>
              </w:rPr>
              <w:t>约</w:t>
            </w:r>
            <w:r>
              <w:rPr>
                <w:color w:val="auto"/>
              </w:rPr>
              <w:t>80</w:t>
            </w:r>
            <w:r>
              <w:rPr>
                <w:rFonts w:hint="eastAsia"/>
                <w:color w:val="auto"/>
              </w:rPr>
              <w:t>h/台</w:t>
            </w:r>
          </w:p>
        </w:tc>
        <w:tc>
          <w:tcPr>
            <w:tcW w:w="696" w:type="pct"/>
            <w:tcBorders>
              <w:top w:val="single" w:color="auto" w:sz="4" w:space="0"/>
              <w:left w:val="single" w:color="auto" w:sz="4" w:space="0"/>
              <w:bottom w:val="single" w:color="auto" w:sz="4" w:space="0"/>
              <w:right w:val="single" w:color="auto" w:sz="4" w:space="0"/>
            </w:tcBorders>
            <w:vAlign w:val="center"/>
          </w:tcPr>
          <w:p w14:paraId="467B16A7">
            <w:pPr>
              <w:pStyle w:val="45"/>
              <w:rPr>
                <w:rFonts w:hint="eastAsia"/>
                <w:color w:val="auto"/>
              </w:rPr>
            </w:pPr>
            <w:r>
              <w:rPr>
                <w:rFonts w:hint="eastAsia"/>
                <w:color w:val="auto"/>
              </w:rPr>
              <w:t>测量</w:t>
            </w:r>
          </w:p>
        </w:tc>
      </w:tr>
      <w:tr w14:paraId="563C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9F8F0E3">
            <w:pPr>
              <w:pStyle w:val="45"/>
              <w:rPr>
                <w:rFonts w:hint="eastAsia"/>
                <w:color w:val="auto"/>
              </w:rPr>
            </w:pPr>
            <w:r>
              <w:rPr>
                <w:rFonts w:hint="eastAsia"/>
                <w:color w:val="auto"/>
              </w:rPr>
              <w:t>13</w:t>
            </w:r>
          </w:p>
        </w:tc>
        <w:tc>
          <w:tcPr>
            <w:tcW w:w="800" w:type="pct"/>
            <w:tcBorders>
              <w:top w:val="single" w:color="auto" w:sz="4" w:space="0"/>
              <w:left w:val="single" w:color="auto" w:sz="4" w:space="0"/>
              <w:bottom w:val="single" w:color="auto" w:sz="4" w:space="0"/>
              <w:right w:val="single" w:color="auto" w:sz="4" w:space="0"/>
            </w:tcBorders>
            <w:vAlign w:val="center"/>
          </w:tcPr>
          <w:p w14:paraId="1E3E0444">
            <w:pPr>
              <w:pStyle w:val="45"/>
              <w:rPr>
                <w:rFonts w:hint="eastAsia"/>
                <w:color w:val="auto"/>
              </w:rPr>
            </w:pPr>
            <w:r>
              <w:rPr>
                <w:rFonts w:hint="eastAsia"/>
                <w:color w:val="auto"/>
              </w:rPr>
              <w:t>激光测距仪</w:t>
            </w:r>
          </w:p>
        </w:tc>
        <w:tc>
          <w:tcPr>
            <w:tcW w:w="1069" w:type="pct"/>
            <w:tcBorders>
              <w:top w:val="single" w:color="auto" w:sz="4" w:space="0"/>
              <w:left w:val="single" w:color="auto" w:sz="4" w:space="0"/>
              <w:bottom w:val="single" w:color="auto" w:sz="4" w:space="0"/>
              <w:right w:val="single" w:color="auto" w:sz="4" w:space="0"/>
            </w:tcBorders>
            <w:vAlign w:val="center"/>
          </w:tcPr>
          <w:p w14:paraId="4C366956">
            <w:pPr>
              <w:pStyle w:val="45"/>
              <w:rPr>
                <w:rFonts w:hint="eastAsia"/>
                <w:color w:val="auto"/>
              </w:rPr>
            </w:pPr>
            <w:r>
              <w:rPr>
                <w:color w:val="auto"/>
              </w:rPr>
              <w:t>AR200</w:t>
            </w:r>
          </w:p>
        </w:tc>
        <w:tc>
          <w:tcPr>
            <w:tcW w:w="431" w:type="pct"/>
            <w:tcBorders>
              <w:top w:val="single" w:color="auto" w:sz="4" w:space="0"/>
              <w:left w:val="single" w:color="auto" w:sz="4" w:space="0"/>
              <w:bottom w:val="single" w:color="auto" w:sz="4" w:space="0"/>
              <w:right w:val="single" w:color="auto" w:sz="4" w:space="0"/>
            </w:tcBorders>
            <w:vAlign w:val="center"/>
          </w:tcPr>
          <w:p w14:paraId="5E73F0C4">
            <w:pPr>
              <w:pStyle w:val="45"/>
              <w:rPr>
                <w:rFonts w:hint="eastAsia"/>
                <w:color w:val="auto"/>
              </w:rPr>
            </w:pPr>
            <w:r>
              <w:rPr>
                <w:color w:val="auto"/>
              </w:rPr>
              <w:t>4</w:t>
            </w:r>
          </w:p>
        </w:tc>
        <w:tc>
          <w:tcPr>
            <w:tcW w:w="453" w:type="pct"/>
            <w:tcBorders>
              <w:top w:val="single" w:color="auto" w:sz="4" w:space="0"/>
              <w:left w:val="single" w:color="auto" w:sz="4" w:space="0"/>
              <w:bottom w:val="single" w:color="auto" w:sz="4" w:space="0"/>
              <w:right w:val="single" w:color="auto" w:sz="4" w:space="0"/>
            </w:tcBorders>
            <w:vAlign w:val="center"/>
          </w:tcPr>
          <w:p w14:paraId="20E877F5">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114EA2EF">
            <w:pPr>
              <w:pStyle w:val="45"/>
              <w:rPr>
                <w:rFonts w:hint="eastAsia"/>
                <w:color w:val="auto"/>
              </w:rPr>
            </w:pPr>
            <w:r>
              <w:rPr>
                <w:color w:val="auto"/>
              </w:rPr>
              <w:t>2016</w:t>
            </w:r>
          </w:p>
        </w:tc>
        <w:tc>
          <w:tcPr>
            <w:tcW w:w="766" w:type="pct"/>
            <w:tcBorders>
              <w:top w:val="single" w:color="auto" w:sz="4" w:space="0"/>
              <w:left w:val="single" w:color="auto" w:sz="4" w:space="0"/>
              <w:bottom w:val="single" w:color="auto" w:sz="4" w:space="0"/>
              <w:right w:val="single" w:color="auto" w:sz="4" w:space="0"/>
            </w:tcBorders>
            <w:vAlign w:val="center"/>
          </w:tcPr>
          <w:p w14:paraId="10CD75C1">
            <w:pPr>
              <w:pStyle w:val="45"/>
              <w:rPr>
                <w:rFonts w:hint="eastAsia"/>
                <w:color w:val="auto"/>
              </w:rPr>
            </w:pPr>
            <w:r>
              <w:rPr>
                <w:rFonts w:hint="eastAsia"/>
                <w:color w:val="auto"/>
              </w:rPr>
              <w:t>约5</w:t>
            </w:r>
            <w:r>
              <w:rPr>
                <w:color w:val="auto"/>
              </w:rPr>
              <w:t>0</w:t>
            </w:r>
            <w:r>
              <w:rPr>
                <w:rFonts w:hint="eastAsia"/>
                <w:color w:val="auto"/>
              </w:rPr>
              <w:t>h/台</w:t>
            </w:r>
          </w:p>
        </w:tc>
        <w:tc>
          <w:tcPr>
            <w:tcW w:w="696" w:type="pct"/>
            <w:tcBorders>
              <w:top w:val="single" w:color="auto" w:sz="4" w:space="0"/>
              <w:left w:val="single" w:color="auto" w:sz="4" w:space="0"/>
              <w:bottom w:val="single" w:color="auto" w:sz="4" w:space="0"/>
              <w:right w:val="single" w:color="auto" w:sz="4" w:space="0"/>
            </w:tcBorders>
            <w:vAlign w:val="center"/>
          </w:tcPr>
          <w:p w14:paraId="352B392B">
            <w:pPr>
              <w:pStyle w:val="45"/>
              <w:rPr>
                <w:rFonts w:hint="eastAsia"/>
                <w:color w:val="auto"/>
              </w:rPr>
            </w:pPr>
            <w:r>
              <w:rPr>
                <w:rFonts w:hint="eastAsia"/>
                <w:color w:val="auto"/>
              </w:rPr>
              <w:t>测量</w:t>
            </w:r>
          </w:p>
        </w:tc>
      </w:tr>
      <w:tr w14:paraId="5E26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9A14A91">
            <w:pPr>
              <w:pStyle w:val="45"/>
              <w:rPr>
                <w:rFonts w:hint="eastAsia"/>
                <w:color w:val="auto"/>
              </w:rPr>
            </w:pPr>
            <w:r>
              <w:rPr>
                <w:rFonts w:hint="eastAsia"/>
                <w:color w:val="auto"/>
              </w:rPr>
              <w:t>14</w:t>
            </w:r>
          </w:p>
        </w:tc>
        <w:tc>
          <w:tcPr>
            <w:tcW w:w="800" w:type="pct"/>
            <w:tcBorders>
              <w:top w:val="single" w:color="auto" w:sz="4" w:space="0"/>
              <w:left w:val="single" w:color="auto" w:sz="4" w:space="0"/>
              <w:bottom w:val="single" w:color="auto" w:sz="4" w:space="0"/>
              <w:right w:val="single" w:color="auto" w:sz="4" w:space="0"/>
            </w:tcBorders>
            <w:vAlign w:val="center"/>
          </w:tcPr>
          <w:p w14:paraId="3BB6990F">
            <w:pPr>
              <w:pStyle w:val="45"/>
              <w:rPr>
                <w:rFonts w:hint="eastAsia"/>
                <w:color w:val="auto"/>
              </w:rPr>
            </w:pPr>
            <w:r>
              <w:rPr>
                <w:rFonts w:hint="eastAsia"/>
                <w:color w:val="auto"/>
              </w:rPr>
              <w:t>磁性线锤</w:t>
            </w:r>
          </w:p>
        </w:tc>
        <w:tc>
          <w:tcPr>
            <w:tcW w:w="1069" w:type="pct"/>
            <w:tcBorders>
              <w:top w:val="single" w:color="auto" w:sz="4" w:space="0"/>
              <w:left w:val="single" w:color="auto" w:sz="4" w:space="0"/>
              <w:bottom w:val="single" w:color="auto" w:sz="4" w:space="0"/>
              <w:right w:val="single" w:color="auto" w:sz="4" w:space="0"/>
            </w:tcBorders>
            <w:vAlign w:val="center"/>
          </w:tcPr>
          <w:p w14:paraId="671A9C01">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02DFBE1D">
            <w:pPr>
              <w:pStyle w:val="45"/>
              <w:rPr>
                <w:rFonts w:hint="eastAsia"/>
                <w:color w:val="auto"/>
              </w:rPr>
            </w:pPr>
            <w:r>
              <w:rPr>
                <w:rFonts w:hint="eastAsia"/>
                <w:color w:val="auto"/>
              </w:rPr>
              <w:t>20</w:t>
            </w:r>
          </w:p>
        </w:tc>
        <w:tc>
          <w:tcPr>
            <w:tcW w:w="453" w:type="pct"/>
            <w:tcBorders>
              <w:top w:val="single" w:color="auto" w:sz="4" w:space="0"/>
              <w:left w:val="single" w:color="auto" w:sz="4" w:space="0"/>
              <w:bottom w:val="single" w:color="auto" w:sz="4" w:space="0"/>
              <w:right w:val="single" w:color="auto" w:sz="4" w:space="0"/>
            </w:tcBorders>
            <w:vAlign w:val="center"/>
          </w:tcPr>
          <w:p w14:paraId="5C8D19A7">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2C1E0193">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162F3015">
            <w:pPr>
              <w:pStyle w:val="45"/>
              <w:rPr>
                <w:rFonts w:hint="eastAsia"/>
                <w:color w:val="auto"/>
              </w:rPr>
            </w:pPr>
            <w:r>
              <w:rPr>
                <w:rFonts w:hint="eastAsia"/>
                <w:color w:val="auto"/>
              </w:rPr>
              <w:t>约5h/台</w:t>
            </w:r>
          </w:p>
        </w:tc>
        <w:tc>
          <w:tcPr>
            <w:tcW w:w="696" w:type="pct"/>
            <w:tcBorders>
              <w:top w:val="single" w:color="auto" w:sz="4" w:space="0"/>
              <w:left w:val="single" w:color="auto" w:sz="4" w:space="0"/>
              <w:bottom w:val="single" w:color="auto" w:sz="4" w:space="0"/>
              <w:right w:val="single" w:color="auto" w:sz="4" w:space="0"/>
            </w:tcBorders>
            <w:vAlign w:val="center"/>
          </w:tcPr>
          <w:p w14:paraId="2B545AA4">
            <w:pPr>
              <w:pStyle w:val="45"/>
              <w:rPr>
                <w:rFonts w:hint="eastAsia"/>
                <w:color w:val="auto"/>
              </w:rPr>
            </w:pPr>
            <w:r>
              <w:rPr>
                <w:rFonts w:hint="eastAsia"/>
                <w:color w:val="auto"/>
              </w:rPr>
              <w:t>垂直度控制</w:t>
            </w:r>
          </w:p>
        </w:tc>
      </w:tr>
      <w:tr w14:paraId="23BD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37CAC7C">
            <w:pPr>
              <w:pStyle w:val="45"/>
              <w:rPr>
                <w:rFonts w:hint="eastAsia"/>
                <w:color w:val="auto"/>
              </w:rPr>
            </w:pPr>
            <w:r>
              <w:rPr>
                <w:rFonts w:hint="eastAsia"/>
                <w:color w:val="auto"/>
              </w:rPr>
              <w:t>15</w:t>
            </w:r>
          </w:p>
        </w:tc>
        <w:tc>
          <w:tcPr>
            <w:tcW w:w="800" w:type="pct"/>
            <w:tcBorders>
              <w:top w:val="single" w:color="auto" w:sz="4" w:space="0"/>
              <w:left w:val="single" w:color="auto" w:sz="4" w:space="0"/>
              <w:bottom w:val="single" w:color="auto" w:sz="4" w:space="0"/>
              <w:right w:val="single" w:color="auto" w:sz="4" w:space="0"/>
            </w:tcBorders>
            <w:vAlign w:val="center"/>
          </w:tcPr>
          <w:p w14:paraId="10F21094">
            <w:pPr>
              <w:pStyle w:val="45"/>
              <w:rPr>
                <w:rFonts w:hint="eastAsia"/>
                <w:color w:val="auto"/>
              </w:rPr>
            </w:pPr>
            <w:r>
              <w:rPr>
                <w:rFonts w:hint="eastAsia"/>
                <w:color w:val="auto"/>
              </w:rPr>
              <w:t>毕托管</w:t>
            </w:r>
          </w:p>
        </w:tc>
        <w:tc>
          <w:tcPr>
            <w:tcW w:w="1069" w:type="pct"/>
            <w:tcBorders>
              <w:top w:val="single" w:color="auto" w:sz="4" w:space="0"/>
              <w:left w:val="single" w:color="auto" w:sz="4" w:space="0"/>
              <w:bottom w:val="single" w:color="auto" w:sz="4" w:space="0"/>
              <w:right w:val="single" w:color="auto" w:sz="4" w:space="0"/>
            </w:tcBorders>
            <w:vAlign w:val="center"/>
          </w:tcPr>
          <w:p w14:paraId="3172B73D">
            <w:pPr>
              <w:pStyle w:val="45"/>
              <w:rPr>
                <w:rFonts w:hint="eastAsia"/>
                <w:color w:val="auto"/>
              </w:rPr>
            </w:pPr>
            <w:r>
              <w:rPr>
                <w:rFonts w:hint="eastAsia"/>
                <w:color w:val="auto"/>
              </w:rPr>
              <w:t>CLY系列（铜）</w:t>
            </w:r>
          </w:p>
        </w:tc>
        <w:tc>
          <w:tcPr>
            <w:tcW w:w="431" w:type="pct"/>
            <w:tcBorders>
              <w:top w:val="single" w:color="auto" w:sz="4" w:space="0"/>
              <w:left w:val="single" w:color="auto" w:sz="4" w:space="0"/>
              <w:bottom w:val="single" w:color="auto" w:sz="4" w:space="0"/>
              <w:right w:val="single" w:color="auto" w:sz="4" w:space="0"/>
            </w:tcBorders>
            <w:vAlign w:val="center"/>
          </w:tcPr>
          <w:p w14:paraId="18EC5EDA">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3EFF93CF">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6DD63208">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4D4A41D6">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34CC7BFF">
            <w:pPr>
              <w:pStyle w:val="45"/>
              <w:rPr>
                <w:rFonts w:hint="eastAsia"/>
                <w:color w:val="auto"/>
              </w:rPr>
            </w:pPr>
            <w:r>
              <w:rPr>
                <w:rFonts w:hint="eastAsia"/>
                <w:color w:val="auto"/>
              </w:rPr>
              <w:t>土体实验</w:t>
            </w:r>
          </w:p>
        </w:tc>
      </w:tr>
      <w:tr w14:paraId="6EBC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D374D3B">
            <w:pPr>
              <w:pStyle w:val="45"/>
              <w:rPr>
                <w:rFonts w:hint="eastAsia"/>
                <w:color w:val="auto"/>
              </w:rPr>
            </w:pPr>
            <w:r>
              <w:rPr>
                <w:rFonts w:hint="eastAsia"/>
                <w:color w:val="auto"/>
              </w:rPr>
              <w:t>16</w:t>
            </w:r>
          </w:p>
        </w:tc>
        <w:tc>
          <w:tcPr>
            <w:tcW w:w="800" w:type="pct"/>
            <w:tcBorders>
              <w:top w:val="single" w:color="auto" w:sz="4" w:space="0"/>
              <w:left w:val="single" w:color="auto" w:sz="4" w:space="0"/>
              <w:bottom w:val="single" w:color="auto" w:sz="4" w:space="0"/>
              <w:right w:val="single" w:color="auto" w:sz="4" w:space="0"/>
            </w:tcBorders>
            <w:vAlign w:val="center"/>
          </w:tcPr>
          <w:p w14:paraId="0D9AAC73">
            <w:pPr>
              <w:pStyle w:val="45"/>
              <w:rPr>
                <w:rFonts w:hint="eastAsia"/>
                <w:color w:val="auto"/>
              </w:rPr>
            </w:pPr>
            <w:r>
              <w:rPr>
                <w:rFonts w:hint="eastAsia"/>
                <w:color w:val="auto"/>
              </w:rPr>
              <w:t>量筒</w:t>
            </w:r>
          </w:p>
        </w:tc>
        <w:tc>
          <w:tcPr>
            <w:tcW w:w="1069" w:type="pct"/>
            <w:tcBorders>
              <w:top w:val="single" w:color="auto" w:sz="4" w:space="0"/>
              <w:left w:val="single" w:color="auto" w:sz="4" w:space="0"/>
              <w:bottom w:val="single" w:color="auto" w:sz="4" w:space="0"/>
              <w:right w:val="single" w:color="auto" w:sz="4" w:space="0"/>
            </w:tcBorders>
            <w:vAlign w:val="center"/>
          </w:tcPr>
          <w:p w14:paraId="01D66D5B">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1A2DEAAB">
            <w:pPr>
              <w:pStyle w:val="45"/>
              <w:rPr>
                <w:rFonts w:hint="eastAsia"/>
                <w:color w:val="auto"/>
              </w:rPr>
            </w:pPr>
            <w:r>
              <w:rPr>
                <w:rFonts w:hint="eastAsia"/>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6E9054D9">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213F88D">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43330C78">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187229DE">
            <w:pPr>
              <w:pStyle w:val="45"/>
              <w:rPr>
                <w:rFonts w:hint="eastAsia"/>
                <w:color w:val="auto"/>
              </w:rPr>
            </w:pPr>
            <w:r>
              <w:rPr>
                <w:rFonts w:hint="eastAsia"/>
                <w:color w:val="auto"/>
              </w:rPr>
              <w:t>土体实验</w:t>
            </w:r>
          </w:p>
        </w:tc>
      </w:tr>
      <w:tr w14:paraId="0411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61058911">
            <w:pPr>
              <w:pStyle w:val="45"/>
              <w:rPr>
                <w:rFonts w:hint="eastAsia"/>
                <w:color w:val="auto"/>
              </w:rPr>
            </w:pPr>
            <w:r>
              <w:rPr>
                <w:rFonts w:hint="eastAsia"/>
                <w:color w:val="auto"/>
              </w:rPr>
              <w:t>17</w:t>
            </w:r>
          </w:p>
        </w:tc>
        <w:tc>
          <w:tcPr>
            <w:tcW w:w="800" w:type="pct"/>
            <w:tcBorders>
              <w:top w:val="single" w:color="auto" w:sz="4" w:space="0"/>
              <w:left w:val="single" w:color="auto" w:sz="4" w:space="0"/>
              <w:bottom w:val="single" w:color="auto" w:sz="4" w:space="0"/>
              <w:right w:val="single" w:color="auto" w:sz="4" w:space="0"/>
            </w:tcBorders>
            <w:vAlign w:val="center"/>
          </w:tcPr>
          <w:p w14:paraId="2C68464A">
            <w:pPr>
              <w:pStyle w:val="45"/>
              <w:rPr>
                <w:rFonts w:hint="eastAsia"/>
                <w:color w:val="auto"/>
              </w:rPr>
            </w:pPr>
            <w:r>
              <w:rPr>
                <w:rFonts w:hint="eastAsia"/>
                <w:color w:val="auto"/>
              </w:rPr>
              <w:t>环刀</w:t>
            </w:r>
          </w:p>
        </w:tc>
        <w:tc>
          <w:tcPr>
            <w:tcW w:w="1069" w:type="pct"/>
            <w:tcBorders>
              <w:top w:val="single" w:color="auto" w:sz="4" w:space="0"/>
              <w:left w:val="single" w:color="auto" w:sz="4" w:space="0"/>
              <w:bottom w:val="single" w:color="auto" w:sz="4" w:space="0"/>
              <w:right w:val="single" w:color="auto" w:sz="4" w:space="0"/>
            </w:tcBorders>
            <w:vAlign w:val="center"/>
          </w:tcPr>
          <w:p w14:paraId="375D5B0D">
            <w:pPr>
              <w:pStyle w:val="45"/>
              <w:rPr>
                <w:rFonts w:hint="eastAsia"/>
                <w:color w:val="auto"/>
              </w:rPr>
            </w:pPr>
            <w:r>
              <w:rPr>
                <w:rFonts w:hint="eastAsia"/>
                <w:color w:val="auto"/>
              </w:rPr>
              <w:t>70×52</w:t>
            </w:r>
          </w:p>
        </w:tc>
        <w:tc>
          <w:tcPr>
            <w:tcW w:w="431" w:type="pct"/>
            <w:tcBorders>
              <w:top w:val="single" w:color="auto" w:sz="4" w:space="0"/>
              <w:left w:val="single" w:color="auto" w:sz="4" w:space="0"/>
              <w:bottom w:val="single" w:color="auto" w:sz="4" w:space="0"/>
              <w:right w:val="single" w:color="auto" w:sz="4" w:space="0"/>
            </w:tcBorders>
            <w:vAlign w:val="center"/>
          </w:tcPr>
          <w:p w14:paraId="137AD738">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6A9F3C7C">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79E04346">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B81D9A7">
            <w:pPr>
              <w:pStyle w:val="45"/>
              <w:rPr>
                <w:rFonts w:hint="eastAsia"/>
                <w:color w:val="auto"/>
              </w:rPr>
            </w:pPr>
            <w:r>
              <w:rPr>
                <w:rFonts w:hint="eastAsia"/>
                <w:color w:val="auto"/>
              </w:rPr>
              <w:t>约120h/台</w:t>
            </w:r>
          </w:p>
        </w:tc>
        <w:tc>
          <w:tcPr>
            <w:tcW w:w="696" w:type="pct"/>
            <w:tcBorders>
              <w:top w:val="single" w:color="auto" w:sz="4" w:space="0"/>
              <w:left w:val="single" w:color="auto" w:sz="4" w:space="0"/>
              <w:bottom w:val="single" w:color="auto" w:sz="4" w:space="0"/>
              <w:right w:val="single" w:color="auto" w:sz="4" w:space="0"/>
            </w:tcBorders>
            <w:vAlign w:val="center"/>
          </w:tcPr>
          <w:p w14:paraId="2F87B402">
            <w:pPr>
              <w:pStyle w:val="45"/>
              <w:rPr>
                <w:rFonts w:hint="eastAsia"/>
                <w:color w:val="auto"/>
              </w:rPr>
            </w:pPr>
            <w:r>
              <w:rPr>
                <w:rFonts w:hint="eastAsia"/>
                <w:color w:val="auto"/>
              </w:rPr>
              <w:t>土体实验</w:t>
            </w:r>
          </w:p>
        </w:tc>
      </w:tr>
      <w:tr w14:paraId="4FC42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0E0C422">
            <w:pPr>
              <w:pStyle w:val="45"/>
              <w:rPr>
                <w:rFonts w:hint="eastAsia"/>
                <w:color w:val="auto"/>
              </w:rPr>
            </w:pPr>
            <w:r>
              <w:rPr>
                <w:rFonts w:hint="eastAsia"/>
                <w:color w:val="auto"/>
              </w:rPr>
              <w:t>18</w:t>
            </w:r>
          </w:p>
        </w:tc>
        <w:tc>
          <w:tcPr>
            <w:tcW w:w="800" w:type="pct"/>
            <w:tcBorders>
              <w:top w:val="single" w:color="auto" w:sz="4" w:space="0"/>
              <w:left w:val="single" w:color="auto" w:sz="4" w:space="0"/>
              <w:bottom w:val="single" w:color="auto" w:sz="4" w:space="0"/>
              <w:right w:val="single" w:color="auto" w:sz="4" w:space="0"/>
            </w:tcBorders>
            <w:vAlign w:val="center"/>
          </w:tcPr>
          <w:p w14:paraId="39D11316">
            <w:pPr>
              <w:pStyle w:val="45"/>
              <w:rPr>
                <w:rFonts w:hint="eastAsia"/>
                <w:color w:val="auto"/>
              </w:rPr>
            </w:pPr>
            <w:r>
              <w:rPr>
                <w:rFonts w:hint="eastAsia"/>
                <w:color w:val="auto"/>
              </w:rPr>
              <w:t>游标卡尺</w:t>
            </w:r>
          </w:p>
        </w:tc>
        <w:tc>
          <w:tcPr>
            <w:tcW w:w="1069" w:type="pct"/>
            <w:tcBorders>
              <w:top w:val="single" w:color="auto" w:sz="4" w:space="0"/>
              <w:left w:val="single" w:color="auto" w:sz="4" w:space="0"/>
              <w:bottom w:val="single" w:color="auto" w:sz="4" w:space="0"/>
              <w:right w:val="single" w:color="auto" w:sz="4" w:space="0"/>
            </w:tcBorders>
            <w:vAlign w:val="center"/>
          </w:tcPr>
          <w:p w14:paraId="24D5F874">
            <w:pPr>
              <w:pStyle w:val="45"/>
              <w:rPr>
                <w:rFonts w:hint="eastAsia"/>
                <w:color w:val="auto"/>
              </w:rPr>
            </w:pPr>
            <w:r>
              <w:rPr>
                <w:rFonts w:hint="eastAsia"/>
                <w:color w:val="auto"/>
              </w:rPr>
              <w:t>0.02mm/0-300</w:t>
            </w:r>
          </w:p>
        </w:tc>
        <w:tc>
          <w:tcPr>
            <w:tcW w:w="431" w:type="pct"/>
            <w:tcBorders>
              <w:top w:val="single" w:color="auto" w:sz="4" w:space="0"/>
              <w:left w:val="single" w:color="auto" w:sz="4" w:space="0"/>
              <w:bottom w:val="single" w:color="auto" w:sz="4" w:space="0"/>
              <w:right w:val="single" w:color="auto" w:sz="4" w:space="0"/>
            </w:tcBorders>
            <w:vAlign w:val="center"/>
          </w:tcPr>
          <w:p w14:paraId="3FA93C3A">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5A785EDA">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56DBAC9B">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4479A73A">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0A112BA6">
            <w:pPr>
              <w:pStyle w:val="45"/>
              <w:rPr>
                <w:rFonts w:hint="eastAsia"/>
                <w:color w:val="auto"/>
              </w:rPr>
            </w:pPr>
            <w:r>
              <w:rPr>
                <w:rFonts w:hint="eastAsia"/>
                <w:color w:val="auto"/>
              </w:rPr>
              <w:t>厚度、宽度控制</w:t>
            </w:r>
          </w:p>
        </w:tc>
      </w:tr>
      <w:tr w14:paraId="5902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44D3ACC">
            <w:pPr>
              <w:pStyle w:val="45"/>
              <w:rPr>
                <w:rFonts w:hint="eastAsia"/>
                <w:color w:val="auto"/>
              </w:rPr>
            </w:pPr>
            <w:r>
              <w:rPr>
                <w:rFonts w:hint="eastAsia"/>
                <w:color w:val="auto"/>
              </w:rPr>
              <w:t>19</w:t>
            </w:r>
          </w:p>
        </w:tc>
        <w:tc>
          <w:tcPr>
            <w:tcW w:w="800" w:type="pct"/>
            <w:tcBorders>
              <w:top w:val="single" w:color="auto" w:sz="4" w:space="0"/>
              <w:left w:val="single" w:color="auto" w:sz="4" w:space="0"/>
              <w:bottom w:val="single" w:color="auto" w:sz="4" w:space="0"/>
              <w:right w:val="single" w:color="auto" w:sz="4" w:space="0"/>
            </w:tcBorders>
            <w:vAlign w:val="center"/>
          </w:tcPr>
          <w:p w14:paraId="11D56560">
            <w:pPr>
              <w:pStyle w:val="45"/>
              <w:rPr>
                <w:rFonts w:hint="eastAsia"/>
                <w:color w:val="auto"/>
              </w:rPr>
            </w:pPr>
            <w:r>
              <w:rPr>
                <w:rFonts w:hint="eastAsia"/>
                <w:color w:val="auto"/>
              </w:rPr>
              <w:t>千分尺</w:t>
            </w:r>
          </w:p>
        </w:tc>
        <w:tc>
          <w:tcPr>
            <w:tcW w:w="1069" w:type="pct"/>
            <w:tcBorders>
              <w:top w:val="single" w:color="auto" w:sz="4" w:space="0"/>
              <w:left w:val="single" w:color="auto" w:sz="4" w:space="0"/>
              <w:bottom w:val="single" w:color="auto" w:sz="4" w:space="0"/>
              <w:right w:val="single" w:color="auto" w:sz="4" w:space="0"/>
            </w:tcBorders>
            <w:vAlign w:val="center"/>
          </w:tcPr>
          <w:p w14:paraId="429ECF5E">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61862B87">
            <w:pPr>
              <w:pStyle w:val="45"/>
              <w:rPr>
                <w:rFonts w:hint="eastAsia"/>
                <w:color w:val="auto"/>
              </w:rPr>
            </w:pPr>
            <w:r>
              <w:rPr>
                <w:rFonts w:hint="eastAsia"/>
                <w:color w:val="auto"/>
              </w:rPr>
              <w:t>2</w:t>
            </w:r>
          </w:p>
        </w:tc>
        <w:tc>
          <w:tcPr>
            <w:tcW w:w="453" w:type="pct"/>
            <w:tcBorders>
              <w:top w:val="single" w:color="auto" w:sz="4" w:space="0"/>
              <w:left w:val="single" w:color="auto" w:sz="4" w:space="0"/>
              <w:bottom w:val="single" w:color="auto" w:sz="4" w:space="0"/>
              <w:right w:val="single" w:color="auto" w:sz="4" w:space="0"/>
            </w:tcBorders>
            <w:vAlign w:val="center"/>
          </w:tcPr>
          <w:p w14:paraId="7340C6D6">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1718F60F">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33A449BC">
            <w:pPr>
              <w:pStyle w:val="45"/>
              <w:rPr>
                <w:rFonts w:hint="eastAsia"/>
                <w:color w:val="auto"/>
              </w:rPr>
            </w:pPr>
            <w:r>
              <w:rPr>
                <w:rFonts w:hint="eastAsia"/>
                <w:color w:val="auto"/>
              </w:rPr>
              <w:t>约40h/台</w:t>
            </w:r>
          </w:p>
        </w:tc>
        <w:tc>
          <w:tcPr>
            <w:tcW w:w="696" w:type="pct"/>
            <w:tcBorders>
              <w:top w:val="single" w:color="auto" w:sz="4" w:space="0"/>
              <w:left w:val="single" w:color="auto" w:sz="4" w:space="0"/>
              <w:bottom w:val="single" w:color="auto" w:sz="4" w:space="0"/>
              <w:right w:val="single" w:color="auto" w:sz="4" w:space="0"/>
            </w:tcBorders>
            <w:vAlign w:val="center"/>
          </w:tcPr>
          <w:p w14:paraId="40AD722F">
            <w:pPr>
              <w:pStyle w:val="45"/>
              <w:rPr>
                <w:rFonts w:hint="eastAsia"/>
                <w:color w:val="auto"/>
              </w:rPr>
            </w:pPr>
            <w:r>
              <w:rPr>
                <w:rFonts w:hint="eastAsia"/>
                <w:color w:val="auto"/>
              </w:rPr>
              <w:t>厚度、宽度控制</w:t>
            </w:r>
          </w:p>
        </w:tc>
      </w:tr>
      <w:tr w14:paraId="42E0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4A54E4C3">
            <w:pPr>
              <w:pStyle w:val="45"/>
              <w:rPr>
                <w:rFonts w:hint="eastAsia"/>
                <w:color w:val="auto"/>
              </w:rPr>
            </w:pPr>
            <w:r>
              <w:rPr>
                <w:rFonts w:hint="eastAsia"/>
                <w:color w:val="auto"/>
              </w:rPr>
              <w:t>20</w:t>
            </w:r>
          </w:p>
        </w:tc>
        <w:tc>
          <w:tcPr>
            <w:tcW w:w="800" w:type="pct"/>
            <w:tcBorders>
              <w:top w:val="single" w:color="auto" w:sz="4" w:space="0"/>
              <w:left w:val="single" w:color="auto" w:sz="4" w:space="0"/>
              <w:bottom w:val="single" w:color="auto" w:sz="4" w:space="0"/>
              <w:right w:val="single" w:color="auto" w:sz="4" w:space="0"/>
            </w:tcBorders>
            <w:vAlign w:val="center"/>
          </w:tcPr>
          <w:p w14:paraId="35D8F7C3">
            <w:pPr>
              <w:pStyle w:val="45"/>
              <w:rPr>
                <w:rFonts w:hint="eastAsia"/>
                <w:color w:val="auto"/>
              </w:rPr>
            </w:pPr>
            <w:r>
              <w:rPr>
                <w:rFonts w:hint="eastAsia"/>
                <w:color w:val="auto"/>
              </w:rPr>
              <w:t>楔形塞尺</w:t>
            </w:r>
          </w:p>
        </w:tc>
        <w:tc>
          <w:tcPr>
            <w:tcW w:w="1069" w:type="pct"/>
            <w:tcBorders>
              <w:top w:val="single" w:color="auto" w:sz="4" w:space="0"/>
              <w:left w:val="single" w:color="auto" w:sz="4" w:space="0"/>
              <w:bottom w:val="single" w:color="auto" w:sz="4" w:space="0"/>
              <w:right w:val="single" w:color="auto" w:sz="4" w:space="0"/>
            </w:tcBorders>
            <w:vAlign w:val="center"/>
          </w:tcPr>
          <w:p w14:paraId="5FA5D565">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77F8708F">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11031B3C">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F3874E2">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73E8E2C2">
            <w:pPr>
              <w:pStyle w:val="45"/>
              <w:rPr>
                <w:rFonts w:hint="eastAsia"/>
                <w:color w:val="auto"/>
              </w:rPr>
            </w:pPr>
            <w:r>
              <w:rPr>
                <w:rFonts w:hint="eastAsia"/>
                <w:color w:val="auto"/>
              </w:rPr>
              <w:t>约40h/台</w:t>
            </w:r>
          </w:p>
        </w:tc>
        <w:tc>
          <w:tcPr>
            <w:tcW w:w="696" w:type="pct"/>
            <w:tcBorders>
              <w:top w:val="single" w:color="auto" w:sz="4" w:space="0"/>
              <w:left w:val="single" w:color="auto" w:sz="4" w:space="0"/>
              <w:bottom w:val="single" w:color="auto" w:sz="4" w:space="0"/>
              <w:right w:val="single" w:color="auto" w:sz="4" w:space="0"/>
            </w:tcBorders>
            <w:vAlign w:val="center"/>
          </w:tcPr>
          <w:p w14:paraId="48501274">
            <w:pPr>
              <w:pStyle w:val="45"/>
              <w:rPr>
                <w:rFonts w:hint="eastAsia"/>
                <w:color w:val="auto"/>
              </w:rPr>
            </w:pPr>
            <w:r>
              <w:rPr>
                <w:rFonts w:hint="eastAsia"/>
                <w:color w:val="auto"/>
              </w:rPr>
              <w:t>平整度控制</w:t>
            </w:r>
          </w:p>
        </w:tc>
      </w:tr>
      <w:tr w14:paraId="14E6E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455431A1">
            <w:pPr>
              <w:pStyle w:val="45"/>
              <w:rPr>
                <w:rFonts w:hint="eastAsia"/>
                <w:color w:val="auto"/>
              </w:rPr>
            </w:pPr>
            <w:r>
              <w:rPr>
                <w:rFonts w:hint="eastAsia"/>
                <w:color w:val="auto"/>
              </w:rPr>
              <w:t>21</w:t>
            </w:r>
          </w:p>
        </w:tc>
        <w:tc>
          <w:tcPr>
            <w:tcW w:w="800" w:type="pct"/>
            <w:tcBorders>
              <w:top w:val="single" w:color="auto" w:sz="4" w:space="0"/>
              <w:left w:val="single" w:color="auto" w:sz="4" w:space="0"/>
              <w:bottom w:val="single" w:color="auto" w:sz="4" w:space="0"/>
              <w:right w:val="single" w:color="auto" w:sz="4" w:space="0"/>
            </w:tcBorders>
            <w:vAlign w:val="center"/>
          </w:tcPr>
          <w:p w14:paraId="4A00CDEC">
            <w:pPr>
              <w:pStyle w:val="45"/>
              <w:rPr>
                <w:rFonts w:hint="eastAsia"/>
                <w:color w:val="auto"/>
              </w:rPr>
            </w:pPr>
            <w:r>
              <w:rPr>
                <w:rFonts w:hint="eastAsia"/>
                <w:color w:val="auto"/>
              </w:rPr>
              <w:t>数字兆欧表</w:t>
            </w:r>
          </w:p>
        </w:tc>
        <w:tc>
          <w:tcPr>
            <w:tcW w:w="1069" w:type="pct"/>
            <w:tcBorders>
              <w:top w:val="single" w:color="auto" w:sz="4" w:space="0"/>
              <w:left w:val="single" w:color="auto" w:sz="4" w:space="0"/>
              <w:bottom w:val="single" w:color="auto" w:sz="4" w:space="0"/>
              <w:right w:val="single" w:color="auto" w:sz="4" w:space="0"/>
            </w:tcBorders>
            <w:vAlign w:val="center"/>
          </w:tcPr>
          <w:p w14:paraId="1BE8A7CF">
            <w:pPr>
              <w:pStyle w:val="45"/>
              <w:rPr>
                <w:rFonts w:hint="eastAsia"/>
                <w:color w:val="auto"/>
              </w:rPr>
            </w:pPr>
            <w:r>
              <w:rPr>
                <w:rFonts w:hint="eastAsia"/>
                <w:color w:val="auto"/>
              </w:rPr>
              <w:t>数字式</w:t>
            </w:r>
          </w:p>
        </w:tc>
        <w:tc>
          <w:tcPr>
            <w:tcW w:w="431" w:type="pct"/>
            <w:tcBorders>
              <w:top w:val="single" w:color="auto" w:sz="4" w:space="0"/>
              <w:left w:val="single" w:color="auto" w:sz="4" w:space="0"/>
              <w:bottom w:val="single" w:color="auto" w:sz="4" w:space="0"/>
              <w:right w:val="single" w:color="auto" w:sz="4" w:space="0"/>
            </w:tcBorders>
            <w:vAlign w:val="center"/>
          </w:tcPr>
          <w:p w14:paraId="477A7835">
            <w:pPr>
              <w:pStyle w:val="45"/>
              <w:rPr>
                <w:rFonts w:hint="eastAsia"/>
                <w:color w:val="auto"/>
              </w:rPr>
            </w:pPr>
            <w:r>
              <w:rPr>
                <w:rFonts w:hint="eastAsia"/>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40625216">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16F3DEC0">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4B52D8A">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55A0CD0A">
            <w:pPr>
              <w:pStyle w:val="45"/>
              <w:rPr>
                <w:rFonts w:hint="eastAsia"/>
                <w:color w:val="auto"/>
              </w:rPr>
            </w:pPr>
            <w:r>
              <w:rPr>
                <w:rFonts w:hint="eastAsia"/>
                <w:color w:val="auto"/>
              </w:rPr>
              <w:t>电器检查</w:t>
            </w:r>
          </w:p>
        </w:tc>
      </w:tr>
      <w:tr w14:paraId="7ED5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8D9FE75">
            <w:pPr>
              <w:pStyle w:val="45"/>
              <w:rPr>
                <w:rFonts w:hint="eastAsia"/>
                <w:color w:val="auto"/>
              </w:rPr>
            </w:pPr>
            <w:r>
              <w:rPr>
                <w:rFonts w:hint="eastAsia"/>
                <w:color w:val="auto"/>
              </w:rPr>
              <w:t>22</w:t>
            </w:r>
          </w:p>
        </w:tc>
        <w:tc>
          <w:tcPr>
            <w:tcW w:w="800" w:type="pct"/>
            <w:tcBorders>
              <w:top w:val="single" w:color="auto" w:sz="4" w:space="0"/>
              <w:left w:val="single" w:color="auto" w:sz="4" w:space="0"/>
              <w:bottom w:val="single" w:color="auto" w:sz="4" w:space="0"/>
              <w:right w:val="single" w:color="auto" w:sz="4" w:space="0"/>
            </w:tcBorders>
            <w:vAlign w:val="center"/>
          </w:tcPr>
          <w:p w14:paraId="5E03D287">
            <w:pPr>
              <w:pStyle w:val="45"/>
              <w:rPr>
                <w:rFonts w:hint="eastAsia"/>
                <w:color w:val="auto"/>
              </w:rPr>
            </w:pPr>
            <w:r>
              <w:rPr>
                <w:rFonts w:hint="eastAsia"/>
                <w:color w:val="auto"/>
              </w:rPr>
              <w:t>钳型电流表</w:t>
            </w:r>
          </w:p>
        </w:tc>
        <w:tc>
          <w:tcPr>
            <w:tcW w:w="1069" w:type="pct"/>
            <w:tcBorders>
              <w:top w:val="single" w:color="auto" w:sz="4" w:space="0"/>
              <w:left w:val="single" w:color="auto" w:sz="4" w:space="0"/>
              <w:bottom w:val="single" w:color="auto" w:sz="4" w:space="0"/>
              <w:right w:val="single" w:color="auto" w:sz="4" w:space="0"/>
            </w:tcBorders>
            <w:vAlign w:val="center"/>
          </w:tcPr>
          <w:p w14:paraId="53B060FB">
            <w:pPr>
              <w:pStyle w:val="45"/>
              <w:rPr>
                <w:rFonts w:hint="eastAsia"/>
                <w:color w:val="auto"/>
              </w:rPr>
            </w:pPr>
            <w:r>
              <w:rPr>
                <w:rFonts w:hint="eastAsia"/>
                <w:color w:val="auto"/>
              </w:rPr>
              <w:t>T302</w:t>
            </w:r>
          </w:p>
        </w:tc>
        <w:tc>
          <w:tcPr>
            <w:tcW w:w="431" w:type="pct"/>
            <w:tcBorders>
              <w:top w:val="single" w:color="auto" w:sz="4" w:space="0"/>
              <w:left w:val="single" w:color="auto" w:sz="4" w:space="0"/>
              <w:bottom w:val="single" w:color="auto" w:sz="4" w:space="0"/>
              <w:right w:val="single" w:color="auto" w:sz="4" w:space="0"/>
            </w:tcBorders>
            <w:vAlign w:val="center"/>
          </w:tcPr>
          <w:p w14:paraId="30855227">
            <w:pPr>
              <w:pStyle w:val="45"/>
              <w:rPr>
                <w:rFonts w:hint="eastAsia"/>
                <w:color w:val="auto"/>
              </w:rPr>
            </w:pPr>
            <w:r>
              <w:rPr>
                <w:rFonts w:hint="eastAsia"/>
                <w:color w:val="auto"/>
              </w:rPr>
              <w:t>4</w:t>
            </w:r>
          </w:p>
        </w:tc>
        <w:tc>
          <w:tcPr>
            <w:tcW w:w="453" w:type="pct"/>
            <w:tcBorders>
              <w:top w:val="single" w:color="auto" w:sz="4" w:space="0"/>
              <w:left w:val="single" w:color="auto" w:sz="4" w:space="0"/>
              <w:bottom w:val="single" w:color="auto" w:sz="4" w:space="0"/>
              <w:right w:val="single" w:color="auto" w:sz="4" w:space="0"/>
            </w:tcBorders>
            <w:vAlign w:val="center"/>
          </w:tcPr>
          <w:p w14:paraId="05AD7B43">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6B5E6BB0">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056418A">
            <w:pPr>
              <w:pStyle w:val="45"/>
              <w:rPr>
                <w:rFonts w:hint="eastAsia"/>
                <w:color w:val="auto"/>
              </w:rPr>
            </w:pPr>
            <w:r>
              <w:rPr>
                <w:rFonts w:hint="eastAsia"/>
                <w:color w:val="auto"/>
              </w:rPr>
              <w:t>约160h/台</w:t>
            </w:r>
          </w:p>
        </w:tc>
        <w:tc>
          <w:tcPr>
            <w:tcW w:w="696" w:type="pct"/>
            <w:tcBorders>
              <w:top w:val="single" w:color="auto" w:sz="4" w:space="0"/>
              <w:left w:val="single" w:color="auto" w:sz="4" w:space="0"/>
              <w:bottom w:val="single" w:color="auto" w:sz="4" w:space="0"/>
              <w:right w:val="single" w:color="auto" w:sz="4" w:space="0"/>
            </w:tcBorders>
            <w:vAlign w:val="center"/>
          </w:tcPr>
          <w:p w14:paraId="281D15B0">
            <w:pPr>
              <w:pStyle w:val="45"/>
              <w:rPr>
                <w:rFonts w:hint="eastAsia"/>
                <w:color w:val="auto"/>
              </w:rPr>
            </w:pPr>
            <w:r>
              <w:rPr>
                <w:rFonts w:hint="eastAsia"/>
                <w:color w:val="auto"/>
              </w:rPr>
              <w:t>电器检查</w:t>
            </w:r>
          </w:p>
        </w:tc>
      </w:tr>
      <w:tr w14:paraId="7A0D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6BAD07AE">
            <w:pPr>
              <w:pStyle w:val="45"/>
              <w:rPr>
                <w:rFonts w:hint="eastAsia"/>
                <w:color w:val="auto"/>
              </w:rPr>
            </w:pPr>
            <w:r>
              <w:rPr>
                <w:rFonts w:hint="eastAsia"/>
                <w:color w:val="auto"/>
              </w:rPr>
              <w:t>23</w:t>
            </w:r>
          </w:p>
        </w:tc>
        <w:tc>
          <w:tcPr>
            <w:tcW w:w="800" w:type="pct"/>
            <w:tcBorders>
              <w:top w:val="single" w:color="auto" w:sz="4" w:space="0"/>
              <w:left w:val="single" w:color="auto" w:sz="4" w:space="0"/>
              <w:bottom w:val="single" w:color="auto" w:sz="4" w:space="0"/>
              <w:right w:val="single" w:color="auto" w:sz="4" w:space="0"/>
            </w:tcBorders>
            <w:vAlign w:val="center"/>
          </w:tcPr>
          <w:p w14:paraId="680C932C">
            <w:pPr>
              <w:pStyle w:val="45"/>
              <w:rPr>
                <w:rFonts w:hint="eastAsia"/>
                <w:color w:val="auto"/>
              </w:rPr>
            </w:pPr>
            <w:r>
              <w:rPr>
                <w:rFonts w:hint="eastAsia"/>
                <w:color w:val="auto"/>
              </w:rPr>
              <w:t>接地电阻测试仪</w:t>
            </w:r>
          </w:p>
        </w:tc>
        <w:tc>
          <w:tcPr>
            <w:tcW w:w="1069" w:type="pct"/>
            <w:tcBorders>
              <w:top w:val="single" w:color="auto" w:sz="4" w:space="0"/>
              <w:left w:val="single" w:color="auto" w:sz="4" w:space="0"/>
              <w:bottom w:val="single" w:color="auto" w:sz="4" w:space="0"/>
              <w:right w:val="single" w:color="auto" w:sz="4" w:space="0"/>
            </w:tcBorders>
            <w:vAlign w:val="center"/>
          </w:tcPr>
          <w:p w14:paraId="4576EDA7">
            <w:pPr>
              <w:pStyle w:val="45"/>
              <w:rPr>
                <w:rFonts w:hint="eastAsia"/>
                <w:color w:val="auto"/>
              </w:rPr>
            </w:pPr>
            <w:r>
              <w:rPr>
                <w:rFonts w:hint="eastAsia"/>
                <w:color w:val="auto"/>
              </w:rPr>
              <w:t>数字式</w:t>
            </w:r>
          </w:p>
        </w:tc>
        <w:tc>
          <w:tcPr>
            <w:tcW w:w="431" w:type="pct"/>
            <w:tcBorders>
              <w:top w:val="single" w:color="auto" w:sz="4" w:space="0"/>
              <w:left w:val="single" w:color="auto" w:sz="4" w:space="0"/>
              <w:bottom w:val="single" w:color="auto" w:sz="4" w:space="0"/>
              <w:right w:val="single" w:color="auto" w:sz="4" w:space="0"/>
            </w:tcBorders>
            <w:vAlign w:val="center"/>
          </w:tcPr>
          <w:p w14:paraId="7E88045E">
            <w:pPr>
              <w:pStyle w:val="45"/>
              <w:rPr>
                <w:rFonts w:hint="eastAsia"/>
                <w:color w:val="auto"/>
              </w:rPr>
            </w:pPr>
            <w:r>
              <w:rPr>
                <w:rFonts w:hint="eastAsia"/>
                <w:color w:val="auto"/>
              </w:rPr>
              <w:t>1</w:t>
            </w:r>
          </w:p>
        </w:tc>
        <w:tc>
          <w:tcPr>
            <w:tcW w:w="453" w:type="pct"/>
            <w:tcBorders>
              <w:top w:val="single" w:color="auto" w:sz="4" w:space="0"/>
              <w:left w:val="single" w:color="auto" w:sz="4" w:space="0"/>
              <w:bottom w:val="single" w:color="auto" w:sz="4" w:space="0"/>
              <w:right w:val="single" w:color="auto" w:sz="4" w:space="0"/>
            </w:tcBorders>
            <w:vAlign w:val="center"/>
          </w:tcPr>
          <w:p w14:paraId="431C8F25">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9AC682A">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624F86A">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735AB639">
            <w:pPr>
              <w:pStyle w:val="45"/>
              <w:rPr>
                <w:rFonts w:hint="eastAsia"/>
                <w:color w:val="auto"/>
              </w:rPr>
            </w:pPr>
            <w:r>
              <w:rPr>
                <w:rFonts w:hint="eastAsia"/>
                <w:color w:val="auto"/>
              </w:rPr>
              <w:t>电器检查</w:t>
            </w:r>
          </w:p>
        </w:tc>
      </w:tr>
      <w:tr w14:paraId="5D141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77BFB3B4">
            <w:pPr>
              <w:pStyle w:val="45"/>
              <w:rPr>
                <w:rFonts w:hint="eastAsia"/>
                <w:color w:val="auto"/>
              </w:rPr>
            </w:pPr>
            <w:r>
              <w:rPr>
                <w:rFonts w:hint="eastAsia"/>
                <w:color w:val="auto"/>
              </w:rPr>
              <w:t>24</w:t>
            </w:r>
          </w:p>
        </w:tc>
        <w:tc>
          <w:tcPr>
            <w:tcW w:w="800" w:type="pct"/>
            <w:tcBorders>
              <w:top w:val="single" w:color="auto" w:sz="4" w:space="0"/>
              <w:left w:val="single" w:color="auto" w:sz="4" w:space="0"/>
              <w:bottom w:val="single" w:color="auto" w:sz="4" w:space="0"/>
              <w:right w:val="single" w:color="auto" w:sz="4" w:space="0"/>
            </w:tcBorders>
            <w:vAlign w:val="center"/>
          </w:tcPr>
          <w:p w14:paraId="105DF7E8">
            <w:pPr>
              <w:pStyle w:val="45"/>
              <w:rPr>
                <w:rFonts w:hint="eastAsia"/>
                <w:color w:val="auto"/>
              </w:rPr>
            </w:pPr>
            <w:r>
              <w:rPr>
                <w:rFonts w:hint="eastAsia"/>
                <w:color w:val="auto"/>
              </w:rPr>
              <w:t>数字式万用表</w:t>
            </w:r>
          </w:p>
        </w:tc>
        <w:tc>
          <w:tcPr>
            <w:tcW w:w="1069" w:type="pct"/>
            <w:tcBorders>
              <w:top w:val="single" w:color="auto" w:sz="4" w:space="0"/>
              <w:left w:val="single" w:color="auto" w:sz="4" w:space="0"/>
              <w:bottom w:val="single" w:color="auto" w:sz="4" w:space="0"/>
              <w:right w:val="single" w:color="auto" w:sz="4" w:space="0"/>
            </w:tcBorders>
            <w:vAlign w:val="center"/>
          </w:tcPr>
          <w:p w14:paraId="7FFC27F7">
            <w:pPr>
              <w:pStyle w:val="45"/>
              <w:rPr>
                <w:rFonts w:hint="eastAsia"/>
                <w:color w:val="auto"/>
              </w:rPr>
            </w:pPr>
            <w:r>
              <w:rPr>
                <w:rFonts w:hint="eastAsia"/>
                <w:color w:val="auto"/>
              </w:rPr>
              <w:t>2000型</w:t>
            </w:r>
          </w:p>
        </w:tc>
        <w:tc>
          <w:tcPr>
            <w:tcW w:w="431" w:type="pct"/>
            <w:tcBorders>
              <w:top w:val="single" w:color="auto" w:sz="4" w:space="0"/>
              <w:left w:val="single" w:color="auto" w:sz="4" w:space="0"/>
              <w:bottom w:val="single" w:color="auto" w:sz="4" w:space="0"/>
              <w:right w:val="single" w:color="auto" w:sz="4" w:space="0"/>
            </w:tcBorders>
            <w:vAlign w:val="center"/>
          </w:tcPr>
          <w:p w14:paraId="079620C6">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25741117">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70C06BEE">
            <w:pPr>
              <w:pStyle w:val="45"/>
              <w:rPr>
                <w:rFonts w:hint="eastAsia"/>
                <w:color w:val="auto"/>
              </w:rPr>
            </w:pPr>
            <w:r>
              <w:rPr>
                <w:rFonts w:hint="eastAsia"/>
                <w:color w:val="auto"/>
              </w:rPr>
              <w:t>201</w:t>
            </w:r>
            <w:r>
              <w:rPr>
                <w:color w:val="auto"/>
              </w:rPr>
              <w:t>7</w:t>
            </w:r>
          </w:p>
        </w:tc>
        <w:tc>
          <w:tcPr>
            <w:tcW w:w="766" w:type="pct"/>
            <w:tcBorders>
              <w:top w:val="single" w:color="auto" w:sz="4" w:space="0"/>
              <w:left w:val="single" w:color="auto" w:sz="4" w:space="0"/>
              <w:bottom w:val="single" w:color="auto" w:sz="4" w:space="0"/>
              <w:right w:val="single" w:color="auto" w:sz="4" w:space="0"/>
            </w:tcBorders>
            <w:vAlign w:val="center"/>
          </w:tcPr>
          <w:p w14:paraId="20F97BBB">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1E0C6890">
            <w:pPr>
              <w:pStyle w:val="45"/>
              <w:rPr>
                <w:rFonts w:hint="eastAsia"/>
                <w:color w:val="auto"/>
              </w:rPr>
            </w:pPr>
            <w:r>
              <w:rPr>
                <w:rFonts w:hint="eastAsia"/>
                <w:color w:val="auto"/>
              </w:rPr>
              <w:t>电器检查</w:t>
            </w:r>
          </w:p>
        </w:tc>
      </w:tr>
      <w:tr w14:paraId="55E0C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668BE018">
            <w:pPr>
              <w:pStyle w:val="45"/>
              <w:rPr>
                <w:rFonts w:hint="eastAsia"/>
                <w:color w:val="auto"/>
              </w:rPr>
            </w:pPr>
            <w:r>
              <w:rPr>
                <w:rFonts w:hint="eastAsia"/>
                <w:color w:val="auto"/>
              </w:rPr>
              <w:t>25</w:t>
            </w:r>
          </w:p>
        </w:tc>
        <w:tc>
          <w:tcPr>
            <w:tcW w:w="800" w:type="pct"/>
            <w:tcBorders>
              <w:top w:val="single" w:color="auto" w:sz="4" w:space="0"/>
              <w:left w:val="single" w:color="auto" w:sz="4" w:space="0"/>
              <w:bottom w:val="single" w:color="auto" w:sz="4" w:space="0"/>
              <w:right w:val="single" w:color="auto" w:sz="4" w:space="0"/>
            </w:tcBorders>
            <w:vAlign w:val="center"/>
          </w:tcPr>
          <w:p w14:paraId="1F20EE0F">
            <w:pPr>
              <w:pStyle w:val="45"/>
              <w:rPr>
                <w:rFonts w:hint="eastAsia"/>
                <w:color w:val="auto"/>
              </w:rPr>
            </w:pPr>
            <w:r>
              <w:rPr>
                <w:rFonts w:hint="eastAsia"/>
                <w:color w:val="auto"/>
              </w:rPr>
              <w:t>电缆测试仪</w:t>
            </w:r>
          </w:p>
        </w:tc>
        <w:tc>
          <w:tcPr>
            <w:tcW w:w="1069" w:type="pct"/>
            <w:tcBorders>
              <w:top w:val="single" w:color="auto" w:sz="4" w:space="0"/>
              <w:left w:val="single" w:color="auto" w:sz="4" w:space="0"/>
              <w:bottom w:val="single" w:color="auto" w:sz="4" w:space="0"/>
              <w:right w:val="single" w:color="auto" w:sz="4" w:space="0"/>
            </w:tcBorders>
            <w:vAlign w:val="center"/>
          </w:tcPr>
          <w:p w14:paraId="4D597A28">
            <w:pPr>
              <w:pStyle w:val="45"/>
              <w:rPr>
                <w:rFonts w:hint="eastAsia"/>
                <w:color w:val="auto"/>
              </w:rPr>
            </w:pPr>
            <w:r>
              <w:rPr>
                <w:rFonts w:hint="eastAsia"/>
                <w:color w:val="auto"/>
              </w:rPr>
              <w:t>RLC-2000</w:t>
            </w:r>
          </w:p>
        </w:tc>
        <w:tc>
          <w:tcPr>
            <w:tcW w:w="431" w:type="pct"/>
            <w:tcBorders>
              <w:top w:val="single" w:color="auto" w:sz="4" w:space="0"/>
              <w:left w:val="single" w:color="auto" w:sz="4" w:space="0"/>
              <w:bottom w:val="single" w:color="auto" w:sz="4" w:space="0"/>
              <w:right w:val="single" w:color="auto" w:sz="4" w:space="0"/>
            </w:tcBorders>
            <w:vAlign w:val="center"/>
          </w:tcPr>
          <w:p w14:paraId="7CB04005">
            <w:pPr>
              <w:pStyle w:val="45"/>
              <w:rPr>
                <w:rFonts w:hint="eastAsia"/>
                <w:color w:val="auto"/>
              </w:rPr>
            </w:pPr>
            <w:r>
              <w:rPr>
                <w:rFonts w:hint="eastAsia"/>
                <w:color w:val="auto"/>
              </w:rPr>
              <w:t>2</w:t>
            </w:r>
          </w:p>
        </w:tc>
        <w:tc>
          <w:tcPr>
            <w:tcW w:w="453" w:type="pct"/>
            <w:tcBorders>
              <w:top w:val="single" w:color="auto" w:sz="4" w:space="0"/>
              <w:left w:val="single" w:color="auto" w:sz="4" w:space="0"/>
              <w:bottom w:val="single" w:color="auto" w:sz="4" w:space="0"/>
              <w:right w:val="single" w:color="auto" w:sz="4" w:space="0"/>
            </w:tcBorders>
            <w:vAlign w:val="center"/>
          </w:tcPr>
          <w:p w14:paraId="10950AD0">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40CC7EF1">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002EB1EE">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1A6CAACA">
            <w:pPr>
              <w:pStyle w:val="45"/>
              <w:rPr>
                <w:rFonts w:hint="eastAsia"/>
                <w:color w:val="auto"/>
              </w:rPr>
            </w:pPr>
            <w:r>
              <w:rPr>
                <w:rFonts w:hint="eastAsia"/>
                <w:color w:val="auto"/>
              </w:rPr>
              <w:t>电器检查</w:t>
            </w:r>
          </w:p>
        </w:tc>
      </w:tr>
      <w:tr w14:paraId="7A2F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2BDD2DE6">
            <w:pPr>
              <w:pStyle w:val="45"/>
              <w:rPr>
                <w:rFonts w:hint="eastAsia"/>
                <w:color w:val="auto"/>
              </w:rPr>
            </w:pPr>
            <w:r>
              <w:rPr>
                <w:rFonts w:hint="eastAsia"/>
                <w:color w:val="auto"/>
              </w:rPr>
              <w:t>26</w:t>
            </w:r>
          </w:p>
        </w:tc>
        <w:tc>
          <w:tcPr>
            <w:tcW w:w="800" w:type="pct"/>
            <w:tcBorders>
              <w:top w:val="single" w:color="auto" w:sz="4" w:space="0"/>
              <w:left w:val="single" w:color="auto" w:sz="4" w:space="0"/>
              <w:bottom w:val="single" w:color="auto" w:sz="4" w:space="0"/>
              <w:right w:val="single" w:color="auto" w:sz="4" w:space="0"/>
            </w:tcBorders>
            <w:vAlign w:val="center"/>
          </w:tcPr>
          <w:p w14:paraId="5F36A11A">
            <w:pPr>
              <w:pStyle w:val="45"/>
              <w:rPr>
                <w:rFonts w:hint="eastAsia"/>
                <w:color w:val="auto"/>
              </w:rPr>
            </w:pPr>
            <w:r>
              <w:rPr>
                <w:rFonts w:hint="eastAsia"/>
                <w:color w:val="auto"/>
              </w:rPr>
              <w:t>电压表</w:t>
            </w:r>
          </w:p>
        </w:tc>
        <w:tc>
          <w:tcPr>
            <w:tcW w:w="1069" w:type="pct"/>
            <w:tcBorders>
              <w:top w:val="single" w:color="auto" w:sz="4" w:space="0"/>
              <w:left w:val="single" w:color="auto" w:sz="4" w:space="0"/>
              <w:bottom w:val="single" w:color="auto" w:sz="4" w:space="0"/>
              <w:right w:val="single" w:color="auto" w:sz="4" w:space="0"/>
            </w:tcBorders>
            <w:vAlign w:val="center"/>
          </w:tcPr>
          <w:p w14:paraId="4DCF4666">
            <w:pPr>
              <w:pStyle w:val="45"/>
              <w:rPr>
                <w:rFonts w:hint="eastAsia"/>
                <w:color w:val="auto"/>
              </w:rPr>
            </w:pPr>
            <w:r>
              <w:rPr>
                <w:rFonts w:hint="eastAsia"/>
                <w:color w:val="auto"/>
              </w:rPr>
              <w:t>T275-300</w:t>
            </w:r>
          </w:p>
        </w:tc>
        <w:tc>
          <w:tcPr>
            <w:tcW w:w="431" w:type="pct"/>
            <w:tcBorders>
              <w:top w:val="single" w:color="auto" w:sz="4" w:space="0"/>
              <w:left w:val="single" w:color="auto" w:sz="4" w:space="0"/>
              <w:bottom w:val="single" w:color="auto" w:sz="4" w:space="0"/>
              <w:right w:val="single" w:color="auto" w:sz="4" w:space="0"/>
            </w:tcBorders>
            <w:vAlign w:val="center"/>
          </w:tcPr>
          <w:p w14:paraId="23CC9CBC">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7BA59E6D">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1BBBBC67">
            <w:pPr>
              <w:pStyle w:val="45"/>
              <w:rPr>
                <w:rFonts w:hint="eastAsia"/>
                <w:color w:val="auto"/>
              </w:rPr>
            </w:pPr>
            <w:r>
              <w:rPr>
                <w:color w:val="auto"/>
              </w:rPr>
              <w:t>2016</w:t>
            </w:r>
          </w:p>
        </w:tc>
        <w:tc>
          <w:tcPr>
            <w:tcW w:w="766" w:type="pct"/>
            <w:tcBorders>
              <w:top w:val="single" w:color="auto" w:sz="4" w:space="0"/>
              <w:left w:val="single" w:color="auto" w:sz="4" w:space="0"/>
              <w:bottom w:val="single" w:color="auto" w:sz="4" w:space="0"/>
              <w:right w:val="single" w:color="auto" w:sz="4" w:space="0"/>
            </w:tcBorders>
            <w:vAlign w:val="center"/>
          </w:tcPr>
          <w:p w14:paraId="0C377830">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470A88D4">
            <w:pPr>
              <w:pStyle w:val="45"/>
              <w:rPr>
                <w:rFonts w:hint="eastAsia"/>
                <w:color w:val="auto"/>
              </w:rPr>
            </w:pPr>
            <w:r>
              <w:rPr>
                <w:rFonts w:hint="eastAsia"/>
                <w:color w:val="auto"/>
              </w:rPr>
              <w:t>电器检查</w:t>
            </w:r>
          </w:p>
        </w:tc>
      </w:tr>
      <w:tr w14:paraId="44FA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1D9B2738">
            <w:pPr>
              <w:pStyle w:val="45"/>
              <w:rPr>
                <w:rFonts w:hint="eastAsia"/>
                <w:color w:val="auto"/>
              </w:rPr>
            </w:pPr>
            <w:r>
              <w:rPr>
                <w:rFonts w:hint="eastAsia"/>
                <w:color w:val="auto"/>
              </w:rPr>
              <w:t>27</w:t>
            </w:r>
          </w:p>
        </w:tc>
        <w:tc>
          <w:tcPr>
            <w:tcW w:w="800" w:type="pct"/>
            <w:tcBorders>
              <w:top w:val="single" w:color="auto" w:sz="4" w:space="0"/>
              <w:left w:val="single" w:color="auto" w:sz="4" w:space="0"/>
              <w:bottom w:val="single" w:color="auto" w:sz="4" w:space="0"/>
              <w:right w:val="single" w:color="auto" w:sz="4" w:space="0"/>
            </w:tcBorders>
            <w:vAlign w:val="center"/>
          </w:tcPr>
          <w:p w14:paraId="643C4C69">
            <w:pPr>
              <w:pStyle w:val="45"/>
              <w:rPr>
                <w:rFonts w:hint="eastAsia"/>
                <w:color w:val="auto"/>
              </w:rPr>
            </w:pPr>
            <w:r>
              <w:rPr>
                <w:rFonts w:hint="eastAsia"/>
                <w:color w:val="auto"/>
              </w:rPr>
              <w:t>电热棒</w:t>
            </w:r>
          </w:p>
        </w:tc>
        <w:tc>
          <w:tcPr>
            <w:tcW w:w="1069" w:type="pct"/>
            <w:tcBorders>
              <w:top w:val="single" w:color="auto" w:sz="4" w:space="0"/>
              <w:left w:val="single" w:color="auto" w:sz="4" w:space="0"/>
              <w:bottom w:val="single" w:color="auto" w:sz="4" w:space="0"/>
              <w:right w:val="single" w:color="auto" w:sz="4" w:space="0"/>
            </w:tcBorders>
            <w:vAlign w:val="center"/>
          </w:tcPr>
          <w:p w14:paraId="784C3367">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1E5CFFC4">
            <w:pPr>
              <w:pStyle w:val="45"/>
              <w:rPr>
                <w:rFonts w:hint="eastAsia"/>
                <w:color w:val="auto"/>
              </w:rPr>
            </w:pPr>
            <w:r>
              <w:rPr>
                <w:rFonts w:hint="eastAsia"/>
                <w:color w:val="auto"/>
              </w:rPr>
              <w:t>3</w:t>
            </w:r>
          </w:p>
        </w:tc>
        <w:tc>
          <w:tcPr>
            <w:tcW w:w="453" w:type="pct"/>
            <w:tcBorders>
              <w:top w:val="single" w:color="auto" w:sz="4" w:space="0"/>
              <w:left w:val="single" w:color="auto" w:sz="4" w:space="0"/>
              <w:bottom w:val="single" w:color="auto" w:sz="4" w:space="0"/>
              <w:right w:val="single" w:color="auto" w:sz="4" w:space="0"/>
            </w:tcBorders>
            <w:vAlign w:val="center"/>
          </w:tcPr>
          <w:p w14:paraId="70CCB3BA">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7817E93E">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485BE755">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08C692CE">
            <w:pPr>
              <w:pStyle w:val="45"/>
              <w:rPr>
                <w:rFonts w:hint="eastAsia"/>
                <w:color w:val="auto"/>
              </w:rPr>
            </w:pPr>
            <w:r>
              <w:rPr>
                <w:rFonts w:hint="eastAsia"/>
                <w:color w:val="auto"/>
              </w:rPr>
              <w:t>试块养护</w:t>
            </w:r>
          </w:p>
        </w:tc>
      </w:tr>
      <w:tr w14:paraId="5A2B8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94" w:type="pct"/>
            <w:tcBorders>
              <w:top w:val="single" w:color="auto" w:sz="4" w:space="0"/>
              <w:left w:val="single" w:color="auto" w:sz="4" w:space="0"/>
              <w:bottom w:val="single" w:color="auto" w:sz="4" w:space="0"/>
              <w:right w:val="single" w:color="auto" w:sz="4" w:space="0"/>
            </w:tcBorders>
            <w:vAlign w:val="center"/>
          </w:tcPr>
          <w:p w14:paraId="5E738D6A">
            <w:pPr>
              <w:pStyle w:val="45"/>
              <w:rPr>
                <w:rFonts w:hint="eastAsia"/>
                <w:color w:val="auto"/>
              </w:rPr>
            </w:pPr>
            <w:r>
              <w:rPr>
                <w:rFonts w:hint="eastAsia"/>
                <w:color w:val="auto"/>
              </w:rPr>
              <w:t>2</w:t>
            </w:r>
            <w:r>
              <w:rPr>
                <w:color w:val="auto"/>
              </w:rPr>
              <w:t>8</w:t>
            </w:r>
          </w:p>
        </w:tc>
        <w:tc>
          <w:tcPr>
            <w:tcW w:w="800" w:type="pct"/>
            <w:tcBorders>
              <w:top w:val="single" w:color="auto" w:sz="4" w:space="0"/>
              <w:left w:val="single" w:color="auto" w:sz="4" w:space="0"/>
              <w:bottom w:val="single" w:color="auto" w:sz="4" w:space="0"/>
              <w:right w:val="single" w:color="auto" w:sz="4" w:space="0"/>
            </w:tcBorders>
            <w:vAlign w:val="center"/>
          </w:tcPr>
          <w:p w14:paraId="1204F26E">
            <w:pPr>
              <w:pStyle w:val="45"/>
              <w:rPr>
                <w:rFonts w:hint="eastAsia"/>
                <w:color w:val="auto"/>
              </w:rPr>
            </w:pPr>
            <w:r>
              <w:rPr>
                <w:rFonts w:hint="eastAsia"/>
                <w:color w:val="auto"/>
              </w:rPr>
              <w:t>坍落度仪</w:t>
            </w:r>
          </w:p>
        </w:tc>
        <w:tc>
          <w:tcPr>
            <w:tcW w:w="1069" w:type="pct"/>
            <w:tcBorders>
              <w:top w:val="single" w:color="auto" w:sz="4" w:space="0"/>
              <w:left w:val="single" w:color="auto" w:sz="4" w:space="0"/>
              <w:bottom w:val="single" w:color="auto" w:sz="4" w:space="0"/>
              <w:right w:val="single" w:color="auto" w:sz="4" w:space="0"/>
            </w:tcBorders>
            <w:vAlign w:val="center"/>
          </w:tcPr>
          <w:p w14:paraId="62D50E0C">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2288C305">
            <w:pPr>
              <w:pStyle w:val="45"/>
              <w:rPr>
                <w:rFonts w:hint="eastAsia"/>
                <w:color w:val="auto"/>
              </w:rPr>
            </w:pPr>
            <w:r>
              <w:rPr>
                <w:rFonts w:hint="eastAsia"/>
                <w:color w:val="auto"/>
              </w:rPr>
              <w:t>7</w:t>
            </w:r>
          </w:p>
        </w:tc>
        <w:tc>
          <w:tcPr>
            <w:tcW w:w="453" w:type="pct"/>
            <w:tcBorders>
              <w:top w:val="single" w:color="auto" w:sz="4" w:space="0"/>
              <w:left w:val="single" w:color="auto" w:sz="4" w:space="0"/>
              <w:bottom w:val="single" w:color="auto" w:sz="4" w:space="0"/>
              <w:right w:val="single" w:color="auto" w:sz="4" w:space="0"/>
            </w:tcBorders>
            <w:vAlign w:val="center"/>
          </w:tcPr>
          <w:p w14:paraId="73AE566D">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02369BF9">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040A430D">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18BB07EB">
            <w:pPr>
              <w:pStyle w:val="45"/>
              <w:rPr>
                <w:rFonts w:hint="eastAsia"/>
                <w:color w:val="auto"/>
              </w:rPr>
            </w:pPr>
            <w:r>
              <w:rPr>
                <w:rFonts w:hint="eastAsia"/>
                <w:color w:val="auto"/>
              </w:rPr>
              <w:t>测混凝土</w:t>
            </w:r>
          </w:p>
        </w:tc>
      </w:tr>
      <w:tr w14:paraId="0783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5268439A">
            <w:pPr>
              <w:pStyle w:val="45"/>
              <w:rPr>
                <w:rFonts w:hint="eastAsia"/>
                <w:color w:val="auto"/>
              </w:rPr>
            </w:pPr>
            <w:r>
              <w:rPr>
                <w:rFonts w:hint="eastAsia"/>
                <w:color w:val="auto"/>
              </w:rPr>
              <w:t>29</w:t>
            </w:r>
          </w:p>
        </w:tc>
        <w:tc>
          <w:tcPr>
            <w:tcW w:w="800" w:type="pct"/>
            <w:tcBorders>
              <w:top w:val="single" w:color="auto" w:sz="4" w:space="0"/>
              <w:left w:val="single" w:color="auto" w:sz="4" w:space="0"/>
              <w:bottom w:val="single" w:color="auto" w:sz="4" w:space="0"/>
              <w:right w:val="single" w:color="auto" w:sz="4" w:space="0"/>
            </w:tcBorders>
            <w:vAlign w:val="center"/>
          </w:tcPr>
          <w:p w14:paraId="04F65DBD">
            <w:pPr>
              <w:pStyle w:val="45"/>
              <w:rPr>
                <w:rFonts w:hint="eastAsia"/>
                <w:color w:val="auto"/>
              </w:rPr>
            </w:pPr>
            <w:r>
              <w:rPr>
                <w:rFonts w:hint="eastAsia"/>
                <w:color w:val="auto"/>
              </w:rPr>
              <w:t>混凝土试模</w:t>
            </w:r>
          </w:p>
        </w:tc>
        <w:tc>
          <w:tcPr>
            <w:tcW w:w="1069" w:type="pct"/>
            <w:tcBorders>
              <w:top w:val="single" w:color="auto" w:sz="4" w:space="0"/>
              <w:left w:val="single" w:color="auto" w:sz="4" w:space="0"/>
              <w:bottom w:val="single" w:color="auto" w:sz="4" w:space="0"/>
              <w:right w:val="single" w:color="auto" w:sz="4" w:space="0"/>
            </w:tcBorders>
            <w:vAlign w:val="center"/>
          </w:tcPr>
          <w:p w14:paraId="7A76D99F">
            <w:pPr>
              <w:pStyle w:val="45"/>
              <w:rPr>
                <w:rFonts w:hint="eastAsia"/>
                <w:color w:val="auto"/>
              </w:rPr>
            </w:pPr>
            <w:r>
              <w:rPr>
                <w:rFonts w:hint="eastAsia"/>
                <w:color w:val="auto"/>
              </w:rPr>
              <w:t>100×100×100</w:t>
            </w:r>
          </w:p>
        </w:tc>
        <w:tc>
          <w:tcPr>
            <w:tcW w:w="431" w:type="pct"/>
            <w:tcBorders>
              <w:top w:val="single" w:color="auto" w:sz="4" w:space="0"/>
              <w:left w:val="single" w:color="auto" w:sz="4" w:space="0"/>
              <w:bottom w:val="single" w:color="auto" w:sz="4" w:space="0"/>
              <w:right w:val="single" w:color="auto" w:sz="4" w:space="0"/>
            </w:tcBorders>
            <w:vAlign w:val="center"/>
          </w:tcPr>
          <w:p w14:paraId="3C87B148">
            <w:pPr>
              <w:pStyle w:val="45"/>
              <w:rPr>
                <w:rFonts w:hint="eastAsia"/>
                <w:color w:val="auto"/>
              </w:rPr>
            </w:pPr>
            <w:r>
              <w:rPr>
                <w:rFonts w:hint="eastAsia"/>
                <w:color w:val="auto"/>
              </w:rPr>
              <w:t>120</w:t>
            </w:r>
          </w:p>
        </w:tc>
        <w:tc>
          <w:tcPr>
            <w:tcW w:w="453" w:type="pct"/>
            <w:tcBorders>
              <w:top w:val="single" w:color="auto" w:sz="4" w:space="0"/>
              <w:left w:val="single" w:color="auto" w:sz="4" w:space="0"/>
              <w:bottom w:val="single" w:color="auto" w:sz="4" w:space="0"/>
              <w:right w:val="single" w:color="auto" w:sz="4" w:space="0"/>
            </w:tcBorders>
            <w:vAlign w:val="center"/>
          </w:tcPr>
          <w:p w14:paraId="3CA8EF33">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7ED3B6A">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30D1AB7">
            <w:pPr>
              <w:pStyle w:val="45"/>
              <w:rPr>
                <w:rFonts w:hint="eastAsia"/>
                <w:color w:val="auto"/>
              </w:rPr>
            </w:pPr>
            <w:r>
              <w:rPr>
                <w:rFonts w:hint="eastAsia"/>
                <w:color w:val="auto"/>
              </w:rPr>
              <w:t>约80h/台</w:t>
            </w:r>
          </w:p>
        </w:tc>
        <w:tc>
          <w:tcPr>
            <w:tcW w:w="696" w:type="pct"/>
            <w:tcBorders>
              <w:top w:val="single" w:color="auto" w:sz="4" w:space="0"/>
              <w:left w:val="single" w:color="auto" w:sz="4" w:space="0"/>
              <w:bottom w:val="single" w:color="auto" w:sz="4" w:space="0"/>
              <w:right w:val="single" w:color="auto" w:sz="4" w:space="0"/>
            </w:tcBorders>
            <w:vAlign w:val="center"/>
          </w:tcPr>
          <w:p w14:paraId="48C6A3B7">
            <w:pPr>
              <w:pStyle w:val="45"/>
              <w:rPr>
                <w:rFonts w:hint="eastAsia"/>
                <w:color w:val="auto"/>
              </w:rPr>
            </w:pPr>
            <w:r>
              <w:rPr>
                <w:rFonts w:hint="eastAsia"/>
                <w:color w:val="auto"/>
              </w:rPr>
              <w:t>试块养护</w:t>
            </w:r>
          </w:p>
        </w:tc>
      </w:tr>
      <w:tr w14:paraId="68D92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597A0F53">
            <w:pPr>
              <w:pStyle w:val="45"/>
              <w:rPr>
                <w:rFonts w:hint="eastAsia"/>
                <w:color w:val="auto"/>
              </w:rPr>
            </w:pPr>
            <w:r>
              <w:rPr>
                <w:rFonts w:hint="eastAsia"/>
                <w:color w:val="auto"/>
              </w:rPr>
              <w:t>30</w:t>
            </w:r>
          </w:p>
        </w:tc>
        <w:tc>
          <w:tcPr>
            <w:tcW w:w="800" w:type="pct"/>
            <w:tcBorders>
              <w:top w:val="single" w:color="auto" w:sz="4" w:space="0"/>
              <w:left w:val="single" w:color="auto" w:sz="4" w:space="0"/>
              <w:bottom w:val="single" w:color="auto" w:sz="4" w:space="0"/>
              <w:right w:val="single" w:color="auto" w:sz="4" w:space="0"/>
            </w:tcBorders>
            <w:vAlign w:val="center"/>
          </w:tcPr>
          <w:p w14:paraId="3AAABD71">
            <w:pPr>
              <w:pStyle w:val="45"/>
              <w:rPr>
                <w:rFonts w:hint="eastAsia"/>
                <w:color w:val="auto"/>
              </w:rPr>
            </w:pPr>
            <w:r>
              <w:rPr>
                <w:rFonts w:hint="eastAsia"/>
                <w:color w:val="auto"/>
              </w:rPr>
              <w:t>抗渗试模</w:t>
            </w:r>
          </w:p>
        </w:tc>
        <w:tc>
          <w:tcPr>
            <w:tcW w:w="1069" w:type="pct"/>
            <w:tcBorders>
              <w:top w:val="single" w:color="auto" w:sz="4" w:space="0"/>
              <w:left w:val="single" w:color="auto" w:sz="4" w:space="0"/>
              <w:bottom w:val="single" w:color="auto" w:sz="4" w:space="0"/>
              <w:right w:val="single" w:color="auto" w:sz="4" w:space="0"/>
            </w:tcBorders>
            <w:vAlign w:val="center"/>
          </w:tcPr>
          <w:p w14:paraId="43326D2B">
            <w:pPr>
              <w:pStyle w:val="45"/>
              <w:rPr>
                <w:rFonts w:hint="eastAsia"/>
                <w:color w:val="auto"/>
              </w:rPr>
            </w:pPr>
            <w:r>
              <w:rPr>
                <w:rFonts w:hint="eastAsia"/>
                <w:color w:val="auto"/>
              </w:rPr>
              <w:t>175×185×150</w:t>
            </w:r>
          </w:p>
        </w:tc>
        <w:tc>
          <w:tcPr>
            <w:tcW w:w="431" w:type="pct"/>
            <w:tcBorders>
              <w:top w:val="single" w:color="auto" w:sz="4" w:space="0"/>
              <w:left w:val="single" w:color="auto" w:sz="4" w:space="0"/>
              <w:bottom w:val="single" w:color="auto" w:sz="4" w:space="0"/>
              <w:right w:val="single" w:color="auto" w:sz="4" w:space="0"/>
            </w:tcBorders>
            <w:vAlign w:val="center"/>
          </w:tcPr>
          <w:p w14:paraId="0092F1A7">
            <w:pPr>
              <w:pStyle w:val="45"/>
              <w:rPr>
                <w:rFonts w:hint="eastAsia"/>
                <w:color w:val="auto"/>
              </w:rPr>
            </w:pPr>
            <w:r>
              <w:rPr>
                <w:rFonts w:hint="eastAsia"/>
                <w:color w:val="auto"/>
              </w:rPr>
              <w:t>40</w:t>
            </w:r>
          </w:p>
        </w:tc>
        <w:tc>
          <w:tcPr>
            <w:tcW w:w="453" w:type="pct"/>
            <w:tcBorders>
              <w:top w:val="single" w:color="auto" w:sz="4" w:space="0"/>
              <w:left w:val="single" w:color="auto" w:sz="4" w:space="0"/>
              <w:bottom w:val="single" w:color="auto" w:sz="4" w:space="0"/>
              <w:right w:val="single" w:color="auto" w:sz="4" w:space="0"/>
            </w:tcBorders>
            <w:vAlign w:val="center"/>
          </w:tcPr>
          <w:p w14:paraId="204D3DC8">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4E47D848">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35411118">
            <w:pPr>
              <w:pStyle w:val="45"/>
              <w:rPr>
                <w:rFonts w:hint="eastAsia"/>
                <w:color w:val="auto"/>
              </w:rPr>
            </w:pPr>
            <w:r>
              <w:rPr>
                <w:rFonts w:hint="eastAsia"/>
                <w:color w:val="auto"/>
              </w:rPr>
              <w:t>约120h/台</w:t>
            </w:r>
          </w:p>
        </w:tc>
        <w:tc>
          <w:tcPr>
            <w:tcW w:w="696" w:type="pct"/>
            <w:tcBorders>
              <w:top w:val="single" w:color="auto" w:sz="4" w:space="0"/>
              <w:left w:val="single" w:color="auto" w:sz="4" w:space="0"/>
              <w:bottom w:val="single" w:color="auto" w:sz="4" w:space="0"/>
              <w:right w:val="single" w:color="auto" w:sz="4" w:space="0"/>
            </w:tcBorders>
            <w:vAlign w:val="center"/>
          </w:tcPr>
          <w:p w14:paraId="1C399A17">
            <w:pPr>
              <w:pStyle w:val="45"/>
              <w:rPr>
                <w:rFonts w:hint="eastAsia"/>
                <w:color w:val="auto"/>
              </w:rPr>
            </w:pPr>
            <w:r>
              <w:rPr>
                <w:rFonts w:hint="eastAsia"/>
                <w:color w:val="auto"/>
              </w:rPr>
              <w:t>试块养护</w:t>
            </w:r>
          </w:p>
        </w:tc>
      </w:tr>
      <w:tr w14:paraId="57A5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6E7C3521">
            <w:pPr>
              <w:pStyle w:val="45"/>
              <w:rPr>
                <w:rFonts w:hint="eastAsia"/>
                <w:color w:val="auto"/>
              </w:rPr>
            </w:pPr>
            <w:r>
              <w:rPr>
                <w:rFonts w:hint="eastAsia"/>
                <w:color w:val="auto"/>
              </w:rPr>
              <w:t>31</w:t>
            </w:r>
          </w:p>
        </w:tc>
        <w:tc>
          <w:tcPr>
            <w:tcW w:w="800" w:type="pct"/>
            <w:tcBorders>
              <w:top w:val="single" w:color="auto" w:sz="4" w:space="0"/>
              <w:left w:val="single" w:color="auto" w:sz="4" w:space="0"/>
              <w:bottom w:val="single" w:color="auto" w:sz="4" w:space="0"/>
              <w:right w:val="single" w:color="auto" w:sz="4" w:space="0"/>
            </w:tcBorders>
            <w:vAlign w:val="center"/>
          </w:tcPr>
          <w:p w14:paraId="2E0F3298">
            <w:pPr>
              <w:pStyle w:val="45"/>
              <w:rPr>
                <w:rFonts w:hint="eastAsia"/>
                <w:color w:val="auto"/>
              </w:rPr>
            </w:pPr>
            <w:r>
              <w:rPr>
                <w:rFonts w:hint="eastAsia"/>
                <w:color w:val="auto"/>
              </w:rPr>
              <w:t>砂浆试模</w:t>
            </w:r>
          </w:p>
        </w:tc>
        <w:tc>
          <w:tcPr>
            <w:tcW w:w="1069" w:type="pct"/>
            <w:tcBorders>
              <w:top w:val="single" w:color="auto" w:sz="4" w:space="0"/>
              <w:left w:val="single" w:color="auto" w:sz="4" w:space="0"/>
              <w:bottom w:val="single" w:color="auto" w:sz="4" w:space="0"/>
              <w:right w:val="single" w:color="auto" w:sz="4" w:space="0"/>
            </w:tcBorders>
            <w:vAlign w:val="center"/>
          </w:tcPr>
          <w:p w14:paraId="1814B196">
            <w:pPr>
              <w:pStyle w:val="45"/>
              <w:rPr>
                <w:rFonts w:hint="eastAsia"/>
                <w:color w:val="auto"/>
              </w:rPr>
            </w:pPr>
            <w:r>
              <w:rPr>
                <w:rFonts w:hint="eastAsia"/>
                <w:color w:val="auto"/>
              </w:rPr>
              <w:t>70.7×70.7×70.7</w:t>
            </w:r>
          </w:p>
        </w:tc>
        <w:tc>
          <w:tcPr>
            <w:tcW w:w="431" w:type="pct"/>
            <w:tcBorders>
              <w:top w:val="single" w:color="auto" w:sz="4" w:space="0"/>
              <w:left w:val="single" w:color="auto" w:sz="4" w:space="0"/>
              <w:bottom w:val="single" w:color="auto" w:sz="4" w:space="0"/>
              <w:right w:val="single" w:color="auto" w:sz="4" w:space="0"/>
            </w:tcBorders>
            <w:vAlign w:val="center"/>
          </w:tcPr>
          <w:p w14:paraId="6CED7C17">
            <w:pPr>
              <w:pStyle w:val="45"/>
              <w:rPr>
                <w:rFonts w:hint="eastAsia"/>
                <w:color w:val="auto"/>
              </w:rPr>
            </w:pPr>
            <w:r>
              <w:rPr>
                <w:rFonts w:hint="eastAsia"/>
                <w:color w:val="auto"/>
              </w:rPr>
              <w:t>30</w:t>
            </w:r>
          </w:p>
        </w:tc>
        <w:tc>
          <w:tcPr>
            <w:tcW w:w="453" w:type="pct"/>
            <w:tcBorders>
              <w:top w:val="single" w:color="auto" w:sz="4" w:space="0"/>
              <w:left w:val="single" w:color="auto" w:sz="4" w:space="0"/>
              <w:bottom w:val="single" w:color="auto" w:sz="4" w:space="0"/>
              <w:right w:val="single" w:color="auto" w:sz="4" w:space="0"/>
            </w:tcBorders>
            <w:vAlign w:val="center"/>
          </w:tcPr>
          <w:p w14:paraId="6DBE6BD3">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3D3B6607">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AC5F56F">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07656377">
            <w:pPr>
              <w:pStyle w:val="45"/>
              <w:rPr>
                <w:rFonts w:hint="eastAsia"/>
                <w:color w:val="auto"/>
              </w:rPr>
            </w:pPr>
            <w:r>
              <w:rPr>
                <w:rFonts w:hint="eastAsia"/>
                <w:color w:val="auto"/>
              </w:rPr>
              <w:t>试块养护</w:t>
            </w:r>
          </w:p>
        </w:tc>
      </w:tr>
      <w:tr w14:paraId="0115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05E9F45B">
            <w:pPr>
              <w:pStyle w:val="45"/>
              <w:rPr>
                <w:rFonts w:hint="eastAsia"/>
                <w:color w:val="auto"/>
              </w:rPr>
            </w:pPr>
            <w:r>
              <w:rPr>
                <w:rFonts w:hint="eastAsia"/>
                <w:color w:val="auto"/>
              </w:rPr>
              <w:t>32</w:t>
            </w:r>
          </w:p>
        </w:tc>
        <w:tc>
          <w:tcPr>
            <w:tcW w:w="800" w:type="pct"/>
            <w:tcBorders>
              <w:top w:val="single" w:color="auto" w:sz="4" w:space="0"/>
              <w:left w:val="single" w:color="auto" w:sz="4" w:space="0"/>
              <w:bottom w:val="single" w:color="auto" w:sz="4" w:space="0"/>
              <w:right w:val="single" w:color="auto" w:sz="4" w:space="0"/>
            </w:tcBorders>
            <w:vAlign w:val="center"/>
          </w:tcPr>
          <w:p w14:paraId="7B5007DE">
            <w:pPr>
              <w:pStyle w:val="45"/>
              <w:rPr>
                <w:rFonts w:hint="eastAsia"/>
                <w:color w:val="auto"/>
              </w:rPr>
            </w:pPr>
            <w:r>
              <w:rPr>
                <w:rFonts w:hint="eastAsia"/>
                <w:color w:val="auto"/>
              </w:rPr>
              <w:t>温湿度仪</w:t>
            </w:r>
          </w:p>
        </w:tc>
        <w:tc>
          <w:tcPr>
            <w:tcW w:w="1069" w:type="pct"/>
            <w:tcBorders>
              <w:top w:val="single" w:color="auto" w:sz="4" w:space="0"/>
              <w:left w:val="single" w:color="auto" w:sz="4" w:space="0"/>
              <w:bottom w:val="single" w:color="auto" w:sz="4" w:space="0"/>
              <w:right w:val="single" w:color="auto" w:sz="4" w:space="0"/>
            </w:tcBorders>
            <w:vAlign w:val="center"/>
          </w:tcPr>
          <w:p w14:paraId="484AD46C">
            <w:pPr>
              <w:pStyle w:val="45"/>
              <w:rPr>
                <w:rFonts w:hint="eastAsia"/>
                <w:color w:val="auto"/>
              </w:rPr>
            </w:pPr>
            <w:r>
              <w:rPr>
                <w:rFonts w:hint="eastAsia"/>
                <w:color w:val="auto"/>
              </w:rPr>
              <w:t>FYTH-1</w:t>
            </w:r>
          </w:p>
        </w:tc>
        <w:tc>
          <w:tcPr>
            <w:tcW w:w="431" w:type="pct"/>
            <w:tcBorders>
              <w:top w:val="single" w:color="auto" w:sz="4" w:space="0"/>
              <w:left w:val="single" w:color="auto" w:sz="4" w:space="0"/>
              <w:bottom w:val="single" w:color="auto" w:sz="4" w:space="0"/>
              <w:right w:val="single" w:color="auto" w:sz="4" w:space="0"/>
            </w:tcBorders>
            <w:vAlign w:val="center"/>
          </w:tcPr>
          <w:p w14:paraId="79C407FA">
            <w:pPr>
              <w:pStyle w:val="45"/>
              <w:rPr>
                <w:rFonts w:hint="eastAsia"/>
                <w:color w:val="auto"/>
              </w:rPr>
            </w:pPr>
            <w:r>
              <w:rPr>
                <w:rFonts w:hint="eastAsia"/>
                <w:color w:val="auto"/>
              </w:rPr>
              <w:t>4</w:t>
            </w:r>
          </w:p>
        </w:tc>
        <w:tc>
          <w:tcPr>
            <w:tcW w:w="453" w:type="pct"/>
            <w:tcBorders>
              <w:top w:val="single" w:color="auto" w:sz="4" w:space="0"/>
              <w:left w:val="single" w:color="auto" w:sz="4" w:space="0"/>
              <w:bottom w:val="single" w:color="auto" w:sz="4" w:space="0"/>
              <w:right w:val="single" w:color="auto" w:sz="4" w:space="0"/>
            </w:tcBorders>
            <w:vAlign w:val="center"/>
          </w:tcPr>
          <w:p w14:paraId="7072EC5E">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03E2B761">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2BA1C700">
            <w:pPr>
              <w:pStyle w:val="45"/>
              <w:rPr>
                <w:rFonts w:hint="eastAsia"/>
                <w:color w:val="auto"/>
              </w:rPr>
            </w:pPr>
            <w:r>
              <w:rPr>
                <w:rFonts w:hint="eastAsia"/>
                <w:color w:val="auto"/>
              </w:rPr>
              <w:t>约240h/台</w:t>
            </w:r>
          </w:p>
        </w:tc>
        <w:tc>
          <w:tcPr>
            <w:tcW w:w="696" w:type="pct"/>
            <w:tcBorders>
              <w:top w:val="single" w:color="auto" w:sz="4" w:space="0"/>
              <w:left w:val="single" w:color="auto" w:sz="4" w:space="0"/>
              <w:bottom w:val="single" w:color="auto" w:sz="4" w:space="0"/>
              <w:right w:val="single" w:color="auto" w:sz="4" w:space="0"/>
            </w:tcBorders>
            <w:vAlign w:val="center"/>
          </w:tcPr>
          <w:p w14:paraId="785C1EC4">
            <w:pPr>
              <w:pStyle w:val="45"/>
              <w:rPr>
                <w:rFonts w:hint="eastAsia"/>
                <w:color w:val="auto"/>
              </w:rPr>
            </w:pPr>
            <w:r>
              <w:rPr>
                <w:rFonts w:hint="eastAsia"/>
                <w:color w:val="auto"/>
              </w:rPr>
              <w:t>养护条件控制</w:t>
            </w:r>
          </w:p>
        </w:tc>
      </w:tr>
      <w:tr w14:paraId="1FFA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2881B39E">
            <w:pPr>
              <w:pStyle w:val="45"/>
              <w:rPr>
                <w:rFonts w:hint="eastAsia"/>
                <w:color w:val="auto"/>
              </w:rPr>
            </w:pPr>
            <w:r>
              <w:rPr>
                <w:rFonts w:hint="eastAsia"/>
                <w:color w:val="auto"/>
              </w:rPr>
              <w:t>33</w:t>
            </w:r>
          </w:p>
        </w:tc>
        <w:tc>
          <w:tcPr>
            <w:tcW w:w="800" w:type="pct"/>
            <w:tcBorders>
              <w:top w:val="single" w:color="auto" w:sz="4" w:space="0"/>
              <w:left w:val="single" w:color="auto" w:sz="4" w:space="0"/>
              <w:bottom w:val="single" w:color="auto" w:sz="4" w:space="0"/>
              <w:right w:val="single" w:color="auto" w:sz="4" w:space="0"/>
            </w:tcBorders>
            <w:vAlign w:val="center"/>
          </w:tcPr>
          <w:p w14:paraId="12D46B40">
            <w:pPr>
              <w:pStyle w:val="45"/>
              <w:rPr>
                <w:rFonts w:hint="eastAsia"/>
                <w:color w:val="auto"/>
              </w:rPr>
            </w:pPr>
            <w:r>
              <w:rPr>
                <w:rFonts w:hint="eastAsia"/>
                <w:color w:val="auto"/>
              </w:rPr>
              <w:t>风速仪</w:t>
            </w:r>
          </w:p>
        </w:tc>
        <w:tc>
          <w:tcPr>
            <w:tcW w:w="1069" w:type="pct"/>
            <w:tcBorders>
              <w:top w:val="single" w:color="auto" w:sz="4" w:space="0"/>
              <w:left w:val="single" w:color="auto" w:sz="4" w:space="0"/>
              <w:bottom w:val="single" w:color="auto" w:sz="4" w:space="0"/>
              <w:right w:val="single" w:color="auto" w:sz="4" w:space="0"/>
            </w:tcBorders>
            <w:vAlign w:val="center"/>
          </w:tcPr>
          <w:p w14:paraId="7A2333BA">
            <w:pPr>
              <w:pStyle w:val="45"/>
              <w:rPr>
                <w:rFonts w:hint="eastAsia"/>
                <w:color w:val="auto"/>
              </w:rPr>
            </w:pPr>
            <w:r>
              <w:rPr>
                <w:rFonts w:hint="eastAsia"/>
                <w:color w:val="auto"/>
              </w:rPr>
              <w:t>AVM-07</w:t>
            </w:r>
          </w:p>
        </w:tc>
        <w:tc>
          <w:tcPr>
            <w:tcW w:w="431" w:type="pct"/>
            <w:tcBorders>
              <w:top w:val="single" w:color="auto" w:sz="4" w:space="0"/>
              <w:left w:val="single" w:color="auto" w:sz="4" w:space="0"/>
              <w:bottom w:val="single" w:color="auto" w:sz="4" w:space="0"/>
              <w:right w:val="single" w:color="auto" w:sz="4" w:space="0"/>
            </w:tcBorders>
            <w:vAlign w:val="center"/>
          </w:tcPr>
          <w:p w14:paraId="338454FA">
            <w:pPr>
              <w:pStyle w:val="45"/>
              <w:rPr>
                <w:rFonts w:hint="eastAsia"/>
                <w:color w:val="auto"/>
              </w:rPr>
            </w:pPr>
            <w:r>
              <w:rPr>
                <w:rFonts w:hint="eastAsia"/>
                <w:color w:val="auto"/>
              </w:rPr>
              <w:t>2</w:t>
            </w:r>
          </w:p>
        </w:tc>
        <w:tc>
          <w:tcPr>
            <w:tcW w:w="453" w:type="pct"/>
            <w:tcBorders>
              <w:top w:val="single" w:color="auto" w:sz="4" w:space="0"/>
              <w:left w:val="single" w:color="auto" w:sz="4" w:space="0"/>
              <w:bottom w:val="single" w:color="auto" w:sz="4" w:space="0"/>
              <w:right w:val="single" w:color="auto" w:sz="4" w:space="0"/>
            </w:tcBorders>
            <w:vAlign w:val="center"/>
          </w:tcPr>
          <w:p w14:paraId="76BCDA5A">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46119F3D">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2D16BA68">
            <w:pPr>
              <w:pStyle w:val="45"/>
              <w:rPr>
                <w:rFonts w:hint="eastAsia"/>
                <w:color w:val="auto"/>
              </w:rPr>
            </w:pPr>
            <w:r>
              <w:rPr>
                <w:rFonts w:hint="eastAsia"/>
                <w:color w:val="auto"/>
              </w:rPr>
              <w:t>约160h/台</w:t>
            </w:r>
          </w:p>
        </w:tc>
        <w:tc>
          <w:tcPr>
            <w:tcW w:w="696" w:type="pct"/>
            <w:tcBorders>
              <w:top w:val="single" w:color="auto" w:sz="4" w:space="0"/>
              <w:left w:val="single" w:color="auto" w:sz="4" w:space="0"/>
              <w:bottom w:val="single" w:color="auto" w:sz="4" w:space="0"/>
              <w:right w:val="single" w:color="auto" w:sz="4" w:space="0"/>
            </w:tcBorders>
            <w:vAlign w:val="center"/>
          </w:tcPr>
          <w:p w14:paraId="5BF9FA0D">
            <w:pPr>
              <w:pStyle w:val="45"/>
              <w:rPr>
                <w:rFonts w:hint="eastAsia"/>
                <w:color w:val="auto"/>
              </w:rPr>
            </w:pPr>
            <w:r>
              <w:rPr>
                <w:rFonts w:hint="eastAsia"/>
                <w:color w:val="auto"/>
              </w:rPr>
              <w:t>风速监测</w:t>
            </w:r>
          </w:p>
        </w:tc>
      </w:tr>
      <w:tr w14:paraId="5158C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6F2B6EC1">
            <w:pPr>
              <w:pStyle w:val="45"/>
              <w:rPr>
                <w:rFonts w:hint="eastAsia"/>
                <w:color w:val="auto"/>
              </w:rPr>
            </w:pPr>
            <w:r>
              <w:rPr>
                <w:rFonts w:hint="eastAsia"/>
                <w:color w:val="auto"/>
              </w:rPr>
              <w:t>34</w:t>
            </w:r>
          </w:p>
        </w:tc>
        <w:tc>
          <w:tcPr>
            <w:tcW w:w="800" w:type="pct"/>
            <w:tcBorders>
              <w:top w:val="single" w:color="auto" w:sz="4" w:space="0"/>
              <w:left w:val="single" w:color="auto" w:sz="4" w:space="0"/>
              <w:bottom w:val="single" w:color="auto" w:sz="4" w:space="0"/>
              <w:right w:val="single" w:color="auto" w:sz="4" w:space="0"/>
            </w:tcBorders>
            <w:vAlign w:val="center"/>
          </w:tcPr>
          <w:p w14:paraId="7044D739">
            <w:pPr>
              <w:pStyle w:val="45"/>
              <w:rPr>
                <w:rFonts w:hint="eastAsia"/>
                <w:color w:val="auto"/>
              </w:rPr>
            </w:pPr>
            <w:r>
              <w:rPr>
                <w:rFonts w:hint="eastAsia"/>
                <w:color w:val="auto"/>
              </w:rPr>
              <w:t>风压计</w:t>
            </w:r>
          </w:p>
        </w:tc>
        <w:tc>
          <w:tcPr>
            <w:tcW w:w="1069" w:type="pct"/>
            <w:tcBorders>
              <w:top w:val="single" w:color="auto" w:sz="4" w:space="0"/>
              <w:left w:val="single" w:color="auto" w:sz="4" w:space="0"/>
              <w:bottom w:val="single" w:color="auto" w:sz="4" w:space="0"/>
              <w:right w:val="single" w:color="auto" w:sz="4" w:space="0"/>
            </w:tcBorders>
            <w:vAlign w:val="center"/>
          </w:tcPr>
          <w:p w14:paraId="1C01A251">
            <w:pPr>
              <w:pStyle w:val="45"/>
              <w:rPr>
                <w:rFonts w:hint="eastAsia"/>
                <w:color w:val="auto"/>
              </w:rPr>
            </w:pPr>
            <w:r>
              <w:rPr>
                <w:rFonts w:hint="eastAsia"/>
                <w:color w:val="auto"/>
              </w:rPr>
              <w:t>Manoair100</w:t>
            </w:r>
          </w:p>
        </w:tc>
        <w:tc>
          <w:tcPr>
            <w:tcW w:w="431" w:type="pct"/>
            <w:tcBorders>
              <w:top w:val="single" w:color="auto" w:sz="4" w:space="0"/>
              <w:left w:val="single" w:color="auto" w:sz="4" w:space="0"/>
              <w:bottom w:val="single" w:color="auto" w:sz="4" w:space="0"/>
              <w:right w:val="single" w:color="auto" w:sz="4" w:space="0"/>
            </w:tcBorders>
            <w:vAlign w:val="center"/>
          </w:tcPr>
          <w:p w14:paraId="05BCB39A">
            <w:pPr>
              <w:pStyle w:val="45"/>
              <w:rPr>
                <w:rFonts w:hint="eastAsia"/>
                <w:color w:val="auto"/>
              </w:rPr>
            </w:pPr>
            <w:r>
              <w:rPr>
                <w:rFonts w:hint="eastAsia"/>
                <w:color w:val="auto"/>
              </w:rPr>
              <w:t>4</w:t>
            </w:r>
          </w:p>
        </w:tc>
        <w:tc>
          <w:tcPr>
            <w:tcW w:w="453" w:type="pct"/>
            <w:tcBorders>
              <w:top w:val="single" w:color="auto" w:sz="4" w:space="0"/>
              <w:left w:val="single" w:color="auto" w:sz="4" w:space="0"/>
              <w:bottom w:val="single" w:color="auto" w:sz="4" w:space="0"/>
              <w:right w:val="single" w:color="auto" w:sz="4" w:space="0"/>
            </w:tcBorders>
            <w:vAlign w:val="center"/>
          </w:tcPr>
          <w:p w14:paraId="3342DAEF">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26D5E150">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76316F69">
            <w:pPr>
              <w:pStyle w:val="45"/>
              <w:rPr>
                <w:rFonts w:hint="eastAsia"/>
                <w:color w:val="auto"/>
              </w:rPr>
            </w:pPr>
            <w:r>
              <w:rPr>
                <w:rFonts w:hint="eastAsia"/>
                <w:color w:val="auto"/>
              </w:rPr>
              <w:t>约200h/台</w:t>
            </w:r>
          </w:p>
        </w:tc>
        <w:tc>
          <w:tcPr>
            <w:tcW w:w="696" w:type="pct"/>
            <w:tcBorders>
              <w:top w:val="single" w:color="auto" w:sz="4" w:space="0"/>
              <w:left w:val="single" w:color="auto" w:sz="4" w:space="0"/>
              <w:bottom w:val="single" w:color="auto" w:sz="4" w:space="0"/>
              <w:right w:val="single" w:color="auto" w:sz="4" w:space="0"/>
            </w:tcBorders>
            <w:vAlign w:val="center"/>
          </w:tcPr>
          <w:p w14:paraId="618BF592">
            <w:pPr>
              <w:pStyle w:val="45"/>
              <w:rPr>
                <w:rFonts w:hint="eastAsia"/>
                <w:color w:val="auto"/>
              </w:rPr>
            </w:pPr>
            <w:r>
              <w:rPr>
                <w:rFonts w:hint="eastAsia"/>
                <w:color w:val="auto"/>
              </w:rPr>
              <w:t>风速监测</w:t>
            </w:r>
          </w:p>
        </w:tc>
      </w:tr>
      <w:tr w14:paraId="045B4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55ECE43C">
            <w:pPr>
              <w:pStyle w:val="45"/>
              <w:rPr>
                <w:rFonts w:hint="eastAsia"/>
                <w:color w:val="auto"/>
              </w:rPr>
            </w:pPr>
            <w:r>
              <w:rPr>
                <w:rFonts w:hint="eastAsia"/>
                <w:color w:val="auto"/>
              </w:rPr>
              <w:t>35</w:t>
            </w:r>
          </w:p>
        </w:tc>
        <w:tc>
          <w:tcPr>
            <w:tcW w:w="800" w:type="pct"/>
            <w:tcBorders>
              <w:top w:val="single" w:color="auto" w:sz="4" w:space="0"/>
              <w:left w:val="single" w:color="auto" w:sz="4" w:space="0"/>
              <w:bottom w:val="single" w:color="auto" w:sz="4" w:space="0"/>
              <w:right w:val="single" w:color="auto" w:sz="4" w:space="0"/>
            </w:tcBorders>
            <w:vAlign w:val="center"/>
          </w:tcPr>
          <w:p w14:paraId="7BFCB479">
            <w:pPr>
              <w:pStyle w:val="45"/>
              <w:rPr>
                <w:rFonts w:hint="eastAsia"/>
                <w:color w:val="auto"/>
              </w:rPr>
            </w:pPr>
            <w:r>
              <w:rPr>
                <w:rFonts w:hint="eastAsia"/>
                <w:color w:val="auto"/>
              </w:rPr>
              <w:t>噪声计</w:t>
            </w:r>
          </w:p>
        </w:tc>
        <w:tc>
          <w:tcPr>
            <w:tcW w:w="1069" w:type="pct"/>
            <w:tcBorders>
              <w:top w:val="single" w:color="auto" w:sz="4" w:space="0"/>
              <w:left w:val="single" w:color="auto" w:sz="4" w:space="0"/>
              <w:bottom w:val="single" w:color="auto" w:sz="4" w:space="0"/>
              <w:right w:val="single" w:color="auto" w:sz="4" w:space="0"/>
            </w:tcBorders>
            <w:vAlign w:val="center"/>
          </w:tcPr>
          <w:p w14:paraId="28A48EA1">
            <w:pPr>
              <w:pStyle w:val="45"/>
              <w:rPr>
                <w:rFonts w:hint="eastAsia"/>
                <w:color w:val="auto"/>
              </w:rPr>
            </w:pPr>
            <w:r>
              <w:rPr>
                <w:rFonts w:hint="eastAsia"/>
                <w:color w:val="auto"/>
              </w:rPr>
              <w:t>DSL-330</w:t>
            </w:r>
          </w:p>
        </w:tc>
        <w:tc>
          <w:tcPr>
            <w:tcW w:w="431" w:type="pct"/>
            <w:tcBorders>
              <w:top w:val="single" w:color="auto" w:sz="4" w:space="0"/>
              <w:left w:val="single" w:color="auto" w:sz="4" w:space="0"/>
              <w:bottom w:val="single" w:color="auto" w:sz="4" w:space="0"/>
              <w:right w:val="single" w:color="auto" w:sz="4" w:space="0"/>
            </w:tcBorders>
            <w:vAlign w:val="center"/>
          </w:tcPr>
          <w:p w14:paraId="4C0075F4">
            <w:pPr>
              <w:pStyle w:val="45"/>
              <w:rPr>
                <w:rFonts w:hint="eastAsia"/>
                <w:color w:val="auto"/>
              </w:rPr>
            </w:pPr>
            <w:r>
              <w:rPr>
                <w:rFonts w:hint="eastAsia"/>
                <w:color w:val="auto"/>
              </w:rPr>
              <w:t>5</w:t>
            </w:r>
          </w:p>
        </w:tc>
        <w:tc>
          <w:tcPr>
            <w:tcW w:w="453" w:type="pct"/>
            <w:tcBorders>
              <w:top w:val="single" w:color="auto" w:sz="4" w:space="0"/>
              <w:left w:val="single" w:color="auto" w:sz="4" w:space="0"/>
              <w:bottom w:val="single" w:color="auto" w:sz="4" w:space="0"/>
              <w:right w:val="single" w:color="auto" w:sz="4" w:space="0"/>
            </w:tcBorders>
            <w:vAlign w:val="center"/>
          </w:tcPr>
          <w:p w14:paraId="48B9E5B6">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1EAE4951">
            <w:pPr>
              <w:pStyle w:val="45"/>
              <w:rPr>
                <w:rFonts w:hint="eastAsia"/>
                <w:color w:val="auto"/>
              </w:rPr>
            </w:pPr>
            <w:r>
              <w:rPr>
                <w:color w:val="auto"/>
              </w:rPr>
              <w:t>2018</w:t>
            </w:r>
          </w:p>
        </w:tc>
        <w:tc>
          <w:tcPr>
            <w:tcW w:w="766" w:type="pct"/>
            <w:tcBorders>
              <w:top w:val="single" w:color="auto" w:sz="4" w:space="0"/>
              <w:left w:val="single" w:color="auto" w:sz="4" w:space="0"/>
              <w:bottom w:val="single" w:color="auto" w:sz="4" w:space="0"/>
              <w:right w:val="single" w:color="auto" w:sz="4" w:space="0"/>
            </w:tcBorders>
            <w:vAlign w:val="center"/>
          </w:tcPr>
          <w:p w14:paraId="1F3F65DF">
            <w:pPr>
              <w:pStyle w:val="45"/>
              <w:rPr>
                <w:rFonts w:hint="eastAsia"/>
                <w:color w:val="auto"/>
              </w:rPr>
            </w:pPr>
            <w:r>
              <w:rPr>
                <w:rFonts w:hint="eastAsia"/>
                <w:color w:val="auto"/>
              </w:rPr>
              <w:t>约160h/台</w:t>
            </w:r>
          </w:p>
        </w:tc>
        <w:tc>
          <w:tcPr>
            <w:tcW w:w="696" w:type="pct"/>
            <w:tcBorders>
              <w:top w:val="single" w:color="auto" w:sz="4" w:space="0"/>
              <w:left w:val="single" w:color="auto" w:sz="4" w:space="0"/>
              <w:bottom w:val="single" w:color="auto" w:sz="4" w:space="0"/>
              <w:right w:val="single" w:color="auto" w:sz="4" w:space="0"/>
            </w:tcBorders>
            <w:vAlign w:val="center"/>
          </w:tcPr>
          <w:p w14:paraId="5E33CD63">
            <w:pPr>
              <w:pStyle w:val="45"/>
              <w:rPr>
                <w:rFonts w:hint="eastAsia"/>
                <w:color w:val="auto"/>
              </w:rPr>
            </w:pPr>
            <w:r>
              <w:rPr>
                <w:rFonts w:hint="eastAsia"/>
                <w:color w:val="auto"/>
              </w:rPr>
              <w:t>噪声监测</w:t>
            </w:r>
          </w:p>
        </w:tc>
      </w:tr>
      <w:tr w14:paraId="74BDA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94" w:type="pct"/>
            <w:tcBorders>
              <w:top w:val="single" w:color="auto" w:sz="4" w:space="0"/>
              <w:left w:val="single" w:color="auto" w:sz="4" w:space="0"/>
              <w:bottom w:val="single" w:color="auto" w:sz="4" w:space="0"/>
              <w:right w:val="single" w:color="auto" w:sz="4" w:space="0"/>
            </w:tcBorders>
            <w:vAlign w:val="center"/>
          </w:tcPr>
          <w:p w14:paraId="3C412A15">
            <w:pPr>
              <w:pStyle w:val="45"/>
              <w:rPr>
                <w:rFonts w:hint="eastAsia"/>
                <w:color w:val="auto"/>
              </w:rPr>
            </w:pPr>
            <w:r>
              <w:rPr>
                <w:rFonts w:hint="eastAsia"/>
                <w:color w:val="auto"/>
              </w:rPr>
              <w:t>36</w:t>
            </w:r>
          </w:p>
        </w:tc>
        <w:tc>
          <w:tcPr>
            <w:tcW w:w="800" w:type="pct"/>
            <w:tcBorders>
              <w:top w:val="single" w:color="auto" w:sz="4" w:space="0"/>
              <w:left w:val="single" w:color="auto" w:sz="4" w:space="0"/>
              <w:bottom w:val="single" w:color="auto" w:sz="4" w:space="0"/>
              <w:right w:val="single" w:color="auto" w:sz="4" w:space="0"/>
            </w:tcBorders>
            <w:vAlign w:val="center"/>
          </w:tcPr>
          <w:p w14:paraId="2AF82B5E">
            <w:pPr>
              <w:pStyle w:val="45"/>
              <w:rPr>
                <w:rFonts w:hint="eastAsia"/>
                <w:color w:val="auto"/>
              </w:rPr>
            </w:pPr>
            <w:r>
              <w:rPr>
                <w:rFonts w:hint="eastAsia"/>
                <w:color w:val="auto"/>
              </w:rPr>
              <w:t>普通温度计</w:t>
            </w:r>
          </w:p>
        </w:tc>
        <w:tc>
          <w:tcPr>
            <w:tcW w:w="1069" w:type="pct"/>
            <w:tcBorders>
              <w:top w:val="single" w:color="auto" w:sz="4" w:space="0"/>
              <w:left w:val="single" w:color="auto" w:sz="4" w:space="0"/>
              <w:bottom w:val="single" w:color="auto" w:sz="4" w:space="0"/>
              <w:right w:val="single" w:color="auto" w:sz="4" w:space="0"/>
            </w:tcBorders>
            <w:vAlign w:val="center"/>
          </w:tcPr>
          <w:p w14:paraId="0DA4706C">
            <w:pPr>
              <w:pStyle w:val="45"/>
              <w:rPr>
                <w:rFonts w:hint="eastAsia"/>
                <w:color w:val="auto"/>
              </w:rPr>
            </w:pPr>
            <w:r>
              <w:rPr>
                <w:rFonts w:hint="eastAsia"/>
                <w:color w:val="auto"/>
              </w:rPr>
              <w:t>/</w:t>
            </w:r>
          </w:p>
        </w:tc>
        <w:tc>
          <w:tcPr>
            <w:tcW w:w="431" w:type="pct"/>
            <w:tcBorders>
              <w:top w:val="single" w:color="auto" w:sz="4" w:space="0"/>
              <w:left w:val="single" w:color="auto" w:sz="4" w:space="0"/>
              <w:bottom w:val="single" w:color="auto" w:sz="4" w:space="0"/>
              <w:right w:val="single" w:color="auto" w:sz="4" w:space="0"/>
            </w:tcBorders>
            <w:vAlign w:val="center"/>
          </w:tcPr>
          <w:p w14:paraId="78798658">
            <w:pPr>
              <w:pStyle w:val="45"/>
              <w:rPr>
                <w:rFonts w:hint="eastAsia"/>
                <w:color w:val="auto"/>
              </w:rPr>
            </w:pPr>
            <w:r>
              <w:rPr>
                <w:rFonts w:hint="eastAsia"/>
                <w:color w:val="auto"/>
              </w:rPr>
              <w:t>20</w:t>
            </w:r>
          </w:p>
        </w:tc>
        <w:tc>
          <w:tcPr>
            <w:tcW w:w="453" w:type="pct"/>
            <w:tcBorders>
              <w:top w:val="single" w:color="auto" w:sz="4" w:space="0"/>
              <w:left w:val="single" w:color="auto" w:sz="4" w:space="0"/>
              <w:bottom w:val="single" w:color="auto" w:sz="4" w:space="0"/>
              <w:right w:val="single" w:color="auto" w:sz="4" w:space="0"/>
            </w:tcBorders>
            <w:vAlign w:val="center"/>
          </w:tcPr>
          <w:p w14:paraId="6923D720">
            <w:pPr>
              <w:pStyle w:val="45"/>
              <w:rPr>
                <w:rFonts w:hint="eastAsia"/>
                <w:color w:val="auto"/>
              </w:rPr>
            </w:pPr>
            <w:r>
              <w:rPr>
                <w:rFonts w:hint="eastAsia"/>
                <w:color w:val="auto"/>
              </w:rPr>
              <w:t>中国</w:t>
            </w:r>
          </w:p>
        </w:tc>
        <w:tc>
          <w:tcPr>
            <w:tcW w:w="491" w:type="pct"/>
            <w:tcBorders>
              <w:top w:val="single" w:color="auto" w:sz="4" w:space="0"/>
              <w:left w:val="single" w:color="auto" w:sz="4" w:space="0"/>
              <w:bottom w:val="single" w:color="auto" w:sz="4" w:space="0"/>
              <w:right w:val="single" w:color="auto" w:sz="4" w:space="0"/>
            </w:tcBorders>
            <w:vAlign w:val="center"/>
          </w:tcPr>
          <w:p w14:paraId="1F00DBE4">
            <w:pPr>
              <w:pStyle w:val="45"/>
              <w:rPr>
                <w:rFonts w:hint="eastAsia"/>
                <w:color w:val="auto"/>
              </w:rPr>
            </w:pPr>
            <w:r>
              <w:rPr>
                <w:color w:val="auto"/>
              </w:rPr>
              <w:t>2017</w:t>
            </w:r>
          </w:p>
        </w:tc>
        <w:tc>
          <w:tcPr>
            <w:tcW w:w="766" w:type="pct"/>
            <w:tcBorders>
              <w:top w:val="single" w:color="auto" w:sz="4" w:space="0"/>
              <w:left w:val="single" w:color="auto" w:sz="4" w:space="0"/>
              <w:bottom w:val="single" w:color="auto" w:sz="4" w:space="0"/>
              <w:right w:val="single" w:color="auto" w:sz="4" w:space="0"/>
            </w:tcBorders>
            <w:vAlign w:val="center"/>
          </w:tcPr>
          <w:p w14:paraId="7F007791">
            <w:pPr>
              <w:pStyle w:val="45"/>
              <w:rPr>
                <w:rFonts w:hint="eastAsia"/>
                <w:color w:val="auto"/>
              </w:rPr>
            </w:pPr>
            <w:r>
              <w:rPr>
                <w:rFonts w:hint="eastAsia"/>
                <w:color w:val="auto"/>
              </w:rPr>
              <w:t>约100h/台</w:t>
            </w:r>
          </w:p>
        </w:tc>
        <w:tc>
          <w:tcPr>
            <w:tcW w:w="696" w:type="pct"/>
            <w:tcBorders>
              <w:top w:val="single" w:color="auto" w:sz="4" w:space="0"/>
              <w:left w:val="single" w:color="auto" w:sz="4" w:space="0"/>
              <w:bottom w:val="single" w:color="auto" w:sz="4" w:space="0"/>
              <w:right w:val="single" w:color="auto" w:sz="4" w:space="0"/>
            </w:tcBorders>
            <w:vAlign w:val="center"/>
          </w:tcPr>
          <w:p w14:paraId="4FF7E94A">
            <w:pPr>
              <w:pStyle w:val="45"/>
              <w:rPr>
                <w:rFonts w:hint="eastAsia"/>
                <w:color w:val="auto"/>
              </w:rPr>
            </w:pPr>
            <w:r>
              <w:rPr>
                <w:rFonts w:hint="eastAsia"/>
                <w:color w:val="auto"/>
              </w:rPr>
              <w:t>温度监测</w:t>
            </w:r>
          </w:p>
        </w:tc>
      </w:tr>
    </w:tbl>
    <w:p w14:paraId="29B819C6">
      <w:pPr>
        <w:pStyle w:val="4"/>
        <w:ind w:firstLine="482"/>
        <w:rPr>
          <w:color w:val="auto"/>
        </w:rPr>
      </w:pPr>
      <w:bookmarkStart w:id="93" w:name="_Toc20905"/>
      <w:r>
        <w:rPr>
          <w:rFonts w:hint="eastAsia"/>
          <w:color w:val="auto"/>
        </w:rPr>
        <w:t>各阶段施工部署</w:t>
      </w:r>
      <w:bookmarkEnd w:id="93"/>
    </w:p>
    <w:p w14:paraId="16C198F9">
      <w:pPr>
        <w:rPr>
          <w:color w:val="auto"/>
        </w:rPr>
      </w:pPr>
      <w:r>
        <w:rPr>
          <w:rFonts w:hint="eastAsia"/>
          <w:color w:val="auto"/>
        </w:rPr>
        <w:t>1、进场后积极配合建设单位、监理单位做好与场地和资料的交接，办理好与规划部门现场测量控制点交验手续。</w:t>
      </w:r>
    </w:p>
    <w:p w14:paraId="1C164C58">
      <w:pPr>
        <w:rPr>
          <w:color w:val="auto"/>
        </w:rPr>
      </w:pPr>
      <w:r>
        <w:rPr>
          <w:rFonts w:hint="eastAsia"/>
          <w:color w:val="auto"/>
        </w:rPr>
        <w:t>2、作好前期技术准备工作，包括图纸会审准备，施工组织设计和施工方案编制、详细的实施施工进度计划编制，安装各专业结构预留预埋深化设计及混凝土配合比优化设计等前期技术准备工作。</w:t>
      </w:r>
    </w:p>
    <w:p w14:paraId="1E7B952D">
      <w:pPr>
        <w:rPr>
          <w:color w:val="auto"/>
        </w:rPr>
      </w:pPr>
      <w:r>
        <w:rPr>
          <w:rFonts w:hint="eastAsia"/>
          <w:color w:val="auto"/>
        </w:rPr>
        <w:t>3、按照确定的总平面布置设计图进行现场平面布置的调整和完善工作。</w:t>
      </w:r>
    </w:p>
    <w:p w14:paraId="0616A496">
      <w:pPr>
        <w:rPr>
          <w:color w:val="auto"/>
        </w:rPr>
      </w:pPr>
      <w:r>
        <w:rPr>
          <w:rFonts w:hint="eastAsia"/>
          <w:color w:val="auto"/>
        </w:rPr>
        <w:t>4、按经审批的施工方案完成塔吊基础施工和塔吊安装。</w:t>
      </w:r>
    </w:p>
    <w:p w14:paraId="2DB4BBAD">
      <w:pPr>
        <w:rPr>
          <w:color w:val="auto"/>
        </w:rPr>
      </w:pPr>
      <w:r>
        <w:rPr>
          <w:rFonts w:hint="eastAsia"/>
          <w:color w:val="auto"/>
        </w:rPr>
        <w:t>5、做好项目各种资源的调配工作，管理人员、各种机械设备、周转架料、劳动力按计划分批进场。</w:t>
      </w:r>
    </w:p>
    <w:p w14:paraId="0990A3A2">
      <w:pPr>
        <w:rPr>
          <w:color w:val="auto"/>
        </w:rPr>
      </w:pPr>
      <w:r>
        <w:rPr>
          <w:rFonts w:hint="eastAsia"/>
          <w:color w:val="auto"/>
        </w:rPr>
        <w:t>6、配合建设单位完成开工前各项质量、安全、文明施工、环保、交通、消防等法定监督手续，与建管、质监、环保、交通、公安、街道办事处、居委会等地方政府部门及周围居民取得联系和沟通，作好外部的协调工作；建立与地方政府管理部门和建设单位、监理、设计院间的联络机制，保证沟通渠道畅通。</w:t>
      </w:r>
    </w:p>
    <w:p w14:paraId="0CE231C8">
      <w:pPr>
        <w:pStyle w:val="5"/>
        <w:rPr>
          <w:color w:val="auto"/>
        </w:rPr>
      </w:pPr>
      <w:bookmarkStart w:id="94" w:name="_Toc1013"/>
      <w:r>
        <w:rPr>
          <w:rFonts w:hint="eastAsia"/>
          <w:color w:val="auto"/>
        </w:rPr>
        <w:t>结构施工阶段</w:t>
      </w:r>
      <w:bookmarkEnd w:id="94"/>
    </w:p>
    <w:p w14:paraId="5C9C7469">
      <w:pPr>
        <w:rPr>
          <w:color w:val="auto"/>
        </w:rPr>
      </w:pPr>
      <w:r>
        <w:rPr>
          <w:rFonts w:hint="eastAsia"/>
          <w:color w:val="auto"/>
        </w:rPr>
        <w:t>1、地下室施工阶段按队伍平行组织分区施工。</w:t>
      </w:r>
    </w:p>
    <w:p w14:paraId="792AC72B">
      <w:pPr>
        <w:rPr>
          <w:color w:val="auto"/>
        </w:rPr>
      </w:pPr>
      <w:r>
        <w:rPr>
          <w:rFonts w:hint="eastAsia"/>
          <w:color w:val="auto"/>
        </w:rPr>
        <w:t>2、地上主体混凝土结构施工阶段，各栋楼独立组织施工，错开混凝土浇筑时间。根据不同建筑单体施工进度的不同，以建筑单体为单位，独立验收。</w:t>
      </w:r>
    </w:p>
    <w:p w14:paraId="7927B374">
      <w:pPr>
        <w:rPr>
          <w:color w:val="auto"/>
        </w:rPr>
      </w:pPr>
      <w:r>
        <w:rPr>
          <w:rFonts w:hint="eastAsia"/>
          <w:color w:val="auto"/>
        </w:rPr>
        <w:t>如下图各楼栋按施工进度排列，依次为：北教学主楼→南教学主楼→会议中心→综合服务楼。</w:t>
      </w:r>
    </w:p>
    <w:p w14:paraId="031C6CA5">
      <w:pPr>
        <w:rPr>
          <w:color w:val="auto"/>
        </w:rPr>
      </w:pPr>
      <w:r>
        <w:rPr>
          <w:rFonts w:hint="eastAsia"/>
          <w:color w:val="auto"/>
        </w:rPr>
        <w:t>3、为了保证室外工程、机电安装及装修等工作的及时插入，合理安排插入主体结构验收，必要时可分段验收。</w:t>
      </w:r>
    </w:p>
    <w:p w14:paraId="7480A106">
      <w:pPr>
        <w:pStyle w:val="5"/>
        <w:rPr>
          <w:color w:val="auto"/>
        </w:rPr>
      </w:pPr>
      <w:bookmarkStart w:id="95" w:name="_Toc8540"/>
      <w:r>
        <w:rPr>
          <w:rFonts w:hint="eastAsia"/>
          <w:color w:val="auto"/>
        </w:rPr>
        <w:t>全面装饰、安装施工阶段</w:t>
      </w:r>
      <w:bookmarkEnd w:id="95"/>
    </w:p>
    <w:p w14:paraId="05AE4E09">
      <w:pPr>
        <w:rPr>
          <w:rFonts w:hint="eastAsia" w:ascii="宋体" w:hAnsi="宋体"/>
          <w:color w:val="auto"/>
        </w:rPr>
      </w:pPr>
      <w:r>
        <w:rPr>
          <w:rFonts w:hint="eastAsia" w:ascii="宋体" w:hAnsi="宋体"/>
          <w:color w:val="auto"/>
        </w:rPr>
        <w:t>1、地上初装修及机电各专业的管线和设备安装，在砌体施工完毕并进行分段结构验收后插入施工。地上部分室内公共部分精装修随爬架同步作业。</w:t>
      </w:r>
    </w:p>
    <w:p w14:paraId="0AF45436">
      <w:pPr>
        <w:rPr>
          <w:rFonts w:hint="eastAsia" w:ascii="宋体" w:hAnsi="宋体"/>
          <w:color w:val="auto"/>
        </w:rPr>
      </w:pPr>
      <w:r>
        <w:rPr>
          <w:rFonts w:ascii="宋体" w:hAnsi="宋体"/>
          <w:color w:val="auto"/>
        </w:rPr>
        <w:t>2</w:t>
      </w:r>
      <w:r>
        <w:rPr>
          <w:rFonts w:hint="eastAsia" w:ascii="宋体" w:hAnsi="宋体"/>
          <w:color w:val="auto"/>
        </w:rPr>
        <w:t>、机电安装按照“先下后上，先主管后支管，先预制后安装”的原则，实行平面分区、立体交叉作业。按系统工作原理精心组织、协调各专业各工序，利用空间争取时间，全面展开各项安装工程施工任务，并为精装修及其它的专业提前插入创造工作面。</w:t>
      </w:r>
    </w:p>
    <w:p w14:paraId="5A4F6426">
      <w:pPr>
        <w:rPr>
          <w:rFonts w:hint="eastAsia" w:ascii="宋体" w:hAnsi="宋体"/>
          <w:color w:val="auto"/>
        </w:rPr>
      </w:pPr>
      <w:r>
        <w:rPr>
          <w:rFonts w:ascii="宋体" w:hAnsi="宋体"/>
          <w:color w:val="auto"/>
        </w:rPr>
        <w:t>3</w:t>
      </w:r>
      <w:r>
        <w:rPr>
          <w:rFonts w:hint="eastAsia" w:ascii="宋体" w:hAnsi="宋体"/>
          <w:color w:val="auto"/>
        </w:rPr>
        <w:t>、在装饰工程施工中，注意与机电安装工程的协调配合；卫生间中的卫生洁具、给排水管与土建防水及装饰面层的协调施工。</w:t>
      </w:r>
    </w:p>
    <w:p w14:paraId="32C1D90D">
      <w:pPr>
        <w:rPr>
          <w:color w:val="auto"/>
        </w:rPr>
      </w:pPr>
      <w:r>
        <w:rPr>
          <w:rFonts w:ascii="宋体" w:hAnsi="宋体"/>
          <w:color w:val="auto"/>
        </w:rPr>
        <w:t>4</w:t>
      </w:r>
      <w:r>
        <w:rPr>
          <w:rFonts w:hint="eastAsia" w:ascii="宋体" w:hAnsi="宋体"/>
          <w:color w:val="auto"/>
        </w:rPr>
        <w:t>、做好各种试验工作以及单机、单系统测试：各专业管路、线路敷设完成、设备安装完成，进</w:t>
      </w:r>
      <w:r>
        <w:rPr>
          <w:rFonts w:hint="eastAsia"/>
          <w:color w:val="auto"/>
        </w:rPr>
        <w:t>行各自系统内的单机试运转工作，对子系统独立进行试调，为系统联合调试作准备。</w:t>
      </w:r>
    </w:p>
    <w:p w14:paraId="51B099FE">
      <w:pPr>
        <w:rPr>
          <w:color w:val="auto"/>
        </w:rPr>
      </w:pPr>
      <w:r>
        <w:rPr>
          <w:rFonts w:ascii="宋体" w:hAnsi="宋体"/>
          <w:color w:val="auto"/>
        </w:rPr>
        <w:t>5</w:t>
      </w:r>
      <w:r>
        <w:rPr>
          <w:rFonts w:hint="eastAsia"/>
          <w:color w:val="auto"/>
        </w:rPr>
        <w:t>、外网施工需要在外架拆除后进行，外墙施工要合理安排进度计划为外网施工尽早进行创造条件，室外给排水、消防、照明等工程必须在各系统单体调试前结束。</w:t>
      </w:r>
    </w:p>
    <w:p w14:paraId="7F10900B">
      <w:pPr>
        <w:pStyle w:val="5"/>
        <w:rPr>
          <w:color w:val="auto"/>
        </w:rPr>
      </w:pPr>
      <w:bookmarkStart w:id="96" w:name="_Toc12915"/>
      <w:r>
        <w:rPr>
          <w:rFonts w:hint="eastAsia"/>
          <w:color w:val="auto"/>
        </w:rPr>
        <w:t>收尾、验收和交付阶段</w:t>
      </w:r>
      <w:bookmarkEnd w:id="96"/>
    </w:p>
    <w:p w14:paraId="3972EFFB">
      <w:pPr>
        <w:rPr>
          <w:color w:val="auto"/>
        </w:rPr>
      </w:pPr>
      <w:r>
        <w:rPr>
          <w:rFonts w:hint="eastAsia"/>
          <w:color w:val="auto"/>
        </w:rPr>
        <w:t>完成全部工作，同步完成竣工验收质量技术资料的规范整理，合理组织各项专业、专项及综合竣工验收，确保工程如期完工。</w:t>
      </w:r>
    </w:p>
    <w:p w14:paraId="096D3EF0">
      <w:pPr>
        <w:rPr>
          <w:color w:val="auto"/>
        </w:rPr>
      </w:pPr>
    </w:p>
    <w:p w14:paraId="3F142CFE">
      <w:pPr>
        <w:rPr>
          <w:color w:val="auto"/>
        </w:rPr>
        <w:sectPr>
          <w:headerReference r:id="rId24" w:type="default"/>
          <w:type w:val="continuous"/>
          <w:pgSz w:w="11906" w:h="16838"/>
          <w:pgMar w:top="1440" w:right="1361" w:bottom="1440" w:left="1701" w:header="851" w:footer="992" w:gutter="0"/>
          <w:cols w:space="425" w:num="1"/>
          <w:docGrid w:type="lines" w:linePitch="326" w:charSpace="0"/>
        </w:sectPr>
      </w:pPr>
    </w:p>
    <w:p w14:paraId="040EE1C5">
      <w:pPr>
        <w:pStyle w:val="3"/>
        <w:rPr>
          <w:color w:val="auto"/>
        </w:rPr>
      </w:pPr>
      <w:bookmarkStart w:id="97" w:name="_Toc28857"/>
      <w:bookmarkStart w:id="98" w:name="_Toc531112483"/>
      <w:r>
        <w:rPr>
          <w:rFonts w:hint="eastAsia"/>
          <w:color w:val="auto"/>
        </w:rPr>
        <w:t>施工进度计划</w:t>
      </w:r>
      <w:bookmarkEnd w:id="97"/>
      <w:bookmarkEnd w:id="98"/>
    </w:p>
    <w:p w14:paraId="49F7FFB5">
      <w:pPr>
        <w:pStyle w:val="4"/>
        <w:ind w:firstLine="482"/>
        <w:rPr>
          <w:color w:val="auto"/>
        </w:rPr>
      </w:pPr>
      <w:bookmarkStart w:id="99" w:name="_Toc531112484"/>
      <w:bookmarkStart w:id="100" w:name="_Toc6392"/>
      <w:r>
        <w:rPr>
          <w:rFonts w:hint="eastAsia"/>
          <w:color w:val="auto"/>
        </w:rPr>
        <w:t>工期目标</w:t>
      </w:r>
      <w:bookmarkEnd w:id="99"/>
      <w:bookmarkEnd w:id="100"/>
    </w:p>
    <w:p w14:paraId="4A19A4FC">
      <w:pPr>
        <w:rPr>
          <w:color w:val="auto"/>
        </w:rPr>
      </w:pPr>
      <w:r>
        <w:rPr>
          <w:rFonts w:hint="eastAsia"/>
          <w:color w:val="auto"/>
        </w:rPr>
        <w:t>工期总目标：</w:t>
      </w:r>
    </w:p>
    <w:p w14:paraId="54DB3668">
      <w:pPr>
        <w:rPr>
          <w:color w:val="auto"/>
        </w:rPr>
      </w:pPr>
      <w:r>
        <w:rPr>
          <w:rFonts w:hint="eastAsia"/>
          <w:color w:val="auto"/>
        </w:rPr>
        <w:t>工程计划20</w:t>
      </w:r>
      <w:r>
        <w:rPr>
          <w:color w:val="auto"/>
        </w:rPr>
        <w:t>21</w:t>
      </w:r>
      <w:r>
        <w:rPr>
          <w:rFonts w:hint="eastAsia"/>
          <w:color w:val="auto"/>
        </w:rPr>
        <w:t>年</w:t>
      </w:r>
      <w:r>
        <w:rPr>
          <w:color w:val="auto"/>
        </w:rPr>
        <w:t>3</w:t>
      </w:r>
      <w:r>
        <w:rPr>
          <w:rFonts w:hint="eastAsia"/>
          <w:color w:val="auto"/>
        </w:rPr>
        <w:t>月</w:t>
      </w:r>
      <w:r>
        <w:rPr>
          <w:color w:val="auto"/>
        </w:rPr>
        <w:t>5</w:t>
      </w:r>
      <w:r>
        <w:rPr>
          <w:rFonts w:hint="eastAsia"/>
          <w:color w:val="auto"/>
        </w:rPr>
        <w:t>日开工，202</w:t>
      </w:r>
      <w:r>
        <w:rPr>
          <w:color w:val="auto"/>
        </w:rPr>
        <w:t>2</w:t>
      </w:r>
      <w:r>
        <w:rPr>
          <w:rFonts w:hint="eastAsia"/>
          <w:color w:val="auto"/>
        </w:rPr>
        <w:t>年</w:t>
      </w:r>
      <w:r>
        <w:rPr>
          <w:color w:val="auto"/>
        </w:rPr>
        <w:t>7</w:t>
      </w:r>
      <w:r>
        <w:rPr>
          <w:rFonts w:hint="eastAsia"/>
          <w:color w:val="auto"/>
        </w:rPr>
        <w:t>月3</w:t>
      </w:r>
      <w:r>
        <w:rPr>
          <w:color w:val="auto"/>
        </w:rPr>
        <w:t>1</w:t>
      </w:r>
      <w:r>
        <w:rPr>
          <w:rFonts w:hint="eastAsia"/>
          <w:color w:val="auto"/>
        </w:rPr>
        <w:t>日工程竣工验收完成，共</w:t>
      </w:r>
      <w:r>
        <w:rPr>
          <w:color w:val="auto"/>
        </w:rPr>
        <w:t>600</w:t>
      </w:r>
      <w:r>
        <w:rPr>
          <w:rFonts w:hint="eastAsia"/>
          <w:color w:val="auto"/>
        </w:rPr>
        <w:t>日历天。</w:t>
      </w:r>
    </w:p>
    <w:p w14:paraId="78C30BF8">
      <w:pPr>
        <w:rPr>
          <w:color w:val="auto"/>
        </w:rPr>
      </w:pPr>
      <w:r>
        <w:rPr>
          <w:rFonts w:hint="eastAsia"/>
          <w:color w:val="auto"/>
        </w:rPr>
        <w:t>根据工期总进度计划，将其分解为若干个工期控制点，以控制点目标的实现来保证分部工期目标实现，以分部工程工期目标来保证总工期目标的完成。</w:t>
      </w:r>
    </w:p>
    <w:p w14:paraId="6DAF2147">
      <w:pPr>
        <w:pStyle w:val="4"/>
        <w:ind w:firstLine="482"/>
        <w:rPr>
          <w:color w:val="auto"/>
        </w:rPr>
      </w:pPr>
      <w:bookmarkStart w:id="101" w:name="_Toc4087"/>
      <w:bookmarkStart w:id="102" w:name="_Toc531112486"/>
      <w:r>
        <w:rPr>
          <w:rFonts w:hint="eastAsia"/>
          <w:color w:val="auto"/>
        </w:rPr>
        <w:t>进度计划</w:t>
      </w:r>
      <w:bookmarkEnd w:id="101"/>
      <w:bookmarkEnd w:id="102"/>
    </w:p>
    <w:p w14:paraId="729C881E">
      <w:pPr>
        <w:rPr>
          <w:color w:val="auto"/>
        </w:rPr>
      </w:pPr>
    </w:p>
    <w:p w14:paraId="7A1ED351">
      <w:pPr>
        <w:rPr>
          <w:color w:val="auto"/>
        </w:rPr>
      </w:pPr>
    </w:p>
    <w:p w14:paraId="0B9DC456">
      <w:pPr>
        <w:rPr>
          <w:color w:val="auto"/>
        </w:rPr>
        <w:sectPr>
          <w:headerReference r:id="rId25" w:type="default"/>
          <w:pgSz w:w="11906" w:h="16838"/>
          <w:pgMar w:top="1440" w:right="1361" w:bottom="1440" w:left="1701" w:header="851" w:footer="992" w:gutter="0"/>
          <w:cols w:space="425" w:num="1"/>
          <w:docGrid w:type="lines" w:linePitch="326" w:charSpace="0"/>
        </w:sectPr>
      </w:pPr>
    </w:p>
    <w:p w14:paraId="3E81DF19">
      <w:pPr>
        <w:pStyle w:val="5"/>
        <w:rPr>
          <w:color w:val="auto"/>
        </w:rPr>
      </w:pPr>
      <w:bookmarkStart w:id="103" w:name="_Toc20727"/>
      <w:r>
        <w:rPr>
          <w:rFonts w:hint="eastAsia"/>
          <w:color w:val="auto"/>
        </w:rPr>
        <w:t>横道图</w:t>
      </w:r>
      <w:bookmarkEnd w:id="103"/>
    </w:p>
    <w:p w14:paraId="1758A357">
      <w:pPr>
        <w:pStyle w:val="49"/>
        <w:rPr>
          <w:rFonts w:hint="eastAsia"/>
          <w:color w:val="auto"/>
        </w:rPr>
      </w:pPr>
      <w:r>
        <w:rPr>
          <w:color w:val="auto"/>
        </w:rPr>
        <w:drawing>
          <wp:inline distT="0" distB="0" distL="0" distR="0">
            <wp:extent cx="12258675" cy="8359140"/>
            <wp:effectExtent l="0" t="0" r="0" b="381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pic:cNvPicPr>
                  </pic:nvPicPr>
                  <pic:blipFill>
                    <a:blip r:embed="rId40"/>
                    <a:stretch>
                      <a:fillRect/>
                    </a:stretch>
                  </pic:blipFill>
                  <pic:spPr>
                    <a:xfrm>
                      <a:off x="0" y="0"/>
                      <a:ext cx="12271423" cy="8367899"/>
                    </a:xfrm>
                    <a:prstGeom prst="rect">
                      <a:avLst/>
                    </a:prstGeom>
                  </pic:spPr>
                </pic:pic>
              </a:graphicData>
            </a:graphic>
          </wp:inline>
        </w:drawing>
      </w:r>
    </w:p>
    <w:p w14:paraId="3E7F119A">
      <w:pPr>
        <w:pStyle w:val="49"/>
        <w:rPr>
          <w:rFonts w:hint="eastAsia"/>
          <w:color w:val="auto"/>
        </w:rPr>
      </w:pPr>
      <w:r>
        <w:rPr>
          <w:color w:val="auto"/>
        </w:rPr>
        <w:drawing>
          <wp:inline distT="0" distB="0" distL="0" distR="0">
            <wp:extent cx="12432030" cy="8620125"/>
            <wp:effectExtent l="0" t="0" r="762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pic:cNvPicPr>
                  </pic:nvPicPr>
                  <pic:blipFill>
                    <a:blip r:embed="rId41"/>
                    <a:stretch>
                      <a:fillRect/>
                    </a:stretch>
                  </pic:blipFill>
                  <pic:spPr>
                    <a:xfrm>
                      <a:off x="0" y="0"/>
                      <a:ext cx="12439482" cy="8625009"/>
                    </a:xfrm>
                    <a:prstGeom prst="rect">
                      <a:avLst/>
                    </a:prstGeom>
                  </pic:spPr>
                </pic:pic>
              </a:graphicData>
            </a:graphic>
          </wp:inline>
        </w:drawing>
      </w:r>
    </w:p>
    <w:p w14:paraId="2BD32859">
      <w:pPr>
        <w:pStyle w:val="49"/>
        <w:rPr>
          <w:rFonts w:hint="eastAsia"/>
          <w:color w:val="auto"/>
        </w:rPr>
      </w:pPr>
      <w:r>
        <w:rPr>
          <w:color w:val="auto"/>
        </w:rPr>
        <w:drawing>
          <wp:inline distT="0" distB="0" distL="0" distR="0">
            <wp:extent cx="12611735" cy="8715375"/>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pic:cNvPicPr>
                  </pic:nvPicPr>
                  <pic:blipFill>
                    <a:blip r:embed="rId42"/>
                    <a:stretch>
                      <a:fillRect/>
                    </a:stretch>
                  </pic:blipFill>
                  <pic:spPr>
                    <a:xfrm>
                      <a:off x="0" y="0"/>
                      <a:ext cx="12614048" cy="8716837"/>
                    </a:xfrm>
                    <a:prstGeom prst="rect">
                      <a:avLst/>
                    </a:prstGeom>
                  </pic:spPr>
                </pic:pic>
              </a:graphicData>
            </a:graphic>
          </wp:inline>
        </w:drawing>
      </w:r>
    </w:p>
    <w:p w14:paraId="5EBFAB48">
      <w:pPr>
        <w:jc w:val="center"/>
        <w:rPr>
          <w:color w:val="auto"/>
        </w:rPr>
      </w:pPr>
      <w:r>
        <w:rPr>
          <w:color w:val="auto"/>
        </w:rPr>
        <w:drawing>
          <wp:inline distT="0" distB="0" distL="0" distR="0">
            <wp:extent cx="12275820" cy="8477250"/>
            <wp:effectExtent l="0" t="0" r="0" b="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pic:cNvPicPr>
                  </pic:nvPicPr>
                  <pic:blipFill>
                    <a:blip r:embed="rId43"/>
                    <a:stretch>
                      <a:fillRect/>
                    </a:stretch>
                  </pic:blipFill>
                  <pic:spPr>
                    <a:xfrm>
                      <a:off x="0" y="0"/>
                      <a:ext cx="12278268" cy="8478913"/>
                    </a:xfrm>
                    <a:prstGeom prst="rect">
                      <a:avLst/>
                    </a:prstGeom>
                  </pic:spPr>
                </pic:pic>
              </a:graphicData>
            </a:graphic>
          </wp:inline>
        </w:drawing>
      </w:r>
    </w:p>
    <w:p w14:paraId="7A1AD7E6">
      <w:pPr>
        <w:jc w:val="center"/>
        <w:rPr>
          <w:color w:val="auto"/>
        </w:rPr>
      </w:pPr>
      <w:r>
        <w:rPr>
          <w:color w:val="auto"/>
        </w:rPr>
        <w:drawing>
          <wp:inline distT="0" distB="0" distL="0" distR="0">
            <wp:extent cx="12529185" cy="8629650"/>
            <wp:effectExtent l="0" t="0" r="5715"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pic:cNvPicPr>
                  </pic:nvPicPr>
                  <pic:blipFill>
                    <a:blip r:embed="rId44"/>
                    <a:stretch>
                      <a:fillRect/>
                    </a:stretch>
                  </pic:blipFill>
                  <pic:spPr>
                    <a:xfrm>
                      <a:off x="0" y="0"/>
                      <a:ext cx="12534364" cy="8633015"/>
                    </a:xfrm>
                    <a:prstGeom prst="rect">
                      <a:avLst/>
                    </a:prstGeom>
                  </pic:spPr>
                </pic:pic>
              </a:graphicData>
            </a:graphic>
          </wp:inline>
        </w:drawing>
      </w:r>
    </w:p>
    <w:p w14:paraId="72D97E39">
      <w:pPr>
        <w:rPr>
          <w:color w:val="auto"/>
        </w:rPr>
        <w:sectPr>
          <w:headerReference r:id="rId26" w:type="default"/>
          <w:pgSz w:w="23811" w:h="16838" w:orient="landscape"/>
          <w:pgMar w:top="1701" w:right="1440" w:bottom="1361" w:left="1440" w:header="992" w:footer="850" w:gutter="0"/>
          <w:cols w:space="425" w:num="1"/>
          <w:docGrid w:type="lines" w:linePitch="326" w:charSpace="0"/>
        </w:sectPr>
      </w:pPr>
    </w:p>
    <w:p w14:paraId="1CCC51A9">
      <w:pPr>
        <w:pStyle w:val="5"/>
        <w:rPr>
          <w:color w:val="auto"/>
        </w:rPr>
      </w:pPr>
      <w:bookmarkStart w:id="104" w:name="_Toc31856"/>
      <w:r>
        <w:rPr>
          <w:rFonts w:hint="eastAsia"/>
          <w:color w:val="auto"/>
        </w:rPr>
        <w:t>地铁图</w:t>
      </w:r>
      <w:bookmarkEnd w:id="104"/>
    </w:p>
    <w:p w14:paraId="65658B19">
      <w:pPr>
        <w:jc w:val="center"/>
        <w:rPr>
          <w:rFonts w:cs="宋体"/>
          <w:color w:val="auto"/>
          <w:szCs w:val="24"/>
        </w:rPr>
      </w:pPr>
      <w:r>
        <w:rPr>
          <w:color w:val="auto"/>
        </w:rPr>
        <w:drawing>
          <wp:inline distT="0" distB="0" distL="0" distR="0">
            <wp:extent cx="13201650" cy="7375525"/>
            <wp:effectExtent l="0" t="0" r="0" b="0"/>
            <wp:docPr id="171" name="图片 171" descr="C:\Users\CGG\AppData\Local\Temp\ksohtml12824\wp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C:\Users\CGG\AppData\Local\Temp\ksohtml12824\wps1.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13206341" cy="7378484"/>
                    </a:xfrm>
                    <a:prstGeom prst="rect">
                      <a:avLst/>
                    </a:prstGeom>
                    <a:noFill/>
                    <a:ln>
                      <a:noFill/>
                    </a:ln>
                  </pic:spPr>
                </pic:pic>
              </a:graphicData>
            </a:graphic>
          </wp:inline>
        </w:drawing>
      </w:r>
    </w:p>
    <w:p w14:paraId="03961B99">
      <w:pPr>
        <w:pStyle w:val="65"/>
        <w:spacing w:before="163" w:after="163"/>
        <w:rPr>
          <w:color w:val="auto"/>
        </w:rPr>
      </w:pPr>
    </w:p>
    <w:p w14:paraId="30AD6412">
      <w:pPr>
        <w:rPr>
          <w:color w:val="auto"/>
        </w:rPr>
      </w:pPr>
    </w:p>
    <w:p w14:paraId="06E4D5D1">
      <w:pPr>
        <w:rPr>
          <w:color w:val="auto"/>
        </w:rPr>
        <w:sectPr>
          <w:headerReference r:id="rId27" w:type="default"/>
          <w:pgSz w:w="23811" w:h="16838" w:orient="landscape"/>
          <w:pgMar w:top="1701" w:right="1440" w:bottom="1361" w:left="1440" w:header="992" w:footer="850" w:gutter="0"/>
          <w:cols w:space="425" w:num="1"/>
          <w:docGrid w:type="lines" w:linePitch="326" w:charSpace="0"/>
        </w:sectPr>
      </w:pPr>
    </w:p>
    <w:p w14:paraId="13EB6D26">
      <w:pPr>
        <w:pStyle w:val="3"/>
        <w:rPr>
          <w:color w:val="auto"/>
        </w:rPr>
      </w:pPr>
      <w:bookmarkStart w:id="105" w:name="_Toc19788"/>
      <w:r>
        <w:rPr>
          <w:rFonts w:hint="eastAsia"/>
          <w:color w:val="auto"/>
        </w:rPr>
        <w:t>施工总平面布置</w:t>
      </w:r>
      <w:bookmarkEnd w:id="105"/>
    </w:p>
    <w:p w14:paraId="49C70373">
      <w:pPr>
        <w:pStyle w:val="4"/>
        <w:ind w:firstLine="482"/>
        <w:rPr>
          <w:color w:val="auto"/>
        </w:rPr>
      </w:pPr>
      <w:bookmarkStart w:id="106" w:name="_Toc17615"/>
      <w:r>
        <w:rPr>
          <w:rFonts w:hint="eastAsia"/>
          <w:color w:val="auto"/>
        </w:rPr>
        <w:t>施工总平面布置依据</w:t>
      </w:r>
      <w:bookmarkEnd w:id="106"/>
    </w:p>
    <w:p w14:paraId="72DC38E7">
      <w:pPr>
        <w:rPr>
          <w:color w:val="auto"/>
        </w:rPr>
      </w:pPr>
      <w:r>
        <w:rPr>
          <w:rFonts w:hint="eastAsia"/>
          <w:color w:val="auto"/>
        </w:rPr>
        <w:t>1、建筑设计总平面，各专业施工图纸；</w:t>
      </w:r>
    </w:p>
    <w:p w14:paraId="057FE5DD">
      <w:pPr>
        <w:rPr>
          <w:color w:val="auto"/>
        </w:rPr>
      </w:pPr>
      <w:r>
        <w:rPr>
          <w:rFonts w:hint="eastAsia"/>
          <w:color w:val="auto"/>
        </w:rPr>
        <w:t>2、国家、海南省、三亚市有关施工规定、规程及安全文明施工标准和规定；</w:t>
      </w:r>
    </w:p>
    <w:p w14:paraId="16A21126">
      <w:pPr>
        <w:rPr>
          <w:color w:val="auto"/>
        </w:rPr>
      </w:pPr>
      <w:r>
        <w:rPr>
          <w:rFonts w:hint="eastAsia"/>
          <w:color w:val="auto"/>
        </w:rPr>
        <w:t>3、业主提供的用地范围、水电接头位置；</w:t>
      </w:r>
    </w:p>
    <w:p w14:paraId="6278ABAE">
      <w:pPr>
        <w:rPr>
          <w:color w:val="auto"/>
        </w:rPr>
      </w:pPr>
      <w:r>
        <w:rPr>
          <w:rFonts w:hint="eastAsia"/>
          <w:color w:val="auto"/>
        </w:rPr>
        <w:t>4、现场实际情况。</w:t>
      </w:r>
    </w:p>
    <w:p w14:paraId="4A5F19FC">
      <w:pPr>
        <w:pStyle w:val="4"/>
        <w:ind w:firstLine="482"/>
        <w:rPr>
          <w:color w:val="auto"/>
        </w:rPr>
      </w:pPr>
      <w:bookmarkStart w:id="107" w:name="_Toc13361"/>
      <w:r>
        <w:rPr>
          <w:rFonts w:hint="eastAsia"/>
          <w:color w:val="auto"/>
        </w:rPr>
        <w:t>施工总平面图的绘制及布置原则</w:t>
      </w:r>
      <w:bookmarkEnd w:id="107"/>
    </w:p>
    <w:p w14:paraId="3D74C857">
      <w:pPr>
        <w:rPr>
          <w:color w:val="auto"/>
        </w:rPr>
      </w:pPr>
      <w:r>
        <w:rPr>
          <w:rFonts w:hint="eastAsia"/>
          <w:color w:val="auto"/>
        </w:rPr>
        <w:t>施工总平面布置合理与否，将直接关系到施工进度的快慢，为保证现场施工顺利有序的进行，具体的施工平面布置原则如下：</w:t>
      </w:r>
    </w:p>
    <w:p w14:paraId="44368BBF">
      <w:pPr>
        <w:rPr>
          <w:color w:val="auto"/>
        </w:rPr>
      </w:pPr>
      <w:r>
        <w:rPr>
          <w:rFonts w:hint="eastAsia"/>
          <w:color w:val="auto"/>
        </w:rPr>
        <w:t>（1）兼顾周边环境：本工程位于三亚市崖州区，南、北侧毗邻一条正在施工中的次级城市干道，场区部分区域围墙距基坑较近，现场在南、北侧各开设一道大门，因地下室边线紧邻红线，周围正式路网正在施工，无法形成环形临时道路，土方及地下室施工阶段场内临时道路流向：北侧主门→下沉庭院→会议中心→南门，地下室封顶后，沿地下室边线形成环形临时道路。总平面布置需要充分考虑这些环境条件，最大程度减小对本工程正常施工的影响，主动消解和化解矛盾。</w:t>
      </w:r>
    </w:p>
    <w:p w14:paraId="7B9BE591">
      <w:pPr>
        <w:rPr>
          <w:color w:val="auto"/>
        </w:rPr>
      </w:pPr>
      <w:r>
        <w:rPr>
          <w:rFonts w:hint="eastAsia"/>
          <w:color w:val="auto"/>
        </w:rPr>
        <w:t>（2）现场布置以确保生产为主：本工程施工区域可利用场地较非常小，场地规划将在满足生产需求的基础上，力求整个施工现场的规整。工人生活区位于场地西侧，与管理人员办公区用围挡相隔。其他各类材料堆场在根据工程施工各阶段布置在下沉庭院、各楼栋附近。</w:t>
      </w:r>
    </w:p>
    <w:p w14:paraId="26C2DAF2">
      <w:pPr>
        <w:rPr>
          <w:color w:val="auto"/>
        </w:rPr>
      </w:pPr>
      <w:r>
        <w:rPr>
          <w:rFonts w:hint="eastAsia"/>
          <w:color w:val="auto"/>
        </w:rPr>
        <w:t>（3）按专业工种分区，集中管理，高效利用：场地由我单位统一规划布置，统一协调和管理，按专业、工种划分施工用地，临时中转场地由总承包单位统一管理，避免用地交叉、相互影响干扰。</w:t>
      </w:r>
    </w:p>
    <w:p w14:paraId="1C5645B7">
      <w:pPr>
        <w:rPr>
          <w:color w:val="auto"/>
        </w:rPr>
      </w:pPr>
      <w:r>
        <w:rPr>
          <w:rFonts w:hint="eastAsia"/>
          <w:color w:val="auto"/>
        </w:rPr>
        <w:t>（4）动态调整平面布置，确保关键工序进度：根据工程进度动态调整总平面布置，优先满足关键工序的材料运输和堆场需求。</w:t>
      </w:r>
    </w:p>
    <w:p w14:paraId="34BD421E">
      <w:pPr>
        <w:rPr>
          <w:color w:val="auto"/>
        </w:rPr>
      </w:pPr>
      <w:r>
        <w:rPr>
          <w:rFonts w:hint="eastAsia"/>
          <w:color w:val="auto"/>
        </w:rPr>
        <w:t>（5）确保安全，兼顾美观，绿色环保：合理规划场地，确保使用安全，同时分类有序布置各种设施，紧而不乱，协调美观，充分考虑节能、节材、节水、节地和环保功能，真正做到绿色施工，争取海南省安全文明标准化工地。</w:t>
      </w:r>
    </w:p>
    <w:p w14:paraId="5B9E3B0F">
      <w:pPr>
        <w:pStyle w:val="4"/>
        <w:ind w:firstLine="482"/>
        <w:rPr>
          <w:color w:val="auto"/>
        </w:rPr>
      </w:pPr>
      <w:bookmarkStart w:id="108" w:name="_Toc26558"/>
      <w:r>
        <w:rPr>
          <w:rFonts w:hint="eastAsia"/>
          <w:color w:val="auto"/>
        </w:rPr>
        <w:t>施工总平面图的内容</w:t>
      </w:r>
      <w:bookmarkEnd w:id="108"/>
    </w:p>
    <w:p w14:paraId="604C9733">
      <w:pPr>
        <w:pStyle w:val="5"/>
        <w:rPr>
          <w:color w:val="auto"/>
        </w:rPr>
      </w:pPr>
      <w:bookmarkStart w:id="109" w:name="_Toc32177"/>
      <w:r>
        <w:rPr>
          <w:rFonts w:hint="eastAsia"/>
          <w:color w:val="auto"/>
        </w:rPr>
        <w:t>现场出入口及围墙</w:t>
      </w:r>
      <w:bookmarkEnd w:id="109"/>
    </w:p>
    <w:p w14:paraId="755156D1">
      <w:pPr>
        <w:rPr>
          <w:color w:val="auto"/>
        </w:rPr>
      </w:pPr>
      <w:r>
        <w:rPr>
          <w:rFonts w:hint="eastAsia"/>
          <w:color w:val="auto"/>
        </w:rPr>
        <w:t>本工程位于三亚市崖州区，南、北侧毗邻一条正在施工中的次级城市干道，场区部分区域围墙距基坑较近，现场在南、北侧各开设一道大门，因地下室边线紧邻红线，周围正式路网正在施工，无法形成环形临时道路。现场外围围挡沿场地红线设置，具体位置见总平面图。</w:t>
      </w:r>
    </w:p>
    <w:p w14:paraId="4C7C8138">
      <w:pPr>
        <w:pStyle w:val="5"/>
        <w:rPr>
          <w:color w:val="auto"/>
        </w:rPr>
      </w:pPr>
      <w:bookmarkStart w:id="110" w:name="_Toc18677"/>
      <w:r>
        <w:rPr>
          <w:rFonts w:hint="eastAsia"/>
          <w:color w:val="auto"/>
        </w:rPr>
        <w:t>现场机械、设备的布置</w:t>
      </w:r>
      <w:bookmarkEnd w:id="110"/>
    </w:p>
    <w:p w14:paraId="5F760D65">
      <w:pPr>
        <w:rPr>
          <w:color w:val="auto"/>
        </w:rPr>
      </w:pPr>
      <w:r>
        <w:rPr>
          <w:rFonts w:hint="eastAsia"/>
          <w:color w:val="auto"/>
        </w:rPr>
        <w:t>现场施工机械随施工内容的变化分阶段布置。打桩阶段拟设置</w:t>
      </w:r>
      <w:r>
        <w:rPr>
          <w:color w:val="auto"/>
        </w:rPr>
        <w:t>1</w:t>
      </w:r>
      <w:r>
        <w:rPr>
          <w:rFonts w:hint="eastAsia"/>
          <w:color w:val="auto"/>
        </w:rPr>
        <w:t>台长螺旋引孔机，</w:t>
      </w:r>
      <w:r>
        <w:rPr>
          <w:color w:val="auto"/>
        </w:rPr>
        <w:t>2</w:t>
      </w:r>
      <w:r>
        <w:rPr>
          <w:rFonts w:hint="eastAsia"/>
          <w:color w:val="auto"/>
        </w:rPr>
        <w:t>台液压式静压机，1台旋喷桩机，</w:t>
      </w:r>
      <w:r>
        <w:rPr>
          <w:color w:val="auto"/>
        </w:rPr>
        <w:t>6</w:t>
      </w:r>
      <w:r>
        <w:rPr>
          <w:rFonts w:hint="eastAsia"/>
          <w:color w:val="auto"/>
        </w:rPr>
        <w:t>台锤击桩桩机；挖土阶段布置</w:t>
      </w:r>
      <w:r>
        <w:rPr>
          <w:color w:val="auto"/>
        </w:rPr>
        <w:t>6</w:t>
      </w:r>
      <w:r>
        <w:rPr>
          <w:rFonts w:hint="eastAsia"/>
          <w:color w:val="auto"/>
        </w:rPr>
        <w:t>台挖机及</w:t>
      </w:r>
      <w:r>
        <w:rPr>
          <w:color w:val="auto"/>
        </w:rPr>
        <w:t>50</w:t>
      </w:r>
      <w:r>
        <w:rPr>
          <w:rFonts w:hint="eastAsia"/>
          <w:color w:val="auto"/>
        </w:rPr>
        <w:t>辆运土卡车；地下室及主体结构施工现场拟设置</w:t>
      </w:r>
      <w:r>
        <w:rPr>
          <w:color w:val="auto"/>
        </w:rPr>
        <w:t>1</w:t>
      </w:r>
      <w:r>
        <w:rPr>
          <w:rFonts w:hint="eastAsia"/>
          <w:color w:val="auto"/>
        </w:rPr>
        <w:t>台</w:t>
      </w:r>
      <w:r>
        <w:rPr>
          <w:color w:val="auto"/>
        </w:rPr>
        <w:t>WA7025-12E</w:t>
      </w:r>
      <w:r>
        <w:rPr>
          <w:rFonts w:hint="eastAsia"/>
          <w:color w:val="auto"/>
        </w:rPr>
        <w:t>塔吊，</w:t>
      </w:r>
      <w:r>
        <w:rPr>
          <w:color w:val="auto"/>
        </w:rPr>
        <w:t>1</w:t>
      </w:r>
      <w:r>
        <w:rPr>
          <w:rFonts w:hint="eastAsia"/>
          <w:color w:val="auto"/>
        </w:rPr>
        <w:t>台6</w:t>
      </w:r>
      <w:r>
        <w:rPr>
          <w:color w:val="auto"/>
        </w:rPr>
        <w:t>515-10B</w:t>
      </w:r>
      <w:r>
        <w:rPr>
          <w:rFonts w:hint="eastAsia"/>
          <w:color w:val="auto"/>
        </w:rPr>
        <w:t>塔吊，</w:t>
      </w:r>
      <w:r>
        <w:rPr>
          <w:color w:val="auto"/>
        </w:rPr>
        <w:t>2</w:t>
      </w:r>
      <w:r>
        <w:rPr>
          <w:rFonts w:hint="eastAsia"/>
          <w:color w:val="auto"/>
        </w:rPr>
        <w:t>台S</w:t>
      </w:r>
      <w:r>
        <w:rPr>
          <w:color w:val="auto"/>
        </w:rPr>
        <w:t>TT293</w:t>
      </w:r>
      <w:r>
        <w:rPr>
          <w:rFonts w:hint="eastAsia"/>
          <w:color w:val="auto"/>
        </w:rPr>
        <w:t>塔吊；布置</w:t>
      </w:r>
      <w:r>
        <w:rPr>
          <w:color w:val="auto"/>
        </w:rPr>
        <w:t>4</w:t>
      </w:r>
      <w:r>
        <w:rPr>
          <w:rFonts w:hint="eastAsia"/>
          <w:color w:val="auto"/>
        </w:rPr>
        <w:t>台SC200/200G（SC200/200）施工电梯。</w:t>
      </w:r>
    </w:p>
    <w:p w14:paraId="4EECC38B">
      <w:pPr>
        <w:pStyle w:val="5"/>
        <w:rPr>
          <w:color w:val="auto"/>
        </w:rPr>
      </w:pPr>
      <w:bookmarkStart w:id="111" w:name="_Toc8957"/>
      <w:r>
        <w:rPr>
          <w:rFonts w:hint="eastAsia"/>
          <w:color w:val="auto"/>
        </w:rPr>
        <w:t>现场材料加工、堆放场地</w:t>
      </w:r>
      <w:bookmarkEnd w:id="111"/>
    </w:p>
    <w:p w14:paraId="6C167BE4">
      <w:pPr>
        <w:rPr>
          <w:color w:val="auto"/>
        </w:rPr>
      </w:pPr>
      <w:r>
        <w:rPr>
          <w:rFonts w:hint="eastAsia"/>
          <w:color w:val="auto"/>
        </w:rPr>
        <w:t>受本工程场地限制，材料堆场材料堆场的设置随施工内容的推进而变化，具体转换详各阶段总平面布置图。</w:t>
      </w:r>
    </w:p>
    <w:p w14:paraId="359BD636">
      <w:pPr>
        <w:pStyle w:val="5"/>
        <w:rPr>
          <w:color w:val="auto"/>
        </w:rPr>
      </w:pPr>
      <w:bookmarkStart w:id="112" w:name="_Toc30685"/>
      <w:r>
        <w:rPr>
          <w:rFonts w:hint="eastAsia"/>
          <w:color w:val="auto"/>
        </w:rPr>
        <w:t>现场办公区、生活区</w:t>
      </w:r>
      <w:bookmarkEnd w:id="112"/>
    </w:p>
    <w:p w14:paraId="36759D2D">
      <w:pPr>
        <w:pStyle w:val="6"/>
        <w:ind w:firstLine="480"/>
        <w:rPr>
          <w:color w:val="auto"/>
        </w:rPr>
      </w:pPr>
      <w:r>
        <w:rPr>
          <w:rFonts w:hint="eastAsia"/>
          <w:color w:val="auto"/>
        </w:rPr>
        <w:t>临建布置需满足的要求</w:t>
      </w:r>
    </w:p>
    <w:p w14:paraId="591B8CBB">
      <w:pPr>
        <w:rPr>
          <w:color w:val="auto"/>
        </w:rPr>
      </w:pPr>
      <w:r>
        <w:rPr>
          <w:rFonts w:hint="eastAsia"/>
          <w:color w:val="auto"/>
        </w:rPr>
        <w:t>1、办公区、生活区单独安装消防水管，且与办公、生活供水管路分开设置，消防主水管管径为100mm；消防主水管布置在消防通道一侧且距消防通道边线1m处，埋地安装深度为0.5m，在消防主水管首端应设消防增压泵，且泵的电源为独立敷设电源。</w:t>
      </w:r>
    </w:p>
    <w:p w14:paraId="10F2C36B">
      <w:pPr>
        <w:rPr>
          <w:color w:val="auto"/>
        </w:rPr>
      </w:pPr>
      <w:r>
        <w:rPr>
          <w:rFonts w:hint="eastAsia"/>
          <w:color w:val="auto"/>
        </w:rPr>
        <w:t>2、消防水管沿各主、次通道布置，消火栓间距不得大于60m，且消火栓优先安装在活动房通道与消防通道交叉路口距活动房墙边线1.5m处，并且应在消防栓周围0.5m范围内安装防碰撞栏杆。</w:t>
      </w:r>
    </w:p>
    <w:p w14:paraId="4C3F9F69">
      <w:pPr>
        <w:rPr>
          <w:color w:val="auto"/>
        </w:rPr>
      </w:pPr>
      <w:r>
        <w:rPr>
          <w:rFonts w:hint="eastAsia"/>
          <w:color w:val="auto"/>
        </w:rPr>
        <w:t>3、在每个消火栓旁应配备消火箱，消火箱内至少配置2根25m水带、1支DN19水枪，消火箱顶部距地面高度为1.5m。</w:t>
      </w:r>
    </w:p>
    <w:p w14:paraId="3FD35A2F">
      <w:pPr>
        <w:rPr>
          <w:color w:val="auto"/>
        </w:rPr>
      </w:pPr>
      <w:r>
        <w:rPr>
          <w:rFonts w:hint="eastAsia"/>
          <w:color w:val="auto"/>
        </w:rPr>
        <w:t>4、办公区、生活区每100m²应至少配备两具灭火级别不低于3A的灭火器，厨房等用火场所应适当增加灭火器的配置数量。</w:t>
      </w:r>
    </w:p>
    <w:p w14:paraId="2A378B27">
      <w:pPr>
        <w:rPr>
          <w:color w:val="auto"/>
        </w:rPr>
      </w:pPr>
      <w:r>
        <w:rPr>
          <w:rFonts w:hint="eastAsia"/>
          <w:color w:val="auto"/>
        </w:rPr>
        <w:t>5、办公区、生活区消防布置及消防器材配置除满足以上规定要求以外，还应符合国家相关规范和地方相关规定要求。</w:t>
      </w:r>
    </w:p>
    <w:p w14:paraId="2FE214FC">
      <w:pPr>
        <w:pStyle w:val="6"/>
        <w:ind w:firstLine="480"/>
        <w:rPr>
          <w:color w:val="auto"/>
        </w:rPr>
      </w:pPr>
      <w:r>
        <w:rPr>
          <w:rFonts w:hint="eastAsia"/>
          <w:color w:val="auto"/>
        </w:rPr>
        <w:t>临建布置图</w:t>
      </w:r>
    </w:p>
    <w:p w14:paraId="0F4BDBC5">
      <w:pPr>
        <w:pStyle w:val="65"/>
        <w:spacing w:before="163" w:after="163"/>
        <w:rPr>
          <w:color w:val="auto"/>
        </w:rPr>
      </w:pPr>
      <w:r>
        <w:rPr>
          <w:color w:val="auto"/>
        </w:rPr>
        <w:drawing>
          <wp:inline distT="0" distB="0" distL="0" distR="0">
            <wp:extent cx="5615940" cy="2246630"/>
            <wp:effectExtent l="0" t="0" r="381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615940" cy="2246630"/>
                    </a:xfrm>
                    <a:prstGeom prst="rect">
                      <a:avLst/>
                    </a:prstGeom>
                    <a:noFill/>
                    <a:ln>
                      <a:noFill/>
                    </a:ln>
                  </pic:spPr>
                </pic:pic>
              </a:graphicData>
            </a:graphic>
          </wp:inline>
        </w:drawing>
      </w:r>
    </w:p>
    <w:p w14:paraId="6C3ACE55">
      <w:pPr>
        <w:pStyle w:val="53"/>
        <w:rPr>
          <w:color w:val="auto"/>
        </w:rPr>
      </w:pPr>
      <w:r>
        <w:rPr>
          <w:rFonts w:hint="eastAsia"/>
          <w:color w:val="auto"/>
        </w:rPr>
        <w:t>临建三维图</w:t>
      </w:r>
    </w:p>
    <w:p w14:paraId="270A94CE">
      <w:pPr>
        <w:pStyle w:val="5"/>
        <w:rPr>
          <w:color w:val="auto"/>
        </w:rPr>
      </w:pPr>
      <w:bookmarkStart w:id="113" w:name="_Toc19717"/>
      <w:r>
        <w:rPr>
          <w:rFonts w:hint="eastAsia"/>
          <w:color w:val="auto"/>
        </w:rPr>
        <w:t>临时用水布置</w:t>
      </w:r>
      <w:bookmarkEnd w:id="113"/>
    </w:p>
    <w:p w14:paraId="5BFB7B7A">
      <w:pPr>
        <w:pStyle w:val="6"/>
        <w:ind w:firstLine="480"/>
        <w:rPr>
          <w:color w:val="auto"/>
        </w:rPr>
      </w:pPr>
      <w:r>
        <w:rPr>
          <w:rFonts w:hint="eastAsia"/>
          <w:color w:val="auto"/>
        </w:rPr>
        <w:t>周边环线水管布设</w:t>
      </w:r>
    </w:p>
    <w:p w14:paraId="59BCCC96">
      <w:pPr>
        <w:rPr>
          <w:color w:val="auto"/>
        </w:rPr>
      </w:pPr>
      <w:r>
        <w:rPr>
          <w:rFonts w:hint="eastAsia"/>
          <w:color w:val="auto"/>
        </w:rPr>
        <w:t>临时消防给水系统分办公区、生活区临时消防给水系统、施工现场室内临时消防给水系统和施工现场室外消防给水系统。施工现场室内临时消防给水系统按照工程建筑高度确定供水方式。办公区、生活区临时消防给水系统与施工现场室外临时消防给水系统优先采用市政水源，若市政水源流量、压力不满足系统流量、压力等要求时，则与室内消防给水系统共用水源。当办公区、生活区与施工现场距离较远时，各区域可单独设置一套临时消防给水系统。</w:t>
      </w:r>
    </w:p>
    <w:p w14:paraId="3B018B75">
      <w:pPr>
        <w:rPr>
          <w:color w:val="auto"/>
        </w:rPr>
      </w:pPr>
      <w:r>
        <w:rPr>
          <w:rFonts w:hint="eastAsia"/>
          <w:color w:val="auto"/>
        </w:rPr>
        <w:t>施工现场临时室内外消防给水系统均采用变频恒压供水系统，在日常状态时，管道内为充水状态。当发生火灾时，打开消防阀门后即可自动达到全压供水状态。以满足不同高度的要求。</w:t>
      </w:r>
    </w:p>
    <w:p w14:paraId="454FCFBC">
      <w:pPr>
        <w:pStyle w:val="6"/>
        <w:ind w:firstLine="480"/>
        <w:rPr>
          <w:color w:val="auto"/>
        </w:rPr>
      </w:pPr>
      <w:r>
        <w:rPr>
          <w:rFonts w:hint="eastAsia"/>
          <w:color w:val="auto"/>
        </w:rPr>
        <w:t>生产用水、消防管道布设及消防泵房的管理</w:t>
      </w:r>
    </w:p>
    <w:p w14:paraId="21E13D09">
      <w:pPr>
        <w:rPr>
          <w:color w:val="auto"/>
        </w:rPr>
      </w:pPr>
      <w:r>
        <w:rPr>
          <w:rFonts w:hint="eastAsia"/>
          <w:color w:val="auto"/>
        </w:rPr>
        <w:t>1.室外消防给水系统 室外消防给水系统为低压消防给水系统，沿施工现场临时道路旁布置DN100给水环状管网，每隔50米布置一个消火栓箱，箱内配25米消防水带和19mm消防水枪。</w:t>
      </w:r>
    </w:p>
    <w:p w14:paraId="58EF3EA9">
      <w:pPr>
        <w:rPr>
          <w:color w:val="auto"/>
        </w:rPr>
      </w:pPr>
      <w:r>
        <w:rPr>
          <w:rFonts w:hint="eastAsia"/>
          <w:color w:val="auto"/>
        </w:rPr>
        <w:t>2.室内消火栓给水系统 ,</w:t>
      </w:r>
    </w:p>
    <w:p w14:paraId="6D43C2AB">
      <w:pPr>
        <w:rPr>
          <w:color w:val="auto"/>
        </w:rPr>
      </w:pPr>
      <w:r>
        <w:rPr>
          <w:rFonts w:hint="eastAsia"/>
          <w:color w:val="auto"/>
        </w:rPr>
        <w:t>(一 )室内消火栓给水系统布置原则为：室内消火栓给水管网在地首层设置临时供水箱，主楼沿水管井预留洞设DN100立管供水，每楼层从DN100消防给水立管上引出DN65消火栓接口，并配置消火栓箱，箱内配25米消防水带和19mm消防水枪；本供水系统拟采用恒压变频水泵组逐级加压供给，加压设备采用市电、发电机双电源供电，以确保消防系统的可靠运行。</w:t>
      </w:r>
    </w:p>
    <w:p w14:paraId="5B8FFBD4">
      <w:pPr>
        <w:rPr>
          <w:color w:val="auto"/>
        </w:rPr>
      </w:pPr>
      <w:r>
        <w:rPr>
          <w:rFonts w:hint="eastAsia"/>
          <w:color w:val="auto"/>
        </w:rPr>
        <w:t xml:space="preserve">（二）生产给水系统 室外生产给水管布置：室外消防给水和生活生产给水共用供水环网，在给水环管上生产区每隔50m设置2个DN20给水龙头并加装截止阀予以控制，龙头的安装高度为出地面800mm。室内给水管布置：楼层设置DN63管径供水立管，每层设置二个DN20给水阀门。给水阀门至用水点间的管路根据实际情况采用橡胶软管临时接驳。 </w:t>
      </w:r>
    </w:p>
    <w:p w14:paraId="3DBCC876">
      <w:pPr>
        <w:rPr>
          <w:color w:val="auto"/>
        </w:rPr>
      </w:pPr>
      <w:r>
        <w:rPr>
          <w:rFonts w:hint="eastAsia"/>
          <w:color w:val="auto"/>
        </w:rPr>
        <w:t xml:space="preserve">（三）水泵及阀门选择 考虑到扬程要求，如果满足现场建筑物施工及消防的要求，拟选用水泵组供水，单台出水量的有效出水量不小于20L/S，扬程不小于120m，泵进口直径50mm，出口直径50mm。 本工程由于是群体建筑同时施工，考虑消防用水的集中性，为保证系统供水可靠和稳定，在主干管布置时，采用“多分区、宜独立”的布置原则，采用恒压变频水泵组恒压供水，使得各区系统能独立运行，相互不受影响。 本临时用水设计阀门，在主管道上起截断作用的选用闸阀，其余小于DN100的阀门选用球阀或蝶阀。 </w:t>
      </w:r>
    </w:p>
    <w:p w14:paraId="0E63258C">
      <w:pPr>
        <w:rPr>
          <w:color w:val="auto"/>
        </w:rPr>
      </w:pPr>
      <w:r>
        <w:rPr>
          <w:rFonts w:hint="eastAsia"/>
          <w:color w:val="auto"/>
        </w:rPr>
        <w:t>（四）水源节能利用系统 考虑施工现场降水系统，可将其用作清洁，冲洗及绿化用水。</w:t>
      </w:r>
    </w:p>
    <w:p w14:paraId="0CA414B3">
      <w:pPr>
        <w:pStyle w:val="6"/>
        <w:ind w:firstLine="480"/>
        <w:rPr>
          <w:color w:val="auto"/>
        </w:rPr>
      </w:pPr>
      <w:r>
        <w:rPr>
          <w:rFonts w:hint="eastAsia"/>
          <w:color w:val="auto"/>
        </w:rPr>
        <w:t>现场临时用水量计算及管径选择</w:t>
      </w:r>
    </w:p>
    <w:p w14:paraId="0DBACA48">
      <w:pPr>
        <w:rPr>
          <w:color w:val="auto"/>
        </w:rPr>
      </w:pPr>
      <w:r>
        <w:rPr>
          <w:rFonts w:hint="eastAsia"/>
          <w:color w:val="auto"/>
        </w:rPr>
        <w:t>1.本工程临时给水计算包含内容：(参照</w:t>
      </w:r>
      <w:r>
        <w:rPr>
          <w:color w:val="auto"/>
        </w:rPr>
        <w:t>表</w:t>
      </w:r>
      <w:r>
        <w:rPr>
          <w:rFonts w:hint="eastAsia"/>
          <w:color w:val="auto"/>
        </w:rPr>
        <w:t>)</w:t>
      </w:r>
    </w:p>
    <w:p w14:paraId="51EEE8EC">
      <w:pPr>
        <w:pStyle w:val="54"/>
        <w:rPr>
          <w:color w:val="auto"/>
        </w:rPr>
      </w:pPr>
      <w:r>
        <w:rPr>
          <w:rFonts w:hint="eastAsia"/>
          <w:color w:val="auto"/>
        </w:rPr>
        <w:t>施工用水参考定额</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4868"/>
        <w:gridCol w:w="1950"/>
        <w:gridCol w:w="1830"/>
      </w:tblGrid>
      <w:tr w14:paraId="57605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556A8B7C">
            <w:pPr>
              <w:pStyle w:val="69"/>
              <w:rPr>
                <w:rFonts w:hint="eastAsia"/>
                <w:color w:val="auto"/>
              </w:rPr>
            </w:pPr>
            <w:r>
              <w:rPr>
                <w:rFonts w:hint="eastAsia"/>
                <w:color w:val="auto"/>
              </w:rPr>
              <w:t>序号</w:t>
            </w:r>
          </w:p>
        </w:tc>
        <w:tc>
          <w:tcPr>
            <w:tcW w:w="4868" w:type="dxa"/>
            <w:noWrap/>
            <w:vAlign w:val="center"/>
          </w:tcPr>
          <w:p w14:paraId="73760782">
            <w:pPr>
              <w:pStyle w:val="69"/>
              <w:rPr>
                <w:rFonts w:hint="eastAsia"/>
                <w:color w:val="auto"/>
              </w:rPr>
            </w:pPr>
            <w:r>
              <w:rPr>
                <w:rFonts w:hint="eastAsia"/>
                <w:color w:val="auto"/>
              </w:rPr>
              <w:t>用水对象</w:t>
            </w:r>
          </w:p>
        </w:tc>
        <w:tc>
          <w:tcPr>
            <w:tcW w:w="1950" w:type="dxa"/>
            <w:noWrap/>
            <w:vAlign w:val="center"/>
          </w:tcPr>
          <w:p w14:paraId="120B02E9">
            <w:pPr>
              <w:pStyle w:val="69"/>
              <w:rPr>
                <w:rFonts w:hint="eastAsia"/>
                <w:color w:val="auto"/>
              </w:rPr>
            </w:pPr>
            <w:r>
              <w:rPr>
                <w:rFonts w:hint="eastAsia"/>
                <w:color w:val="auto"/>
              </w:rPr>
              <w:t>单位</w:t>
            </w:r>
          </w:p>
        </w:tc>
        <w:tc>
          <w:tcPr>
            <w:tcW w:w="1830" w:type="dxa"/>
            <w:noWrap/>
            <w:vAlign w:val="center"/>
          </w:tcPr>
          <w:p w14:paraId="4B7B61B6">
            <w:pPr>
              <w:pStyle w:val="69"/>
              <w:rPr>
                <w:rFonts w:hint="eastAsia"/>
                <w:color w:val="auto"/>
              </w:rPr>
            </w:pPr>
            <w:r>
              <w:rPr>
                <w:rFonts w:hint="eastAsia"/>
                <w:color w:val="auto"/>
              </w:rPr>
              <w:t>耗水量（ N1）</w:t>
            </w:r>
          </w:p>
        </w:tc>
      </w:tr>
      <w:tr w14:paraId="48F2E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27119238">
            <w:pPr>
              <w:pStyle w:val="69"/>
              <w:rPr>
                <w:rFonts w:hint="eastAsia"/>
                <w:color w:val="auto"/>
              </w:rPr>
            </w:pPr>
            <w:r>
              <w:rPr>
                <w:rFonts w:hint="eastAsia"/>
                <w:color w:val="auto"/>
              </w:rPr>
              <w:t>1</w:t>
            </w:r>
          </w:p>
        </w:tc>
        <w:tc>
          <w:tcPr>
            <w:tcW w:w="4868" w:type="dxa"/>
            <w:noWrap/>
            <w:vAlign w:val="center"/>
          </w:tcPr>
          <w:p w14:paraId="68234628">
            <w:pPr>
              <w:pStyle w:val="69"/>
              <w:rPr>
                <w:rFonts w:hint="eastAsia"/>
                <w:color w:val="auto"/>
              </w:rPr>
            </w:pPr>
            <w:r>
              <w:rPr>
                <w:rFonts w:hint="eastAsia"/>
                <w:color w:val="auto"/>
              </w:rPr>
              <w:t>浇注混凝土全部用水</w:t>
            </w:r>
          </w:p>
        </w:tc>
        <w:tc>
          <w:tcPr>
            <w:tcW w:w="1950" w:type="dxa"/>
            <w:noWrap/>
            <w:vAlign w:val="center"/>
          </w:tcPr>
          <w:p w14:paraId="2C47683D">
            <w:pPr>
              <w:pStyle w:val="69"/>
              <w:rPr>
                <w:rFonts w:hint="eastAsia"/>
                <w:color w:val="auto"/>
              </w:rPr>
            </w:pPr>
            <w:r>
              <w:rPr>
                <w:rFonts w:hint="eastAsia"/>
                <w:color w:val="auto"/>
              </w:rPr>
              <w:t>L/m 3</w:t>
            </w:r>
          </w:p>
        </w:tc>
        <w:tc>
          <w:tcPr>
            <w:tcW w:w="1830" w:type="dxa"/>
            <w:noWrap/>
            <w:vAlign w:val="center"/>
          </w:tcPr>
          <w:p w14:paraId="4A76C1BA">
            <w:pPr>
              <w:pStyle w:val="69"/>
              <w:rPr>
                <w:rFonts w:hint="eastAsia"/>
                <w:color w:val="auto"/>
              </w:rPr>
            </w:pPr>
            <w:r>
              <w:rPr>
                <w:rFonts w:hint="eastAsia"/>
                <w:color w:val="auto"/>
              </w:rPr>
              <w:t>1700~2400</w:t>
            </w:r>
          </w:p>
        </w:tc>
      </w:tr>
      <w:tr w14:paraId="68AD9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29966F1C">
            <w:pPr>
              <w:pStyle w:val="69"/>
              <w:rPr>
                <w:rFonts w:hint="eastAsia"/>
                <w:color w:val="auto"/>
              </w:rPr>
            </w:pPr>
            <w:r>
              <w:rPr>
                <w:rFonts w:hint="eastAsia"/>
                <w:color w:val="auto"/>
              </w:rPr>
              <w:t>2</w:t>
            </w:r>
          </w:p>
        </w:tc>
        <w:tc>
          <w:tcPr>
            <w:tcW w:w="4868" w:type="dxa"/>
            <w:noWrap/>
            <w:vAlign w:val="center"/>
          </w:tcPr>
          <w:p w14:paraId="0B313E0C">
            <w:pPr>
              <w:pStyle w:val="69"/>
              <w:rPr>
                <w:rFonts w:hint="eastAsia"/>
                <w:color w:val="auto"/>
              </w:rPr>
            </w:pPr>
            <w:r>
              <w:rPr>
                <w:rFonts w:hint="eastAsia"/>
                <w:color w:val="auto"/>
              </w:rPr>
              <w:t>搅拌普通混凝土</w:t>
            </w:r>
          </w:p>
        </w:tc>
        <w:tc>
          <w:tcPr>
            <w:tcW w:w="1950" w:type="dxa"/>
            <w:noWrap/>
            <w:vAlign w:val="center"/>
          </w:tcPr>
          <w:p w14:paraId="7B2600A9">
            <w:pPr>
              <w:pStyle w:val="69"/>
              <w:rPr>
                <w:rFonts w:hint="eastAsia"/>
                <w:color w:val="auto"/>
              </w:rPr>
            </w:pPr>
            <w:r>
              <w:rPr>
                <w:rFonts w:hint="eastAsia"/>
                <w:color w:val="auto"/>
              </w:rPr>
              <w:t>L/m 3</w:t>
            </w:r>
          </w:p>
        </w:tc>
        <w:tc>
          <w:tcPr>
            <w:tcW w:w="1830" w:type="dxa"/>
            <w:noWrap/>
            <w:vAlign w:val="center"/>
          </w:tcPr>
          <w:p w14:paraId="7BF45D56">
            <w:pPr>
              <w:pStyle w:val="69"/>
              <w:rPr>
                <w:rFonts w:hint="eastAsia"/>
                <w:color w:val="auto"/>
              </w:rPr>
            </w:pPr>
            <w:r>
              <w:rPr>
                <w:rFonts w:hint="eastAsia"/>
                <w:color w:val="auto"/>
              </w:rPr>
              <w:t>250</w:t>
            </w:r>
          </w:p>
        </w:tc>
      </w:tr>
      <w:tr w14:paraId="74A9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664DCABC">
            <w:pPr>
              <w:pStyle w:val="69"/>
              <w:rPr>
                <w:rFonts w:hint="eastAsia"/>
                <w:color w:val="auto"/>
              </w:rPr>
            </w:pPr>
            <w:r>
              <w:rPr>
                <w:rFonts w:hint="eastAsia"/>
                <w:color w:val="auto"/>
              </w:rPr>
              <w:t>3</w:t>
            </w:r>
          </w:p>
        </w:tc>
        <w:tc>
          <w:tcPr>
            <w:tcW w:w="4868" w:type="dxa"/>
            <w:noWrap/>
            <w:vAlign w:val="center"/>
          </w:tcPr>
          <w:p w14:paraId="516769B5">
            <w:pPr>
              <w:pStyle w:val="69"/>
              <w:rPr>
                <w:rFonts w:hint="eastAsia"/>
                <w:color w:val="auto"/>
              </w:rPr>
            </w:pPr>
            <w:r>
              <w:rPr>
                <w:rFonts w:hint="eastAsia"/>
                <w:color w:val="auto"/>
              </w:rPr>
              <w:t>混凝土养护（自然养护）</w:t>
            </w:r>
          </w:p>
        </w:tc>
        <w:tc>
          <w:tcPr>
            <w:tcW w:w="1950" w:type="dxa"/>
            <w:noWrap/>
            <w:vAlign w:val="center"/>
          </w:tcPr>
          <w:p w14:paraId="074F35AD">
            <w:pPr>
              <w:pStyle w:val="69"/>
              <w:rPr>
                <w:rFonts w:hint="eastAsia"/>
                <w:color w:val="auto"/>
              </w:rPr>
            </w:pPr>
            <w:r>
              <w:rPr>
                <w:rFonts w:hint="eastAsia"/>
                <w:color w:val="auto"/>
              </w:rPr>
              <w:t>L/m 3</w:t>
            </w:r>
          </w:p>
        </w:tc>
        <w:tc>
          <w:tcPr>
            <w:tcW w:w="1830" w:type="dxa"/>
            <w:noWrap/>
            <w:vAlign w:val="center"/>
          </w:tcPr>
          <w:p w14:paraId="04CAD710">
            <w:pPr>
              <w:pStyle w:val="69"/>
              <w:rPr>
                <w:rFonts w:hint="eastAsia"/>
                <w:color w:val="auto"/>
              </w:rPr>
            </w:pPr>
            <w:r>
              <w:rPr>
                <w:rFonts w:hint="eastAsia"/>
                <w:color w:val="auto"/>
              </w:rPr>
              <w:t>200~400</w:t>
            </w:r>
          </w:p>
        </w:tc>
      </w:tr>
      <w:tr w14:paraId="50BAA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19B81306">
            <w:pPr>
              <w:pStyle w:val="69"/>
              <w:rPr>
                <w:rFonts w:hint="eastAsia"/>
                <w:color w:val="auto"/>
              </w:rPr>
            </w:pPr>
            <w:r>
              <w:rPr>
                <w:rFonts w:hint="eastAsia"/>
                <w:color w:val="auto"/>
              </w:rPr>
              <w:t>4</w:t>
            </w:r>
          </w:p>
        </w:tc>
        <w:tc>
          <w:tcPr>
            <w:tcW w:w="4868" w:type="dxa"/>
            <w:noWrap/>
            <w:vAlign w:val="center"/>
          </w:tcPr>
          <w:p w14:paraId="45BE8E71">
            <w:pPr>
              <w:pStyle w:val="69"/>
              <w:rPr>
                <w:rFonts w:hint="eastAsia"/>
                <w:color w:val="auto"/>
              </w:rPr>
            </w:pPr>
            <w:r>
              <w:rPr>
                <w:rFonts w:hint="eastAsia"/>
                <w:color w:val="auto"/>
              </w:rPr>
              <w:t>砌砖工程全部用水</w:t>
            </w:r>
          </w:p>
        </w:tc>
        <w:tc>
          <w:tcPr>
            <w:tcW w:w="1950" w:type="dxa"/>
            <w:noWrap/>
            <w:vAlign w:val="center"/>
          </w:tcPr>
          <w:p w14:paraId="3A6B66E8">
            <w:pPr>
              <w:pStyle w:val="69"/>
              <w:rPr>
                <w:rFonts w:hint="eastAsia"/>
                <w:color w:val="auto"/>
              </w:rPr>
            </w:pPr>
            <w:r>
              <w:rPr>
                <w:rFonts w:hint="eastAsia"/>
                <w:color w:val="auto"/>
              </w:rPr>
              <w:t>L/m 3</w:t>
            </w:r>
          </w:p>
        </w:tc>
        <w:tc>
          <w:tcPr>
            <w:tcW w:w="1830" w:type="dxa"/>
            <w:noWrap/>
            <w:vAlign w:val="center"/>
          </w:tcPr>
          <w:p w14:paraId="4557B4A9">
            <w:pPr>
              <w:pStyle w:val="69"/>
              <w:rPr>
                <w:rFonts w:hint="eastAsia"/>
                <w:color w:val="auto"/>
              </w:rPr>
            </w:pPr>
            <w:r>
              <w:rPr>
                <w:rFonts w:hint="eastAsia"/>
                <w:color w:val="auto"/>
              </w:rPr>
              <w:t>150~250</w:t>
            </w:r>
          </w:p>
        </w:tc>
      </w:tr>
      <w:tr w14:paraId="1C977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2339BBC0">
            <w:pPr>
              <w:pStyle w:val="69"/>
              <w:rPr>
                <w:rFonts w:hint="eastAsia"/>
                <w:color w:val="auto"/>
              </w:rPr>
            </w:pPr>
            <w:r>
              <w:rPr>
                <w:rFonts w:hint="eastAsia"/>
                <w:color w:val="auto"/>
              </w:rPr>
              <w:t>5</w:t>
            </w:r>
          </w:p>
        </w:tc>
        <w:tc>
          <w:tcPr>
            <w:tcW w:w="4868" w:type="dxa"/>
            <w:noWrap/>
            <w:vAlign w:val="center"/>
          </w:tcPr>
          <w:p w14:paraId="78E48751">
            <w:pPr>
              <w:pStyle w:val="69"/>
              <w:rPr>
                <w:rFonts w:hint="eastAsia"/>
                <w:color w:val="auto"/>
              </w:rPr>
            </w:pPr>
            <w:r>
              <w:rPr>
                <w:rFonts w:hint="eastAsia"/>
                <w:color w:val="auto"/>
              </w:rPr>
              <w:t>砌石工程全部用水</w:t>
            </w:r>
          </w:p>
        </w:tc>
        <w:tc>
          <w:tcPr>
            <w:tcW w:w="1950" w:type="dxa"/>
            <w:noWrap/>
            <w:vAlign w:val="center"/>
          </w:tcPr>
          <w:p w14:paraId="72283512">
            <w:pPr>
              <w:pStyle w:val="69"/>
              <w:rPr>
                <w:rFonts w:hint="eastAsia"/>
                <w:color w:val="auto"/>
              </w:rPr>
            </w:pPr>
            <w:r>
              <w:rPr>
                <w:rFonts w:hint="eastAsia"/>
                <w:color w:val="auto"/>
              </w:rPr>
              <w:t>L/m 3</w:t>
            </w:r>
          </w:p>
        </w:tc>
        <w:tc>
          <w:tcPr>
            <w:tcW w:w="1830" w:type="dxa"/>
            <w:noWrap/>
            <w:vAlign w:val="center"/>
          </w:tcPr>
          <w:p w14:paraId="0B88DD1E">
            <w:pPr>
              <w:pStyle w:val="69"/>
              <w:rPr>
                <w:rFonts w:hint="eastAsia"/>
                <w:color w:val="auto"/>
              </w:rPr>
            </w:pPr>
            <w:r>
              <w:rPr>
                <w:rFonts w:hint="eastAsia"/>
                <w:color w:val="auto"/>
              </w:rPr>
              <w:t>50~80</w:t>
            </w:r>
          </w:p>
        </w:tc>
      </w:tr>
      <w:tr w14:paraId="2025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7A0327F1">
            <w:pPr>
              <w:pStyle w:val="69"/>
              <w:rPr>
                <w:rFonts w:hint="eastAsia"/>
                <w:color w:val="auto"/>
              </w:rPr>
            </w:pPr>
            <w:r>
              <w:rPr>
                <w:rFonts w:hint="eastAsia"/>
                <w:color w:val="auto"/>
              </w:rPr>
              <w:t>6</w:t>
            </w:r>
          </w:p>
        </w:tc>
        <w:tc>
          <w:tcPr>
            <w:tcW w:w="4868" w:type="dxa"/>
            <w:noWrap/>
            <w:vAlign w:val="center"/>
          </w:tcPr>
          <w:p w14:paraId="66203AF7">
            <w:pPr>
              <w:pStyle w:val="69"/>
              <w:rPr>
                <w:rFonts w:hint="eastAsia"/>
                <w:color w:val="auto"/>
              </w:rPr>
            </w:pPr>
            <w:r>
              <w:rPr>
                <w:rFonts w:hint="eastAsia"/>
                <w:color w:val="auto"/>
              </w:rPr>
              <w:t>抹灰工程全部用水</w:t>
            </w:r>
          </w:p>
        </w:tc>
        <w:tc>
          <w:tcPr>
            <w:tcW w:w="1950" w:type="dxa"/>
            <w:noWrap/>
            <w:vAlign w:val="center"/>
          </w:tcPr>
          <w:p w14:paraId="7D82FDA7">
            <w:pPr>
              <w:pStyle w:val="69"/>
              <w:rPr>
                <w:rFonts w:hint="eastAsia"/>
                <w:color w:val="auto"/>
              </w:rPr>
            </w:pPr>
            <w:r>
              <w:rPr>
                <w:rFonts w:hint="eastAsia"/>
                <w:color w:val="auto"/>
              </w:rPr>
              <w:t>L/m 2</w:t>
            </w:r>
          </w:p>
        </w:tc>
        <w:tc>
          <w:tcPr>
            <w:tcW w:w="1830" w:type="dxa"/>
            <w:noWrap/>
            <w:vAlign w:val="center"/>
          </w:tcPr>
          <w:p w14:paraId="2549ED66">
            <w:pPr>
              <w:pStyle w:val="69"/>
              <w:rPr>
                <w:rFonts w:hint="eastAsia"/>
                <w:color w:val="auto"/>
              </w:rPr>
            </w:pPr>
            <w:r>
              <w:rPr>
                <w:rFonts w:hint="eastAsia"/>
                <w:color w:val="auto"/>
              </w:rPr>
              <w:t>30</w:t>
            </w:r>
          </w:p>
        </w:tc>
      </w:tr>
      <w:tr w14:paraId="68EB6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4E4C9F50">
            <w:pPr>
              <w:pStyle w:val="69"/>
              <w:rPr>
                <w:rFonts w:hint="eastAsia"/>
                <w:color w:val="auto"/>
              </w:rPr>
            </w:pPr>
            <w:r>
              <w:rPr>
                <w:rFonts w:hint="eastAsia"/>
                <w:color w:val="auto"/>
              </w:rPr>
              <w:t>7</w:t>
            </w:r>
          </w:p>
        </w:tc>
        <w:tc>
          <w:tcPr>
            <w:tcW w:w="4868" w:type="dxa"/>
            <w:noWrap/>
            <w:vAlign w:val="center"/>
          </w:tcPr>
          <w:p w14:paraId="6C88A00B">
            <w:pPr>
              <w:pStyle w:val="69"/>
              <w:rPr>
                <w:rFonts w:hint="eastAsia"/>
                <w:color w:val="auto"/>
              </w:rPr>
            </w:pPr>
            <w:r>
              <w:rPr>
                <w:rFonts w:hint="eastAsia"/>
                <w:color w:val="auto"/>
              </w:rPr>
              <w:t>浇砖</w:t>
            </w:r>
          </w:p>
        </w:tc>
        <w:tc>
          <w:tcPr>
            <w:tcW w:w="1950" w:type="dxa"/>
            <w:noWrap/>
            <w:vAlign w:val="center"/>
          </w:tcPr>
          <w:p w14:paraId="5070B9FC">
            <w:pPr>
              <w:pStyle w:val="69"/>
              <w:rPr>
                <w:rFonts w:hint="eastAsia"/>
                <w:color w:val="auto"/>
              </w:rPr>
            </w:pPr>
            <w:r>
              <w:rPr>
                <w:rFonts w:hint="eastAsia"/>
                <w:color w:val="auto"/>
              </w:rPr>
              <w:t>L/ 千块</w:t>
            </w:r>
          </w:p>
        </w:tc>
        <w:tc>
          <w:tcPr>
            <w:tcW w:w="1830" w:type="dxa"/>
            <w:noWrap/>
            <w:vAlign w:val="center"/>
          </w:tcPr>
          <w:p w14:paraId="0F9BD948">
            <w:pPr>
              <w:pStyle w:val="69"/>
              <w:rPr>
                <w:rFonts w:hint="eastAsia"/>
                <w:color w:val="auto"/>
              </w:rPr>
            </w:pPr>
            <w:r>
              <w:rPr>
                <w:rFonts w:hint="eastAsia"/>
                <w:color w:val="auto"/>
              </w:rPr>
              <w:t>200~250</w:t>
            </w:r>
          </w:p>
        </w:tc>
      </w:tr>
      <w:tr w14:paraId="39DF1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53" w:type="dxa"/>
            <w:noWrap/>
            <w:vAlign w:val="center"/>
          </w:tcPr>
          <w:p w14:paraId="29AAE18C">
            <w:pPr>
              <w:pStyle w:val="69"/>
              <w:rPr>
                <w:rFonts w:hint="eastAsia"/>
                <w:color w:val="auto"/>
              </w:rPr>
            </w:pPr>
            <w:r>
              <w:rPr>
                <w:color w:val="auto"/>
              </w:rPr>
              <w:t>5</w:t>
            </w:r>
          </w:p>
        </w:tc>
        <w:tc>
          <w:tcPr>
            <w:tcW w:w="4868" w:type="dxa"/>
            <w:noWrap/>
            <w:vAlign w:val="center"/>
          </w:tcPr>
          <w:p w14:paraId="1B9B8231">
            <w:pPr>
              <w:pStyle w:val="69"/>
              <w:rPr>
                <w:rFonts w:hint="eastAsia"/>
                <w:color w:val="auto"/>
              </w:rPr>
            </w:pPr>
            <w:r>
              <w:rPr>
                <w:rFonts w:hint="eastAsia"/>
                <w:color w:val="auto"/>
              </w:rPr>
              <w:t>抹面</w:t>
            </w:r>
          </w:p>
        </w:tc>
        <w:tc>
          <w:tcPr>
            <w:tcW w:w="1950" w:type="dxa"/>
            <w:noWrap/>
            <w:vAlign w:val="center"/>
          </w:tcPr>
          <w:p w14:paraId="37DE4C78">
            <w:pPr>
              <w:pStyle w:val="69"/>
              <w:rPr>
                <w:rFonts w:hint="eastAsia"/>
                <w:color w:val="auto"/>
              </w:rPr>
            </w:pPr>
            <w:r>
              <w:rPr>
                <w:rFonts w:hint="eastAsia"/>
                <w:color w:val="auto"/>
              </w:rPr>
              <w:t>L/m 2</w:t>
            </w:r>
          </w:p>
        </w:tc>
        <w:tc>
          <w:tcPr>
            <w:tcW w:w="1830" w:type="dxa"/>
            <w:noWrap/>
            <w:vAlign w:val="center"/>
          </w:tcPr>
          <w:p w14:paraId="66287A0C">
            <w:pPr>
              <w:pStyle w:val="69"/>
              <w:rPr>
                <w:rFonts w:hint="eastAsia"/>
                <w:color w:val="auto"/>
              </w:rPr>
            </w:pPr>
            <w:r>
              <w:rPr>
                <w:rFonts w:hint="eastAsia"/>
                <w:color w:val="auto"/>
              </w:rPr>
              <w:t>4~6</w:t>
            </w:r>
          </w:p>
        </w:tc>
      </w:tr>
    </w:tbl>
    <w:p w14:paraId="3DC72174">
      <w:pPr>
        <w:ind w:firstLine="0" w:firstLineChars="0"/>
        <w:rPr>
          <w:color w:val="auto"/>
        </w:rPr>
      </w:pPr>
    </w:p>
    <w:tbl>
      <w:tblPr>
        <w:tblStyle w:val="29"/>
        <w:tblpPr w:leftFromText="180" w:rightFromText="180" w:vertAnchor="text" w:horzAnchor="margin" w:tblpY="207"/>
        <w:tblW w:w="0" w:type="auto"/>
        <w:tblInd w:w="0" w:type="dxa"/>
        <w:tblLayout w:type="fixed"/>
        <w:tblCellMar>
          <w:top w:w="0" w:type="dxa"/>
          <w:left w:w="108" w:type="dxa"/>
          <w:bottom w:w="0" w:type="dxa"/>
          <w:right w:w="108" w:type="dxa"/>
        </w:tblCellMar>
      </w:tblPr>
      <w:tblGrid>
        <w:gridCol w:w="1049"/>
        <w:gridCol w:w="4763"/>
        <w:gridCol w:w="2042"/>
        <w:gridCol w:w="1547"/>
      </w:tblGrid>
      <w:tr w14:paraId="149D52C2">
        <w:tblPrEx>
          <w:tblCellMar>
            <w:top w:w="0" w:type="dxa"/>
            <w:left w:w="108" w:type="dxa"/>
            <w:bottom w:w="0" w:type="dxa"/>
            <w:right w:w="108" w:type="dxa"/>
          </w:tblCellMar>
        </w:tblPrEx>
        <w:trPr>
          <w:trHeight w:val="416" w:hRule="atLeast"/>
        </w:trPr>
        <w:tc>
          <w:tcPr>
            <w:tcW w:w="9401" w:type="dxa"/>
            <w:gridSpan w:val="4"/>
            <w:tcBorders>
              <w:top w:val="single" w:color="auto" w:sz="4" w:space="0"/>
              <w:left w:val="single" w:color="auto" w:sz="4" w:space="0"/>
              <w:bottom w:val="single" w:color="auto" w:sz="4" w:space="0"/>
              <w:right w:val="single" w:color="000000" w:sz="4" w:space="0"/>
            </w:tcBorders>
            <w:noWrap/>
            <w:vAlign w:val="center"/>
          </w:tcPr>
          <w:p w14:paraId="1B5B3217">
            <w:pPr>
              <w:pStyle w:val="69"/>
              <w:rPr>
                <w:rFonts w:hint="eastAsia"/>
                <w:color w:val="auto"/>
              </w:rPr>
            </w:pPr>
            <w:r>
              <w:rPr>
                <w:rFonts w:hint="eastAsia"/>
                <w:color w:val="auto"/>
              </w:rPr>
              <w:t xml:space="preserve">生活用水参考定额 </w:t>
            </w:r>
          </w:p>
        </w:tc>
      </w:tr>
      <w:tr w14:paraId="58F97AB2">
        <w:tblPrEx>
          <w:tblCellMar>
            <w:top w:w="0" w:type="dxa"/>
            <w:left w:w="108" w:type="dxa"/>
            <w:bottom w:w="0" w:type="dxa"/>
            <w:right w:w="108" w:type="dxa"/>
          </w:tblCellMar>
        </w:tblPrEx>
        <w:trPr>
          <w:trHeight w:val="439" w:hRule="atLeast"/>
        </w:trPr>
        <w:tc>
          <w:tcPr>
            <w:tcW w:w="1049" w:type="dxa"/>
            <w:tcBorders>
              <w:top w:val="nil"/>
              <w:left w:val="single" w:color="auto" w:sz="4" w:space="0"/>
              <w:bottom w:val="single" w:color="auto" w:sz="4" w:space="0"/>
              <w:right w:val="single" w:color="auto" w:sz="4" w:space="0"/>
            </w:tcBorders>
            <w:noWrap/>
            <w:vAlign w:val="center"/>
          </w:tcPr>
          <w:p w14:paraId="727C8B01">
            <w:pPr>
              <w:pStyle w:val="69"/>
              <w:rPr>
                <w:rFonts w:hint="eastAsia"/>
                <w:color w:val="auto"/>
              </w:rPr>
            </w:pPr>
            <w:r>
              <w:rPr>
                <w:rFonts w:hint="eastAsia"/>
                <w:color w:val="auto"/>
              </w:rPr>
              <w:t>序号</w:t>
            </w:r>
          </w:p>
        </w:tc>
        <w:tc>
          <w:tcPr>
            <w:tcW w:w="4763" w:type="dxa"/>
            <w:tcBorders>
              <w:top w:val="nil"/>
              <w:left w:val="nil"/>
              <w:bottom w:val="single" w:color="auto" w:sz="4" w:space="0"/>
              <w:right w:val="single" w:color="auto" w:sz="4" w:space="0"/>
            </w:tcBorders>
            <w:noWrap/>
            <w:vAlign w:val="center"/>
          </w:tcPr>
          <w:p w14:paraId="2EED9DD9">
            <w:pPr>
              <w:pStyle w:val="69"/>
              <w:rPr>
                <w:rFonts w:hint="eastAsia"/>
                <w:color w:val="auto"/>
              </w:rPr>
            </w:pPr>
            <w:r>
              <w:rPr>
                <w:rFonts w:hint="eastAsia"/>
                <w:color w:val="auto"/>
              </w:rPr>
              <w:t>用水对象</w:t>
            </w:r>
          </w:p>
        </w:tc>
        <w:tc>
          <w:tcPr>
            <w:tcW w:w="2042" w:type="dxa"/>
            <w:tcBorders>
              <w:top w:val="nil"/>
              <w:left w:val="nil"/>
              <w:bottom w:val="single" w:color="auto" w:sz="4" w:space="0"/>
              <w:right w:val="single" w:color="auto" w:sz="4" w:space="0"/>
            </w:tcBorders>
            <w:noWrap/>
            <w:vAlign w:val="center"/>
          </w:tcPr>
          <w:p w14:paraId="6CCD6AAA">
            <w:pPr>
              <w:pStyle w:val="69"/>
              <w:rPr>
                <w:rFonts w:hint="eastAsia"/>
                <w:color w:val="auto"/>
              </w:rPr>
            </w:pPr>
            <w:r>
              <w:rPr>
                <w:rFonts w:hint="eastAsia"/>
                <w:color w:val="auto"/>
              </w:rPr>
              <w:t>单    位</w:t>
            </w:r>
          </w:p>
        </w:tc>
        <w:tc>
          <w:tcPr>
            <w:tcW w:w="1547" w:type="dxa"/>
            <w:tcBorders>
              <w:top w:val="nil"/>
              <w:left w:val="nil"/>
              <w:bottom w:val="single" w:color="auto" w:sz="4" w:space="0"/>
              <w:right w:val="single" w:color="auto" w:sz="4" w:space="0"/>
            </w:tcBorders>
            <w:noWrap/>
            <w:vAlign w:val="center"/>
          </w:tcPr>
          <w:p w14:paraId="1F81FDFC">
            <w:pPr>
              <w:pStyle w:val="69"/>
              <w:rPr>
                <w:rFonts w:hint="eastAsia"/>
                <w:color w:val="auto"/>
              </w:rPr>
            </w:pPr>
            <w:r>
              <w:rPr>
                <w:rFonts w:hint="eastAsia"/>
                <w:color w:val="auto"/>
              </w:rPr>
              <w:t>耗水量</w:t>
            </w:r>
          </w:p>
        </w:tc>
      </w:tr>
      <w:tr w14:paraId="454DB725">
        <w:tblPrEx>
          <w:tblCellMar>
            <w:top w:w="0" w:type="dxa"/>
            <w:left w:w="108" w:type="dxa"/>
            <w:bottom w:w="0" w:type="dxa"/>
            <w:right w:w="108" w:type="dxa"/>
          </w:tblCellMar>
        </w:tblPrEx>
        <w:trPr>
          <w:trHeight w:val="439" w:hRule="atLeast"/>
        </w:trPr>
        <w:tc>
          <w:tcPr>
            <w:tcW w:w="1049" w:type="dxa"/>
            <w:tcBorders>
              <w:top w:val="nil"/>
              <w:left w:val="single" w:color="auto" w:sz="4" w:space="0"/>
              <w:bottom w:val="single" w:color="auto" w:sz="4" w:space="0"/>
              <w:right w:val="single" w:color="auto" w:sz="4" w:space="0"/>
            </w:tcBorders>
            <w:noWrap/>
            <w:vAlign w:val="center"/>
          </w:tcPr>
          <w:p w14:paraId="75E4E9CF">
            <w:pPr>
              <w:pStyle w:val="69"/>
              <w:rPr>
                <w:rFonts w:hint="eastAsia"/>
                <w:color w:val="auto"/>
              </w:rPr>
            </w:pPr>
            <w:r>
              <w:rPr>
                <w:rFonts w:hint="eastAsia"/>
                <w:color w:val="auto"/>
              </w:rPr>
              <w:t>1</w:t>
            </w:r>
          </w:p>
        </w:tc>
        <w:tc>
          <w:tcPr>
            <w:tcW w:w="4763" w:type="dxa"/>
            <w:tcBorders>
              <w:top w:val="nil"/>
              <w:left w:val="nil"/>
              <w:bottom w:val="single" w:color="auto" w:sz="4" w:space="0"/>
              <w:right w:val="single" w:color="auto" w:sz="4" w:space="0"/>
            </w:tcBorders>
            <w:noWrap/>
            <w:vAlign w:val="center"/>
          </w:tcPr>
          <w:p w14:paraId="69EAA0A9">
            <w:pPr>
              <w:pStyle w:val="69"/>
              <w:rPr>
                <w:rFonts w:hint="eastAsia"/>
                <w:color w:val="auto"/>
              </w:rPr>
            </w:pPr>
            <w:r>
              <w:rPr>
                <w:rFonts w:hint="eastAsia"/>
                <w:color w:val="auto"/>
              </w:rPr>
              <w:t>生活用水</w:t>
            </w:r>
          </w:p>
        </w:tc>
        <w:tc>
          <w:tcPr>
            <w:tcW w:w="2042" w:type="dxa"/>
            <w:tcBorders>
              <w:top w:val="nil"/>
              <w:left w:val="nil"/>
              <w:bottom w:val="single" w:color="auto" w:sz="4" w:space="0"/>
              <w:right w:val="single" w:color="auto" w:sz="4" w:space="0"/>
            </w:tcBorders>
            <w:noWrap/>
            <w:vAlign w:val="center"/>
          </w:tcPr>
          <w:p w14:paraId="692253FA">
            <w:pPr>
              <w:pStyle w:val="69"/>
              <w:rPr>
                <w:rFonts w:hint="eastAsia"/>
                <w:color w:val="auto"/>
              </w:rPr>
            </w:pPr>
            <w:r>
              <w:rPr>
                <w:rFonts w:hint="eastAsia"/>
                <w:color w:val="auto"/>
              </w:rPr>
              <w:t>L/ 人.日</w:t>
            </w:r>
          </w:p>
        </w:tc>
        <w:tc>
          <w:tcPr>
            <w:tcW w:w="1547" w:type="dxa"/>
            <w:tcBorders>
              <w:top w:val="nil"/>
              <w:left w:val="nil"/>
              <w:bottom w:val="single" w:color="auto" w:sz="4" w:space="0"/>
              <w:right w:val="single" w:color="auto" w:sz="4" w:space="0"/>
            </w:tcBorders>
            <w:noWrap/>
            <w:vAlign w:val="center"/>
          </w:tcPr>
          <w:p w14:paraId="64FC7CD4">
            <w:pPr>
              <w:pStyle w:val="69"/>
              <w:rPr>
                <w:rFonts w:hint="eastAsia"/>
                <w:color w:val="auto"/>
              </w:rPr>
            </w:pPr>
            <w:r>
              <w:rPr>
                <w:rFonts w:hint="eastAsia"/>
                <w:color w:val="auto"/>
              </w:rPr>
              <w:t>20~40</w:t>
            </w:r>
          </w:p>
        </w:tc>
      </w:tr>
      <w:tr w14:paraId="2D18D269">
        <w:tblPrEx>
          <w:tblCellMar>
            <w:top w:w="0" w:type="dxa"/>
            <w:left w:w="108" w:type="dxa"/>
            <w:bottom w:w="0" w:type="dxa"/>
            <w:right w:w="108" w:type="dxa"/>
          </w:tblCellMar>
        </w:tblPrEx>
        <w:trPr>
          <w:trHeight w:val="439" w:hRule="atLeast"/>
        </w:trPr>
        <w:tc>
          <w:tcPr>
            <w:tcW w:w="1049" w:type="dxa"/>
            <w:tcBorders>
              <w:top w:val="nil"/>
              <w:left w:val="single" w:color="auto" w:sz="4" w:space="0"/>
              <w:bottom w:val="single" w:color="auto" w:sz="4" w:space="0"/>
              <w:right w:val="single" w:color="auto" w:sz="4" w:space="0"/>
            </w:tcBorders>
            <w:noWrap/>
            <w:vAlign w:val="center"/>
          </w:tcPr>
          <w:p w14:paraId="5177D005">
            <w:pPr>
              <w:pStyle w:val="69"/>
              <w:rPr>
                <w:rFonts w:hint="eastAsia"/>
                <w:color w:val="auto"/>
              </w:rPr>
            </w:pPr>
            <w:r>
              <w:rPr>
                <w:rFonts w:hint="eastAsia"/>
                <w:color w:val="auto"/>
              </w:rPr>
              <w:t>2</w:t>
            </w:r>
          </w:p>
        </w:tc>
        <w:tc>
          <w:tcPr>
            <w:tcW w:w="4763" w:type="dxa"/>
            <w:tcBorders>
              <w:top w:val="nil"/>
              <w:left w:val="nil"/>
              <w:bottom w:val="single" w:color="auto" w:sz="4" w:space="0"/>
              <w:right w:val="single" w:color="auto" w:sz="4" w:space="0"/>
            </w:tcBorders>
            <w:noWrap/>
            <w:vAlign w:val="center"/>
          </w:tcPr>
          <w:p w14:paraId="7C7437E3">
            <w:pPr>
              <w:pStyle w:val="69"/>
              <w:rPr>
                <w:rFonts w:hint="eastAsia"/>
                <w:color w:val="auto"/>
              </w:rPr>
            </w:pPr>
            <w:r>
              <w:rPr>
                <w:rFonts w:hint="eastAsia"/>
                <w:color w:val="auto"/>
              </w:rPr>
              <w:t>食堂</w:t>
            </w:r>
          </w:p>
        </w:tc>
        <w:tc>
          <w:tcPr>
            <w:tcW w:w="2042" w:type="dxa"/>
            <w:tcBorders>
              <w:top w:val="nil"/>
              <w:left w:val="nil"/>
              <w:bottom w:val="single" w:color="auto" w:sz="4" w:space="0"/>
              <w:right w:val="single" w:color="auto" w:sz="4" w:space="0"/>
            </w:tcBorders>
            <w:noWrap/>
            <w:vAlign w:val="center"/>
          </w:tcPr>
          <w:p w14:paraId="11910B22">
            <w:pPr>
              <w:pStyle w:val="69"/>
              <w:rPr>
                <w:rFonts w:hint="eastAsia"/>
                <w:color w:val="auto"/>
              </w:rPr>
            </w:pPr>
            <w:r>
              <w:rPr>
                <w:rFonts w:hint="eastAsia"/>
                <w:color w:val="auto"/>
              </w:rPr>
              <w:t>L/ 人.次</w:t>
            </w:r>
          </w:p>
        </w:tc>
        <w:tc>
          <w:tcPr>
            <w:tcW w:w="1547" w:type="dxa"/>
            <w:tcBorders>
              <w:top w:val="nil"/>
              <w:left w:val="nil"/>
              <w:bottom w:val="single" w:color="auto" w:sz="4" w:space="0"/>
              <w:right w:val="single" w:color="auto" w:sz="4" w:space="0"/>
            </w:tcBorders>
            <w:noWrap/>
            <w:vAlign w:val="center"/>
          </w:tcPr>
          <w:p w14:paraId="0464E103">
            <w:pPr>
              <w:pStyle w:val="69"/>
              <w:rPr>
                <w:rFonts w:hint="eastAsia"/>
                <w:color w:val="auto"/>
              </w:rPr>
            </w:pPr>
            <w:r>
              <w:rPr>
                <w:rFonts w:hint="eastAsia"/>
                <w:color w:val="auto"/>
              </w:rPr>
              <w:t>10~20</w:t>
            </w:r>
          </w:p>
        </w:tc>
      </w:tr>
      <w:tr w14:paraId="1E9944AC">
        <w:tblPrEx>
          <w:tblCellMar>
            <w:top w:w="0" w:type="dxa"/>
            <w:left w:w="108" w:type="dxa"/>
            <w:bottom w:w="0" w:type="dxa"/>
            <w:right w:w="108" w:type="dxa"/>
          </w:tblCellMar>
        </w:tblPrEx>
        <w:trPr>
          <w:trHeight w:val="439" w:hRule="atLeast"/>
        </w:trPr>
        <w:tc>
          <w:tcPr>
            <w:tcW w:w="1049" w:type="dxa"/>
            <w:tcBorders>
              <w:top w:val="nil"/>
              <w:left w:val="single" w:color="auto" w:sz="4" w:space="0"/>
              <w:bottom w:val="single" w:color="auto" w:sz="4" w:space="0"/>
              <w:right w:val="single" w:color="auto" w:sz="4" w:space="0"/>
            </w:tcBorders>
            <w:noWrap/>
            <w:vAlign w:val="center"/>
          </w:tcPr>
          <w:p w14:paraId="2C4CC0F7">
            <w:pPr>
              <w:pStyle w:val="69"/>
              <w:rPr>
                <w:rFonts w:hint="eastAsia"/>
                <w:color w:val="auto"/>
              </w:rPr>
            </w:pPr>
            <w:r>
              <w:rPr>
                <w:rFonts w:hint="eastAsia"/>
                <w:color w:val="auto"/>
              </w:rPr>
              <w:t>3</w:t>
            </w:r>
          </w:p>
        </w:tc>
        <w:tc>
          <w:tcPr>
            <w:tcW w:w="4763" w:type="dxa"/>
            <w:tcBorders>
              <w:top w:val="nil"/>
              <w:left w:val="nil"/>
              <w:bottom w:val="single" w:color="auto" w:sz="4" w:space="0"/>
              <w:right w:val="single" w:color="auto" w:sz="4" w:space="0"/>
            </w:tcBorders>
            <w:noWrap/>
            <w:vAlign w:val="center"/>
          </w:tcPr>
          <w:p w14:paraId="17938DC3">
            <w:pPr>
              <w:pStyle w:val="69"/>
              <w:rPr>
                <w:rFonts w:hint="eastAsia"/>
                <w:color w:val="auto"/>
              </w:rPr>
            </w:pPr>
            <w:r>
              <w:rPr>
                <w:rFonts w:hint="eastAsia"/>
                <w:color w:val="auto"/>
              </w:rPr>
              <w:t>淋浴</w:t>
            </w:r>
          </w:p>
        </w:tc>
        <w:tc>
          <w:tcPr>
            <w:tcW w:w="2042" w:type="dxa"/>
            <w:tcBorders>
              <w:top w:val="nil"/>
              <w:left w:val="nil"/>
              <w:bottom w:val="single" w:color="auto" w:sz="4" w:space="0"/>
              <w:right w:val="single" w:color="auto" w:sz="4" w:space="0"/>
            </w:tcBorders>
            <w:noWrap/>
            <w:vAlign w:val="center"/>
          </w:tcPr>
          <w:p w14:paraId="12B23700">
            <w:pPr>
              <w:pStyle w:val="69"/>
              <w:rPr>
                <w:rFonts w:hint="eastAsia"/>
                <w:color w:val="auto"/>
              </w:rPr>
            </w:pPr>
            <w:r>
              <w:rPr>
                <w:rFonts w:hint="eastAsia"/>
                <w:color w:val="auto"/>
              </w:rPr>
              <w:t>L/ 人.次</w:t>
            </w:r>
          </w:p>
        </w:tc>
        <w:tc>
          <w:tcPr>
            <w:tcW w:w="1547" w:type="dxa"/>
            <w:tcBorders>
              <w:top w:val="nil"/>
              <w:left w:val="nil"/>
              <w:bottom w:val="single" w:color="auto" w:sz="4" w:space="0"/>
              <w:right w:val="single" w:color="auto" w:sz="4" w:space="0"/>
            </w:tcBorders>
            <w:noWrap/>
            <w:vAlign w:val="center"/>
          </w:tcPr>
          <w:p w14:paraId="59F4C793">
            <w:pPr>
              <w:pStyle w:val="69"/>
              <w:rPr>
                <w:rFonts w:hint="eastAsia"/>
                <w:color w:val="auto"/>
              </w:rPr>
            </w:pPr>
            <w:r>
              <w:rPr>
                <w:rFonts w:hint="eastAsia"/>
                <w:color w:val="auto"/>
              </w:rPr>
              <w:t>40~60</w:t>
            </w:r>
          </w:p>
        </w:tc>
      </w:tr>
      <w:tr w14:paraId="17AEE7EA">
        <w:tblPrEx>
          <w:tblCellMar>
            <w:top w:w="0" w:type="dxa"/>
            <w:left w:w="108" w:type="dxa"/>
            <w:bottom w:w="0" w:type="dxa"/>
            <w:right w:w="108" w:type="dxa"/>
          </w:tblCellMar>
        </w:tblPrEx>
        <w:trPr>
          <w:trHeight w:val="360" w:hRule="atLeast"/>
        </w:trPr>
        <w:tc>
          <w:tcPr>
            <w:tcW w:w="9401" w:type="dxa"/>
            <w:gridSpan w:val="4"/>
            <w:tcBorders>
              <w:top w:val="nil"/>
              <w:left w:val="single" w:color="auto" w:sz="4" w:space="0"/>
              <w:bottom w:val="single" w:color="auto" w:sz="4" w:space="0"/>
              <w:right w:val="single" w:color="auto" w:sz="4" w:space="0"/>
            </w:tcBorders>
            <w:noWrap/>
            <w:vAlign w:val="center"/>
          </w:tcPr>
          <w:p w14:paraId="78EC2E08">
            <w:pPr>
              <w:pStyle w:val="69"/>
              <w:rPr>
                <w:rFonts w:hint="eastAsia"/>
                <w:color w:val="auto"/>
              </w:rPr>
            </w:pPr>
            <w:r>
              <w:rPr>
                <w:rFonts w:hint="eastAsia"/>
                <w:color w:val="auto"/>
              </w:rPr>
              <w:t>居民区消防用水</w:t>
            </w:r>
          </w:p>
        </w:tc>
      </w:tr>
      <w:tr w14:paraId="4ABEFCCB">
        <w:tblPrEx>
          <w:tblCellMar>
            <w:top w:w="0" w:type="dxa"/>
            <w:left w:w="108" w:type="dxa"/>
            <w:bottom w:w="0" w:type="dxa"/>
            <w:right w:w="108" w:type="dxa"/>
          </w:tblCellMar>
        </w:tblPrEx>
        <w:trPr>
          <w:trHeight w:val="439" w:hRule="atLeast"/>
        </w:trPr>
        <w:tc>
          <w:tcPr>
            <w:tcW w:w="1049" w:type="dxa"/>
            <w:vMerge w:val="restart"/>
            <w:tcBorders>
              <w:top w:val="nil"/>
              <w:left w:val="single" w:color="auto" w:sz="4" w:space="0"/>
              <w:bottom w:val="single" w:color="000000" w:sz="4" w:space="0"/>
              <w:right w:val="single" w:color="auto" w:sz="4" w:space="0"/>
            </w:tcBorders>
            <w:noWrap/>
            <w:vAlign w:val="center"/>
          </w:tcPr>
          <w:p w14:paraId="2C03AAFD">
            <w:pPr>
              <w:pStyle w:val="69"/>
              <w:rPr>
                <w:rFonts w:hint="eastAsia"/>
                <w:color w:val="auto"/>
              </w:rPr>
            </w:pPr>
            <w:r>
              <w:rPr>
                <w:color w:val="auto"/>
              </w:rPr>
              <w:t>4</w:t>
            </w:r>
          </w:p>
        </w:tc>
        <w:tc>
          <w:tcPr>
            <w:tcW w:w="4763" w:type="dxa"/>
            <w:tcBorders>
              <w:top w:val="nil"/>
              <w:left w:val="nil"/>
              <w:bottom w:val="single" w:color="auto" w:sz="4" w:space="0"/>
              <w:right w:val="single" w:color="auto" w:sz="4" w:space="0"/>
            </w:tcBorders>
            <w:noWrap/>
            <w:vAlign w:val="center"/>
          </w:tcPr>
          <w:p w14:paraId="23C3817B">
            <w:pPr>
              <w:pStyle w:val="69"/>
              <w:rPr>
                <w:rFonts w:hint="eastAsia"/>
                <w:color w:val="auto"/>
              </w:rPr>
            </w:pPr>
            <w:r>
              <w:rPr>
                <w:rFonts w:hint="eastAsia"/>
                <w:color w:val="auto"/>
              </w:rPr>
              <w:t>5000 人以内 (一次)</w:t>
            </w:r>
          </w:p>
        </w:tc>
        <w:tc>
          <w:tcPr>
            <w:tcW w:w="2042" w:type="dxa"/>
            <w:tcBorders>
              <w:top w:val="nil"/>
              <w:left w:val="nil"/>
              <w:bottom w:val="single" w:color="auto" w:sz="4" w:space="0"/>
              <w:right w:val="single" w:color="auto" w:sz="4" w:space="0"/>
            </w:tcBorders>
            <w:noWrap/>
            <w:vAlign w:val="center"/>
          </w:tcPr>
          <w:p w14:paraId="1E4B0FCC">
            <w:pPr>
              <w:pStyle w:val="69"/>
              <w:rPr>
                <w:rFonts w:hint="eastAsia"/>
                <w:color w:val="auto"/>
              </w:rPr>
            </w:pPr>
            <w:r>
              <w:rPr>
                <w:rFonts w:hint="eastAsia"/>
                <w:color w:val="auto"/>
              </w:rPr>
              <w:t>L/S</w:t>
            </w:r>
          </w:p>
        </w:tc>
        <w:tc>
          <w:tcPr>
            <w:tcW w:w="1547" w:type="dxa"/>
            <w:tcBorders>
              <w:top w:val="nil"/>
              <w:left w:val="nil"/>
              <w:bottom w:val="single" w:color="auto" w:sz="4" w:space="0"/>
              <w:right w:val="single" w:color="auto" w:sz="4" w:space="0"/>
            </w:tcBorders>
            <w:noWrap/>
            <w:vAlign w:val="center"/>
          </w:tcPr>
          <w:p w14:paraId="40A9BCDB">
            <w:pPr>
              <w:pStyle w:val="69"/>
              <w:rPr>
                <w:rFonts w:hint="eastAsia"/>
                <w:color w:val="auto"/>
              </w:rPr>
            </w:pPr>
            <w:r>
              <w:rPr>
                <w:rFonts w:hint="eastAsia"/>
                <w:color w:val="auto"/>
              </w:rPr>
              <w:t>10</w:t>
            </w:r>
          </w:p>
        </w:tc>
      </w:tr>
      <w:tr w14:paraId="37ECB7B3">
        <w:tblPrEx>
          <w:tblCellMar>
            <w:top w:w="0" w:type="dxa"/>
            <w:left w:w="108" w:type="dxa"/>
            <w:bottom w:w="0" w:type="dxa"/>
            <w:right w:w="108" w:type="dxa"/>
          </w:tblCellMar>
        </w:tblPrEx>
        <w:trPr>
          <w:trHeight w:val="439" w:hRule="atLeast"/>
        </w:trPr>
        <w:tc>
          <w:tcPr>
            <w:tcW w:w="1049" w:type="dxa"/>
            <w:vMerge w:val="continue"/>
            <w:tcBorders>
              <w:top w:val="nil"/>
              <w:left w:val="single" w:color="auto" w:sz="4" w:space="0"/>
              <w:bottom w:val="single" w:color="000000" w:sz="4" w:space="0"/>
              <w:right w:val="single" w:color="auto" w:sz="4" w:space="0"/>
            </w:tcBorders>
            <w:vAlign w:val="center"/>
          </w:tcPr>
          <w:p w14:paraId="1BF4CC6B">
            <w:pPr>
              <w:pStyle w:val="69"/>
              <w:rPr>
                <w:rFonts w:hint="eastAsia"/>
                <w:color w:val="auto"/>
              </w:rPr>
            </w:pPr>
          </w:p>
        </w:tc>
        <w:tc>
          <w:tcPr>
            <w:tcW w:w="4763" w:type="dxa"/>
            <w:tcBorders>
              <w:top w:val="nil"/>
              <w:left w:val="nil"/>
              <w:bottom w:val="single" w:color="auto" w:sz="4" w:space="0"/>
              <w:right w:val="single" w:color="auto" w:sz="4" w:space="0"/>
            </w:tcBorders>
            <w:noWrap/>
            <w:vAlign w:val="center"/>
          </w:tcPr>
          <w:p w14:paraId="1952E217">
            <w:pPr>
              <w:pStyle w:val="69"/>
              <w:rPr>
                <w:rFonts w:hint="eastAsia"/>
                <w:color w:val="auto"/>
              </w:rPr>
            </w:pPr>
            <w:r>
              <w:rPr>
                <w:rFonts w:hint="eastAsia"/>
                <w:color w:val="auto"/>
              </w:rPr>
              <w:t>5000 人以内 (二次)</w:t>
            </w:r>
          </w:p>
        </w:tc>
        <w:tc>
          <w:tcPr>
            <w:tcW w:w="2042" w:type="dxa"/>
            <w:tcBorders>
              <w:top w:val="nil"/>
              <w:left w:val="nil"/>
              <w:bottom w:val="single" w:color="auto" w:sz="4" w:space="0"/>
              <w:right w:val="single" w:color="auto" w:sz="4" w:space="0"/>
            </w:tcBorders>
            <w:noWrap/>
            <w:vAlign w:val="center"/>
          </w:tcPr>
          <w:p w14:paraId="1BB84F32">
            <w:pPr>
              <w:pStyle w:val="69"/>
              <w:rPr>
                <w:rFonts w:hint="eastAsia"/>
                <w:color w:val="auto"/>
              </w:rPr>
            </w:pPr>
            <w:r>
              <w:rPr>
                <w:rFonts w:hint="eastAsia"/>
                <w:color w:val="auto"/>
              </w:rPr>
              <w:t>L/S</w:t>
            </w:r>
          </w:p>
        </w:tc>
        <w:tc>
          <w:tcPr>
            <w:tcW w:w="1547" w:type="dxa"/>
            <w:tcBorders>
              <w:top w:val="nil"/>
              <w:left w:val="nil"/>
              <w:bottom w:val="single" w:color="auto" w:sz="4" w:space="0"/>
              <w:right w:val="single" w:color="auto" w:sz="4" w:space="0"/>
            </w:tcBorders>
            <w:noWrap/>
            <w:vAlign w:val="center"/>
          </w:tcPr>
          <w:p w14:paraId="08C2E58B">
            <w:pPr>
              <w:pStyle w:val="69"/>
              <w:rPr>
                <w:rFonts w:hint="eastAsia"/>
                <w:color w:val="auto"/>
              </w:rPr>
            </w:pPr>
            <w:r>
              <w:rPr>
                <w:rFonts w:hint="eastAsia"/>
                <w:color w:val="auto"/>
              </w:rPr>
              <w:t>10~15</w:t>
            </w:r>
          </w:p>
        </w:tc>
      </w:tr>
      <w:tr w14:paraId="1ECD9E1E">
        <w:tblPrEx>
          <w:tblCellMar>
            <w:top w:w="0" w:type="dxa"/>
            <w:left w:w="108" w:type="dxa"/>
            <w:bottom w:w="0" w:type="dxa"/>
            <w:right w:w="108" w:type="dxa"/>
          </w:tblCellMar>
        </w:tblPrEx>
        <w:trPr>
          <w:trHeight w:val="439" w:hRule="atLeast"/>
        </w:trPr>
        <w:tc>
          <w:tcPr>
            <w:tcW w:w="1049" w:type="dxa"/>
            <w:vMerge w:val="continue"/>
            <w:tcBorders>
              <w:top w:val="nil"/>
              <w:left w:val="single" w:color="auto" w:sz="4" w:space="0"/>
              <w:bottom w:val="single" w:color="000000" w:sz="4" w:space="0"/>
              <w:right w:val="single" w:color="auto" w:sz="4" w:space="0"/>
            </w:tcBorders>
            <w:vAlign w:val="center"/>
          </w:tcPr>
          <w:p w14:paraId="0F501C55">
            <w:pPr>
              <w:pStyle w:val="69"/>
              <w:rPr>
                <w:rFonts w:hint="eastAsia"/>
                <w:color w:val="auto"/>
              </w:rPr>
            </w:pPr>
          </w:p>
        </w:tc>
        <w:tc>
          <w:tcPr>
            <w:tcW w:w="4763" w:type="dxa"/>
            <w:tcBorders>
              <w:top w:val="nil"/>
              <w:left w:val="nil"/>
              <w:bottom w:val="single" w:color="auto" w:sz="4" w:space="0"/>
              <w:right w:val="single" w:color="auto" w:sz="4" w:space="0"/>
            </w:tcBorders>
            <w:noWrap/>
            <w:vAlign w:val="center"/>
          </w:tcPr>
          <w:p w14:paraId="0F5B953D">
            <w:pPr>
              <w:pStyle w:val="69"/>
              <w:rPr>
                <w:rFonts w:hint="eastAsia"/>
                <w:color w:val="auto"/>
              </w:rPr>
            </w:pPr>
            <w:r>
              <w:rPr>
                <w:rFonts w:hint="eastAsia"/>
                <w:color w:val="auto"/>
              </w:rPr>
              <w:t>25000 人以内 (一次)</w:t>
            </w:r>
          </w:p>
        </w:tc>
        <w:tc>
          <w:tcPr>
            <w:tcW w:w="2042" w:type="dxa"/>
            <w:tcBorders>
              <w:top w:val="nil"/>
              <w:left w:val="nil"/>
              <w:bottom w:val="single" w:color="auto" w:sz="4" w:space="0"/>
              <w:right w:val="single" w:color="auto" w:sz="4" w:space="0"/>
            </w:tcBorders>
            <w:noWrap/>
            <w:vAlign w:val="center"/>
          </w:tcPr>
          <w:p w14:paraId="47790D04">
            <w:pPr>
              <w:pStyle w:val="69"/>
              <w:rPr>
                <w:rFonts w:hint="eastAsia"/>
                <w:color w:val="auto"/>
              </w:rPr>
            </w:pPr>
            <w:r>
              <w:rPr>
                <w:rFonts w:hint="eastAsia"/>
                <w:color w:val="auto"/>
              </w:rPr>
              <w:t>L/S</w:t>
            </w:r>
          </w:p>
        </w:tc>
        <w:tc>
          <w:tcPr>
            <w:tcW w:w="1547" w:type="dxa"/>
            <w:tcBorders>
              <w:top w:val="nil"/>
              <w:left w:val="nil"/>
              <w:bottom w:val="single" w:color="auto" w:sz="4" w:space="0"/>
              <w:right w:val="single" w:color="auto" w:sz="4" w:space="0"/>
            </w:tcBorders>
            <w:noWrap/>
            <w:vAlign w:val="center"/>
          </w:tcPr>
          <w:p w14:paraId="09F533B7">
            <w:pPr>
              <w:pStyle w:val="69"/>
              <w:rPr>
                <w:rFonts w:hint="eastAsia"/>
                <w:color w:val="auto"/>
              </w:rPr>
            </w:pPr>
            <w:r>
              <w:rPr>
                <w:rFonts w:hint="eastAsia"/>
                <w:color w:val="auto"/>
              </w:rPr>
              <w:t>15~20</w:t>
            </w:r>
          </w:p>
        </w:tc>
      </w:tr>
      <w:tr w14:paraId="38BE9ADD">
        <w:tblPrEx>
          <w:tblCellMar>
            <w:top w:w="0" w:type="dxa"/>
            <w:left w:w="108" w:type="dxa"/>
            <w:bottom w:w="0" w:type="dxa"/>
            <w:right w:w="108" w:type="dxa"/>
          </w:tblCellMar>
        </w:tblPrEx>
        <w:trPr>
          <w:trHeight w:val="439" w:hRule="atLeast"/>
        </w:trPr>
        <w:tc>
          <w:tcPr>
            <w:tcW w:w="1049" w:type="dxa"/>
            <w:vMerge w:val="continue"/>
            <w:tcBorders>
              <w:top w:val="nil"/>
              <w:left w:val="single" w:color="auto" w:sz="4" w:space="0"/>
              <w:bottom w:val="single" w:color="000000" w:sz="4" w:space="0"/>
              <w:right w:val="single" w:color="auto" w:sz="4" w:space="0"/>
            </w:tcBorders>
            <w:vAlign w:val="center"/>
          </w:tcPr>
          <w:p w14:paraId="5137A5EF">
            <w:pPr>
              <w:pStyle w:val="69"/>
              <w:rPr>
                <w:rFonts w:hint="eastAsia"/>
                <w:color w:val="auto"/>
              </w:rPr>
            </w:pPr>
          </w:p>
        </w:tc>
        <w:tc>
          <w:tcPr>
            <w:tcW w:w="4763" w:type="dxa"/>
            <w:tcBorders>
              <w:top w:val="nil"/>
              <w:left w:val="nil"/>
              <w:bottom w:val="single" w:color="auto" w:sz="4" w:space="0"/>
              <w:right w:val="single" w:color="auto" w:sz="4" w:space="0"/>
            </w:tcBorders>
            <w:noWrap/>
            <w:vAlign w:val="center"/>
          </w:tcPr>
          <w:p w14:paraId="5EE5B523">
            <w:pPr>
              <w:pStyle w:val="69"/>
              <w:rPr>
                <w:rFonts w:hint="eastAsia"/>
                <w:color w:val="auto"/>
              </w:rPr>
            </w:pPr>
            <w:r>
              <w:rPr>
                <w:rFonts w:hint="eastAsia"/>
                <w:color w:val="auto"/>
              </w:rPr>
              <w:t>施工现场消防用水</w:t>
            </w:r>
          </w:p>
        </w:tc>
        <w:tc>
          <w:tcPr>
            <w:tcW w:w="2042" w:type="dxa"/>
            <w:tcBorders>
              <w:top w:val="nil"/>
              <w:left w:val="nil"/>
              <w:bottom w:val="single" w:color="auto" w:sz="4" w:space="0"/>
              <w:right w:val="single" w:color="auto" w:sz="4" w:space="0"/>
            </w:tcBorders>
            <w:noWrap/>
            <w:vAlign w:val="center"/>
          </w:tcPr>
          <w:p w14:paraId="2D62EE76">
            <w:pPr>
              <w:pStyle w:val="69"/>
              <w:rPr>
                <w:rFonts w:hint="eastAsia"/>
                <w:color w:val="auto"/>
              </w:rPr>
            </w:pPr>
            <w:r>
              <w:rPr>
                <w:rFonts w:hint="eastAsia"/>
                <w:color w:val="auto"/>
              </w:rPr>
              <w:t>/</w:t>
            </w:r>
          </w:p>
        </w:tc>
        <w:tc>
          <w:tcPr>
            <w:tcW w:w="1547" w:type="dxa"/>
            <w:tcBorders>
              <w:top w:val="nil"/>
              <w:left w:val="nil"/>
              <w:bottom w:val="single" w:color="auto" w:sz="4" w:space="0"/>
              <w:right w:val="single" w:color="auto" w:sz="4" w:space="0"/>
            </w:tcBorders>
            <w:noWrap/>
            <w:vAlign w:val="center"/>
          </w:tcPr>
          <w:p w14:paraId="4762EA2D">
            <w:pPr>
              <w:pStyle w:val="69"/>
              <w:rPr>
                <w:rFonts w:hint="eastAsia"/>
                <w:color w:val="auto"/>
              </w:rPr>
            </w:pPr>
            <w:r>
              <w:rPr>
                <w:rFonts w:hint="eastAsia"/>
                <w:color w:val="auto"/>
              </w:rPr>
              <w:t>/</w:t>
            </w:r>
          </w:p>
        </w:tc>
      </w:tr>
      <w:tr w14:paraId="6AB6C5E5">
        <w:tblPrEx>
          <w:tblCellMar>
            <w:top w:w="0" w:type="dxa"/>
            <w:left w:w="108" w:type="dxa"/>
            <w:bottom w:w="0" w:type="dxa"/>
            <w:right w:w="108" w:type="dxa"/>
          </w:tblCellMar>
        </w:tblPrEx>
        <w:trPr>
          <w:trHeight w:val="439" w:hRule="atLeast"/>
        </w:trPr>
        <w:tc>
          <w:tcPr>
            <w:tcW w:w="1049" w:type="dxa"/>
            <w:vMerge w:val="continue"/>
            <w:tcBorders>
              <w:top w:val="nil"/>
              <w:left w:val="single" w:color="auto" w:sz="4" w:space="0"/>
              <w:bottom w:val="single" w:color="000000" w:sz="4" w:space="0"/>
              <w:right w:val="single" w:color="auto" w:sz="4" w:space="0"/>
            </w:tcBorders>
            <w:vAlign w:val="center"/>
          </w:tcPr>
          <w:p w14:paraId="0347D3F3">
            <w:pPr>
              <w:pStyle w:val="69"/>
              <w:rPr>
                <w:rFonts w:hint="eastAsia"/>
                <w:color w:val="auto"/>
              </w:rPr>
            </w:pPr>
          </w:p>
        </w:tc>
        <w:tc>
          <w:tcPr>
            <w:tcW w:w="4763" w:type="dxa"/>
            <w:tcBorders>
              <w:top w:val="nil"/>
              <w:left w:val="nil"/>
              <w:bottom w:val="single" w:color="auto" w:sz="4" w:space="0"/>
              <w:right w:val="single" w:color="auto" w:sz="4" w:space="0"/>
            </w:tcBorders>
            <w:noWrap/>
            <w:vAlign w:val="center"/>
          </w:tcPr>
          <w:p w14:paraId="759AC593">
            <w:pPr>
              <w:pStyle w:val="69"/>
              <w:rPr>
                <w:rFonts w:hint="eastAsia"/>
                <w:color w:val="auto"/>
              </w:rPr>
            </w:pPr>
            <w:r>
              <w:rPr>
                <w:rFonts w:hint="eastAsia"/>
                <w:color w:val="auto"/>
              </w:rPr>
              <w:t>施工现场在 25ha 内</w:t>
            </w:r>
          </w:p>
        </w:tc>
        <w:tc>
          <w:tcPr>
            <w:tcW w:w="2042" w:type="dxa"/>
            <w:tcBorders>
              <w:top w:val="nil"/>
              <w:left w:val="nil"/>
              <w:bottom w:val="single" w:color="auto" w:sz="4" w:space="0"/>
              <w:right w:val="single" w:color="auto" w:sz="4" w:space="0"/>
            </w:tcBorders>
            <w:noWrap/>
            <w:vAlign w:val="center"/>
          </w:tcPr>
          <w:p w14:paraId="4D9A905D">
            <w:pPr>
              <w:pStyle w:val="69"/>
              <w:rPr>
                <w:rFonts w:hint="eastAsia"/>
                <w:color w:val="auto"/>
              </w:rPr>
            </w:pPr>
            <w:r>
              <w:rPr>
                <w:rFonts w:hint="eastAsia"/>
                <w:color w:val="auto"/>
              </w:rPr>
              <w:t>L/S</w:t>
            </w:r>
          </w:p>
        </w:tc>
        <w:tc>
          <w:tcPr>
            <w:tcW w:w="1547" w:type="dxa"/>
            <w:tcBorders>
              <w:top w:val="nil"/>
              <w:left w:val="nil"/>
              <w:bottom w:val="single" w:color="auto" w:sz="4" w:space="0"/>
              <w:right w:val="single" w:color="auto" w:sz="4" w:space="0"/>
            </w:tcBorders>
            <w:noWrap/>
            <w:vAlign w:val="center"/>
          </w:tcPr>
          <w:p w14:paraId="3DA12936">
            <w:pPr>
              <w:pStyle w:val="69"/>
              <w:rPr>
                <w:rFonts w:hint="eastAsia"/>
                <w:color w:val="auto"/>
              </w:rPr>
            </w:pPr>
            <w:r>
              <w:rPr>
                <w:rFonts w:hint="eastAsia"/>
                <w:color w:val="auto"/>
              </w:rPr>
              <w:t>10~15</w:t>
            </w:r>
          </w:p>
        </w:tc>
      </w:tr>
      <w:tr w14:paraId="6815E525">
        <w:tblPrEx>
          <w:tblCellMar>
            <w:top w:w="0" w:type="dxa"/>
            <w:left w:w="108" w:type="dxa"/>
            <w:bottom w:w="0" w:type="dxa"/>
            <w:right w:w="108" w:type="dxa"/>
          </w:tblCellMar>
        </w:tblPrEx>
        <w:trPr>
          <w:trHeight w:val="439" w:hRule="atLeast"/>
        </w:trPr>
        <w:tc>
          <w:tcPr>
            <w:tcW w:w="1049" w:type="dxa"/>
            <w:vMerge w:val="continue"/>
            <w:tcBorders>
              <w:top w:val="nil"/>
              <w:left w:val="single" w:color="auto" w:sz="4" w:space="0"/>
              <w:bottom w:val="single" w:color="auto" w:sz="4" w:space="0"/>
              <w:right w:val="single" w:color="auto" w:sz="4" w:space="0"/>
            </w:tcBorders>
            <w:vAlign w:val="center"/>
          </w:tcPr>
          <w:p w14:paraId="00D2D4C3">
            <w:pPr>
              <w:pStyle w:val="69"/>
              <w:rPr>
                <w:rFonts w:hint="eastAsia"/>
                <w:color w:val="auto"/>
              </w:rPr>
            </w:pPr>
          </w:p>
        </w:tc>
        <w:tc>
          <w:tcPr>
            <w:tcW w:w="4763" w:type="dxa"/>
            <w:tcBorders>
              <w:top w:val="nil"/>
              <w:left w:val="nil"/>
              <w:bottom w:val="single" w:color="auto" w:sz="4" w:space="0"/>
              <w:right w:val="single" w:color="auto" w:sz="4" w:space="0"/>
            </w:tcBorders>
            <w:noWrap/>
            <w:vAlign w:val="center"/>
          </w:tcPr>
          <w:p w14:paraId="3338E5E7">
            <w:pPr>
              <w:pStyle w:val="69"/>
              <w:rPr>
                <w:rFonts w:hint="eastAsia"/>
                <w:color w:val="auto"/>
              </w:rPr>
            </w:pPr>
            <w:r>
              <w:rPr>
                <w:rFonts w:hint="eastAsia"/>
                <w:color w:val="auto"/>
              </w:rPr>
              <w:t>每增加 25ha</w:t>
            </w:r>
          </w:p>
        </w:tc>
        <w:tc>
          <w:tcPr>
            <w:tcW w:w="2042" w:type="dxa"/>
            <w:tcBorders>
              <w:top w:val="nil"/>
              <w:left w:val="nil"/>
              <w:bottom w:val="single" w:color="auto" w:sz="4" w:space="0"/>
              <w:right w:val="single" w:color="auto" w:sz="4" w:space="0"/>
            </w:tcBorders>
            <w:noWrap/>
            <w:vAlign w:val="center"/>
          </w:tcPr>
          <w:p w14:paraId="28D89714">
            <w:pPr>
              <w:pStyle w:val="69"/>
              <w:rPr>
                <w:rFonts w:hint="eastAsia"/>
                <w:color w:val="auto"/>
              </w:rPr>
            </w:pPr>
            <w:r>
              <w:rPr>
                <w:rFonts w:hint="eastAsia"/>
                <w:color w:val="auto"/>
              </w:rPr>
              <w:t>L/S</w:t>
            </w:r>
          </w:p>
        </w:tc>
        <w:tc>
          <w:tcPr>
            <w:tcW w:w="1547" w:type="dxa"/>
            <w:tcBorders>
              <w:top w:val="nil"/>
              <w:left w:val="nil"/>
              <w:bottom w:val="single" w:color="auto" w:sz="4" w:space="0"/>
              <w:right w:val="single" w:color="auto" w:sz="4" w:space="0"/>
            </w:tcBorders>
            <w:noWrap/>
            <w:vAlign w:val="center"/>
          </w:tcPr>
          <w:p w14:paraId="1828962C">
            <w:pPr>
              <w:pStyle w:val="69"/>
              <w:rPr>
                <w:rFonts w:hint="eastAsia"/>
                <w:color w:val="auto"/>
              </w:rPr>
            </w:pPr>
            <w:r>
              <w:rPr>
                <w:rFonts w:hint="eastAsia"/>
                <w:color w:val="auto"/>
              </w:rPr>
              <w:t>5</w:t>
            </w:r>
          </w:p>
        </w:tc>
      </w:tr>
      <w:tr w14:paraId="5BA46905">
        <w:tblPrEx>
          <w:tblCellMar>
            <w:top w:w="0" w:type="dxa"/>
            <w:left w:w="108" w:type="dxa"/>
            <w:bottom w:w="0" w:type="dxa"/>
            <w:right w:w="108" w:type="dxa"/>
          </w:tblCellMar>
        </w:tblPrEx>
        <w:trPr>
          <w:trHeight w:val="439" w:hRule="atLeast"/>
        </w:trPr>
        <w:tc>
          <w:tcPr>
            <w:tcW w:w="1049" w:type="dxa"/>
            <w:tcBorders>
              <w:top w:val="single" w:color="auto" w:sz="4" w:space="0"/>
              <w:left w:val="single" w:color="auto" w:sz="4" w:space="0"/>
              <w:bottom w:val="single" w:color="auto" w:sz="4" w:space="0"/>
              <w:right w:val="single" w:color="auto" w:sz="4" w:space="0"/>
            </w:tcBorders>
            <w:vAlign w:val="center"/>
          </w:tcPr>
          <w:p w14:paraId="2B04A5C1">
            <w:pPr>
              <w:pStyle w:val="69"/>
              <w:rPr>
                <w:rFonts w:hint="eastAsia"/>
                <w:color w:val="auto"/>
              </w:rPr>
            </w:pPr>
            <w:r>
              <w:rPr>
                <w:rFonts w:hint="eastAsia"/>
                <w:color w:val="auto"/>
              </w:rPr>
              <w:t>5</w:t>
            </w:r>
          </w:p>
        </w:tc>
        <w:tc>
          <w:tcPr>
            <w:tcW w:w="4763" w:type="dxa"/>
            <w:tcBorders>
              <w:top w:val="single" w:color="auto" w:sz="4" w:space="0"/>
              <w:left w:val="nil"/>
              <w:bottom w:val="single" w:color="auto" w:sz="4" w:space="0"/>
              <w:right w:val="single" w:color="auto" w:sz="4" w:space="0"/>
            </w:tcBorders>
            <w:noWrap/>
            <w:vAlign w:val="center"/>
          </w:tcPr>
          <w:p w14:paraId="6C57AF15">
            <w:pPr>
              <w:pStyle w:val="69"/>
              <w:rPr>
                <w:rFonts w:hint="eastAsia"/>
                <w:color w:val="auto"/>
              </w:rPr>
            </w:pPr>
            <w:r>
              <w:rPr>
                <w:rFonts w:hint="eastAsia"/>
                <w:color w:val="auto"/>
              </w:rPr>
              <w:t>楼地面</w:t>
            </w:r>
          </w:p>
        </w:tc>
        <w:tc>
          <w:tcPr>
            <w:tcW w:w="2042" w:type="dxa"/>
            <w:tcBorders>
              <w:top w:val="single" w:color="auto" w:sz="4" w:space="0"/>
              <w:left w:val="nil"/>
              <w:bottom w:val="single" w:color="auto" w:sz="4" w:space="0"/>
              <w:right w:val="single" w:color="auto" w:sz="4" w:space="0"/>
            </w:tcBorders>
            <w:noWrap/>
            <w:vAlign w:val="center"/>
          </w:tcPr>
          <w:p w14:paraId="7AE4ADE3">
            <w:pPr>
              <w:pStyle w:val="69"/>
              <w:rPr>
                <w:rFonts w:hint="eastAsia"/>
                <w:color w:val="auto"/>
              </w:rPr>
            </w:pPr>
            <w:r>
              <w:rPr>
                <w:rFonts w:hint="eastAsia"/>
                <w:color w:val="auto"/>
              </w:rPr>
              <w:t>L/m 2</w:t>
            </w:r>
          </w:p>
        </w:tc>
        <w:tc>
          <w:tcPr>
            <w:tcW w:w="1547" w:type="dxa"/>
            <w:tcBorders>
              <w:top w:val="single" w:color="auto" w:sz="4" w:space="0"/>
              <w:left w:val="nil"/>
              <w:bottom w:val="single" w:color="auto" w:sz="4" w:space="0"/>
              <w:right w:val="single" w:color="auto" w:sz="4" w:space="0"/>
            </w:tcBorders>
            <w:noWrap/>
            <w:vAlign w:val="center"/>
          </w:tcPr>
          <w:p w14:paraId="31EFE802">
            <w:pPr>
              <w:pStyle w:val="69"/>
              <w:rPr>
                <w:rFonts w:hint="eastAsia"/>
                <w:color w:val="auto"/>
              </w:rPr>
            </w:pPr>
            <w:r>
              <w:rPr>
                <w:rFonts w:hint="eastAsia"/>
                <w:color w:val="auto"/>
              </w:rPr>
              <w:t>190</w:t>
            </w:r>
          </w:p>
        </w:tc>
      </w:tr>
      <w:tr w14:paraId="7FC7762A">
        <w:tblPrEx>
          <w:tblCellMar>
            <w:top w:w="0" w:type="dxa"/>
            <w:left w:w="108" w:type="dxa"/>
            <w:bottom w:w="0" w:type="dxa"/>
            <w:right w:w="108" w:type="dxa"/>
          </w:tblCellMar>
        </w:tblPrEx>
        <w:trPr>
          <w:trHeight w:val="439" w:hRule="atLeast"/>
        </w:trPr>
        <w:tc>
          <w:tcPr>
            <w:tcW w:w="1049" w:type="dxa"/>
            <w:tcBorders>
              <w:top w:val="single" w:color="auto" w:sz="4" w:space="0"/>
              <w:left w:val="single" w:color="auto" w:sz="4" w:space="0"/>
              <w:bottom w:val="single" w:color="auto" w:sz="4" w:space="0"/>
              <w:right w:val="single" w:color="auto" w:sz="4" w:space="0"/>
            </w:tcBorders>
            <w:vAlign w:val="center"/>
          </w:tcPr>
          <w:p w14:paraId="4D5DCBEB">
            <w:pPr>
              <w:pStyle w:val="69"/>
              <w:rPr>
                <w:rFonts w:hint="eastAsia"/>
                <w:color w:val="auto"/>
              </w:rPr>
            </w:pPr>
            <w:r>
              <w:rPr>
                <w:rFonts w:hint="eastAsia"/>
                <w:color w:val="auto"/>
              </w:rPr>
              <w:t>6</w:t>
            </w:r>
          </w:p>
        </w:tc>
        <w:tc>
          <w:tcPr>
            <w:tcW w:w="4763" w:type="dxa"/>
            <w:tcBorders>
              <w:top w:val="single" w:color="auto" w:sz="4" w:space="0"/>
              <w:left w:val="nil"/>
              <w:bottom w:val="single" w:color="auto" w:sz="4" w:space="0"/>
              <w:right w:val="single" w:color="auto" w:sz="4" w:space="0"/>
            </w:tcBorders>
            <w:noWrap/>
            <w:vAlign w:val="center"/>
          </w:tcPr>
          <w:p w14:paraId="2264CDD1">
            <w:pPr>
              <w:pStyle w:val="69"/>
              <w:rPr>
                <w:rFonts w:hint="eastAsia"/>
                <w:color w:val="auto"/>
              </w:rPr>
            </w:pPr>
            <w:r>
              <w:rPr>
                <w:rFonts w:hint="eastAsia"/>
                <w:color w:val="auto"/>
              </w:rPr>
              <w:t>搅拌砂浆</w:t>
            </w:r>
          </w:p>
        </w:tc>
        <w:tc>
          <w:tcPr>
            <w:tcW w:w="2042" w:type="dxa"/>
            <w:tcBorders>
              <w:top w:val="single" w:color="auto" w:sz="4" w:space="0"/>
              <w:left w:val="nil"/>
              <w:bottom w:val="single" w:color="auto" w:sz="4" w:space="0"/>
              <w:right w:val="single" w:color="auto" w:sz="4" w:space="0"/>
            </w:tcBorders>
            <w:noWrap/>
            <w:vAlign w:val="center"/>
          </w:tcPr>
          <w:p w14:paraId="10387D6E">
            <w:pPr>
              <w:pStyle w:val="69"/>
              <w:rPr>
                <w:rFonts w:hint="eastAsia"/>
                <w:color w:val="auto"/>
              </w:rPr>
            </w:pPr>
            <w:r>
              <w:rPr>
                <w:rFonts w:hint="eastAsia"/>
                <w:color w:val="auto"/>
              </w:rPr>
              <w:t>L/m 3</w:t>
            </w:r>
          </w:p>
        </w:tc>
        <w:tc>
          <w:tcPr>
            <w:tcW w:w="1547" w:type="dxa"/>
            <w:tcBorders>
              <w:top w:val="single" w:color="auto" w:sz="4" w:space="0"/>
              <w:left w:val="nil"/>
              <w:bottom w:val="single" w:color="auto" w:sz="4" w:space="0"/>
              <w:right w:val="single" w:color="auto" w:sz="4" w:space="0"/>
            </w:tcBorders>
            <w:noWrap/>
            <w:vAlign w:val="center"/>
          </w:tcPr>
          <w:p w14:paraId="6230A8C5">
            <w:pPr>
              <w:pStyle w:val="69"/>
              <w:rPr>
                <w:rFonts w:hint="eastAsia"/>
                <w:color w:val="auto"/>
              </w:rPr>
            </w:pPr>
            <w:r>
              <w:rPr>
                <w:rFonts w:hint="eastAsia"/>
                <w:color w:val="auto"/>
              </w:rPr>
              <w:t>300</w:t>
            </w:r>
          </w:p>
        </w:tc>
      </w:tr>
      <w:tr w14:paraId="039A9CCE">
        <w:tblPrEx>
          <w:tblCellMar>
            <w:top w:w="0" w:type="dxa"/>
            <w:left w:w="108" w:type="dxa"/>
            <w:bottom w:w="0" w:type="dxa"/>
            <w:right w:w="108" w:type="dxa"/>
          </w:tblCellMar>
        </w:tblPrEx>
        <w:trPr>
          <w:trHeight w:val="439" w:hRule="atLeast"/>
        </w:trPr>
        <w:tc>
          <w:tcPr>
            <w:tcW w:w="1049" w:type="dxa"/>
            <w:tcBorders>
              <w:top w:val="single" w:color="auto" w:sz="4" w:space="0"/>
              <w:left w:val="single" w:color="auto" w:sz="4" w:space="0"/>
              <w:bottom w:val="single" w:color="auto" w:sz="4" w:space="0"/>
              <w:right w:val="single" w:color="auto" w:sz="4" w:space="0"/>
            </w:tcBorders>
            <w:vAlign w:val="center"/>
          </w:tcPr>
          <w:p w14:paraId="220D18FA">
            <w:pPr>
              <w:pStyle w:val="69"/>
              <w:rPr>
                <w:rFonts w:hint="eastAsia"/>
                <w:color w:val="auto"/>
              </w:rPr>
            </w:pPr>
            <w:r>
              <w:rPr>
                <w:rFonts w:hint="eastAsia"/>
                <w:color w:val="auto"/>
              </w:rPr>
              <w:t>7</w:t>
            </w:r>
          </w:p>
        </w:tc>
        <w:tc>
          <w:tcPr>
            <w:tcW w:w="4763" w:type="dxa"/>
            <w:tcBorders>
              <w:top w:val="single" w:color="auto" w:sz="4" w:space="0"/>
              <w:left w:val="nil"/>
              <w:bottom w:val="single" w:color="auto" w:sz="4" w:space="0"/>
              <w:right w:val="single" w:color="auto" w:sz="4" w:space="0"/>
            </w:tcBorders>
            <w:noWrap/>
            <w:vAlign w:val="center"/>
          </w:tcPr>
          <w:p w14:paraId="6B840210">
            <w:pPr>
              <w:pStyle w:val="69"/>
              <w:rPr>
                <w:rFonts w:hint="eastAsia"/>
                <w:color w:val="auto"/>
              </w:rPr>
            </w:pPr>
            <w:r>
              <w:rPr>
                <w:rFonts w:hint="eastAsia"/>
                <w:color w:val="auto"/>
              </w:rPr>
              <w:t>石灰消化</w:t>
            </w:r>
          </w:p>
        </w:tc>
        <w:tc>
          <w:tcPr>
            <w:tcW w:w="2042" w:type="dxa"/>
            <w:tcBorders>
              <w:top w:val="single" w:color="auto" w:sz="4" w:space="0"/>
              <w:left w:val="nil"/>
              <w:bottom w:val="single" w:color="auto" w:sz="4" w:space="0"/>
              <w:right w:val="single" w:color="auto" w:sz="4" w:space="0"/>
            </w:tcBorders>
            <w:noWrap/>
            <w:vAlign w:val="center"/>
          </w:tcPr>
          <w:p w14:paraId="42501872">
            <w:pPr>
              <w:pStyle w:val="69"/>
              <w:rPr>
                <w:rFonts w:hint="eastAsia"/>
                <w:color w:val="auto"/>
              </w:rPr>
            </w:pPr>
            <w:r>
              <w:rPr>
                <w:rFonts w:hint="eastAsia"/>
                <w:color w:val="auto"/>
              </w:rPr>
              <w:t>L/t</w:t>
            </w:r>
          </w:p>
        </w:tc>
        <w:tc>
          <w:tcPr>
            <w:tcW w:w="1547" w:type="dxa"/>
            <w:tcBorders>
              <w:top w:val="single" w:color="auto" w:sz="4" w:space="0"/>
              <w:left w:val="nil"/>
              <w:bottom w:val="single" w:color="auto" w:sz="4" w:space="0"/>
              <w:right w:val="single" w:color="auto" w:sz="4" w:space="0"/>
            </w:tcBorders>
            <w:noWrap/>
            <w:vAlign w:val="center"/>
          </w:tcPr>
          <w:p w14:paraId="15C6B857">
            <w:pPr>
              <w:pStyle w:val="69"/>
              <w:rPr>
                <w:rFonts w:hint="eastAsia"/>
                <w:color w:val="auto"/>
              </w:rPr>
            </w:pPr>
            <w:r>
              <w:rPr>
                <w:rFonts w:hint="eastAsia"/>
                <w:color w:val="auto"/>
              </w:rPr>
              <w:t>3000</w:t>
            </w:r>
          </w:p>
        </w:tc>
      </w:tr>
    </w:tbl>
    <w:p w14:paraId="5D7E2AFB">
      <w:pPr>
        <w:ind w:firstLine="562"/>
        <w:rPr>
          <w:rFonts w:ascii="Calibri" w:hAnsi="Calibri" w:cs="Times New Roman"/>
          <w:b/>
          <w:bCs/>
          <w:caps/>
          <w:vanish/>
          <w:color w:val="auto"/>
          <w:sz w:val="28"/>
        </w:rPr>
      </w:pPr>
    </w:p>
    <w:tbl>
      <w:tblPr>
        <w:tblStyle w:val="29"/>
        <w:tblW w:w="0" w:type="auto"/>
        <w:tblInd w:w="0" w:type="dxa"/>
        <w:tblLayout w:type="fixed"/>
        <w:tblCellMar>
          <w:top w:w="0" w:type="dxa"/>
          <w:left w:w="108" w:type="dxa"/>
          <w:bottom w:w="0" w:type="dxa"/>
          <w:right w:w="108" w:type="dxa"/>
        </w:tblCellMar>
      </w:tblPr>
      <w:tblGrid>
        <w:gridCol w:w="2059"/>
        <w:gridCol w:w="4435"/>
        <w:gridCol w:w="2907"/>
      </w:tblGrid>
      <w:tr w14:paraId="5CADD1E5">
        <w:tblPrEx>
          <w:tblCellMar>
            <w:top w:w="0" w:type="dxa"/>
            <w:left w:w="108" w:type="dxa"/>
            <w:bottom w:w="0" w:type="dxa"/>
            <w:right w:w="108" w:type="dxa"/>
          </w:tblCellMar>
        </w:tblPrEx>
        <w:trPr>
          <w:trHeight w:val="467" w:hRule="atLeast"/>
        </w:trPr>
        <w:tc>
          <w:tcPr>
            <w:tcW w:w="9401" w:type="dxa"/>
            <w:gridSpan w:val="3"/>
            <w:tcBorders>
              <w:top w:val="single" w:color="auto" w:sz="4" w:space="0"/>
              <w:left w:val="single" w:color="auto" w:sz="4" w:space="0"/>
              <w:bottom w:val="single" w:color="000000" w:sz="4" w:space="0"/>
              <w:right w:val="single" w:color="000000" w:sz="4" w:space="0"/>
            </w:tcBorders>
            <w:noWrap/>
            <w:vAlign w:val="center"/>
          </w:tcPr>
          <w:p w14:paraId="4C43B61A">
            <w:pPr>
              <w:pStyle w:val="69"/>
              <w:rPr>
                <w:rFonts w:hint="eastAsia"/>
                <w:color w:val="auto"/>
              </w:rPr>
            </w:pPr>
            <w:r>
              <w:rPr>
                <w:rFonts w:hint="eastAsia"/>
                <w:color w:val="auto"/>
              </w:rPr>
              <w:t>施工用水不均衡系数</w:t>
            </w:r>
          </w:p>
        </w:tc>
      </w:tr>
      <w:tr w14:paraId="746E7635">
        <w:tblPrEx>
          <w:tblCellMar>
            <w:top w:w="0" w:type="dxa"/>
            <w:left w:w="108" w:type="dxa"/>
            <w:bottom w:w="0" w:type="dxa"/>
            <w:right w:w="108" w:type="dxa"/>
          </w:tblCellMar>
        </w:tblPrEx>
        <w:trPr>
          <w:trHeight w:val="575" w:hRule="atLeast"/>
        </w:trPr>
        <w:tc>
          <w:tcPr>
            <w:tcW w:w="2059" w:type="dxa"/>
            <w:tcBorders>
              <w:top w:val="nil"/>
              <w:left w:val="single" w:color="auto" w:sz="4" w:space="0"/>
              <w:bottom w:val="single" w:color="auto" w:sz="4" w:space="0"/>
              <w:right w:val="single" w:color="auto" w:sz="4" w:space="0"/>
            </w:tcBorders>
            <w:noWrap/>
            <w:vAlign w:val="center"/>
          </w:tcPr>
          <w:p w14:paraId="135A1EDA">
            <w:pPr>
              <w:pStyle w:val="69"/>
              <w:rPr>
                <w:rFonts w:hint="eastAsia"/>
                <w:color w:val="auto"/>
              </w:rPr>
            </w:pPr>
            <w:r>
              <w:rPr>
                <w:rFonts w:hint="eastAsia"/>
                <w:color w:val="auto"/>
              </w:rPr>
              <w:t>编号</w:t>
            </w:r>
          </w:p>
        </w:tc>
        <w:tc>
          <w:tcPr>
            <w:tcW w:w="4435" w:type="dxa"/>
            <w:tcBorders>
              <w:top w:val="nil"/>
              <w:left w:val="nil"/>
              <w:bottom w:val="single" w:color="auto" w:sz="4" w:space="0"/>
              <w:right w:val="single" w:color="auto" w:sz="4" w:space="0"/>
            </w:tcBorders>
            <w:noWrap/>
            <w:vAlign w:val="center"/>
          </w:tcPr>
          <w:p w14:paraId="035E50D0">
            <w:pPr>
              <w:pStyle w:val="69"/>
              <w:rPr>
                <w:rFonts w:hint="eastAsia"/>
                <w:color w:val="auto"/>
              </w:rPr>
            </w:pPr>
            <w:r>
              <w:rPr>
                <w:rFonts w:hint="eastAsia"/>
                <w:color w:val="auto"/>
              </w:rPr>
              <w:t>用水名称</w:t>
            </w:r>
          </w:p>
        </w:tc>
        <w:tc>
          <w:tcPr>
            <w:tcW w:w="2907" w:type="dxa"/>
            <w:tcBorders>
              <w:top w:val="nil"/>
              <w:left w:val="nil"/>
              <w:bottom w:val="single" w:color="auto" w:sz="4" w:space="0"/>
              <w:right w:val="single" w:color="auto" w:sz="4" w:space="0"/>
            </w:tcBorders>
            <w:noWrap/>
            <w:vAlign w:val="center"/>
          </w:tcPr>
          <w:p w14:paraId="544EF734">
            <w:pPr>
              <w:pStyle w:val="69"/>
              <w:rPr>
                <w:rFonts w:hint="eastAsia"/>
                <w:color w:val="auto"/>
              </w:rPr>
            </w:pPr>
            <w:r>
              <w:rPr>
                <w:rFonts w:hint="eastAsia"/>
                <w:color w:val="auto"/>
              </w:rPr>
              <w:t>系数</w:t>
            </w:r>
          </w:p>
        </w:tc>
      </w:tr>
      <w:tr w14:paraId="14DDE9D9">
        <w:tblPrEx>
          <w:tblCellMar>
            <w:top w:w="0" w:type="dxa"/>
            <w:left w:w="108" w:type="dxa"/>
            <w:bottom w:w="0" w:type="dxa"/>
            <w:right w:w="108" w:type="dxa"/>
          </w:tblCellMar>
        </w:tblPrEx>
        <w:trPr>
          <w:trHeight w:val="455" w:hRule="atLeast"/>
        </w:trPr>
        <w:tc>
          <w:tcPr>
            <w:tcW w:w="2059" w:type="dxa"/>
            <w:tcBorders>
              <w:top w:val="nil"/>
              <w:left w:val="single" w:color="auto" w:sz="4" w:space="0"/>
              <w:bottom w:val="single" w:color="000000" w:sz="4" w:space="0"/>
              <w:right w:val="single" w:color="auto" w:sz="4" w:space="0"/>
            </w:tcBorders>
            <w:noWrap/>
            <w:vAlign w:val="center"/>
          </w:tcPr>
          <w:p w14:paraId="4CB9B3CF">
            <w:pPr>
              <w:pStyle w:val="69"/>
              <w:rPr>
                <w:rFonts w:hint="eastAsia"/>
                <w:color w:val="auto"/>
              </w:rPr>
            </w:pPr>
            <w:r>
              <w:rPr>
                <w:rFonts w:hint="eastAsia"/>
                <w:color w:val="auto"/>
              </w:rPr>
              <w:t>K1</w:t>
            </w:r>
          </w:p>
        </w:tc>
        <w:tc>
          <w:tcPr>
            <w:tcW w:w="4435" w:type="dxa"/>
            <w:tcBorders>
              <w:top w:val="nil"/>
              <w:left w:val="single" w:color="auto" w:sz="4" w:space="0"/>
              <w:bottom w:val="single" w:color="000000" w:sz="4" w:space="0"/>
              <w:right w:val="single" w:color="auto" w:sz="4" w:space="0"/>
            </w:tcBorders>
            <w:noWrap/>
            <w:vAlign w:val="center"/>
          </w:tcPr>
          <w:p w14:paraId="0B33DD0D">
            <w:pPr>
              <w:pStyle w:val="69"/>
              <w:rPr>
                <w:rFonts w:hint="eastAsia"/>
                <w:color w:val="auto"/>
              </w:rPr>
            </w:pPr>
            <w:r>
              <w:rPr>
                <w:rFonts w:hint="eastAsia"/>
                <w:color w:val="auto"/>
              </w:rPr>
              <w:t>现场施工用水</w:t>
            </w:r>
          </w:p>
        </w:tc>
        <w:tc>
          <w:tcPr>
            <w:tcW w:w="2907" w:type="dxa"/>
            <w:tcBorders>
              <w:top w:val="nil"/>
              <w:left w:val="nil"/>
              <w:bottom w:val="single" w:color="auto" w:sz="4" w:space="0"/>
              <w:right w:val="single" w:color="auto" w:sz="4" w:space="0"/>
            </w:tcBorders>
            <w:noWrap/>
            <w:vAlign w:val="center"/>
          </w:tcPr>
          <w:p w14:paraId="5FB3EED2">
            <w:pPr>
              <w:pStyle w:val="69"/>
              <w:rPr>
                <w:rFonts w:hint="eastAsia"/>
                <w:color w:val="auto"/>
              </w:rPr>
            </w:pPr>
            <w:r>
              <w:rPr>
                <w:rFonts w:hint="eastAsia"/>
                <w:color w:val="auto"/>
              </w:rPr>
              <w:t>1.25</w:t>
            </w:r>
          </w:p>
        </w:tc>
      </w:tr>
      <w:tr w14:paraId="38448CB0">
        <w:tblPrEx>
          <w:tblCellMar>
            <w:top w:w="0" w:type="dxa"/>
            <w:left w:w="108" w:type="dxa"/>
            <w:bottom w:w="0" w:type="dxa"/>
            <w:right w:w="108" w:type="dxa"/>
          </w:tblCellMar>
        </w:tblPrEx>
        <w:trPr>
          <w:trHeight w:val="574" w:hRule="atLeast"/>
        </w:trPr>
        <w:tc>
          <w:tcPr>
            <w:tcW w:w="2059" w:type="dxa"/>
            <w:tcBorders>
              <w:top w:val="nil"/>
              <w:left w:val="single" w:color="auto" w:sz="4" w:space="0"/>
              <w:bottom w:val="single" w:color="000000" w:sz="4" w:space="0"/>
              <w:right w:val="single" w:color="auto" w:sz="4" w:space="0"/>
            </w:tcBorders>
            <w:noWrap/>
            <w:vAlign w:val="center"/>
          </w:tcPr>
          <w:p w14:paraId="2060F177">
            <w:pPr>
              <w:pStyle w:val="69"/>
              <w:rPr>
                <w:rFonts w:hint="eastAsia"/>
                <w:color w:val="auto"/>
              </w:rPr>
            </w:pPr>
            <w:r>
              <w:rPr>
                <w:rFonts w:hint="eastAsia"/>
                <w:color w:val="auto"/>
              </w:rPr>
              <w:t>K2</w:t>
            </w:r>
          </w:p>
        </w:tc>
        <w:tc>
          <w:tcPr>
            <w:tcW w:w="4435" w:type="dxa"/>
            <w:tcBorders>
              <w:top w:val="nil"/>
              <w:left w:val="single" w:color="auto" w:sz="4" w:space="0"/>
              <w:bottom w:val="single" w:color="auto" w:sz="4" w:space="0"/>
              <w:right w:val="single" w:color="auto" w:sz="4" w:space="0"/>
            </w:tcBorders>
            <w:noWrap/>
            <w:vAlign w:val="center"/>
          </w:tcPr>
          <w:p w14:paraId="421C2E95">
            <w:pPr>
              <w:pStyle w:val="69"/>
              <w:rPr>
                <w:rFonts w:hint="eastAsia"/>
                <w:color w:val="auto"/>
              </w:rPr>
            </w:pPr>
            <w:r>
              <w:rPr>
                <w:rFonts w:hint="eastAsia"/>
                <w:color w:val="auto"/>
              </w:rPr>
              <w:t>施工机械、运输机械</w:t>
            </w:r>
          </w:p>
        </w:tc>
        <w:tc>
          <w:tcPr>
            <w:tcW w:w="2907" w:type="dxa"/>
            <w:tcBorders>
              <w:top w:val="single" w:color="auto" w:sz="4" w:space="0"/>
              <w:left w:val="nil"/>
              <w:bottom w:val="single" w:color="auto" w:sz="4" w:space="0"/>
              <w:right w:val="single" w:color="auto" w:sz="4" w:space="0"/>
            </w:tcBorders>
            <w:noWrap/>
            <w:vAlign w:val="center"/>
          </w:tcPr>
          <w:p w14:paraId="4E33E77D">
            <w:pPr>
              <w:pStyle w:val="69"/>
              <w:rPr>
                <w:rFonts w:hint="eastAsia"/>
                <w:color w:val="auto"/>
              </w:rPr>
            </w:pPr>
            <w:r>
              <w:rPr>
                <w:rFonts w:hint="eastAsia"/>
                <w:color w:val="auto"/>
              </w:rPr>
              <w:t>1.05~1.10</w:t>
            </w:r>
          </w:p>
        </w:tc>
      </w:tr>
      <w:tr w14:paraId="14266A34">
        <w:tblPrEx>
          <w:tblCellMar>
            <w:top w:w="0" w:type="dxa"/>
            <w:left w:w="108" w:type="dxa"/>
            <w:bottom w:w="0" w:type="dxa"/>
            <w:right w:w="108" w:type="dxa"/>
          </w:tblCellMar>
        </w:tblPrEx>
        <w:trPr>
          <w:trHeight w:val="566" w:hRule="atLeast"/>
        </w:trPr>
        <w:tc>
          <w:tcPr>
            <w:tcW w:w="2059" w:type="dxa"/>
            <w:tcBorders>
              <w:top w:val="nil"/>
              <w:left w:val="single" w:color="auto" w:sz="4" w:space="0"/>
              <w:bottom w:val="single" w:color="auto" w:sz="4" w:space="0"/>
              <w:right w:val="single" w:color="auto" w:sz="4" w:space="0"/>
            </w:tcBorders>
            <w:noWrap/>
            <w:vAlign w:val="center"/>
          </w:tcPr>
          <w:p w14:paraId="38D61374">
            <w:pPr>
              <w:pStyle w:val="69"/>
              <w:rPr>
                <w:rFonts w:hint="eastAsia"/>
                <w:color w:val="auto"/>
              </w:rPr>
            </w:pPr>
            <w:r>
              <w:rPr>
                <w:rFonts w:hint="eastAsia"/>
                <w:color w:val="auto"/>
              </w:rPr>
              <w:t>K3</w:t>
            </w:r>
          </w:p>
        </w:tc>
        <w:tc>
          <w:tcPr>
            <w:tcW w:w="4435" w:type="dxa"/>
            <w:tcBorders>
              <w:top w:val="nil"/>
              <w:left w:val="nil"/>
              <w:bottom w:val="single" w:color="auto" w:sz="4" w:space="0"/>
              <w:right w:val="single" w:color="auto" w:sz="4" w:space="0"/>
            </w:tcBorders>
            <w:noWrap/>
            <w:vAlign w:val="center"/>
          </w:tcPr>
          <w:p w14:paraId="07B528FA">
            <w:pPr>
              <w:pStyle w:val="69"/>
              <w:rPr>
                <w:rFonts w:hint="eastAsia"/>
                <w:color w:val="auto"/>
              </w:rPr>
            </w:pPr>
            <w:r>
              <w:rPr>
                <w:rFonts w:hint="eastAsia"/>
                <w:color w:val="auto"/>
              </w:rPr>
              <w:t>施工现场生活用水</w:t>
            </w:r>
          </w:p>
        </w:tc>
        <w:tc>
          <w:tcPr>
            <w:tcW w:w="2907" w:type="dxa"/>
            <w:tcBorders>
              <w:top w:val="nil"/>
              <w:left w:val="nil"/>
              <w:bottom w:val="single" w:color="auto" w:sz="4" w:space="0"/>
              <w:right w:val="single" w:color="auto" w:sz="4" w:space="0"/>
            </w:tcBorders>
            <w:noWrap/>
            <w:vAlign w:val="center"/>
          </w:tcPr>
          <w:p w14:paraId="4BF1BE82">
            <w:pPr>
              <w:pStyle w:val="69"/>
              <w:rPr>
                <w:rFonts w:hint="eastAsia"/>
                <w:color w:val="auto"/>
              </w:rPr>
            </w:pPr>
            <w:r>
              <w:rPr>
                <w:rFonts w:hint="eastAsia"/>
                <w:color w:val="auto"/>
              </w:rPr>
              <w:t>1.30~1.50</w:t>
            </w:r>
          </w:p>
        </w:tc>
      </w:tr>
      <w:tr w14:paraId="3FD26F1D">
        <w:tblPrEx>
          <w:tblCellMar>
            <w:top w:w="0" w:type="dxa"/>
            <w:left w:w="108" w:type="dxa"/>
            <w:bottom w:w="0" w:type="dxa"/>
            <w:right w:w="108" w:type="dxa"/>
          </w:tblCellMar>
        </w:tblPrEx>
        <w:trPr>
          <w:trHeight w:val="532" w:hRule="atLeast"/>
        </w:trPr>
        <w:tc>
          <w:tcPr>
            <w:tcW w:w="2059" w:type="dxa"/>
            <w:tcBorders>
              <w:top w:val="nil"/>
              <w:left w:val="single" w:color="auto" w:sz="4" w:space="0"/>
              <w:bottom w:val="single" w:color="auto" w:sz="4" w:space="0"/>
              <w:right w:val="single" w:color="auto" w:sz="4" w:space="0"/>
            </w:tcBorders>
            <w:noWrap/>
            <w:vAlign w:val="center"/>
          </w:tcPr>
          <w:p w14:paraId="20C512BA">
            <w:pPr>
              <w:pStyle w:val="69"/>
              <w:rPr>
                <w:rFonts w:hint="eastAsia"/>
                <w:color w:val="auto"/>
              </w:rPr>
            </w:pPr>
            <w:r>
              <w:rPr>
                <w:rFonts w:hint="eastAsia"/>
                <w:color w:val="auto"/>
              </w:rPr>
              <w:t>K4</w:t>
            </w:r>
          </w:p>
        </w:tc>
        <w:tc>
          <w:tcPr>
            <w:tcW w:w="4435" w:type="dxa"/>
            <w:tcBorders>
              <w:top w:val="nil"/>
              <w:left w:val="nil"/>
              <w:bottom w:val="single" w:color="auto" w:sz="4" w:space="0"/>
              <w:right w:val="single" w:color="auto" w:sz="4" w:space="0"/>
            </w:tcBorders>
            <w:noWrap/>
            <w:vAlign w:val="center"/>
          </w:tcPr>
          <w:p w14:paraId="436C2823">
            <w:pPr>
              <w:pStyle w:val="69"/>
              <w:rPr>
                <w:rFonts w:hint="eastAsia"/>
                <w:color w:val="auto"/>
              </w:rPr>
            </w:pPr>
            <w:r>
              <w:rPr>
                <w:rFonts w:hint="eastAsia"/>
                <w:color w:val="auto"/>
              </w:rPr>
              <w:t>生活区生活用水</w:t>
            </w:r>
          </w:p>
        </w:tc>
        <w:tc>
          <w:tcPr>
            <w:tcW w:w="2907" w:type="dxa"/>
            <w:tcBorders>
              <w:top w:val="nil"/>
              <w:left w:val="nil"/>
              <w:bottom w:val="single" w:color="auto" w:sz="4" w:space="0"/>
              <w:right w:val="single" w:color="auto" w:sz="4" w:space="0"/>
            </w:tcBorders>
            <w:noWrap/>
            <w:vAlign w:val="center"/>
          </w:tcPr>
          <w:p w14:paraId="274C93E5">
            <w:pPr>
              <w:pStyle w:val="69"/>
              <w:rPr>
                <w:rFonts w:hint="eastAsia"/>
                <w:color w:val="auto"/>
              </w:rPr>
            </w:pPr>
            <w:r>
              <w:rPr>
                <w:rFonts w:hint="eastAsia"/>
                <w:color w:val="auto"/>
              </w:rPr>
              <w:t>2.00~2.50</w:t>
            </w:r>
          </w:p>
        </w:tc>
      </w:tr>
    </w:tbl>
    <w:p w14:paraId="06FD8AD9">
      <w:pPr>
        <w:rPr>
          <w:color w:val="auto"/>
        </w:rPr>
      </w:pPr>
      <w:bookmarkStart w:id="114" w:name="_Toc523939777"/>
      <w:bookmarkStart w:id="115" w:name="_Toc482187442"/>
      <w:r>
        <w:rPr>
          <w:color w:val="auto"/>
        </w:rPr>
        <w:t>2</w:t>
      </w:r>
      <w:r>
        <w:rPr>
          <w:rFonts w:hint="eastAsia"/>
          <w:color w:val="auto"/>
        </w:rPr>
        <w:t>）现场施工用水水量计算</w:t>
      </w:r>
      <w:bookmarkEnd w:id="114"/>
      <w:bookmarkEnd w:id="115"/>
    </w:p>
    <w:p w14:paraId="47C45C1B">
      <w:pPr>
        <w:rPr>
          <w:color w:val="auto"/>
        </w:rPr>
      </w:pPr>
      <w:r>
        <w:rPr>
          <w:rFonts w:hint="eastAsia"/>
          <w:color w:val="auto"/>
        </w:rPr>
        <w:t>现场施工用水定额q</w:t>
      </w:r>
      <w:r>
        <w:rPr>
          <w:color w:val="auto"/>
        </w:rPr>
        <w:t>1</w:t>
      </w:r>
      <w:r>
        <w:rPr>
          <w:rFonts w:hint="eastAsia"/>
          <w:color w:val="auto"/>
        </w:rPr>
        <w:t>：</w:t>
      </w:r>
    </w:p>
    <w:p w14:paraId="530E5744">
      <w:pPr>
        <w:rPr>
          <w:color w:val="auto"/>
        </w:rPr>
      </w:pPr>
      <m:oMathPara>
        <m:oMath>
          <m:sSub>
            <m:sSubPr>
              <m:ctrlPr>
                <w:rPr>
                  <w:rFonts w:ascii="Cambria Math" w:hAnsi="Cambria Math" w:cs="Times New Roman"/>
                  <w:i/>
                  <w:color w:val="auto"/>
                </w:rPr>
              </m:ctrlPr>
            </m:sSubPr>
            <m:e>
              <m:r>
                <m:rPr/>
                <w:rPr>
                  <w:rFonts w:ascii="Cambria Math" w:hAnsi="Cambria Math" w:cs="Times New Roman"/>
                  <w:color w:val="auto"/>
                </w:rPr>
                <m:t>q</m:t>
              </m:r>
              <m:ctrlPr>
                <w:rPr>
                  <w:rFonts w:ascii="Cambria Math" w:hAnsi="Cambria Math" w:cs="Times New Roman"/>
                  <w:i/>
                  <w:color w:val="auto"/>
                </w:rPr>
              </m:ctrlPr>
            </m:e>
            <m:sub>
              <m:r>
                <m:rPr/>
                <w:rPr>
                  <w:rFonts w:ascii="Cambria Math" w:hAnsi="Cambria Math" w:cs="Times New Roman"/>
                  <w:color w:val="auto"/>
                </w:rPr>
                <m:t>1</m:t>
              </m:r>
              <m:ctrlPr>
                <w:rPr>
                  <w:rFonts w:ascii="Cambria Math" w:hAnsi="Cambria Math" w:cs="Times New Roman"/>
                  <w:i/>
                  <w:color w:val="auto"/>
                </w:rPr>
              </m:ctrlPr>
            </m:sub>
          </m:sSub>
          <m:r>
            <m:rPr/>
            <w:rPr>
              <w:rFonts w:ascii="Cambria Math" w:hAnsi="Cambria Math" w:cs="Times New Roman"/>
              <w:color w:val="auto"/>
            </w:rPr>
            <m:t>=</m:t>
          </m:r>
          <m:sSub>
            <m:sSubPr>
              <m:ctrlPr>
                <w:rPr>
                  <w:rFonts w:ascii="Cambria Math" w:hAnsi="Cambria Math" w:cs="Times New Roman"/>
                  <w:i/>
                  <w:color w:val="auto"/>
                </w:rPr>
              </m:ctrlPr>
            </m:sSubPr>
            <m:e>
              <m:r>
                <m:rPr/>
                <w:rPr>
                  <w:rFonts w:ascii="Cambria Math" w:hAnsi="Cambria Math" w:cs="Times New Roman"/>
                  <w:color w:val="auto"/>
                </w:rPr>
                <m:t>K</m:t>
              </m:r>
              <m:ctrlPr>
                <w:rPr>
                  <w:rFonts w:ascii="Cambria Math" w:hAnsi="Cambria Math" w:cs="Times New Roman"/>
                  <w:i/>
                  <w:color w:val="auto"/>
                </w:rPr>
              </m:ctrlPr>
            </m:e>
            <m:sub>
              <m:r>
                <m:rPr/>
                <w:rPr>
                  <w:rFonts w:ascii="Cambria Math" w:hAnsi="Cambria Math" w:cs="Times New Roman"/>
                  <w:color w:val="auto"/>
                </w:rPr>
                <m:t>1</m:t>
              </m:r>
              <m:ctrlPr>
                <w:rPr>
                  <w:rFonts w:ascii="Cambria Math" w:hAnsi="Cambria Math" w:cs="Times New Roman"/>
                  <w:i/>
                  <w:color w:val="auto"/>
                </w:rPr>
              </m:ctrlPr>
            </m:sub>
          </m:sSub>
          <m:r>
            <m:rPr/>
            <w:rPr>
              <w:rFonts w:ascii="Cambria Math" w:hAnsi="Cambria Math" w:cs="Times New Roman"/>
              <w:color w:val="auto"/>
            </w:rPr>
            <m:t>∙</m:t>
          </m:r>
          <m:f>
            <m:fPr>
              <m:ctrlPr>
                <w:rPr>
                  <w:rFonts w:ascii="Cambria Math" w:hAnsi="Cambria Math" w:cs="Times New Roman"/>
                  <w:i/>
                  <w:color w:val="auto"/>
                </w:rPr>
              </m:ctrlPr>
            </m:fPr>
            <m:num>
              <m:nary>
                <m:naryPr>
                  <m:chr m:val="∑"/>
                  <m:limLoc m:val="undOvr"/>
                  <m:subHide m:val="1"/>
                  <m:supHide m:val="1"/>
                  <m:ctrlPr>
                    <w:rPr>
                      <w:rFonts w:ascii="Cambria Math" w:hAnsi="Cambria Math" w:cs="Times New Roman"/>
                      <w:i/>
                      <w:color w:val="auto"/>
                    </w:rPr>
                  </m:ctrlPr>
                </m:naryPr>
                <m:sub>
                  <m:ctrlPr>
                    <w:rPr>
                      <w:rFonts w:ascii="Cambria Math" w:hAnsi="Cambria Math" w:cs="Times New Roman"/>
                      <w:i/>
                      <w:color w:val="auto"/>
                    </w:rPr>
                  </m:ctrlPr>
                </m:sub>
                <m:sup>
                  <m:ctrlPr>
                    <w:rPr>
                      <w:rFonts w:ascii="Cambria Math" w:hAnsi="Cambria Math" w:cs="Times New Roman"/>
                      <w:i/>
                      <w:color w:val="auto"/>
                    </w:rPr>
                  </m:ctrlPr>
                </m:sup>
                <m:e>
                  <m:sSub>
                    <m:sSubPr>
                      <m:ctrlPr>
                        <w:rPr>
                          <w:rFonts w:ascii="Cambria Math" w:hAnsi="Cambria Math" w:cs="Times New Roman"/>
                          <w:i/>
                          <w:color w:val="auto"/>
                        </w:rPr>
                      </m:ctrlPr>
                    </m:sSubPr>
                    <m:e>
                      <m:r>
                        <m:rPr/>
                        <w:rPr>
                          <w:rFonts w:ascii="Cambria Math" w:hAnsi="Cambria Math" w:cs="Times New Roman"/>
                          <w:color w:val="auto"/>
                        </w:rPr>
                        <m:t>Q</m:t>
                      </m:r>
                      <m:ctrlPr>
                        <w:rPr>
                          <w:rFonts w:ascii="Cambria Math" w:hAnsi="Cambria Math" w:cs="Times New Roman"/>
                          <w:i/>
                          <w:color w:val="auto"/>
                        </w:rPr>
                      </m:ctrlPr>
                    </m:e>
                    <m:sub>
                      <m:r>
                        <m:rPr/>
                        <w:rPr>
                          <w:rFonts w:ascii="Cambria Math" w:hAnsi="Cambria Math" w:cs="Times New Roman"/>
                          <w:color w:val="auto"/>
                        </w:rPr>
                        <m:t>1</m:t>
                      </m:r>
                      <m:ctrlPr>
                        <w:rPr>
                          <w:rFonts w:ascii="Cambria Math" w:hAnsi="Cambria Math" w:cs="Times New Roman"/>
                          <w:i/>
                          <w:color w:val="auto"/>
                        </w:rPr>
                      </m:ctrlPr>
                    </m:sub>
                  </m:sSub>
                  <m:sSub>
                    <m:sSubPr>
                      <m:ctrlPr>
                        <w:rPr>
                          <w:rFonts w:ascii="Cambria Math" w:hAnsi="Cambria Math" w:cs="Times New Roman"/>
                          <w:i/>
                          <w:color w:val="auto"/>
                        </w:rPr>
                      </m:ctrlPr>
                    </m:sSubPr>
                    <m:e>
                      <m:r>
                        <m:rPr/>
                        <w:rPr>
                          <w:rFonts w:ascii="Cambria Math" w:hAnsi="Cambria Math" w:cs="Times New Roman"/>
                          <w:color w:val="auto"/>
                        </w:rPr>
                        <m:t>∙N</m:t>
                      </m:r>
                      <m:ctrlPr>
                        <w:rPr>
                          <w:rFonts w:ascii="Cambria Math" w:hAnsi="Cambria Math" w:cs="Times New Roman"/>
                          <w:i/>
                          <w:color w:val="auto"/>
                        </w:rPr>
                      </m:ctrlPr>
                    </m:e>
                    <m:sub>
                      <m:r>
                        <m:rPr/>
                        <w:rPr>
                          <w:rFonts w:ascii="Cambria Math" w:hAnsi="Cambria Math" w:cs="Times New Roman"/>
                          <w:color w:val="auto"/>
                        </w:rPr>
                        <m:t>1</m:t>
                      </m:r>
                      <m:ctrlPr>
                        <w:rPr>
                          <w:rFonts w:ascii="Cambria Math" w:hAnsi="Cambria Math" w:cs="Times New Roman"/>
                          <w:i/>
                          <w:color w:val="auto"/>
                        </w:rPr>
                      </m:ctrlPr>
                    </m:sub>
                  </m:sSub>
                  <m:ctrlPr>
                    <w:rPr>
                      <w:rFonts w:ascii="Cambria Math" w:hAnsi="Cambria Math" w:cs="Times New Roman"/>
                      <w:i/>
                      <w:color w:val="auto"/>
                    </w:rPr>
                  </m:ctrlPr>
                </m:e>
              </m:nary>
              <m:ctrlPr>
                <w:rPr>
                  <w:rFonts w:ascii="Cambria Math" w:hAnsi="Cambria Math" w:cs="Times New Roman"/>
                  <w:i/>
                  <w:color w:val="auto"/>
                </w:rPr>
              </m:ctrlPr>
            </m:num>
            <m:den>
              <m:sSub>
                <m:sSubPr>
                  <m:ctrlPr>
                    <w:rPr>
                      <w:rFonts w:ascii="Cambria Math" w:hAnsi="Cambria Math" w:cs="Times New Roman"/>
                      <w:i/>
                      <w:color w:val="auto"/>
                    </w:rPr>
                  </m:ctrlPr>
                </m:sSubPr>
                <m:e>
                  <m:r>
                    <m:rPr/>
                    <w:rPr>
                      <w:rFonts w:ascii="Cambria Math" w:hAnsi="Cambria Math" w:cs="Times New Roman"/>
                      <w:color w:val="auto"/>
                    </w:rPr>
                    <m:t>T</m:t>
                  </m:r>
                  <m:ctrlPr>
                    <w:rPr>
                      <w:rFonts w:ascii="Cambria Math" w:hAnsi="Cambria Math" w:cs="Times New Roman"/>
                      <w:i/>
                      <w:color w:val="auto"/>
                    </w:rPr>
                  </m:ctrlPr>
                </m:e>
                <m:sub>
                  <m:r>
                    <m:rPr/>
                    <w:rPr>
                      <w:rFonts w:ascii="Cambria Math" w:hAnsi="Cambria Math" w:cs="Times New Roman"/>
                      <w:color w:val="auto"/>
                    </w:rPr>
                    <m:t>1</m:t>
                  </m:r>
                  <m:ctrlPr>
                    <w:rPr>
                      <w:rFonts w:ascii="Cambria Math" w:hAnsi="Cambria Math" w:cs="Times New Roman"/>
                      <w:i/>
                      <w:color w:val="auto"/>
                    </w:rPr>
                  </m:ctrlPr>
                </m:sub>
              </m:sSub>
              <m:r>
                <m:rPr/>
                <w:rPr>
                  <w:rFonts w:ascii="Cambria Math" w:hAnsi="Cambria Math" w:cs="Times New Roman"/>
                  <w:color w:val="auto"/>
                </w:rPr>
                <m:t>∙t</m:t>
              </m:r>
              <m:ctrlPr>
                <w:rPr>
                  <w:rFonts w:ascii="Cambria Math" w:hAnsi="Cambria Math" w:cs="Times New Roman"/>
                  <w:i/>
                  <w:color w:val="auto"/>
                </w:rPr>
              </m:ctrlPr>
            </m:den>
          </m:f>
          <m:r>
            <m:rPr/>
            <w:rPr>
              <w:rFonts w:ascii="Cambria Math" w:hAnsi="Cambria Math" w:cs="Times New Roman"/>
              <w:color w:val="auto"/>
            </w:rPr>
            <m:t>∙</m:t>
          </m:r>
          <m:f>
            <m:fPr>
              <m:ctrlPr>
                <w:rPr>
                  <w:rFonts w:ascii="Cambria Math" w:hAnsi="Cambria Math" w:cs="Times New Roman"/>
                  <w:i/>
                  <w:color w:val="auto"/>
                </w:rPr>
              </m:ctrlPr>
            </m:fPr>
            <m:num>
              <m:sSub>
                <m:sSubPr>
                  <m:ctrlPr>
                    <w:rPr>
                      <w:rFonts w:ascii="Cambria Math" w:hAnsi="Cambria Math" w:cs="Times New Roman"/>
                      <w:i/>
                      <w:color w:val="auto"/>
                    </w:rPr>
                  </m:ctrlPr>
                </m:sSubPr>
                <m:e>
                  <m:r>
                    <m:rPr/>
                    <w:rPr>
                      <w:rFonts w:ascii="Cambria Math" w:hAnsi="Cambria Math" w:cs="Times New Roman"/>
                      <w:color w:val="auto"/>
                    </w:rPr>
                    <m:t>K</m:t>
                  </m:r>
                  <m:ctrlPr>
                    <w:rPr>
                      <w:rFonts w:ascii="Cambria Math" w:hAnsi="Cambria Math" w:cs="Times New Roman"/>
                      <w:i/>
                      <w:color w:val="auto"/>
                    </w:rPr>
                  </m:ctrlPr>
                </m:e>
                <m:sub>
                  <m:r>
                    <m:rPr/>
                    <w:rPr>
                      <w:rFonts w:ascii="Cambria Math" w:hAnsi="Cambria Math" w:cs="Times New Roman"/>
                      <w:color w:val="auto"/>
                    </w:rPr>
                    <m:t>2</m:t>
                  </m:r>
                  <m:ctrlPr>
                    <w:rPr>
                      <w:rFonts w:ascii="Cambria Math" w:hAnsi="Cambria Math" w:cs="Times New Roman"/>
                      <w:i/>
                      <w:color w:val="auto"/>
                    </w:rPr>
                  </m:ctrlPr>
                </m:sub>
              </m:sSub>
              <m:ctrlPr>
                <w:rPr>
                  <w:rFonts w:ascii="Cambria Math" w:hAnsi="Cambria Math" w:cs="Times New Roman"/>
                  <w:i/>
                  <w:color w:val="auto"/>
                </w:rPr>
              </m:ctrlPr>
            </m:num>
            <m:den>
              <m:r>
                <m:rPr/>
                <w:rPr>
                  <w:rFonts w:ascii="Cambria Math" w:hAnsi="Cambria Math" w:cs="Times New Roman"/>
                  <w:color w:val="auto"/>
                </w:rPr>
                <m:t>8×3600</m:t>
              </m:r>
              <m:ctrlPr>
                <w:rPr>
                  <w:rFonts w:ascii="Cambria Math" w:hAnsi="Cambria Math" w:cs="Times New Roman"/>
                  <w:i/>
                  <w:color w:val="auto"/>
                </w:rPr>
              </m:ctrlPr>
            </m:den>
          </m:f>
        </m:oMath>
      </m:oMathPara>
    </w:p>
    <w:p w14:paraId="6836B546">
      <w:pPr>
        <w:rPr>
          <w:color w:val="auto"/>
        </w:rPr>
      </w:pPr>
      <w:r>
        <w:rPr>
          <w:rFonts w:hint="eastAsia"/>
          <w:color w:val="auto"/>
        </w:rPr>
        <w:t>其中q1</w:t>
      </w:r>
      <w:r>
        <w:rPr>
          <w:rFonts w:hint="eastAsia"/>
          <w:color w:val="auto"/>
        </w:rPr>
        <w:tab/>
      </w:r>
      <w:r>
        <w:rPr>
          <w:color w:val="auto"/>
        </w:rPr>
        <w:t xml:space="preserve"> </w:t>
      </w:r>
      <w:r>
        <w:rPr>
          <w:rFonts w:hint="eastAsia"/>
          <w:color w:val="auto"/>
        </w:rPr>
        <w:t>：施工用水量(L/s)</w:t>
      </w:r>
      <w:r>
        <w:rPr>
          <w:color w:val="auto"/>
        </w:rPr>
        <w:t>;</w:t>
      </w:r>
    </w:p>
    <w:p w14:paraId="15D53C03">
      <w:pPr>
        <w:rPr>
          <w:color w:val="auto"/>
        </w:rPr>
      </w:pPr>
      <w:r>
        <w:rPr>
          <w:rFonts w:hint="eastAsia"/>
          <w:color w:val="auto"/>
        </w:rPr>
        <w:t>K1</w:t>
      </w:r>
      <w:r>
        <w:rPr>
          <w:color w:val="auto"/>
        </w:rPr>
        <w:t xml:space="preserve"> </w:t>
      </w:r>
      <w:r>
        <w:rPr>
          <w:rFonts w:hint="eastAsia"/>
          <w:color w:val="auto"/>
        </w:rPr>
        <w:t>：未预计的施工用水系数(1.05～1.15)，取K1=1.05</w:t>
      </w:r>
      <w:r>
        <w:rPr>
          <w:color w:val="auto"/>
        </w:rPr>
        <w:t>;</w:t>
      </w:r>
    </w:p>
    <w:p w14:paraId="306C030D">
      <w:pPr>
        <w:rPr>
          <w:color w:val="auto"/>
        </w:rPr>
      </w:pPr>
      <w:r>
        <w:rPr>
          <w:rFonts w:hint="eastAsia"/>
          <w:color w:val="auto"/>
        </w:rPr>
        <w:t>Q1</w:t>
      </w:r>
      <w:r>
        <w:rPr>
          <w:rFonts w:hint="eastAsia"/>
          <w:color w:val="auto"/>
        </w:rPr>
        <w:tab/>
      </w:r>
      <w:r>
        <w:rPr>
          <w:color w:val="auto"/>
        </w:rPr>
        <w:t xml:space="preserve"> </w:t>
      </w:r>
      <w:r>
        <w:rPr>
          <w:rFonts w:hint="eastAsia"/>
          <w:color w:val="auto"/>
        </w:rPr>
        <w:t>：工程量(以实物计量单位表示)，见表3-</w:t>
      </w:r>
      <w:r>
        <w:rPr>
          <w:color w:val="auto"/>
        </w:rPr>
        <w:t>1</w:t>
      </w:r>
      <w:r>
        <w:rPr>
          <w:rFonts w:hint="eastAsia"/>
          <w:color w:val="auto"/>
        </w:rPr>
        <w:t>；</w:t>
      </w:r>
    </w:p>
    <w:p w14:paraId="3ABDD9E6">
      <w:pPr>
        <w:rPr>
          <w:color w:val="auto"/>
        </w:rPr>
      </w:pPr>
      <w:r>
        <w:rPr>
          <w:rFonts w:hint="eastAsia"/>
          <w:color w:val="auto"/>
        </w:rPr>
        <w:t>N1</w:t>
      </w:r>
      <w:r>
        <w:rPr>
          <w:rFonts w:hint="eastAsia"/>
          <w:color w:val="auto"/>
        </w:rPr>
        <w:tab/>
      </w:r>
      <w:r>
        <w:rPr>
          <w:color w:val="auto"/>
        </w:rPr>
        <w:t xml:space="preserve"> </w:t>
      </w:r>
      <w:r>
        <w:rPr>
          <w:rFonts w:hint="eastAsia"/>
          <w:color w:val="auto"/>
        </w:rPr>
        <w:t>：施工用水定额，见表3-</w:t>
      </w:r>
      <w:r>
        <w:rPr>
          <w:color w:val="auto"/>
        </w:rPr>
        <w:t>1</w:t>
      </w:r>
      <w:r>
        <w:rPr>
          <w:rFonts w:hint="eastAsia"/>
          <w:color w:val="auto"/>
        </w:rPr>
        <w:t>，定额选择参见附表一；</w:t>
      </w:r>
    </w:p>
    <w:p w14:paraId="205D0DAB">
      <w:pPr>
        <w:rPr>
          <w:color w:val="auto"/>
        </w:rPr>
      </w:pPr>
      <w:r>
        <w:rPr>
          <w:rFonts w:hint="eastAsia"/>
          <w:color w:val="auto"/>
        </w:rPr>
        <w:t>T1</w:t>
      </w:r>
      <w:r>
        <w:rPr>
          <w:rFonts w:hint="eastAsia"/>
          <w:color w:val="auto"/>
        </w:rPr>
        <w:tab/>
      </w:r>
      <w:r>
        <w:rPr>
          <w:color w:val="auto"/>
        </w:rPr>
        <w:t xml:space="preserve"> </w:t>
      </w:r>
      <w:r>
        <w:rPr>
          <w:rFonts w:hint="eastAsia"/>
          <w:color w:val="auto"/>
        </w:rPr>
        <w:t>：有效作业时日(d)，取T1=</w:t>
      </w:r>
      <w:r>
        <w:rPr>
          <w:color w:val="auto"/>
        </w:rPr>
        <w:t>500</w:t>
      </w:r>
      <w:r>
        <w:rPr>
          <w:rFonts w:hint="eastAsia"/>
          <w:color w:val="auto"/>
        </w:rPr>
        <w:t>；</w:t>
      </w:r>
    </w:p>
    <w:p w14:paraId="2CE22D0B">
      <w:pPr>
        <w:rPr>
          <w:color w:val="auto"/>
        </w:rPr>
      </w:pPr>
      <w:r>
        <w:rPr>
          <w:rFonts w:hint="eastAsia"/>
          <w:color w:val="auto"/>
        </w:rPr>
        <w:t>t</w:t>
      </w:r>
      <w:r>
        <w:rPr>
          <w:rFonts w:hint="eastAsia"/>
          <w:color w:val="auto"/>
        </w:rPr>
        <w:tab/>
      </w:r>
      <w:r>
        <w:rPr>
          <w:color w:val="auto"/>
        </w:rPr>
        <w:t xml:space="preserve"> </w:t>
      </w:r>
      <w:r>
        <w:rPr>
          <w:rFonts w:hint="eastAsia"/>
          <w:color w:val="auto"/>
        </w:rPr>
        <w:t>：每天工作台班(班)，取t=1.5；</w:t>
      </w:r>
    </w:p>
    <w:p w14:paraId="7BE6C341">
      <w:pPr>
        <w:rPr>
          <w:color w:val="auto"/>
        </w:rPr>
      </w:pPr>
      <w:r>
        <w:rPr>
          <w:rFonts w:hint="eastAsia"/>
          <w:color w:val="auto"/>
        </w:rPr>
        <w:t>K2</w:t>
      </w:r>
      <w:r>
        <w:rPr>
          <w:rFonts w:hint="eastAsia"/>
          <w:color w:val="auto"/>
        </w:rPr>
        <w:tab/>
      </w:r>
      <w:r>
        <w:rPr>
          <w:color w:val="auto"/>
        </w:rPr>
        <w:t xml:space="preserve"> </w:t>
      </w:r>
      <w:r>
        <w:rPr>
          <w:rFonts w:hint="eastAsia"/>
          <w:color w:val="auto"/>
        </w:rPr>
        <w:t>：用水不均衡系数，取K2=1.5，系数选择参见附表二。</w:t>
      </w:r>
    </w:p>
    <w:p w14:paraId="5EDD80A9">
      <w:pPr>
        <w:rPr>
          <w:color w:val="auto"/>
        </w:rPr>
      </w:pPr>
      <w:r>
        <w:rPr>
          <w:rFonts w:hint="eastAsia"/>
          <w:color w:val="auto"/>
        </w:rPr>
        <w:t>代入数据计算，则：</w:t>
      </w:r>
    </w:p>
    <w:p w14:paraId="729DAA89">
      <w:pPr>
        <w:rPr>
          <w:color w:val="auto"/>
        </w:rPr>
      </w:pPr>
      <m:oMathPara>
        <m:oMath>
          <m:sSub>
            <m:sSubPr>
              <m:ctrlPr>
                <w:rPr>
                  <w:rFonts w:ascii="Cambria Math" w:hAnsi="Cambria Math"/>
                  <w:color w:val="auto"/>
                </w:rPr>
              </m:ctrlPr>
            </m:sSubPr>
            <m:e>
              <m:r>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1</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w:rPr>
                  <w:rFonts w:ascii="Cambria Math" w:hAnsi="Cambria Math"/>
                  <w:color w:val="auto"/>
                </w:rPr>
                <m:t>K</m:t>
              </m:r>
              <m:ctrlPr>
                <w:rPr>
                  <w:rFonts w:ascii="Cambria Math" w:hAnsi="Cambria Math"/>
                  <w:color w:val="auto"/>
                </w:rPr>
              </m:ctrlPr>
            </m:e>
            <m:sub>
              <m:r>
                <m:rPr>
                  <m:sty m:val="p"/>
                </m:rPr>
                <w:rPr>
                  <w:rFonts w:ascii="Cambria Math" w:hAnsi="Cambria Math"/>
                  <w:color w:val="auto"/>
                </w:rPr>
                <m:t>1</m:t>
              </m:r>
              <m:ctrlPr>
                <w:rPr>
                  <w:rFonts w:ascii="Cambria Math" w:hAnsi="Cambria Math"/>
                  <w:color w:val="auto"/>
                </w:rPr>
              </m:ctrlPr>
            </m:sub>
          </m:sSub>
          <m:r>
            <m:rPr>
              <m:sty m:val="p"/>
            </m:rPr>
            <w:rPr>
              <w:rFonts w:ascii="Cambria Math" w:hAnsi="Cambria Math"/>
              <w:color w:val="auto"/>
            </w:rPr>
            <m:t>∙</m:t>
          </m:r>
          <m:f>
            <m:fPr>
              <m:ctrlPr>
                <w:rPr>
                  <w:rFonts w:ascii="Cambria Math" w:hAnsi="Cambria Math"/>
                  <w:color w:val="auto"/>
                </w:rPr>
              </m:ctrlPr>
            </m:fPr>
            <m:num>
              <m:nary>
                <m:naryPr>
                  <m:chr m:val="∑"/>
                  <m:limLoc m:val="undOvr"/>
                  <m:subHide m:val="1"/>
                  <m:supHide m:val="1"/>
                  <m:ctrlPr>
                    <w:rPr>
                      <w:rFonts w:ascii="Cambria Math" w:hAnsi="Cambria Math"/>
                      <w:color w:val="auto"/>
                    </w:rPr>
                  </m:ctrlPr>
                </m:naryPr>
                <m:sub>
                  <m:ctrlPr>
                    <w:rPr>
                      <w:rFonts w:ascii="Cambria Math" w:hAnsi="Cambria Math"/>
                      <w:color w:val="auto"/>
                    </w:rPr>
                  </m:ctrlPr>
                </m:sub>
                <m:sup>
                  <m:ctrlPr>
                    <w:rPr>
                      <w:rFonts w:ascii="Cambria Math" w:hAnsi="Cambria Math"/>
                      <w:color w:val="auto"/>
                    </w:rPr>
                  </m:ctrlPr>
                </m:sup>
                <m:e>
                  <m:sSub>
                    <m:sSubPr>
                      <m:ctrlPr>
                        <w:rPr>
                          <w:rFonts w:ascii="Cambria Math" w:hAnsi="Cambria Math"/>
                          <w:color w:val="auto"/>
                        </w:rPr>
                      </m:ctrlPr>
                    </m:sSubPr>
                    <m:e>
                      <m:r>
                        <m:rPr/>
                        <w:rPr>
                          <w:rFonts w:ascii="Cambria Math" w:hAnsi="Cambria Math"/>
                          <w:color w:val="auto"/>
                        </w:rPr>
                        <m:t>Q</m:t>
                      </m:r>
                      <m:ctrlPr>
                        <w:rPr>
                          <w:rFonts w:ascii="Cambria Math" w:hAnsi="Cambria Math"/>
                          <w:color w:val="auto"/>
                        </w:rPr>
                      </m:ctrlPr>
                    </m:e>
                    <m:sub>
                      <m:r>
                        <m:rPr>
                          <m:sty m:val="p"/>
                        </m:rPr>
                        <w:rPr>
                          <w:rFonts w:ascii="Cambria Math" w:hAnsi="Cambria Math"/>
                          <w:color w:val="auto"/>
                        </w:rPr>
                        <m:t>1</m:t>
                      </m:r>
                      <m:ctrlPr>
                        <w:rPr>
                          <w:rFonts w:ascii="Cambria Math" w:hAnsi="Cambria Math"/>
                          <w:color w:val="auto"/>
                        </w:rPr>
                      </m:ctrlPr>
                    </m:sub>
                  </m:sSub>
                  <m:sSub>
                    <m:sSubPr>
                      <m:ctrlPr>
                        <w:rPr>
                          <w:rFonts w:ascii="Cambria Math" w:hAnsi="Cambria Math"/>
                          <w:color w:val="auto"/>
                        </w:rPr>
                      </m:ctrlPr>
                    </m:sSubPr>
                    <m:e>
                      <m:r>
                        <m:rPr>
                          <m:sty m:val="p"/>
                        </m:rPr>
                        <w:rPr>
                          <w:rFonts w:ascii="Cambria Math" w:hAnsi="Cambria Math"/>
                          <w:color w:val="auto"/>
                        </w:rPr>
                        <m:t>∙</m:t>
                      </m:r>
                      <m:r>
                        <m:rPr/>
                        <w:rPr>
                          <w:rFonts w:ascii="Cambria Math" w:hAnsi="Cambria Math"/>
                          <w:color w:val="auto"/>
                        </w:rPr>
                        <m:t>N</m:t>
                      </m:r>
                      <m:ctrlPr>
                        <w:rPr>
                          <w:rFonts w:ascii="Cambria Math" w:hAnsi="Cambria Math"/>
                          <w:color w:val="auto"/>
                        </w:rPr>
                      </m:ctrlPr>
                    </m:e>
                    <m:sub>
                      <m:r>
                        <m:rPr>
                          <m:sty m:val="p"/>
                        </m:rPr>
                        <w:rPr>
                          <w:rFonts w:ascii="Cambria Math" w:hAnsi="Cambria Math"/>
                          <w:color w:val="auto"/>
                        </w:rPr>
                        <m:t>1</m:t>
                      </m:r>
                      <m:ctrlPr>
                        <w:rPr>
                          <w:rFonts w:ascii="Cambria Math" w:hAnsi="Cambria Math"/>
                          <w:color w:val="auto"/>
                        </w:rPr>
                      </m:ctrlPr>
                    </m:sub>
                  </m:sSub>
                  <m:ctrlPr>
                    <w:rPr>
                      <w:rFonts w:ascii="Cambria Math" w:hAnsi="Cambria Math"/>
                      <w:color w:val="auto"/>
                    </w:rPr>
                  </m:ctrlPr>
                </m:e>
              </m:nary>
              <m:ctrlPr>
                <w:rPr>
                  <w:rFonts w:ascii="Cambria Math" w:hAnsi="Cambria Math"/>
                  <w:color w:val="auto"/>
                </w:rPr>
              </m:ctrlPr>
            </m:num>
            <m:den>
              <m:sSub>
                <m:sSubPr>
                  <m:ctrlPr>
                    <w:rPr>
                      <w:rFonts w:ascii="Cambria Math" w:hAnsi="Cambria Math"/>
                      <w:color w:val="auto"/>
                    </w:rPr>
                  </m:ctrlPr>
                </m:sSubPr>
                <m:e>
                  <m:r>
                    <m:rPr/>
                    <w:rPr>
                      <w:rFonts w:ascii="Cambria Math" w:hAnsi="Cambria Math"/>
                      <w:color w:val="auto"/>
                    </w:rPr>
                    <m:t>T</m:t>
                  </m:r>
                  <m:ctrlPr>
                    <w:rPr>
                      <w:rFonts w:ascii="Cambria Math" w:hAnsi="Cambria Math"/>
                      <w:color w:val="auto"/>
                    </w:rPr>
                  </m:ctrlPr>
                </m:e>
                <m:sub>
                  <m:r>
                    <m:rPr>
                      <m:sty m:val="p"/>
                    </m:rPr>
                    <w:rPr>
                      <w:rFonts w:ascii="Cambria Math" w:hAnsi="Cambria Math"/>
                      <w:color w:val="auto"/>
                    </w:rPr>
                    <m:t>1</m:t>
                  </m:r>
                  <m:ctrlPr>
                    <w:rPr>
                      <w:rFonts w:ascii="Cambria Math" w:hAnsi="Cambria Math"/>
                      <w:color w:val="auto"/>
                    </w:rPr>
                  </m:ctrlPr>
                </m:sub>
              </m:sSub>
              <m:r>
                <m:rPr>
                  <m:sty m:val="p"/>
                </m:rPr>
                <w:rPr>
                  <w:rFonts w:ascii="Cambria Math" w:hAnsi="Cambria Math"/>
                  <w:color w:val="auto"/>
                </w:rPr>
                <m:t>∙</m:t>
              </m:r>
              <m:r>
                <m:rPr/>
                <w:rPr>
                  <w:rFonts w:ascii="Cambria Math" w:hAnsi="Cambria Math"/>
                  <w:color w:val="auto"/>
                </w:rPr>
                <m:t>t</m:t>
              </m:r>
              <m:ctrlPr>
                <w:rPr>
                  <w:rFonts w:ascii="Cambria Math" w:hAnsi="Cambria Math"/>
                  <w:color w:val="auto"/>
                </w:rPr>
              </m:ctrlPr>
            </m:den>
          </m:f>
          <m:r>
            <m:rPr>
              <m:sty m:val="p"/>
            </m:rPr>
            <w:rPr>
              <w:rFonts w:ascii="Cambria Math" w:hAnsi="Cambria Math"/>
              <w:color w:val="auto"/>
            </w:rPr>
            <m:t>∙</m:t>
          </m:r>
          <m:f>
            <m:fPr>
              <m:ctrlPr>
                <w:rPr>
                  <w:rFonts w:ascii="Cambria Math" w:hAnsi="Cambria Math"/>
                  <w:color w:val="auto"/>
                </w:rPr>
              </m:ctrlPr>
            </m:fPr>
            <m:num>
              <m:sSub>
                <m:sSubPr>
                  <m:ctrlPr>
                    <w:rPr>
                      <w:rFonts w:ascii="Cambria Math" w:hAnsi="Cambria Math"/>
                      <w:color w:val="auto"/>
                    </w:rPr>
                  </m:ctrlPr>
                </m:sSubPr>
                <m:e>
                  <m:r>
                    <m:rPr/>
                    <w:rPr>
                      <w:rFonts w:ascii="Cambria Math" w:hAnsi="Cambria Math"/>
                      <w:color w:val="auto"/>
                    </w:rPr>
                    <m:t>K</m:t>
                  </m:r>
                  <m:ctrlPr>
                    <w:rPr>
                      <w:rFonts w:ascii="Cambria Math" w:hAnsi="Cambria Math"/>
                      <w:color w:val="auto"/>
                    </w:rPr>
                  </m:ctrlPr>
                </m:e>
                <m:sub>
                  <m:r>
                    <m:rPr>
                      <m:sty m:val="p"/>
                    </m:rPr>
                    <w:rPr>
                      <w:rFonts w:ascii="Cambria Math" w:hAnsi="Cambria Math"/>
                      <w:color w:val="auto"/>
                    </w:rPr>
                    <m:t>2</m:t>
                  </m:r>
                  <m:ctrlPr>
                    <w:rPr>
                      <w:rFonts w:ascii="Cambria Math" w:hAnsi="Cambria Math"/>
                      <w:color w:val="auto"/>
                    </w:rPr>
                  </m:ctrlPr>
                </m:sub>
              </m:sSub>
              <m:ctrlPr>
                <w:rPr>
                  <w:rFonts w:ascii="Cambria Math" w:hAnsi="Cambria Math"/>
                  <w:color w:val="auto"/>
                </w:rPr>
              </m:ctrlPr>
            </m:num>
            <m:den>
              <m:r>
                <m:rPr>
                  <m:sty m:val="p"/>
                </m:rPr>
                <w:rPr>
                  <w:rFonts w:ascii="Cambria Math" w:hAnsi="Cambria Math"/>
                  <w:color w:val="auto"/>
                </w:rPr>
                <m:t>8×3600</m:t>
              </m:r>
              <m:ctrlPr>
                <w:rPr>
                  <w:rFonts w:ascii="Cambria Math" w:hAnsi="Cambria Math"/>
                  <w:color w:val="auto"/>
                </w:rPr>
              </m:ctrlPr>
            </m:den>
          </m:f>
        </m:oMath>
      </m:oMathPara>
    </w:p>
    <w:p w14:paraId="25A42D20">
      <w:pPr>
        <w:rPr>
          <w:color w:val="auto"/>
        </w:rPr>
      </w:pPr>
      <w:r>
        <w:rPr>
          <w:color w:val="auto"/>
        </w:rPr>
        <w:t xml:space="preserve">q1 </w:t>
      </w:r>
      <w:r>
        <w:rPr>
          <w:rFonts w:hint="eastAsia"/>
          <w:color w:val="auto"/>
        </w:rPr>
        <w:t>=</w:t>
      </w:r>
      <w:r>
        <w:rPr>
          <w:color w:val="auto"/>
        </w:rPr>
        <w:t xml:space="preserve"> 6.55</w:t>
      </w:r>
      <w:r>
        <w:rPr>
          <w:rFonts w:hint="eastAsia"/>
          <w:color w:val="auto"/>
        </w:rPr>
        <w:t>（L</w:t>
      </w:r>
      <w:r>
        <w:rPr>
          <w:color w:val="auto"/>
        </w:rPr>
        <w:t>/</w:t>
      </w:r>
      <w:r>
        <w:rPr>
          <w:rFonts w:hint="eastAsia"/>
          <w:color w:val="auto"/>
        </w:rPr>
        <w:t>s）</w:t>
      </w:r>
    </w:p>
    <w:p w14:paraId="2663F912">
      <w:pPr>
        <w:rPr>
          <w:color w:val="auto"/>
        </w:rPr>
      </w:pPr>
      <w:r>
        <w:rPr>
          <w:rFonts w:hint="eastAsia"/>
          <w:color w:val="auto"/>
        </w:rPr>
        <w:object>
          <v:shape id="_x0000_i1025" o:spt="75" type="#_x0000_t75" style="height:36pt;width:352.7pt;" o:ole="t" filled="f" o:preferrelative="t" stroked="f" coordsize="21600,21600">
            <v:path/>
            <v:fill on="f" focussize="0,0"/>
            <v:stroke on="f" joinstyle="miter"/>
            <v:imagedata r:id="rId48" o:title=""/>
            <o:lock v:ext="edit" aspectratio="t"/>
            <w10:wrap type="none"/>
            <w10:anchorlock/>
          </v:shape>
          <o:OLEObject Type="Embed" ProgID="Equation.3" ShapeID="_x0000_i1025" DrawAspect="Content" ObjectID="_1468075725" r:id="rId47">
            <o:LockedField>false</o:LockedField>
          </o:OLEObject>
        </w:object>
      </w:r>
    </w:p>
    <w:p w14:paraId="6456F636">
      <w:pPr>
        <w:rPr>
          <w:color w:val="auto"/>
        </w:rPr>
      </w:pPr>
      <w:bookmarkStart w:id="116" w:name="_Toc482187443"/>
      <w:bookmarkStart w:id="117" w:name="_Toc523939778"/>
      <w:r>
        <w:rPr>
          <w:color w:val="auto"/>
        </w:rPr>
        <w:t>3</w:t>
      </w:r>
      <w:r>
        <w:rPr>
          <w:rFonts w:hint="eastAsia"/>
          <w:color w:val="auto"/>
        </w:rPr>
        <w:t>）现场机械用水水量计算</w:t>
      </w:r>
      <w:bookmarkEnd w:id="116"/>
      <w:bookmarkEnd w:id="117"/>
    </w:p>
    <w:p w14:paraId="77306B2D">
      <w:pPr>
        <w:rPr>
          <w:color w:val="auto"/>
        </w:rPr>
      </w:pPr>
      <w:r>
        <w:rPr>
          <w:rFonts w:hint="eastAsia"/>
          <w:color w:val="auto"/>
        </w:rPr>
        <w:t>现场机械用水水量定额q</w:t>
      </w:r>
      <w:r>
        <w:rPr>
          <w:color w:val="auto"/>
        </w:rPr>
        <w:t>2</w:t>
      </w:r>
    </w:p>
    <w:p w14:paraId="178C9D54">
      <w:pPr>
        <w:ind w:firstLine="420"/>
        <w:rPr>
          <w:color w:val="auto"/>
        </w:rPr>
      </w:pPr>
      <m:oMathPara>
        <m:oMath>
          <m:sSub>
            <m:sSubPr>
              <m:ctrlPr>
                <w:rPr>
                  <w:rFonts w:ascii="Cambria Math" w:hAnsi="Cambria Math" w:cs="Times New Roman"/>
                  <w:i/>
                  <w:color w:val="auto"/>
                  <w:sz w:val="21"/>
                </w:rPr>
              </m:ctrlPr>
            </m:sSubPr>
            <m:e>
              <m:r>
                <m:rPr/>
                <w:rPr>
                  <w:rFonts w:ascii="Cambria Math" w:hAnsi="Cambria Math" w:cs="Times New Roman"/>
                  <w:color w:val="auto"/>
                  <w:sz w:val="21"/>
                </w:rPr>
                <m:t>q</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r>
            <m:rPr/>
            <w:rPr>
              <w:rFonts w:ascii="Cambria Math" w:hAnsi="Cambria Math" w:cs="Times New Roman"/>
              <w:color w:val="auto"/>
              <w:sz w:val="21"/>
            </w:rPr>
            <m:t>=</m:t>
          </m:r>
          <m:sSub>
            <m:sSubPr>
              <m:ctrlPr>
                <w:rPr>
                  <w:rFonts w:ascii="Cambria Math" w:hAnsi="Cambria Math" w:cs="Times New Roman"/>
                  <w:i/>
                  <w:color w:val="auto"/>
                  <w:sz w:val="21"/>
                </w:rPr>
              </m:ctrlPr>
            </m:sSubPr>
            <m:e>
              <m:r>
                <m:rPr/>
                <w:rPr>
                  <w:rFonts w:ascii="Cambria Math" w:hAnsi="Cambria Math" w:cs="Times New Roman"/>
                  <w:color w:val="auto"/>
                  <w:sz w:val="21"/>
                </w:rPr>
                <m:t>K</m:t>
              </m:r>
              <m:ctrlPr>
                <w:rPr>
                  <w:rFonts w:ascii="Cambria Math" w:hAnsi="Cambria Math" w:cs="Times New Roman"/>
                  <w:i/>
                  <w:color w:val="auto"/>
                  <w:sz w:val="21"/>
                </w:rPr>
              </m:ctrlPr>
            </m:e>
            <m:sub>
              <m:r>
                <m:rPr/>
                <w:rPr>
                  <w:rFonts w:ascii="Cambria Math" w:hAnsi="Cambria Math" w:cs="Times New Roman"/>
                  <w:color w:val="auto"/>
                  <w:sz w:val="21"/>
                </w:rPr>
                <m:t>1</m:t>
              </m:r>
              <m:ctrlPr>
                <w:rPr>
                  <w:rFonts w:ascii="Cambria Math" w:hAnsi="Cambria Math" w:cs="Times New Roman"/>
                  <w:i/>
                  <w:color w:val="auto"/>
                  <w:sz w:val="21"/>
                </w:rPr>
              </m:ctrlPr>
            </m:sub>
          </m:sSub>
          <m:r>
            <m:rPr/>
            <w:rPr>
              <w:rFonts w:ascii="Cambria Math" w:hAnsi="Cambria Math" w:cs="Times New Roman"/>
              <w:color w:val="auto"/>
              <w:sz w:val="21"/>
            </w:rPr>
            <m:t>∙</m:t>
          </m:r>
          <m:f>
            <m:fPr>
              <m:ctrlPr>
                <w:rPr>
                  <w:rFonts w:ascii="Cambria Math" w:hAnsi="Cambria Math" w:cs="Times New Roman"/>
                  <w:i/>
                  <w:color w:val="auto"/>
                  <w:sz w:val="21"/>
                </w:rPr>
              </m:ctrlPr>
            </m:fPr>
            <m:num>
              <m:sSub>
                <m:sSubPr>
                  <m:ctrlPr>
                    <w:rPr>
                      <w:rFonts w:ascii="Cambria Math" w:hAnsi="Cambria Math" w:cs="Times New Roman"/>
                      <w:i/>
                      <w:color w:val="auto"/>
                      <w:sz w:val="21"/>
                    </w:rPr>
                  </m:ctrlPr>
                </m:sSubPr>
                <m:e>
                  <m:r>
                    <m:rPr/>
                    <w:rPr>
                      <w:rFonts w:ascii="Cambria Math" w:hAnsi="Cambria Math" w:cs="Times New Roman"/>
                      <w:color w:val="auto"/>
                      <w:sz w:val="21"/>
                    </w:rPr>
                    <m:t>K</m:t>
                  </m:r>
                  <m:ctrlPr>
                    <w:rPr>
                      <w:rFonts w:ascii="Cambria Math" w:hAnsi="Cambria Math" w:cs="Times New Roman"/>
                      <w:i/>
                      <w:color w:val="auto"/>
                      <w:sz w:val="21"/>
                    </w:rPr>
                  </m:ctrlPr>
                </m:e>
                <m:sub>
                  <m:r>
                    <m:rPr/>
                    <w:rPr>
                      <w:rFonts w:ascii="Cambria Math" w:hAnsi="Cambria Math" w:cs="Times New Roman"/>
                      <w:color w:val="auto"/>
                      <w:sz w:val="21"/>
                    </w:rPr>
                    <m:t>3</m:t>
                  </m:r>
                  <m:ctrlPr>
                    <w:rPr>
                      <w:rFonts w:ascii="Cambria Math" w:hAnsi="Cambria Math" w:cs="Times New Roman"/>
                      <w:i/>
                      <w:color w:val="auto"/>
                      <w:sz w:val="21"/>
                    </w:rPr>
                  </m:ctrlPr>
                </m:sub>
              </m:sSub>
              <m:r>
                <m:rPr/>
                <w:rPr>
                  <w:rFonts w:ascii="Cambria Math" w:hAnsi="Cambria Math" w:cs="Times New Roman"/>
                  <w:color w:val="auto"/>
                  <w:sz w:val="21"/>
                </w:rPr>
                <m:t>∙</m:t>
              </m:r>
              <m:nary>
                <m:naryPr>
                  <m:chr m:val="∑"/>
                  <m:limLoc m:val="undOvr"/>
                  <m:subHide m:val="1"/>
                  <m:supHide m:val="1"/>
                  <m:ctrlPr>
                    <w:rPr>
                      <w:rFonts w:ascii="Cambria Math" w:hAnsi="Cambria Math" w:cs="Times New Roman"/>
                      <w:i/>
                      <w:color w:val="auto"/>
                      <w:sz w:val="21"/>
                    </w:rPr>
                  </m:ctrlPr>
                </m:naryPr>
                <m:sub>
                  <m:ctrlPr>
                    <w:rPr>
                      <w:rFonts w:ascii="Cambria Math" w:hAnsi="Cambria Math" w:cs="Times New Roman"/>
                      <w:i/>
                      <w:color w:val="auto"/>
                      <w:sz w:val="21"/>
                    </w:rPr>
                  </m:ctrlPr>
                </m:sub>
                <m:sup>
                  <m:ctrlPr>
                    <w:rPr>
                      <w:rFonts w:ascii="Cambria Math" w:hAnsi="Cambria Math" w:cs="Times New Roman"/>
                      <w:i/>
                      <w:color w:val="auto"/>
                      <w:sz w:val="21"/>
                    </w:rPr>
                  </m:ctrlPr>
                </m:sup>
                <m:e>
                  <m:sSub>
                    <m:sSubPr>
                      <m:ctrlPr>
                        <w:rPr>
                          <w:rFonts w:ascii="Cambria Math" w:hAnsi="Cambria Math" w:cs="Times New Roman"/>
                          <w:i/>
                          <w:color w:val="auto"/>
                          <w:sz w:val="21"/>
                        </w:rPr>
                      </m:ctrlPr>
                    </m:sSubPr>
                    <m:e>
                      <m:r>
                        <m:rPr/>
                        <w:rPr>
                          <w:rFonts w:ascii="Cambria Math" w:hAnsi="Cambria Math" w:cs="Times New Roman"/>
                          <w:color w:val="auto"/>
                          <w:sz w:val="21"/>
                        </w:rPr>
                        <m:t>Q</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sSub>
                    <m:sSubPr>
                      <m:ctrlPr>
                        <w:rPr>
                          <w:rFonts w:ascii="Cambria Math" w:hAnsi="Cambria Math" w:cs="Times New Roman"/>
                          <w:i/>
                          <w:color w:val="auto"/>
                          <w:sz w:val="21"/>
                        </w:rPr>
                      </m:ctrlPr>
                    </m:sSubPr>
                    <m:e>
                      <m:r>
                        <m:rPr/>
                        <w:rPr>
                          <w:rFonts w:ascii="Cambria Math" w:hAnsi="Cambria Math" w:cs="Times New Roman"/>
                          <w:color w:val="auto"/>
                          <w:sz w:val="21"/>
                        </w:rPr>
                        <m:t>∙N</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ctrlPr>
                    <w:rPr>
                      <w:rFonts w:ascii="Cambria Math" w:hAnsi="Cambria Math" w:cs="Times New Roman"/>
                      <w:i/>
                      <w:color w:val="auto"/>
                      <w:sz w:val="21"/>
                    </w:rPr>
                  </m:ctrlPr>
                </m:e>
              </m:nary>
              <m:ctrlPr>
                <w:rPr>
                  <w:rFonts w:ascii="Cambria Math" w:hAnsi="Cambria Math" w:cs="Times New Roman"/>
                  <w:i/>
                  <w:color w:val="auto"/>
                  <w:sz w:val="21"/>
                </w:rPr>
              </m:ctrlPr>
            </m:num>
            <m:den>
              <m:r>
                <m:rPr/>
                <w:rPr>
                  <w:rFonts w:ascii="Cambria Math" w:hAnsi="Cambria Math" w:cs="Times New Roman"/>
                  <w:color w:val="auto"/>
                  <w:sz w:val="21"/>
                </w:rPr>
                <m:t>8×3600</m:t>
              </m:r>
              <m:ctrlPr>
                <w:rPr>
                  <w:rFonts w:ascii="Cambria Math" w:hAnsi="Cambria Math" w:cs="Times New Roman"/>
                  <w:i/>
                  <w:color w:val="auto"/>
                  <w:sz w:val="21"/>
                </w:rPr>
              </m:ctrlPr>
            </m:den>
          </m:f>
        </m:oMath>
      </m:oMathPara>
    </w:p>
    <w:p w14:paraId="087C5C49">
      <w:pPr>
        <w:rPr>
          <w:color w:val="auto"/>
        </w:rPr>
      </w:pPr>
      <w:r>
        <w:rPr>
          <w:rFonts w:hint="eastAsia"/>
          <w:color w:val="auto"/>
        </w:rPr>
        <w:t>其中q2 ：施工机械用水量 (L/s)；</w:t>
      </w:r>
    </w:p>
    <w:p w14:paraId="25ED1BE9">
      <w:pPr>
        <w:rPr>
          <w:color w:val="auto"/>
        </w:rPr>
      </w:pPr>
      <w:r>
        <w:rPr>
          <w:rFonts w:hint="eastAsia"/>
          <w:color w:val="auto"/>
        </w:rPr>
        <w:t>K1 ：未预见的施工用水系数，取K1=1.05；</w:t>
      </w:r>
    </w:p>
    <w:p w14:paraId="145486C0">
      <w:pPr>
        <w:rPr>
          <w:color w:val="auto"/>
        </w:rPr>
      </w:pPr>
      <w:r>
        <w:rPr>
          <w:rFonts w:hint="eastAsia"/>
          <w:color w:val="auto"/>
        </w:rPr>
        <w:t>Q2 ：同一种机械台数(台)，取值参见表3-</w:t>
      </w:r>
      <w:r>
        <w:rPr>
          <w:color w:val="auto"/>
        </w:rPr>
        <w:t>2</w:t>
      </w:r>
      <w:r>
        <w:rPr>
          <w:rFonts w:hint="eastAsia"/>
          <w:color w:val="auto"/>
        </w:rPr>
        <w:t>；</w:t>
      </w:r>
    </w:p>
    <w:p w14:paraId="09C223B5">
      <w:pPr>
        <w:rPr>
          <w:color w:val="auto"/>
        </w:rPr>
      </w:pPr>
      <w:r>
        <w:rPr>
          <w:rFonts w:hint="eastAsia"/>
          <w:color w:val="auto"/>
        </w:rPr>
        <w:t>N2 ：施工机械台班用水定额，取值如下表；</w:t>
      </w:r>
    </w:p>
    <w:p w14:paraId="77E093D1">
      <w:pPr>
        <w:rPr>
          <w:color w:val="auto"/>
        </w:rPr>
      </w:pPr>
      <w:r>
        <w:rPr>
          <w:rFonts w:hint="eastAsia"/>
          <w:color w:val="auto"/>
        </w:rPr>
        <w:t xml:space="preserve">K3 ：施工机械用水不均匀系数，取K3 </w:t>
      </w:r>
      <w:r>
        <w:rPr>
          <w:color w:val="auto"/>
        </w:rPr>
        <w:t>=</w:t>
      </w:r>
      <w:r>
        <w:rPr>
          <w:rFonts w:hint="eastAsia"/>
          <w:color w:val="auto"/>
        </w:rPr>
        <w:t>2.00。</w:t>
      </w:r>
    </w:p>
    <w:p w14:paraId="7D93BA8C">
      <w:pPr>
        <w:rPr>
          <w:color w:val="auto"/>
        </w:rPr>
      </w:pPr>
      <w:r>
        <w:rPr>
          <w:rFonts w:hint="eastAsia"/>
          <w:color w:val="auto"/>
        </w:rPr>
        <w:t>现场无机械用水，则：</w:t>
      </w:r>
    </w:p>
    <w:p w14:paraId="2768965B">
      <w:pPr>
        <w:ind w:firstLine="420"/>
        <w:rPr>
          <w:color w:val="auto"/>
        </w:rPr>
      </w:pPr>
      <m:oMathPara>
        <m:oMath>
          <m:sSub>
            <m:sSubPr>
              <m:ctrlPr>
                <w:rPr>
                  <w:rFonts w:ascii="Cambria Math" w:hAnsi="Cambria Math" w:cs="Times New Roman"/>
                  <w:i/>
                  <w:color w:val="auto"/>
                  <w:sz w:val="21"/>
                </w:rPr>
              </m:ctrlPr>
            </m:sSubPr>
            <m:e>
              <m:r>
                <m:rPr/>
                <w:rPr>
                  <w:rFonts w:ascii="Cambria Math" w:hAnsi="Cambria Math" w:cs="Times New Roman"/>
                  <w:color w:val="auto"/>
                  <w:sz w:val="21"/>
                </w:rPr>
                <m:t>q</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r>
            <m:rPr/>
            <w:rPr>
              <w:rFonts w:ascii="Cambria Math" w:hAnsi="Cambria Math" w:cs="Times New Roman"/>
              <w:color w:val="auto"/>
              <w:sz w:val="21"/>
            </w:rPr>
            <m:t>=</m:t>
          </m:r>
          <m:sSub>
            <m:sSubPr>
              <m:ctrlPr>
                <w:rPr>
                  <w:rFonts w:ascii="Cambria Math" w:hAnsi="Cambria Math" w:cs="Times New Roman"/>
                  <w:i/>
                  <w:color w:val="auto"/>
                  <w:sz w:val="21"/>
                </w:rPr>
              </m:ctrlPr>
            </m:sSubPr>
            <m:e>
              <m:r>
                <m:rPr/>
                <w:rPr>
                  <w:rFonts w:ascii="Cambria Math" w:hAnsi="Cambria Math" w:cs="Times New Roman"/>
                  <w:color w:val="auto"/>
                  <w:sz w:val="21"/>
                </w:rPr>
                <m:t>K</m:t>
              </m:r>
              <m:ctrlPr>
                <w:rPr>
                  <w:rFonts w:ascii="Cambria Math" w:hAnsi="Cambria Math" w:cs="Times New Roman"/>
                  <w:i/>
                  <w:color w:val="auto"/>
                  <w:sz w:val="21"/>
                </w:rPr>
              </m:ctrlPr>
            </m:e>
            <m:sub>
              <m:r>
                <m:rPr/>
                <w:rPr>
                  <w:rFonts w:ascii="Cambria Math" w:hAnsi="Cambria Math" w:cs="Times New Roman"/>
                  <w:color w:val="auto"/>
                  <w:sz w:val="21"/>
                </w:rPr>
                <m:t>1</m:t>
              </m:r>
              <m:ctrlPr>
                <w:rPr>
                  <w:rFonts w:ascii="Cambria Math" w:hAnsi="Cambria Math" w:cs="Times New Roman"/>
                  <w:i/>
                  <w:color w:val="auto"/>
                  <w:sz w:val="21"/>
                </w:rPr>
              </m:ctrlPr>
            </m:sub>
          </m:sSub>
          <m:r>
            <m:rPr/>
            <w:rPr>
              <w:rFonts w:ascii="Cambria Math" w:hAnsi="Cambria Math" w:cs="Times New Roman"/>
              <w:color w:val="auto"/>
              <w:sz w:val="21"/>
            </w:rPr>
            <m:t>∙</m:t>
          </m:r>
          <m:f>
            <m:fPr>
              <m:ctrlPr>
                <w:rPr>
                  <w:rFonts w:ascii="Cambria Math" w:hAnsi="Cambria Math" w:cs="Times New Roman"/>
                  <w:i/>
                  <w:color w:val="auto"/>
                  <w:sz w:val="21"/>
                </w:rPr>
              </m:ctrlPr>
            </m:fPr>
            <m:num>
              <m:sSub>
                <m:sSubPr>
                  <m:ctrlPr>
                    <w:rPr>
                      <w:rFonts w:ascii="Cambria Math" w:hAnsi="Cambria Math" w:cs="Times New Roman"/>
                      <w:i/>
                      <w:color w:val="auto"/>
                      <w:sz w:val="21"/>
                    </w:rPr>
                  </m:ctrlPr>
                </m:sSubPr>
                <m:e>
                  <m:r>
                    <m:rPr/>
                    <w:rPr>
                      <w:rFonts w:ascii="Cambria Math" w:hAnsi="Cambria Math" w:cs="Times New Roman"/>
                      <w:color w:val="auto"/>
                      <w:sz w:val="21"/>
                    </w:rPr>
                    <m:t>K</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r>
                <m:rPr/>
                <w:rPr>
                  <w:rFonts w:ascii="Cambria Math" w:hAnsi="Cambria Math" w:cs="Times New Roman"/>
                  <w:color w:val="auto"/>
                  <w:sz w:val="21"/>
                </w:rPr>
                <m:t>∙</m:t>
              </m:r>
              <m:nary>
                <m:naryPr>
                  <m:chr m:val="∑"/>
                  <m:limLoc m:val="undOvr"/>
                  <m:subHide m:val="1"/>
                  <m:supHide m:val="1"/>
                  <m:ctrlPr>
                    <w:rPr>
                      <w:rFonts w:ascii="Cambria Math" w:hAnsi="Cambria Math" w:cs="Times New Roman"/>
                      <w:i/>
                      <w:color w:val="auto"/>
                      <w:sz w:val="21"/>
                    </w:rPr>
                  </m:ctrlPr>
                </m:naryPr>
                <m:sub>
                  <m:ctrlPr>
                    <w:rPr>
                      <w:rFonts w:ascii="Cambria Math" w:hAnsi="Cambria Math" w:cs="Times New Roman"/>
                      <w:i/>
                      <w:color w:val="auto"/>
                      <w:sz w:val="21"/>
                    </w:rPr>
                  </m:ctrlPr>
                </m:sub>
                <m:sup>
                  <m:ctrlPr>
                    <w:rPr>
                      <w:rFonts w:ascii="Cambria Math" w:hAnsi="Cambria Math" w:cs="Times New Roman"/>
                      <w:i/>
                      <w:color w:val="auto"/>
                      <w:sz w:val="21"/>
                    </w:rPr>
                  </m:ctrlPr>
                </m:sup>
                <m:e>
                  <m:sSub>
                    <m:sSubPr>
                      <m:ctrlPr>
                        <w:rPr>
                          <w:rFonts w:ascii="Cambria Math" w:hAnsi="Cambria Math" w:cs="Times New Roman"/>
                          <w:i/>
                          <w:color w:val="auto"/>
                          <w:sz w:val="21"/>
                        </w:rPr>
                      </m:ctrlPr>
                    </m:sSubPr>
                    <m:e>
                      <m:r>
                        <m:rPr/>
                        <w:rPr>
                          <w:rFonts w:ascii="Cambria Math" w:hAnsi="Cambria Math" w:cs="Times New Roman"/>
                          <w:color w:val="auto"/>
                          <w:sz w:val="21"/>
                        </w:rPr>
                        <m:t>Q</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sSub>
                    <m:sSubPr>
                      <m:ctrlPr>
                        <w:rPr>
                          <w:rFonts w:ascii="Cambria Math" w:hAnsi="Cambria Math" w:cs="Times New Roman"/>
                          <w:i/>
                          <w:color w:val="auto"/>
                          <w:sz w:val="21"/>
                        </w:rPr>
                      </m:ctrlPr>
                    </m:sSubPr>
                    <m:e>
                      <m:r>
                        <m:rPr/>
                        <w:rPr>
                          <w:rFonts w:ascii="Cambria Math" w:hAnsi="Cambria Math" w:cs="Times New Roman"/>
                          <w:color w:val="auto"/>
                          <w:sz w:val="21"/>
                        </w:rPr>
                        <m:t>∙N</m:t>
                      </m:r>
                      <m:ctrlPr>
                        <w:rPr>
                          <w:rFonts w:ascii="Cambria Math" w:hAnsi="Cambria Math" w:cs="Times New Roman"/>
                          <w:i/>
                          <w:color w:val="auto"/>
                          <w:sz w:val="21"/>
                        </w:rPr>
                      </m:ctrlPr>
                    </m:e>
                    <m:sub>
                      <m:r>
                        <m:rPr/>
                        <w:rPr>
                          <w:rFonts w:ascii="Cambria Math" w:hAnsi="Cambria Math" w:cs="Times New Roman"/>
                          <w:color w:val="auto"/>
                          <w:sz w:val="21"/>
                        </w:rPr>
                        <m:t>2</m:t>
                      </m:r>
                      <m:ctrlPr>
                        <w:rPr>
                          <w:rFonts w:ascii="Cambria Math" w:hAnsi="Cambria Math" w:cs="Times New Roman"/>
                          <w:i/>
                          <w:color w:val="auto"/>
                          <w:sz w:val="21"/>
                        </w:rPr>
                      </m:ctrlPr>
                    </m:sub>
                  </m:sSub>
                  <m:ctrlPr>
                    <w:rPr>
                      <w:rFonts w:ascii="Cambria Math" w:hAnsi="Cambria Math" w:cs="Times New Roman"/>
                      <w:i/>
                      <w:color w:val="auto"/>
                      <w:sz w:val="21"/>
                    </w:rPr>
                  </m:ctrlPr>
                </m:e>
              </m:nary>
              <m:ctrlPr>
                <w:rPr>
                  <w:rFonts w:ascii="Cambria Math" w:hAnsi="Cambria Math" w:cs="Times New Roman"/>
                  <w:i/>
                  <w:color w:val="auto"/>
                  <w:sz w:val="21"/>
                </w:rPr>
              </m:ctrlPr>
            </m:num>
            <m:den>
              <m:r>
                <m:rPr/>
                <w:rPr>
                  <w:rFonts w:ascii="Cambria Math" w:hAnsi="Cambria Math" w:cs="Times New Roman"/>
                  <w:color w:val="auto"/>
                  <w:sz w:val="21"/>
                </w:rPr>
                <m:t>8×3600</m:t>
              </m:r>
              <m:ctrlPr>
                <w:rPr>
                  <w:rFonts w:ascii="Cambria Math" w:hAnsi="Cambria Math" w:cs="Times New Roman"/>
                  <w:i/>
                  <w:color w:val="auto"/>
                  <w:sz w:val="21"/>
                </w:rPr>
              </m:ctrlPr>
            </m:den>
          </m:f>
          <m:r>
            <m:rPr/>
            <w:rPr>
              <w:rFonts w:ascii="Cambria Math" w:hAnsi="Cambria Math" w:cs="Times New Roman"/>
              <w:color w:val="auto"/>
              <w:sz w:val="21"/>
            </w:rPr>
            <m:t>=1.05×</m:t>
          </m:r>
          <m:f>
            <m:fPr>
              <m:ctrlPr>
                <w:rPr>
                  <w:rFonts w:ascii="Cambria Math" w:hAnsi="Cambria Math" w:cs="Times New Roman"/>
                  <w:i/>
                  <w:color w:val="auto"/>
                  <w:sz w:val="21"/>
                </w:rPr>
              </m:ctrlPr>
            </m:fPr>
            <m:num>
              <m:r>
                <m:rPr/>
                <w:rPr>
                  <w:rFonts w:ascii="Cambria Math" w:hAnsi="Cambria Math" w:cs="Times New Roman"/>
                  <w:color w:val="auto"/>
                  <w:sz w:val="21"/>
                </w:rPr>
                <m:t>2×</m:t>
              </m:r>
              <m:r>
                <m:rPr/>
                <w:rPr>
                  <w:rFonts w:hint="eastAsia" w:ascii="Cambria Math" w:hAnsi="Cambria Math" w:cs="Times New Roman"/>
                  <w:color w:val="auto"/>
                  <w:sz w:val="21"/>
                </w:rPr>
                <m:t>0</m:t>
              </m:r>
              <m:ctrlPr>
                <w:rPr>
                  <w:rFonts w:ascii="Cambria Math" w:hAnsi="Cambria Math" w:cs="Times New Roman"/>
                  <w:i/>
                  <w:color w:val="auto"/>
                  <w:sz w:val="21"/>
                </w:rPr>
              </m:ctrlPr>
            </m:num>
            <m:den>
              <m:r>
                <m:rPr/>
                <w:rPr>
                  <w:rFonts w:ascii="Cambria Math" w:hAnsi="Cambria Math" w:cs="Times New Roman"/>
                  <w:color w:val="auto"/>
                  <w:sz w:val="21"/>
                </w:rPr>
                <m:t>8×3600</m:t>
              </m:r>
              <m:ctrlPr>
                <w:rPr>
                  <w:rFonts w:ascii="Cambria Math" w:hAnsi="Cambria Math" w:cs="Times New Roman"/>
                  <w:i/>
                  <w:color w:val="auto"/>
                  <w:sz w:val="21"/>
                </w:rPr>
              </m:ctrlPr>
            </m:den>
          </m:f>
          <m:r>
            <m:rPr/>
            <w:rPr>
              <w:rFonts w:ascii="Cambria Math" w:hAnsi="Cambria Math" w:cs="Times New Roman"/>
              <w:color w:val="auto"/>
              <w:sz w:val="21"/>
            </w:rPr>
            <m:t>≈0</m:t>
          </m:r>
          <m:r>
            <m:rPr/>
            <w:rPr>
              <w:rFonts w:hint="eastAsia" w:ascii="Cambria Math" w:hAnsi="Cambria Math" w:cs="Times New Roman"/>
              <w:color w:val="auto"/>
              <w:sz w:val="21"/>
            </w:rPr>
            <m:t>（</m:t>
          </m:r>
          <m:r>
            <m:rPr/>
            <w:rPr>
              <w:rFonts w:ascii="Cambria Math" w:hAnsi="Cambria Math" w:cs="Times New Roman"/>
              <w:color w:val="auto"/>
              <w:sz w:val="21"/>
            </w:rPr>
            <m:t>L/s</m:t>
          </m:r>
          <m:r>
            <m:rPr/>
            <w:rPr>
              <w:rFonts w:hint="eastAsia" w:ascii="Cambria Math" w:hAnsi="Cambria Math" w:cs="Times New Roman"/>
              <w:color w:val="auto"/>
              <w:sz w:val="21"/>
            </w:rPr>
            <m:t>）</m:t>
          </m:r>
        </m:oMath>
      </m:oMathPara>
    </w:p>
    <w:p w14:paraId="725CE085">
      <w:pPr>
        <w:rPr>
          <w:color w:val="auto"/>
        </w:rPr>
      </w:pPr>
      <w:bookmarkStart w:id="118" w:name="_Toc523939779"/>
      <w:bookmarkStart w:id="119" w:name="_Toc482187444"/>
      <w:r>
        <w:rPr>
          <w:color w:val="auto"/>
        </w:rPr>
        <w:t>4</w:t>
      </w:r>
      <w:r>
        <w:rPr>
          <w:rFonts w:hint="eastAsia"/>
          <w:color w:val="auto"/>
        </w:rPr>
        <w:t>）施工现场生活用水水量计算</w:t>
      </w:r>
      <w:bookmarkEnd w:id="118"/>
      <w:bookmarkEnd w:id="119"/>
    </w:p>
    <w:p w14:paraId="701E48BF">
      <w:pPr>
        <w:rPr>
          <w:color w:val="auto"/>
        </w:rPr>
      </w:pPr>
      <w:r>
        <w:rPr>
          <w:rFonts w:hint="eastAsia"/>
          <w:color w:val="auto"/>
        </w:rPr>
        <w:t>施工现场生活用水定额q3</w:t>
      </w:r>
    </w:p>
    <w:p w14:paraId="54D9C018">
      <w:pPr>
        <w:ind w:firstLine="420"/>
        <w:rPr>
          <w:color w:val="auto"/>
        </w:rPr>
      </w:pPr>
      <m:oMathPara>
        <m:oMath>
          <m:sSub>
            <m:sSubPr>
              <m:ctrlPr>
                <w:rPr>
                  <w:rFonts w:ascii="Cambria Math" w:hAnsi="Cambria Math"/>
                  <w:i/>
                  <w:color w:val="auto"/>
                  <w:sz w:val="21"/>
                </w:rPr>
              </m:ctrlPr>
            </m:sSubPr>
            <m:e>
              <m:r>
                <m:rPr/>
                <w:rPr>
                  <w:rFonts w:ascii="Cambria Math" w:hAnsi="Cambria Math"/>
                  <w:color w:val="auto"/>
                  <w:sz w:val="21"/>
                </w:rPr>
                <m:t>q</m:t>
              </m:r>
              <m:ctrlPr>
                <w:rPr>
                  <w:rFonts w:ascii="Cambria Math" w:hAnsi="Cambria Math"/>
                  <w:i/>
                  <w:color w:val="auto"/>
                  <w:sz w:val="21"/>
                </w:rPr>
              </m:ctrlPr>
            </m:e>
            <m:sub>
              <m:r>
                <m:rPr/>
                <w:rPr>
                  <w:rFonts w:ascii="Cambria Math" w:hAnsi="Cambria Math"/>
                  <w:color w:val="auto"/>
                  <w:sz w:val="21"/>
                </w:rPr>
                <m:t>3</m:t>
              </m:r>
              <m:ctrlPr>
                <w:rPr>
                  <w:rFonts w:ascii="Cambria Math" w:hAnsi="Cambria Math"/>
                  <w:i/>
                  <w:color w:val="auto"/>
                  <w:sz w:val="21"/>
                </w:rPr>
              </m:ctrlPr>
            </m:sub>
          </m:sSub>
          <m:r>
            <m:rPr/>
            <w:rPr>
              <w:rFonts w:ascii="Cambria Math" w:hAnsi="Cambria Math"/>
              <w:color w:val="auto"/>
              <w:sz w:val="21"/>
            </w:rPr>
            <m:t>=</m:t>
          </m:r>
          <m:f>
            <m:fPr>
              <m:ctrlPr>
                <w:rPr>
                  <w:rFonts w:ascii="Cambria Math" w:hAnsi="Cambria Math"/>
                  <w:i/>
                  <w:color w:val="auto"/>
                  <w:sz w:val="21"/>
                </w:rPr>
              </m:ctrlPr>
            </m:fPr>
            <m:num>
              <m:sSub>
                <m:sSubPr>
                  <m:ctrlPr>
                    <w:rPr>
                      <w:rFonts w:ascii="Cambria Math" w:hAnsi="Cambria Math"/>
                      <w:i/>
                      <w:color w:val="auto"/>
                      <w:sz w:val="21"/>
                    </w:rPr>
                  </m:ctrlPr>
                </m:sSubPr>
                <m:e>
                  <m:r>
                    <m:rPr/>
                    <w:rPr>
                      <w:rFonts w:ascii="Cambria Math" w:hAnsi="Cambria Math"/>
                      <w:color w:val="auto"/>
                      <w:sz w:val="21"/>
                    </w:rPr>
                    <m:t>K</m:t>
                  </m:r>
                  <m:ctrlPr>
                    <w:rPr>
                      <w:rFonts w:ascii="Cambria Math" w:hAnsi="Cambria Math"/>
                      <w:i/>
                      <w:color w:val="auto"/>
                      <w:sz w:val="21"/>
                    </w:rPr>
                  </m:ctrlPr>
                </m:e>
                <m:sub>
                  <m:r>
                    <m:rPr/>
                    <w:rPr>
                      <w:rFonts w:ascii="Cambria Math" w:hAnsi="Cambria Math"/>
                      <w:color w:val="auto"/>
                      <w:sz w:val="21"/>
                    </w:rPr>
                    <m:t>4</m:t>
                  </m:r>
                  <m:ctrlPr>
                    <w:rPr>
                      <w:rFonts w:ascii="Cambria Math" w:hAnsi="Cambria Math"/>
                      <w:i/>
                      <w:color w:val="auto"/>
                      <w:sz w:val="21"/>
                    </w:rPr>
                  </m:ctrlPr>
                </m:sub>
              </m:sSub>
              <m:sSub>
                <m:sSubPr>
                  <m:ctrlPr>
                    <w:rPr>
                      <w:rFonts w:ascii="Cambria Math" w:hAnsi="Cambria Math"/>
                      <w:i/>
                      <w:color w:val="auto"/>
                      <w:sz w:val="21"/>
                    </w:rPr>
                  </m:ctrlPr>
                </m:sSubPr>
                <m:e>
                  <m:r>
                    <m:rPr/>
                    <w:rPr>
                      <w:rFonts w:ascii="Cambria Math" w:hAnsi="Cambria Math"/>
                      <w:color w:val="auto"/>
                      <w:sz w:val="21"/>
                    </w:rPr>
                    <m:t>P</m:t>
                  </m:r>
                  <m:ctrlPr>
                    <w:rPr>
                      <w:rFonts w:ascii="Cambria Math" w:hAnsi="Cambria Math"/>
                      <w:i/>
                      <w:color w:val="auto"/>
                      <w:sz w:val="21"/>
                    </w:rPr>
                  </m:ctrlPr>
                </m:e>
                <m:sub>
                  <m:r>
                    <m:rPr/>
                    <w:rPr>
                      <w:rFonts w:ascii="Cambria Math" w:hAnsi="Cambria Math"/>
                      <w:color w:val="auto"/>
                      <w:sz w:val="21"/>
                    </w:rPr>
                    <m:t>1</m:t>
                  </m:r>
                  <m:ctrlPr>
                    <w:rPr>
                      <w:rFonts w:ascii="Cambria Math" w:hAnsi="Cambria Math"/>
                      <w:i/>
                      <w:color w:val="auto"/>
                      <w:sz w:val="21"/>
                    </w:rPr>
                  </m:ctrlPr>
                </m:sub>
              </m:sSub>
              <m:sSub>
                <m:sSubPr>
                  <m:ctrlPr>
                    <w:rPr>
                      <w:rFonts w:ascii="Cambria Math" w:hAnsi="Cambria Math"/>
                      <w:i/>
                      <w:color w:val="auto"/>
                      <w:sz w:val="21"/>
                    </w:rPr>
                  </m:ctrlPr>
                </m:sSubPr>
                <m:e>
                  <m:r>
                    <m:rPr/>
                    <w:rPr>
                      <w:rFonts w:ascii="Cambria Math" w:hAnsi="Cambria Math"/>
                      <w:color w:val="auto"/>
                      <w:sz w:val="21"/>
                    </w:rPr>
                    <m:t>N</m:t>
                  </m:r>
                  <m:ctrlPr>
                    <w:rPr>
                      <w:rFonts w:ascii="Cambria Math" w:hAnsi="Cambria Math"/>
                      <w:i/>
                      <w:color w:val="auto"/>
                      <w:sz w:val="21"/>
                    </w:rPr>
                  </m:ctrlPr>
                </m:e>
                <m:sub>
                  <m:r>
                    <m:rPr/>
                    <w:rPr>
                      <w:rFonts w:ascii="Cambria Math" w:hAnsi="Cambria Math"/>
                      <w:color w:val="auto"/>
                      <w:sz w:val="21"/>
                    </w:rPr>
                    <m:t>3</m:t>
                  </m:r>
                  <m:ctrlPr>
                    <w:rPr>
                      <w:rFonts w:ascii="Cambria Math" w:hAnsi="Cambria Math"/>
                      <w:i/>
                      <w:color w:val="auto"/>
                      <w:sz w:val="21"/>
                    </w:rPr>
                  </m:ctrlPr>
                </m:sub>
              </m:sSub>
              <m:ctrlPr>
                <w:rPr>
                  <w:rFonts w:ascii="Cambria Math" w:hAnsi="Cambria Math"/>
                  <w:i/>
                  <w:color w:val="auto"/>
                  <w:sz w:val="21"/>
                </w:rPr>
              </m:ctrlPr>
            </m:num>
            <m:den>
              <m:r>
                <m:rPr/>
                <w:rPr>
                  <w:rFonts w:ascii="Cambria Math" w:hAnsi="Cambria Math"/>
                  <w:color w:val="auto"/>
                  <w:sz w:val="21"/>
                </w:rPr>
                <m:t>b×</m:t>
              </m:r>
              <m:r>
                <m:rPr/>
                <w:rPr>
                  <w:rFonts w:hint="eastAsia" w:ascii="Cambria Math" w:hAnsi="Cambria Math"/>
                  <w:color w:val="auto"/>
                  <w:sz w:val="21"/>
                </w:rPr>
                <m:t>8×3600</m:t>
              </m:r>
              <m:ctrlPr>
                <w:rPr>
                  <w:rFonts w:ascii="Cambria Math" w:hAnsi="Cambria Math"/>
                  <w:i/>
                  <w:color w:val="auto"/>
                  <w:sz w:val="21"/>
                </w:rPr>
              </m:ctrlPr>
            </m:den>
          </m:f>
        </m:oMath>
      </m:oMathPara>
    </w:p>
    <w:p w14:paraId="40AB4A89">
      <w:pPr>
        <w:rPr>
          <w:color w:val="auto"/>
        </w:rPr>
      </w:pPr>
      <w:r>
        <w:rPr>
          <w:color w:val="auto"/>
        </w:rPr>
        <w:t>其中</w:t>
      </w:r>
      <w:r>
        <w:rPr>
          <w:rFonts w:hint="eastAsia"/>
          <w:color w:val="auto"/>
        </w:rPr>
        <w:t>q3</w:t>
      </w:r>
      <w:r>
        <w:rPr>
          <w:color w:val="auto"/>
        </w:rPr>
        <w:t xml:space="preserve"> </w:t>
      </w:r>
      <w:r>
        <w:rPr>
          <w:rFonts w:hint="eastAsia"/>
          <w:color w:val="auto"/>
        </w:rPr>
        <w:t>：施工工地生活用水量(L/s)；</w:t>
      </w:r>
    </w:p>
    <w:p w14:paraId="0657403E">
      <w:pPr>
        <w:rPr>
          <w:color w:val="auto"/>
        </w:rPr>
      </w:pPr>
      <w:r>
        <w:rPr>
          <w:rFonts w:hint="eastAsia"/>
          <w:color w:val="auto"/>
        </w:rPr>
        <w:t>P1</w:t>
      </w:r>
      <w:r>
        <w:rPr>
          <w:color w:val="auto"/>
        </w:rPr>
        <w:t xml:space="preserve"> </w:t>
      </w:r>
      <w:r>
        <w:rPr>
          <w:rFonts w:hint="eastAsia"/>
          <w:color w:val="auto"/>
        </w:rPr>
        <w:t>：施工现场高峰期生活人数，取P1=</w:t>
      </w:r>
      <w:r>
        <w:rPr>
          <w:color w:val="auto"/>
        </w:rPr>
        <w:t>1500</w:t>
      </w:r>
      <w:r>
        <w:rPr>
          <w:rFonts w:hint="eastAsia"/>
          <w:color w:val="auto"/>
        </w:rPr>
        <w:t>人；</w:t>
      </w:r>
    </w:p>
    <w:p w14:paraId="5C482F29">
      <w:pPr>
        <w:rPr>
          <w:color w:val="auto"/>
        </w:rPr>
      </w:pPr>
      <w:r>
        <w:rPr>
          <w:rFonts w:hint="eastAsia"/>
          <w:color w:val="auto"/>
        </w:rPr>
        <w:t>N3</w:t>
      </w:r>
      <w:r>
        <w:rPr>
          <w:color w:val="auto"/>
        </w:rPr>
        <w:t xml:space="preserve"> </w:t>
      </w:r>
      <w:r>
        <w:rPr>
          <w:rFonts w:hint="eastAsia"/>
          <w:color w:val="auto"/>
        </w:rPr>
        <w:t>：施工工地生活用水定额，取值参见表，取N3=40；</w:t>
      </w:r>
    </w:p>
    <w:p w14:paraId="58463147">
      <w:pPr>
        <w:rPr>
          <w:color w:val="auto"/>
        </w:rPr>
      </w:pPr>
      <w:r>
        <w:rPr>
          <w:rFonts w:hint="eastAsia"/>
          <w:color w:val="auto"/>
        </w:rPr>
        <w:t>K4</w:t>
      </w:r>
      <w:r>
        <w:rPr>
          <w:color w:val="auto"/>
        </w:rPr>
        <w:t xml:space="preserve"> </w:t>
      </w:r>
      <w:r>
        <w:rPr>
          <w:rFonts w:hint="eastAsia"/>
          <w:color w:val="auto"/>
        </w:rPr>
        <w:t>：施工工地生活用水不均匀系数，取K4</w:t>
      </w:r>
      <w:r>
        <w:rPr>
          <w:color w:val="auto"/>
        </w:rPr>
        <w:t>=</w:t>
      </w:r>
      <w:r>
        <w:rPr>
          <w:rFonts w:hint="eastAsia"/>
          <w:color w:val="auto"/>
        </w:rPr>
        <w:t>1.40；</w:t>
      </w:r>
    </w:p>
    <w:p w14:paraId="17DD5486">
      <w:pPr>
        <w:rPr>
          <w:color w:val="auto"/>
        </w:rPr>
      </w:pPr>
      <w:r>
        <w:rPr>
          <w:color w:val="auto"/>
        </w:rPr>
        <w:t xml:space="preserve">b </w:t>
      </w:r>
      <w:r>
        <w:rPr>
          <w:rFonts w:hint="eastAsia"/>
          <w:color w:val="auto"/>
        </w:rPr>
        <w:t>：每天工作班数(班)，取b=1.5。</w:t>
      </w:r>
    </w:p>
    <w:p w14:paraId="21006974">
      <w:pPr>
        <w:rPr>
          <w:color w:val="auto"/>
        </w:rPr>
      </w:pPr>
      <w:r>
        <w:rPr>
          <w:rFonts w:hint="eastAsia"/>
          <w:color w:val="auto"/>
        </w:rPr>
        <w:t>代入数据计算，则：</w:t>
      </w:r>
    </w:p>
    <w:p w14:paraId="27DA59A3">
      <w:pPr>
        <w:rPr>
          <w:color w:val="auto"/>
        </w:rPr>
      </w:pPr>
      <w:r>
        <w:rPr>
          <w:rFonts w:hint="eastAsia"/>
          <w:color w:val="auto"/>
        </w:rPr>
        <w:object>
          <v:shape id="_x0000_i1026" o:spt="75" type="#_x0000_t75" style="height:28.7pt;width:237.4pt;" o:ole="t" filled="f" o:preferrelative="t" stroked="f" coordsize="21600,21600">
            <v:path/>
            <v:fill on="f" focussize="0,0"/>
            <v:stroke on="f" joinstyle="miter"/>
            <v:imagedata r:id="rId50" o:title=""/>
            <o:lock v:ext="edit" aspectratio="t"/>
            <w10:wrap type="none"/>
            <w10:anchorlock/>
          </v:shape>
          <o:OLEObject Type="Embed" ProgID="Equation.3" ShapeID="_x0000_i1026" DrawAspect="Content" ObjectID="_1468075726" r:id="rId49">
            <o:LockedField>false</o:LockedField>
          </o:OLEObject>
        </w:object>
      </w:r>
    </w:p>
    <w:p w14:paraId="7EAD9B87">
      <w:pPr>
        <w:rPr>
          <w:color w:val="auto"/>
        </w:rPr>
      </w:pPr>
      <w:bookmarkStart w:id="120" w:name="_Toc482187445"/>
      <w:bookmarkStart w:id="121" w:name="_Toc523939780"/>
      <w:r>
        <w:rPr>
          <w:color w:val="auto"/>
        </w:rPr>
        <w:t>5</w:t>
      </w:r>
      <w:r>
        <w:rPr>
          <w:rFonts w:hint="eastAsia"/>
          <w:color w:val="auto"/>
        </w:rPr>
        <w:t>）生活区用水水量计算</w:t>
      </w:r>
      <w:bookmarkEnd w:id="120"/>
      <w:bookmarkEnd w:id="121"/>
    </w:p>
    <w:p w14:paraId="653477A9">
      <w:pPr>
        <w:rPr>
          <w:color w:val="auto"/>
        </w:rPr>
      </w:pPr>
      <w:r>
        <w:rPr>
          <w:rFonts w:hint="eastAsia"/>
          <w:color w:val="auto"/>
        </w:rPr>
        <w:t>生活区用水水量定额q</w:t>
      </w:r>
      <w:r>
        <w:rPr>
          <w:color w:val="auto"/>
        </w:rPr>
        <w:t>4</w:t>
      </w:r>
    </w:p>
    <w:p w14:paraId="28DF84B5">
      <w:pPr>
        <w:ind w:firstLine="420"/>
        <w:rPr>
          <w:color w:val="auto"/>
        </w:rPr>
      </w:pPr>
      <m:oMathPara>
        <m:oMath>
          <m:sSub>
            <m:sSubPr>
              <m:ctrlPr>
                <w:rPr>
                  <w:rFonts w:ascii="Cambria Math" w:hAnsi="Cambria Math"/>
                  <w:i/>
                  <w:color w:val="auto"/>
                  <w:sz w:val="21"/>
                </w:rPr>
              </m:ctrlPr>
            </m:sSubPr>
            <m:e>
              <m:r>
                <m:rPr/>
                <w:rPr>
                  <w:rFonts w:hint="eastAsia" w:ascii="Cambria Math" w:hAnsi="Cambria Math"/>
                  <w:color w:val="auto"/>
                  <w:sz w:val="21"/>
                </w:rPr>
                <m:t>q</m:t>
              </m:r>
              <m:ctrlPr>
                <w:rPr>
                  <w:rFonts w:ascii="Cambria Math" w:hAnsi="Cambria Math"/>
                  <w:i/>
                  <w:color w:val="auto"/>
                  <w:sz w:val="21"/>
                </w:rPr>
              </m:ctrlPr>
            </m:e>
            <m:sub>
              <m:r>
                <m:rPr/>
                <w:rPr>
                  <w:rFonts w:ascii="Cambria Math" w:hAnsi="Cambria Math"/>
                  <w:color w:val="auto"/>
                  <w:sz w:val="21"/>
                </w:rPr>
                <m:t>4</m:t>
              </m:r>
              <m:ctrlPr>
                <w:rPr>
                  <w:rFonts w:ascii="Cambria Math" w:hAnsi="Cambria Math"/>
                  <w:i/>
                  <w:color w:val="auto"/>
                  <w:sz w:val="21"/>
                </w:rPr>
              </m:ctrlPr>
            </m:sub>
          </m:sSub>
          <m:r>
            <m:rPr/>
            <w:rPr>
              <w:rFonts w:hint="eastAsia" w:ascii="Cambria Math" w:hAnsi="Cambria Math"/>
              <w:color w:val="auto"/>
              <w:sz w:val="21"/>
            </w:rPr>
            <m:t>=</m:t>
          </m:r>
          <m:sSub>
            <m:sSubPr>
              <m:ctrlPr>
                <w:rPr>
                  <w:rFonts w:ascii="Cambria Math" w:hAnsi="Cambria Math"/>
                  <w:i/>
                  <w:color w:val="auto"/>
                  <w:sz w:val="21"/>
                </w:rPr>
              </m:ctrlPr>
            </m:sSubPr>
            <m:e>
              <m:r>
                <m:rPr/>
                <w:rPr>
                  <w:rFonts w:ascii="Cambria Math" w:hAnsi="Cambria Math"/>
                  <w:color w:val="auto"/>
                  <w:sz w:val="21"/>
                </w:rPr>
                <m:t>K</m:t>
              </m:r>
              <m:ctrlPr>
                <w:rPr>
                  <w:rFonts w:ascii="Cambria Math" w:hAnsi="Cambria Math"/>
                  <w:i/>
                  <w:color w:val="auto"/>
                  <w:sz w:val="21"/>
                </w:rPr>
              </m:ctrlPr>
            </m:e>
            <m:sub>
              <m:r>
                <m:rPr/>
                <w:rPr>
                  <w:rFonts w:ascii="Cambria Math" w:hAnsi="Cambria Math"/>
                  <w:color w:val="auto"/>
                  <w:sz w:val="21"/>
                </w:rPr>
                <m:t>5</m:t>
              </m:r>
              <m:ctrlPr>
                <w:rPr>
                  <w:rFonts w:ascii="Cambria Math" w:hAnsi="Cambria Math"/>
                  <w:i/>
                  <w:color w:val="auto"/>
                  <w:sz w:val="21"/>
                </w:rPr>
              </m:ctrlPr>
            </m:sub>
          </m:sSub>
          <m:f>
            <m:fPr>
              <m:ctrlPr>
                <w:rPr>
                  <w:rFonts w:ascii="Cambria Math" w:hAnsi="Cambria Math"/>
                  <w:color w:val="auto"/>
                  <w:sz w:val="21"/>
                </w:rPr>
              </m:ctrlPr>
            </m:fPr>
            <m:num>
              <m:sSub>
                <m:sSubPr>
                  <m:ctrlPr>
                    <w:rPr>
                      <w:rFonts w:ascii="Cambria Math" w:hAnsi="Cambria Math"/>
                      <w:i/>
                      <w:color w:val="auto"/>
                      <w:sz w:val="21"/>
                    </w:rPr>
                  </m:ctrlPr>
                </m:sSubPr>
                <m:e>
                  <m:r>
                    <m:rPr/>
                    <w:rPr>
                      <w:rFonts w:ascii="Cambria Math" w:hAnsi="Cambria Math"/>
                      <w:color w:val="auto"/>
                      <w:sz w:val="21"/>
                    </w:rPr>
                    <m:t>P</m:t>
                  </m:r>
                  <m:ctrlPr>
                    <w:rPr>
                      <w:rFonts w:ascii="Cambria Math" w:hAnsi="Cambria Math"/>
                      <w:i/>
                      <w:color w:val="auto"/>
                      <w:sz w:val="21"/>
                    </w:rPr>
                  </m:ctrlPr>
                </m:e>
                <m:sub>
                  <m:r>
                    <m:rPr/>
                    <w:rPr>
                      <w:rFonts w:ascii="Cambria Math" w:hAnsi="Cambria Math"/>
                      <w:color w:val="auto"/>
                      <w:sz w:val="21"/>
                    </w:rPr>
                    <m:t>2</m:t>
                  </m:r>
                  <m:ctrlPr>
                    <w:rPr>
                      <w:rFonts w:ascii="Cambria Math" w:hAnsi="Cambria Math"/>
                      <w:i/>
                      <w:color w:val="auto"/>
                      <w:sz w:val="21"/>
                    </w:rPr>
                  </m:ctrlPr>
                </m:sub>
              </m:sSub>
              <m:sSub>
                <m:sSubPr>
                  <m:ctrlPr>
                    <w:rPr>
                      <w:rFonts w:ascii="Cambria Math" w:hAnsi="Cambria Math"/>
                      <w:i/>
                      <w:color w:val="auto"/>
                      <w:sz w:val="21"/>
                    </w:rPr>
                  </m:ctrlPr>
                </m:sSubPr>
                <m:e>
                  <m:r>
                    <m:rPr/>
                    <w:rPr>
                      <w:rFonts w:ascii="Cambria Math" w:hAnsi="Cambria Math"/>
                      <w:color w:val="auto"/>
                      <w:sz w:val="21"/>
                    </w:rPr>
                    <m:t>N</m:t>
                  </m:r>
                  <m:ctrlPr>
                    <w:rPr>
                      <w:rFonts w:ascii="Cambria Math" w:hAnsi="Cambria Math"/>
                      <w:i/>
                      <w:color w:val="auto"/>
                      <w:sz w:val="21"/>
                    </w:rPr>
                  </m:ctrlPr>
                </m:e>
                <m:sub>
                  <m:r>
                    <m:rPr/>
                    <w:rPr>
                      <w:rFonts w:ascii="Cambria Math" w:hAnsi="Cambria Math"/>
                      <w:color w:val="auto"/>
                      <w:sz w:val="21"/>
                    </w:rPr>
                    <m:t>4</m:t>
                  </m:r>
                  <m:ctrlPr>
                    <w:rPr>
                      <w:rFonts w:ascii="Cambria Math" w:hAnsi="Cambria Math"/>
                      <w:i/>
                      <w:color w:val="auto"/>
                      <w:sz w:val="21"/>
                    </w:rPr>
                  </m:ctrlPr>
                </m:sub>
              </m:sSub>
              <m:ctrlPr>
                <w:rPr>
                  <w:rFonts w:ascii="Cambria Math" w:hAnsi="Cambria Math"/>
                  <w:color w:val="auto"/>
                  <w:sz w:val="21"/>
                </w:rPr>
              </m:ctrlPr>
            </m:num>
            <m:den>
              <m:r>
                <m:rPr>
                  <m:sty m:val="p"/>
                </m:rPr>
                <w:rPr>
                  <w:rFonts w:ascii="Cambria Math" w:hAnsi="Cambria Math"/>
                  <w:color w:val="auto"/>
                  <w:sz w:val="21"/>
                </w:rPr>
                <m:t>24</m:t>
              </m:r>
              <m:r>
                <m:rPr>
                  <m:sty m:val="p"/>
                </m:rPr>
                <w:rPr>
                  <w:rFonts w:hint="eastAsia" w:ascii="Cambria Math" w:hAnsi="Cambria Math"/>
                  <w:color w:val="auto"/>
                  <w:sz w:val="21"/>
                </w:rPr>
                <m:t>×3600</m:t>
              </m:r>
              <m:ctrlPr>
                <w:rPr>
                  <w:rFonts w:ascii="Cambria Math" w:hAnsi="Cambria Math"/>
                  <w:color w:val="auto"/>
                  <w:sz w:val="21"/>
                </w:rPr>
              </m:ctrlPr>
            </m:den>
          </m:f>
        </m:oMath>
      </m:oMathPara>
    </w:p>
    <w:p w14:paraId="21F2E654">
      <w:pPr>
        <w:rPr>
          <w:color w:val="auto"/>
        </w:rPr>
      </w:pPr>
      <w:r>
        <w:rPr>
          <w:rFonts w:hint="eastAsia"/>
          <w:color w:val="auto"/>
        </w:rPr>
        <w:t>其中q4</w:t>
      </w:r>
      <w:r>
        <w:rPr>
          <w:color w:val="auto"/>
        </w:rPr>
        <w:t xml:space="preserve"> </w:t>
      </w:r>
      <w:r>
        <w:rPr>
          <w:rFonts w:hint="eastAsia"/>
          <w:color w:val="auto"/>
        </w:rPr>
        <w:t>：生活区生活用水量(L/s)；</w:t>
      </w:r>
    </w:p>
    <w:p w14:paraId="7E7ADE6F">
      <w:pPr>
        <w:rPr>
          <w:color w:val="auto"/>
        </w:rPr>
      </w:pPr>
      <w:r>
        <w:rPr>
          <w:rFonts w:hint="eastAsia"/>
          <w:color w:val="auto"/>
        </w:rPr>
        <w:t>P2</w:t>
      </w:r>
      <w:r>
        <w:rPr>
          <w:color w:val="auto"/>
        </w:rPr>
        <w:t xml:space="preserve"> </w:t>
      </w:r>
      <w:r>
        <w:rPr>
          <w:rFonts w:hint="eastAsia"/>
          <w:color w:val="auto"/>
        </w:rPr>
        <w:t>：生活区居住人数，取P2=1500人；</w:t>
      </w:r>
    </w:p>
    <w:p w14:paraId="4AB431D3">
      <w:pPr>
        <w:rPr>
          <w:color w:val="auto"/>
        </w:rPr>
      </w:pPr>
      <w:r>
        <w:rPr>
          <w:rFonts w:hint="eastAsia"/>
          <w:color w:val="auto"/>
        </w:rPr>
        <w:t>N4</w:t>
      </w:r>
      <w:r>
        <w:rPr>
          <w:color w:val="auto"/>
        </w:rPr>
        <w:t xml:space="preserve"> </w:t>
      </w:r>
      <w:r>
        <w:rPr>
          <w:rFonts w:hint="eastAsia"/>
          <w:color w:val="auto"/>
        </w:rPr>
        <w:t>：生活区昼夜全部生活用水定额，</w:t>
      </w:r>
    </w:p>
    <w:p w14:paraId="7DE83BE6">
      <w:pPr>
        <w:rPr>
          <w:color w:val="auto"/>
        </w:rPr>
      </w:pPr>
      <w:r>
        <w:rPr>
          <w:rFonts w:hint="eastAsia"/>
          <w:color w:val="auto"/>
        </w:rPr>
        <w:t>K5</w:t>
      </w:r>
      <w:r>
        <w:rPr>
          <w:color w:val="auto"/>
        </w:rPr>
        <w:t xml:space="preserve"> </w:t>
      </w:r>
      <w:r>
        <w:rPr>
          <w:rFonts w:hint="eastAsia"/>
          <w:color w:val="auto"/>
        </w:rPr>
        <w:t>：生活区生活用水不均匀系数，取K5=2.00。</w:t>
      </w:r>
    </w:p>
    <w:p w14:paraId="514ED500">
      <w:pPr>
        <w:rPr>
          <w:color w:val="auto"/>
        </w:rPr>
      </w:pPr>
      <w:r>
        <w:rPr>
          <w:rFonts w:hint="eastAsia"/>
          <w:color w:val="auto"/>
        </w:rPr>
        <w:t>代入数据计算，则：</w:t>
      </w:r>
    </w:p>
    <w:p w14:paraId="584E30F3">
      <w:pPr>
        <w:rPr>
          <w:color w:val="auto"/>
        </w:rPr>
      </w:pPr>
      <m:oMathPara>
        <m:oMathParaPr>
          <m:jc m:val="center"/>
        </m:oMathParaPr>
        <m:oMath>
          <m:sSub>
            <m:sSubPr>
              <m:ctrlPr>
                <w:rPr>
                  <w:rFonts w:ascii="Cambria Math" w:hAnsi="Cambria Math"/>
                  <w:color w:val="auto"/>
                </w:rPr>
              </m:ctrlPr>
            </m:sSubPr>
            <m:e>
              <m:r>
                <m:rPr/>
                <w:rPr>
                  <w:rFonts w:hint="eastAsia" w:ascii="Cambria Math" w:hAnsi="Cambria Math"/>
                  <w:color w:val="auto"/>
                </w:rPr>
                <m:t>q</m:t>
              </m:r>
              <m:ctrlPr>
                <w:rPr>
                  <w:rFonts w:ascii="Cambria Math" w:hAnsi="Cambria Math"/>
                  <w:color w:val="auto"/>
                </w:rPr>
              </m:ctrlPr>
            </m:e>
            <m:sub>
              <m:r>
                <m:rPr>
                  <m:sty m:val="p"/>
                </m:rPr>
                <w:rPr>
                  <w:rFonts w:ascii="Cambria Math" w:hAnsi="Cambria Math"/>
                  <w:color w:val="auto"/>
                </w:rPr>
                <m:t>4</m:t>
              </m:r>
              <m:ctrlPr>
                <w:rPr>
                  <w:rFonts w:ascii="Cambria Math" w:hAnsi="Cambria Math"/>
                  <w:color w:val="auto"/>
                </w:rPr>
              </m:ctrlPr>
            </m:sub>
          </m:sSub>
          <m:r>
            <m:rPr>
              <m:sty m:val="p"/>
            </m:rPr>
            <w:rPr>
              <w:rFonts w:hint="eastAsia" w:ascii="Cambria Math" w:hAnsi="Cambria Math"/>
              <w:color w:val="auto"/>
            </w:rPr>
            <m:t>=</m:t>
          </m:r>
          <m:sSub>
            <m:sSubPr>
              <m:ctrlPr>
                <w:rPr>
                  <w:rFonts w:ascii="Cambria Math" w:hAnsi="Cambria Math"/>
                  <w:color w:val="auto"/>
                </w:rPr>
              </m:ctrlPr>
            </m:sSubPr>
            <m:e>
              <m:r>
                <m:rPr/>
                <w:rPr>
                  <w:rFonts w:ascii="Cambria Math" w:hAnsi="Cambria Math"/>
                  <w:color w:val="auto"/>
                </w:rPr>
                <m:t>K</m:t>
              </m:r>
              <m:ctrlPr>
                <w:rPr>
                  <w:rFonts w:ascii="Cambria Math" w:hAnsi="Cambria Math"/>
                  <w:color w:val="auto"/>
                </w:rPr>
              </m:ctrlPr>
            </m:e>
            <m:sub>
              <m:r>
                <m:rPr>
                  <m:sty m:val="p"/>
                </m:rPr>
                <w:rPr>
                  <w:rFonts w:ascii="Cambria Math" w:hAnsi="Cambria Math"/>
                  <w:color w:val="auto"/>
                </w:rPr>
                <m:t>5</m:t>
              </m:r>
              <m:ctrlPr>
                <w:rPr>
                  <w:rFonts w:ascii="Cambria Math" w:hAnsi="Cambria Math"/>
                  <w:color w:val="auto"/>
                </w:rPr>
              </m:ctrlPr>
            </m:sub>
          </m:sSub>
          <m:f>
            <m:fPr>
              <m:ctrlPr>
                <w:rPr>
                  <w:rFonts w:ascii="Cambria Math" w:hAnsi="Cambria Math"/>
                  <w:color w:val="auto"/>
                </w:rPr>
              </m:ctrlPr>
            </m:fPr>
            <m:num>
              <m:sSub>
                <m:sSubPr>
                  <m:ctrlPr>
                    <w:rPr>
                      <w:rFonts w:ascii="Cambria Math" w:hAnsi="Cambria Math"/>
                      <w:color w:val="auto"/>
                    </w:rPr>
                  </m:ctrlPr>
                </m:sSubPr>
                <m:e>
                  <m:r>
                    <m:rPr/>
                    <w:rPr>
                      <w:rFonts w:ascii="Cambria Math" w:hAnsi="Cambria Math"/>
                      <w:color w:val="auto"/>
                    </w:rPr>
                    <m:t>P</m:t>
                  </m:r>
                  <m:ctrlPr>
                    <w:rPr>
                      <w:rFonts w:ascii="Cambria Math" w:hAnsi="Cambria Math"/>
                      <w:color w:val="auto"/>
                    </w:rPr>
                  </m:ctrlPr>
                </m:e>
                <m:sub>
                  <m:r>
                    <m:rPr>
                      <m:sty m:val="p"/>
                    </m:rPr>
                    <w:rPr>
                      <w:rFonts w:ascii="Cambria Math" w:hAnsi="Cambria Math"/>
                      <w:color w:val="auto"/>
                    </w:rPr>
                    <m:t>2</m:t>
                  </m:r>
                  <m:ctrlPr>
                    <w:rPr>
                      <w:rFonts w:ascii="Cambria Math" w:hAnsi="Cambria Math"/>
                      <w:color w:val="auto"/>
                    </w:rPr>
                  </m:ctrlPr>
                </m:sub>
              </m:sSub>
              <m:sSub>
                <m:sSubPr>
                  <m:ctrlPr>
                    <w:rPr>
                      <w:rFonts w:ascii="Cambria Math" w:hAnsi="Cambria Math"/>
                      <w:color w:val="auto"/>
                    </w:rPr>
                  </m:ctrlPr>
                </m:sSubPr>
                <m:e>
                  <m:r>
                    <m:rPr/>
                    <w:rPr>
                      <w:rFonts w:ascii="Cambria Math" w:hAnsi="Cambria Math"/>
                      <w:color w:val="auto"/>
                    </w:rPr>
                    <m:t>N</m:t>
                  </m:r>
                  <m:ctrlPr>
                    <w:rPr>
                      <w:rFonts w:ascii="Cambria Math" w:hAnsi="Cambria Math"/>
                      <w:color w:val="auto"/>
                    </w:rPr>
                  </m:ctrlPr>
                </m:e>
                <m:sub>
                  <m:r>
                    <m:rPr>
                      <m:sty m:val="p"/>
                    </m:rPr>
                    <w:rPr>
                      <w:rFonts w:ascii="Cambria Math" w:hAnsi="Cambria Math"/>
                      <w:color w:val="auto"/>
                    </w:rPr>
                    <m:t>4</m:t>
                  </m:r>
                  <m:ctrlPr>
                    <w:rPr>
                      <w:rFonts w:ascii="Cambria Math" w:hAnsi="Cambria Math"/>
                      <w:color w:val="auto"/>
                    </w:rPr>
                  </m:ctrlPr>
                </m:sub>
              </m:sSub>
              <m:ctrlPr>
                <w:rPr>
                  <w:rFonts w:ascii="Cambria Math" w:hAnsi="Cambria Math"/>
                  <w:color w:val="auto"/>
                </w:rPr>
              </m:ctrlPr>
            </m:num>
            <m:den>
              <m:r>
                <m:rPr>
                  <m:sty m:val="p"/>
                </m:rPr>
                <w:rPr>
                  <w:rFonts w:ascii="Cambria Math" w:hAnsi="Cambria Math"/>
                  <w:color w:val="auto"/>
                </w:rPr>
                <m:t>24</m:t>
              </m:r>
              <m:r>
                <m:rPr>
                  <m:sty m:val="p"/>
                </m:rPr>
                <w:rPr>
                  <w:rFonts w:hint="eastAsia" w:ascii="Cambria Math" w:hAnsi="Cambria Math"/>
                  <w:color w:val="auto"/>
                </w:rPr>
                <m:t>×3600</m:t>
              </m:r>
              <m:ctrlPr>
                <w:rPr>
                  <w:rFonts w:ascii="Cambria Math" w:hAnsi="Cambria Math"/>
                  <w:color w:val="auto"/>
                </w:rPr>
              </m:ctrlPr>
            </m:den>
          </m:f>
          <m:r>
            <m:rPr>
              <m:sty m:val="p"/>
            </m:rPr>
            <w:rPr>
              <w:rFonts w:hint="eastAsia" w:ascii="Cambria Math" w:hAnsi="Cambria Math"/>
              <w:color w:val="auto"/>
            </w:rPr>
            <m:t>=</m:t>
          </m:r>
          <m:r>
            <m:rPr>
              <m:sty m:val="p"/>
            </m:rPr>
            <w:rPr>
              <w:rFonts w:ascii="Cambria Math" w:hAnsi="Cambria Math"/>
              <w:color w:val="auto"/>
            </w:rPr>
            <m:t>2×</m:t>
          </m:r>
          <m:f>
            <m:fPr>
              <m:ctrlPr>
                <w:rPr>
                  <w:rFonts w:ascii="Cambria Math" w:hAnsi="Cambria Math"/>
                  <w:color w:val="auto"/>
                </w:rPr>
              </m:ctrlPr>
            </m:fPr>
            <m:num>
              <m:r>
                <m:rPr>
                  <m:sty m:val="p"/>
                </m:rPr>
                <w:rPr>
                  <w:rFonts w:ascii="Cambria Math" w:hAnsi="Cambria Math"/>
                  <w:color w:val="auto"/>
                </w:rPr>
                <m:t>780×215</m:t>
              </m:r>
              <m:ctrlPr>
                <w:rPr>
                  <w:rFonts w:ascii="Cambria Math" w:hAnsi="Cambria Math"/>
                  <w:color w:val="auto"/>
                </w:rPr>
              </m:ctrlPr>
            </m:num>
            <m:den>
              <m:r>
                <m:rPr>
                  <m:sty m:val="p"/>
                </m:rPr>
                <w:rPr>
                  <w:rFonts w:ascii="Cambria Math" w:hAnsi="Cambria Math"/>
                  <w:color w:val="auto"/>
                </w:rPr>
                <m:t>24×3600</m:t>
              </m:r>
              <m:ctrlPr>
                <w:rPr>
                  <w:rFonts w:ascii="Cambria Math" w:hAnsi="Cambria Math"/>
                  <w:color w:val="auto"/>
                </w:rPr>
              </m:ctrlPr>
            </m:den>
          </m:f>
          <m:r>
            <m:rPr>
              <m:sty m:val="p"/>
            </m:rPr>
            <w:rPr>
              <w:rFonts w:ascii="Cambria Math" w:hAnsi="Cambria Math"/>
              <w:color w:val="auto"/>
            </w:rPr>
            <m:t>≈3.88</m:t>
          </m:r>
          <m:r>
            <m:rPr>
              <m:sty m:val="p"/>
            </m:rPr>
            <w:rPr>
              <w:rFonts w:hint="eastAsia" w:ascii="Cambria Math" w:hAnsi="Cambria Math"/>
              <w:color w:val="auto"/>
            </w:rPr>
            <m:t>（</m:t>
          </m:r>
          <m:r>
            <m:rPr/>
            <w:rPr>
              <w:rFonts w:ascii="Cambria Math" w:hAnsi="Cambria Math"/>
              <w:color w:val="auto"/>
            </w:rPr>
            <m:t>L</m:t>
          </m:r>
          <m:r>
            <m:rPr>
              <m:sty m:val="p"/>
            </m:rPr>
            <w:rPr>
              <w:rFonts w:ascii="Cambria Math" w:hAnsi="Cambria Math"/>
              <w:color w:val="auto"/>
            </w:rPr>
            <m:t>/</m:t>
          </m:r>
          <m:r>
            <m:rPr/>
            <w:rPr>
              <w:rFonts w:hint="eastAsia" w:ascii="Cambria Math" w:hAnsi="Cambria Math"/>
              <w:color w:val="auto"/>
            </w:rPr>
            <m:t>s</m:t>
          </m:r>
          <m:r>
            <m:rPr>
              <m:sty m:val="p"/>
            </m:rPr>
            <w:rPr>
              <w:rFonts w:hint="eastAsia" w:ascii="Cambria Math" w:hAnsi="Cambria Math"/>
              <w:color w:val="auto"/>
            </w:rPr>
            <m:t>）</m:t>
          </m:r>
        </m:oMath>
      </m:oMathPara>
    </w:p>
    <w:p w14:paraId="4AB8ACD9">
      <w:pPr>
        <w:rPr>
          <w:color w:val="auto"/>
        </w:rPr>
      </w:pPr>
      <w:bookmarkStart w:id="122" w:name="_Toc523939781"/>
      <w:bookmarkStart w:id="123" w:name="_Toc482187446"/>
      <w:r>
        <w:rPr>
          <w:color w:val="auto"/>
        </w:rPr>
        <w:t>6</w:t>
      </w:r>
      <w:r>
        <w:rPr>
          <w:rFonts w:hint="eastAsia"/>
          <w:color w:val="auto"/>
        </w:rPr>
        <w:t>）消防用水水量计算</w:t>
      </w:r>
      <w:bookmarkEnd w:id="122"/>
      <w:bookmarkEnd w:id="123"/>
    </w:p>
    <w:p w14:paraId="29CBE11E">
      <w:pPr>
        <w:rPr>
          <w:color w:val="auto"/>
        </w:rPr>
      </w:pPr>
      <w:r>
        <w:rPr>
          <w:rFonts w:hint="eastAsia"/>
          <w:color w:val="auto"/>
        </w:rPr>
        <w:t>消防水定额q</w:t>
      </w:r>
      <w:r>
        <w:rPr>
          <w:color w:val="auto"/>
        </w:rPr>
        <w:t>5</w:t>
      </w:r>
    </w:p>
    <w:p w14:paraId="0D87FF0A">
      <w:pPr>
        <w:rPr>
          <w:color w:val="auto"/>
        </w:rPr>
      </w:pPr>
      <w:r>
        <w:rPr>
          <w:rFonts w:hint="eastAsia"/>
          <w:color w:val="auto"/>
        </w:rPr>
        <w:t>依据表3-</w:t>
      </w:r>
      <w:r>
        <w:rPr>
          <w:color w:val="auto"/>
        </w:rPr>
        <w:t>5</w:t>
      </w:r>
      <w:r>
        <w:rPr>
          <w:rFonts w:hint="eastAsia"/>
          <w:color w:val="auto"/>
        </w:rPr>
        <w:t>及居住区人数、施工现场面积，则q</w:t>
      </w:r>
      <w:r>
        <w:rPr>
          <w:color w:val="auto"/>
        </w:rPr>
        <w:t>5</w:t>
      </w:r>
      <w:r>
        <w:rPr>
          <w:rFonts w:hint="eastAsia"/>
          <w:color w:val="auto"/>
        </w:rPr>
        <w:t>=</w:t>
      </w:r>
      <w:r>
        <w:rPr>
          <w:color w:val="auto"/>
        </w:rPr>
        <w:t>1</w:t>
      </w:r>
      <w:r>
        <w:rPr>
          <w:rFonts w:hint="eastAsia"/>
          <w:color w:val="auto"/>
        </w:rPr>
        <w:t>0</w:t>
      </w:r>
      <w:r>
        <w:rPr>
          <w:color w:val="auto"/>
        </w:rPr>
        <w:t xml:space="preserve"> L/</w:t>
      </w:r>
      <w:r>
        <w:rPr>
          <w:rFonts w:hint="eastAsia"/>
          <w:color w:val="auto"/>
        </w:rPr>
        <w:t>s</w:t>
      </w:r>
    </w:p>
    <w:p w14:paraId="354FCC85">
      <w:pPr>
        <w:rPr>
          <w:color w:val="auto"/>
        </w:rPr>
      </w:pPr>
      <w:bookmarkStart w:id="124" w:name="_Toc523939782"/>
      <w:bookmarkStart w:id="125" w:name="_Toc482187447"/>
      <w:bookmarkStart w:id="126" w:name="_Toc523597996"/>
      <w:r>
        <w:rPr>
          <w:color w:val="auto"/>
        </w:rPr>
        <w:t>7 )</w:t>
      </w:r>
      <w:r>
        <w:rPr>
          <w:rFonts w:hint="eastAsia"/>
          <w:color w:val="auto"/>
        </w:rPr>
        <w:t>总用水量计算</w:t>
      </w:r>
      <w:bookmarkEnd w:id="124"/>
      <w:bookmarkEnd w:id="125"/>
      <w:bookmarkEnd w:id="126"/>
    </w:p>
    <w:p w14:paraId="5165D266">
      <w:pPr>
        <w:rPr>
          <w:color w:val="auto"/>
        </w:rPr>
      </w:pPr>
      <w:r>
        <w:rPr>
          <w:rFonts w:hint="eastAsia"/>
          <w:color w:val="auto"/>
        </w:rPr>
        <w:t>（1）当(q1+q2+q3+q4)≤q5时，则Q</w:t>
      </w:r>
      <w:r>
        <w:rPr>
          <w:color w:val="auto"/>
        </w:rPr>
        <w:t xml:space="preserve"> </w:t>
      </w:r>
      <w:r>
        <w:rPr>
          <w:rFonts w:hint="eastAsia"/>
          <w:color w:val="auto"/>
        </w:rPr>
        <w:t>=</w:t>
      </w:r>
      <w:r>
        <w:rPr>
          <w:color w:val="auto"/>
        </w:rPr>
        <w:t xml:space="preserve"> </w:t>
      </w:r>
      <w:r>
        <w:rPr>
          <w:rFonts w:hint="eastAsia"/>
          <w:color w:val="auto"/>
        </w:rPr>
        <w:t>q5+0.5×(q1+q2+q3+q4)</w:t>
      </w:r>
    </w:p>
    <w:p w14:paraId="4A4562DA">
      <w:pPr>
        <w:rPr>
          <w:color w:val="auto"/>
        </w:rPr>
      </w:pPr>
      <w:r>
        <w:rPr>
          <w:rFonts w:hint="eastAsia"/>
          <w:color w:val="auto"/>
        </w:rPr>
        <w:t>（2）当(q1+q2+q3+q4)＞q5时，则Q</w:t>
      </w:r>
      <w:r>
        <w:rPr>
          <w:color w:val="auto"/>
        </w:rPr>
        <w:t xml:space="preserve"> </w:t>
      </w:r>
      <w:r>
        <w:rPr>
          <w:rFonts w:hint="eastAsia"/>
          <w:color w:val="auto"/>
        </w:rPr>
        <w:t>=</w:t>
      </w:r>
      <w:r>
        <w:rPr>
          <w:color w:val="auto"/>
        </w:rPr>
        <w:t xml:space="preserve"> </w:t>
      </w:r>
      <w:r>
        <w:rPr>
          <w:rFonts w:hint="eastAsia"/>
          <w:color w:val="auto"/>
        </w:rPr>
        <w:t>q1+q2+q3+q4</w:t>
      </w:r>
    </w:p>
    <w:p w14:paraId="62EE3031">
      <w:pPr>
        <w:rPr>
          <w:color w:val="auto"/>
        </w:rPr>
      </w:pPr>
      <w:r>
        <w:rPr>
          <w:rFonts w:hint="eastAsia"/>
          <w:color w:val="auto"/>
        </w:rPr>
        <w:t>（3）工地当面积公顷数&lt;5且(q1+q2+q3+q4)&lt;q5时，则Q=1.1q5，</w:t>
      </w:r>
    </w:p>
    <w:p w14:paraId="66BBB053">
      <w:pPr>
        <w:rPr>
          <w:color w:val="auto"/>
        </w:rPr>
      </w:pPr>
      <w:r>
        <w:rPr>
          <w:rFonts w:hint="eastAsia"/>
          <w:color w:val="auto"/>
        </w:rPr>
        <w:t>（4）总用水量应为：</w:t>
      </w:r>
    </w:p>
    <w:p w14:paraId="496848E7">
      <w:pPr>
        <w:rPr>
          <w:color w:val="auto"/>
        </w:rPr>
      </w:pPr>
      <w:r>
        <w:rPr>
          <w:rFonts w:hint="eastAsia"/>
          <w:color w:val="auto"/>
        </w:rPr>
        <w:t>Q=6</w:t>
      </w:r>
      <w:r>
        <w:rPr>
          <w:color w:val="auto"/>
        </w:rPr>
        <w:t>.5</w:t>
      </w:r>
      <w:r>
        <w:rPr>
          <w:rFonts w:hint="eastAsia"/>
          <w:color w:val="auto"/>
        </w:rPr>
        <w:t>5+</w:t>
      </w:r>
      <w:r>
        <w:rPr>
          <w:color w:val="auto"/>
        </w:rPr>
        <w:t>0</w:t>
      </w:r>
      <w:r>
        <w:rPr>
          <w:rFonts w:hint="eastAsia"/>
          <w:color w:val="auto"/>
        </w:rPr>
        <w:t>+</w:t>
      </w:r>
      <w:r>
        <w:rPr>
          <w:color w:val="auto"/>
        </w:rPr>
        <w:t>1.</w:t>
      </w:r>
      <w:r>
        <w:rPr>
          <w:rFonts w:hint="eastAsia"/>
          <w:color w:val="auto"/>
        </w:rPr>
        <w:t>94+7</w:t>
      </w:r>
      <w:r>
        <w:rPr>
          <w:color w:val="auto"/>
        </w:rPr>
        <w:t>.</w:t>
      </w:r>
      <w:r>
        <w:rPr>
          <w:rFonts w:hint="eastAsia"/>
          <w:color w:val="auto"/>
        </w:rPr>
        <w:t>47=15.96(L/s)</w:t>
      </w:r>
    </w:p>
    <w:p w14:paraId="40C19D36">
      <w:pPr>
        <w:rPr>
          <w:color w:val="auto"/>
        </w:rPr>
      </w:pPr>
      <w:r>
        <w:rPr>
          <w:rFonts w:hint="eastAsia"/>
          <w:color w:val="auto"/>
        </w:rPr>
        <w:t>但现场用水管路共分为3个不同的供排水系统，所以供排水管径也分别计算。</w:t>
      </w:r>
    </w:p>
    <w:p w14:paraId="5EB8EB8B">
      <w:pPr>
        <w:rPr>
          <w:color w:val="auto"/>
        </w:rPr>
      </w:pPr>
      <w:bookmarkStart w:id="127" w:name="_Toc523597997"/>
      <w:bookmarkStart w:id="128" w:name="_Toc523939783"/>
      <w:bookmarkStart w:id="129" w:name="_Toc482187451"/>
      <w:r>
        <w:rPr>
          <w:color w:val="auto"/>
        </w:rPr>
        <w:t>8 ).</w:t>
      </w:r>
      <w:r>
        <w:rPr>
          <w:rFonts w:hint="eastAsia"/>
          <w:color w:val="auto"/>
        </w:rPr>
        <w:t>供水管径的选择</w:t>
      </w:r>
      <w:bookmarkEnd w:id="127"/>
      <w:bookmarkEnd w:id="128"/>
      <w:bookmarkEnd w:id="129"/>
    </w:p>
    <w:p w14:paraId="773125E9">
      <w:pPr>
        <w:rPr>
          <w:color w:val="auto"/>
        </w:rPr>
      </w:pPr>
      <w:r>
        <w:rPr>
          <w:rFonts w:hint="eastAsia"/>
          <w:color w:val="auto"/>
        </w:rPr>
        <w:t>（1）施工现场用水管径的选择</w:t>
      </w:r>
    </w:p>
    <w:p w14:paraId="3388437F">
      <w:pPr>
        <w:rPr>
          <w:color w:val="auto"/>
        </w:rPr>
      </w:pPr>
      <w:r>
        <w:rPr>
          <w:rFonts w:hint="eastAsia"/>
          <w:color w:val="auto"/>
        </w:rPr>
        <w:t>根据计算得知q1=6</w:t>
      </w:r>
      <w:r>
        <w:rPr>
          <w:color w:val="auto"/>
        </w:rPr>
        <w:t>.</w:t>
      </w:r>
      <w:r>
        <w:rPr>
          <w:rFonts w:hint="eastAsia"/>
          <w:color w:val="auto"/>
        </w:rPr>
        <w:t>55(L/S)，现场施工用水水泵采用50GDL12-15×2加压形成，根据管径/流速/流量的关系表取ν=1.6m/s则得知</w:t>
      </w:r>
      <w:r>
        <w:rPr>
          <w:rFonts w:hint="eastAsia"/>
          <w:color w:val="auto"/>
        </w:rPr>
        <w:tab/>
      </w:r>
    </w:p>
    <w:p w14:paraId="0D922FB0">
      <w:pPr>
        <w:jc w:val="center"/>
        <w:rPr>
          <w:color w:val="auto"/>
        </w:rPr>
      </w:pPr>
      <w:r>
        <w:rPr>
          <w:rFonts w:hint="eastAsia"/>
          <w:color w:val="auto"/>
        </w:rPr>
        <w:object>
          <v:shape id="_x0000_i1027" o:spt="75" type="#_x0000_t75" style="height:36pt;width:223.3pt;" o:ole="t" filled="f" o:preferrelative="t" stroked="f" coordsize="21600,21600">
            <v:path/>
            <v:fill on="f" focussize="0,0"/>
            <v:stroke on="f" joinstyle="miter"/>
            <v:imagedata r:id="rId52" o:title=""/>
            <o:lock v:ext="edit" aspectratio="t"/>
            <w10:wrap type="none"/>
            <w10:anchorlock/>
          </v:shape>
          <o:OLEObject Type="Embed" ProgID="Equation.3" ShapeID="_x0000_i1027" DrawAspect="Content" ObjectID="_1468075727" r:id="rId51">
            <o:LockedField>false</o:LockedField>
          </o:OLEObject>
        </w:object>
      </w:r>
    </w:p>
    <w:p w14:paraId="3C3C3087">
      <w:pPr>
        <w:rPr>
          <w:color w:val="auto"/>
        </w:rPr>
      </w:pPr>
      <w:r>
        <w:rPr>
          <w:rFonts w:hint="eastAsia"/>
          <w:color w:val="auto"/>
        </w:rPr>
        <w:t>故现场施工用水管径选择DN75mm，配合立式管道加压泵加压供水可以满足施工需要。</w:t>
      </w:r>
    </w:p>
    <w:p w14:paraId="6C1E90B8">
      <w:pPr>
        <w:rPr>
          <w:color w:val="auto"/>
        </w:rPr>
      </w:pPr>
      <w:r>
        <w:rPr>
          <w:rFonts w:hint="eastAsia"/>
          <w:color w:val="auto"/>
        </w:rPr>
        <w:t>（2）现场生活用水管径的选择</w:t>
      </w:r>
    </w:p>
    <w:p w14:paraId="6BA2CF56">
      <w:pPr>
        <w:rPr>
          <w:color w:val="auto"/>
        </w:rPr>
      </w:pPr>
      <w:r>
        <w:rPr>
          <w:rFonts w:hint="eastAsia"/>
          <w:color w:val="auto"/>
        </w:rPr>
        <w:t>现场生活用水根据计算得知q3=1.94(L/S)</w:t>
      </w:r>
    </w:p>
    <w:p w14:paraId="5FF9170B">
      <w:pPr>
        <w:rPr>
          <w:color w:val="auto"/>
        </w:rPr>
      </w:pPr>
      <w:r>
        <w:rPr>
          <w:rFonts w:hint="eastAsia"/>
          <w:color w:val="auto"/>
        </w:rPr>
        <w:t>供水管径计算</w:t>
      </w:r>
    </w:p>
    <w:p w14:paraId="71F5E420">
      <w:pPr>
        <w:jc w:val="center"/>
        <w:rPr>
          <w:color w:val="auto"/>
        </w:rPr>
      </w:pPr>
      <w:r>
        <w:rPr>
          <w:rFonts w:hint="eastAsia"/>
          <w:color w:val="auto"/>
        </w:rPr>
        <w:t>D＝</w:t>
      </w:r>
      <m:oMath>
        <m:rad>
          <m:radPr>
            <m:degHide m:val="1"/>
            <m:ctrlPr>
              <w:rPr>
                <w:rFonts w:ascii="Cambria Math" w:hAnsi="Cambria Math"/>
                <w:color w:val="auto"/>
              </w:rPr>
            </m:ctrlPr>
          </m:radPr>
          <m:deg>
            <m:ctrlPr>
              <w:rPr>
                <w:rFonts w:ascii="Cambria Math" w:hAnsi="Cambria Math"/>
                <w:i/>
                <w:color w:val="auto"/>
              </w:rPr>
            </m:ctrlPr>
          </m:deg>
          <m:e>
            <m:f>
              <m:fPr>
                <m:ctrlPr>
                  <w:rPr>
                    <w:rFonts w:ascii="Cambria Math" w:hAnsi="Cambria Math"/>
                    <w:color w:val="auto"/>
                  </w:rPr>
                </m:ctrlPr>
              </m:fPr>
              <m:num>
                <m:r>
                  <m:rPr>
                    <m:sty m:val="p"/>
                  </m:rPr>
                  <w:rPr>
                    <w:rFonts w:hint="eastAsia" w:ascii="Cambria Math" w:hAnsi="Cambria Math"/>
                    <w:color w:val="auto"/>
                  </w:rPr>
                  <m:t>4Q</m:t>
                </m:r>
                <m:ctrlPr>
                  <w:rPr>
                    <w:rFonts w:ascii="Cambria Math" w:hAnsi="Cambria Math"/>
                    <w:color w:val="auto"/>
                  </w:rPr>
                </m:ctrlPr>
              </m:num>
              <m:den>
                <m:r>
                  <m:rPr>
                    <m:sty m:val="p"/>
                  </m:rPr>
                  <w:rPr>
                    <w:rFonts w:hint="eastAsia" w:ascii="Cambria Math" w:hAnsi="Cambria Math"/>
                    <w:color w:val="auto"/>
                  </w:rPr>
                  <m:t>1000πν</m:t>
                </m:r>
                <m:ctrlPr>
                  <w:rPr>
                    <w:rFonts w:ascii="Cambria Math" w:hAnsi="Cambria Math"/>
                    <w:color w:val="auto"/>
                  </w:rPr>
                </m:ctrlPr>
              </m:den>
            </m:f>
            <m:ctrlPr>
              <w:rPr>
                <w:rFonts w:ascii="Cambria Math" w:hAnsi="Cambria Math"/>
                <w:color w:val="auto"/>
              </w:rPr>
            </m:ctrlPr>
          </m:e>
        </m:rad>
      </m:oMath>
    </w:p>
    <w:p w14:paraId="013D8562">
      <w:pPr>
        <w:rPr>
          <w:color w:val="auto"/>
        </w:rPr>
      </w:pPr>
      <w:r>
        <w:rPr>
          <w:rFonts w:hint="eastAsia"/>
          <w:color w:val="auto"/>
        </w:rPr>
        <w:t xml:space="preserve">     取ν=1.6m/s则</w:t>
      </w:r>
    </w:p>
    <w:p w14:paraId="3032A77E">
      <w:pPr>
        <w:jc w:val="center"/>
        <w:rPr>
          <w:color w:val="auto"/>
        </w:rPr>
      </w:pPr>
      <w:r>
        <w:rPr>
          <w:rFonts w:hint="eastAsia"/>
          <w:color w:val="auto"/>
        </w:rPr>
        <w:t>D＝</w:t>
      </w:r>
      <m:oMath>
        <m:rad>
          <m:radPr>
            <m:degHide m:val="1"/>
            <m:ctrlPr>
              <w:rPr>
                <w:rFonts w:ascii="Cambria Math" w:hAnsi="Cambria Math"/>
                <w:color w:val="auto"/>
              </w:rPr>
            </m:ctrlPr>
          </m:radPr>
          <m:deg>
            <m:ctrlPr>
              <w:rPr>
                <w:rFonts w:ascii="Cambria Math" w:hAnsi="Cambria Math"/>
                <w:i/>
                <w:color w:val="auto"/>
              </w:rPr>
            </m:ctrlPr>
          </m:deg>
          <m:e>
            <m:f>
              <m:fPr>
                <m:ctrlPr>
                  <w:rPr>
                    <w:rFonts w:ascii="Cambria Math" w:hAnsi="Cambria Math"/>
                    <w:color w:val="auto"/>
                  </w:rPr>
                </m:ctrlPr>
              </m:fPr>
              <m:num>
                <m:r>
                  <m:rPr>
                    <m:sty m:val="p"/>
                  </m:rPr>
                  <w:rPr>
                    <w:rFonts w:hint="eastAsia" w:ascii="Cambria Math" w:hAnsi="Cambria Math"/>
                    <w:color w:val="auto"/>
                  </w:rPr>
                  <m:t>4Q</m:t>
                </m:r>
                <m:ctrlPr>
                  <w:rPr>
                    <w:rFonts w:ascii="Cambria Math" w:hAnsi="Cambria Math"/>
                    <w:color w:val="auto"/>
                  </w:rPr>
                </m:ctrlPr>
              </m:num>
              <m:den>
                <m:r>
                  <m:rPr>
                    <m:sty m:val="p"/>
                  </m:rPr>
                  <w:rPr>
                    <w:rFonts w:hint="eastAsia" w:ascii="Cambria Math" w:hAnsi="Cambria Math"/>
                    <w:color w:val="auto"/>
                  </w:rPr>
                  <m:t>1000πν</m:t>
                </m:r>
                <m:ctrlPr>
                  <w:rPr>
                    <w:rFonts w:ascii="Cambria Math" w:hAnsi="Cambria Math"/>
                    <w:color w:val="auto"/>
                  </w:rPr>
                </m:ctrlPr>
              </m:den>
            </m:f>
            <m:ctrlPr>
              <w:rPr>
                <w:rFonts w:ascii="Cambria Math" w:hAnsi="Cambria Math"/>
                <w:color w:val="auto"/>
              </w:rPr>
            </m:ctrlPr>
          </m:e>
        </m:rad>
      </m:oMath>
      <w:r>
        <w:rPr>
          <w:rFonts w:hint="eastAsia"/>
          <w:color w:val="auto"/>
        </w:rPr>
        <w:t>＝</w:t>
      </w:r>
      <w:r>
        <w:rPr>
          <w:rFonts w:hint="eastAsia"/>
          <w:color w:val="auto"/>
        </w:rPr>
        <w:object>
          <v:shape id="_x0000_i1028" o:spt="75" type="#_x0000_t75" style="height:36pt;width:93.4pt;" o:ole="t" filled="f" o:preferrelative="t" stroked="f" coordsize="21600,21600">
            <v:path/>
            <v:fill on="f" focussize="0,0"/>
            <v:stroke on="f" joinstyle="miter"/>
            <v:imagedata r:id="rId54" o:title=""/>
            <o:lock v:ext="edit" aspectratio="t"/>
            <w10:wrap type="none"/>
            <w10:anchorlock/>
          </v:shape>
          <o:OLEObject Type="Embed" ProgID="Equation.3" ShapeID="_x0000_i1028" DrawAspect="Content" ObjectID="_1468075728" r:id="rId53">
            <o:LockedField>false</o:LockedField>
          </o:OLEObject>
        </w:object>
      </w:r>
      <w:r>
        <w:rPr>
          <w:rFonts w:hint="eastAsia"/>
          <w:color w:val="auto"/>
        </w:rPr>
        <w:t>≈0.039m</w:t>
      </w:r>
    </w:p>
    <w:p w14:paraId="22504AAB">
      <w:pPr>
        <w:rPr>
          <w:color w:val="auto"/>
        </w:rPr>
      </w:pPr>
      <w:r>
        <w:rPr>
          <w:rFonts w:hint="eastAsia"/>
          <w:color w:val="auto"/>
        </w:rPr>
        <w:t>故现场生活用水需用DN63mm水管可以满足要求。</w:t>
      </w:r>
    </w:p>
    <w:p w14:paraId="7D4D4272">
      <w:pPr>
        <w:rPr>
          <w:color w:val="auto"/>
        </w:rPr>
      </w:pPr>
      <w:r>
        <w:rPr>
          <w:rFonts w:hint="eastAsia"/>
          <w:color w:val="auto"/>
        </w:rPr>
        <w:t>（3）生活区生活用水管径的选择</w:t>
      </w:r>
    </w:p>
    <w:p w14:paraId="17FAFA14">
      <w:pPr>
        <w:rPr>
          <w:color w:val="auto"/>
        </w:rPr>
      </w:pPr>
      <w:r>
        <w:rPr>
          <w:rFonts w:hint="eastAsia"/>
          <w:color w:val="auto"/>
        </w:rPr>
        <w:t>生活区生活用水根据计算得知q4＝</w:t>
      </w:r>
      <w:r>
        <w:rPr>
          <w:color w:val="auto"/>
        </w:rPr>
        <w:t>3.88</w:t>
      </w:r>
      <w:r>
        <w:rPr>
          <w:rFonts w:hint="eastAsia"/>
          <w:color w:val="auto"/>
        </w:rPr>
        <w:t>(L/S)</w:t>
      </w:r>
    </w:p>
    <w:p w14:paraId="1258874B">
      <w:pPr>
        <w:rPr>
          <w:color w:val="auto"/>
        </w:rPr>
      </w:pPr>
      <w:r>
        <w:rPr>
          <w:rFonts w:hint="eastAsia"/>
          <w:color w:val="auto"/>
        </w:rPr>
        <w:t>供水管径计算</w:t>
      </w:r>
    </w:p>
    <w:p w14:paraId="694AFA4C">
      <w:pPr>
        <w:jc w:val="center"/>
        <w:rPr>
          <w:color w:val="auto"/>
        </w:rPr>
      </w:pPr>
      <w:r>
        <w:rPr>
          <w:rFonts w:hint="eastAsia"/>
          <w:color w:val="auto"/>
        </w:rPr>
        <w:t>D＝</w:t>
      </w:r>
      <m:oMath>
        <m:rad>
          <m:radPr>
            <m:degHide m:val="1"/>
            <m:ctrlPr>
              <w:rPr>
                <w:rFonts w:ascii="Cambria Math" w:hAnsi="Cambria Math"/>
                <w:color w:val="auto"/>
              </w:rPr>
            </m:ctrlPr>
          </m:radPr>
          <m:deg>
            <m:ctrlPr>
              <w:rPr>
                <w:rFonts w:ascii="Cambria Math" w:hAnsi="Cambria Math"/>
                <w:i/>
                <w:color w:val="auto"/>
              </w:rPr>
            </m:ctrlPr>
          </m:deg>
          <m:e>
            <m:f>
              <m:fPr>
                <m:ctrlPr>
                  <w:rPr>
                    <w:rFonts w:ascii="Cambria Math" w:hAnsi="Cambria Math"/>
                    <w:color w:val="auto"/>
                  </w:rPr>
                </m:ctrlPr>
              </m:fPr>
              <m:num>
                <m:r>
                  <m:rPr>
                    <m:sty m:val="p"/>
                  </m:rPr>
                  <w:rPr>
                    <w:rFonts w:hint="eastAsia" w:ascii="Cambria Math" w:hAnsi="Cambria Math"/>
                    <w:color w:val="auto"/>
                  </w:rPr>
                  <m:t>4Q</m:t>
                </m:r>
                <m:ctrlPr>
                  <w:rPr>
                    <w:rFonts w:ascii="Cambria Math" w:hAnsi="Cambria Math"/>
                    <w:color w:val="auto"/>
                  </w:rPr>
                </m:ctrlPr>
              </m:num>
              <m:den>
                <m:r>
                  <m:rPr>
                    <m:sty m:val="p"/>
                  </m:rPr>
                  <w:rPr>
                    <w:rFonts w:hint="eastAsia" w:ascii="Cambria Math" w:hAnsi="Cambria Math"/>
                    <w:color w:val="auto"/>
                  </w:rPr>
                  <m:t>1000πν</m:t>
                </m:r>
                <m:ctrlPr>
                  <w:rPr>
                    <w:rFonts w:ascii="Cambria Math" w:hAnsi="Cambria Math"/>
                    <w:color w:val="auto"/>
                  </w:rPr>
                </m:ctrlPr>
              </m:den>
            </m:f>
            <m:ctrlPr>
              <w:rPr>
                <w:rFonts w:ascii="Cambria Math" w:hAnsi="Cambria Math"/>
                <w:color w:val="auto"/>
              </w:rPr>
            </m:ctrlPr>
          </m:e>
        </m:rad>
      </m:oMath>
    </w:p>
    <w:p w14:paraId="7C711C55">
      <w:pPr>
        <w:rPr>
          <w:color w:val="auto"/>
        </w:rPr>
      </w:pPr>
      <w:r>
        <w:rPr>
          <w:rFonts w:hint="eastAsia"/>
          <w:color w:val="auto"/>
        </w:rPr>
        <w:t xml:space="preserve">     取ν=1.6m/s则</w:t>
      </w:r>
    </w:p>
    <w:p w14:paraId="1A58EA35">
      <w:pPr>
        <w:jc w:val="center"/>
        <w:rPr>
          <w:color w:val="auto"/>
        </w:rPr>
      </w:pPr>
      <w:r>
        <w:rPr>
          <w:rFonts w:hint="eastAsia"/>
          <w:color w:val="auto"/>
        </w:rPr>
        <w:t>D＝</w:t>
      </w:r>
      <m:oMath>
        <m:rad>
          <m:radPr>
            <m:degHide m:val="1"/>
            <m:ctrlPr>
              <w:rPr>
                <w:rFonts w:ascii="Cambria Math" w:hAnsi="Cambria Math"/>
                <w:color w:val="auto"/>
              </w:rPr>
            </m:ctrlPr>
          </m:radPr>
          <m:deg>
            <m:ctrlPr>
              <w:rPr>
                <w:rFonts w:ascii="Cambria Math" w:hAnsi="Cambria Math"/>
                <w:i/>
                <w:color w:val="auto"/>
              </w:rPr>
            </m:ctrlPr>
          </m:deg>
          <m:e>
            <m:f>
              <m:fPr>
                <m:ctrlPr>
                  <w:rPr>
                    <w:rFonts w:ascii="Cambria Math" w:hAnsi="Cambria Math"/>
                    <w:color w:val="auto"/>
                  </w:rPr>
                </m:ctrlPr>
              </m:fPr>
              <m:num>
                <m:r>
                  <m:rPr>
                    <m:sty m:val="p"/>
                  </m:rPr>
                  <w:rPr>
                    <w:rFonts w:hint="eastAsia" w:ascii="Cambria Math" w:hAnsi="Cambria Math"/>
                    <w:color w:val="auto"/>
                  </w:rPr>
                  <m:t>4Q</m:t>
                </m:r>
                <m:ctrlPr>
                  <w:rPr>
                    <w:rFonts w:ascii="Cambria Math" w:hAnsi="Cambria Math"/>
                    <w:color w:val="auto"/>
                  </w:rPr>
                </m:ctrlPr>
              </m:num>
              <m:den>
                <m:r>
                  <m:rPr>
                    <m:sty m:val="p"/>
                  </m:rPr>
                  <w:rPr>
                    <w:rFonts w:hint="eastAsia" w:ascii="Cambria Math" w:hAnsi="Cambria Math"/>
                    <w:color w:val="auto"/>
                  </w:rPr>
                  <m:t>1000πν</m:t>
                </m:r>
                <m:ctrlPr>
                  <w:rPr>
                    <w:rFonts w:ascii="Cambria Math" w:hAnsi="Cambria Math"/>
                    <w:color w:val="auto"/>
                  </w:rPr>
                </m:ctrlPr>
              </m:den>
            </m:f>
            <m:ctrlPr>
              <w:rPr>
                <w:rFonts w:ascii="Cambria Math" w:hAnsi="Cambria Math"/>
                <w:color w:val="auto"/>
              </w:rPr>
            </m:ctrlPr>
          </m:e>
        </m:rad>
      </m:oMath>
      <w:r>
        <w:rPr>
          <w:rFonts w:hint="eastAsia"/>
          <w:color w:val="auto"/>
        </w:rPr>
        <w:t>＝</w:t>
      </w:r>
      <m:oMath>
        <m:rad>
          <m:radPr>
            <m:degHide m:val="1"/>
            <m:ctrlPr>
              <w:rPr>
                <w:rFonts w:ascii="Cambria Math" w:hAnsi="Cambria Math"/>
                <w:color w:val="auto"/>
              </w:rPr>
            </m:ctrlPr>
          </m:radPr>
          <m:deg>
            <m:ctrlPr>
              <w:rPr>
                <w:rFonts w:ascii="Cambria Math" w:hAnsi="Cambria Math"/>
                <w:color w:val="auto"/>
              </w:rPr>
            </m:ctrlPr>
          </m:deg>
          <m:e>
            <m:f>
              <m:fPr>
                <m:ctrlPr>
                  <w:rPr>
                    <w:rFonts w:ascii="Cambria Math" w:hAnsi="Cambria Math"/>
                    <w:i/>
                    <w:color w:val="auto"/>
                  </w:rPr>
                </m:ctrlPr>
              </m:fPr>
              <m:num>
                <m:r>
                  <m:rPr/>
                  <w:rPr>
                    <w:rFonts w:ascii="Cambria Math" w:hAnsi="Cambria Math"/>
                    <w:color w:val="auto"/>
                  </w:rPr>
                  <m:t>4×3.88</m:t>
                </m:r>
                <m:ctrlPr>
                  <w:rPr>
                    <w:rFonts w:ascii="Cambria Math" w:hAnsi="Cambria Math"/>
                    <w:i/>
                    <w:color w:val="auto"/>
                  </w:rPr>
                </m:ctrlPr>
              </m:num>
              <m:den>
                <m:r>
                  <m:rPr/>
                  <w:rPr>
                    <w:rFonts w:ascii="Cambria Math" w:hAnsi="Cambria Math"/>
                    <w:color w:val="auto"/>
                  </w:rPr>
                  <m:t>1000×3.14×1.6</m:t>
                </m:r>
                <m:ctrlPr>
                  <w:rPr>
                    <w:rFonts w:ascii="Cambria Math" w:hAnsi="Cambria Math"/>
                    <w:i/>
                    <w:color w:val="auto"/>
                  </w:rPr>
                </m:ctrlPr>
              </m:den>
            </m:f>
            <m:ctrlPr>
              <w:rPr>
                <w:rFonts w:ascii="Cambria Math" w:hAnsi="Cambria Math"/>
                <w:color w:val="auto"/>
              </w:rPr>
            </m:ctrlPr>
          </m:e>
        </m:rad>
      </m:oMath>
      <w:r>
        <w:rPr>
          <w:rFonts w:hint="eastAsia"/>
          <w:color w:val="auto"/>
        </w:rPr>
        <w:t>≈0.</w:t>
      </w:r>
      <w:r>
        <w:rPr>
          <w:color w:val="auto"/>
        </w:rPr>
        <w:t>56</w:t>
      </w:r>
      <w:r>
        <w:rPr>
          <w:rFonts w:hint="eastAsia"/>
          <w:color w:val="auto"/>
        </w:rPr>
        <w:t>m</w:t>
      </w:r>
    </w:p>
    <w:p w14:paraId="601DBA82">
      <w:pPr>
        <w:rPr>
          <w:color w:val="auto"/>
        </w:rPr>
      </w:pPr>
      <w:r>
        <w:rPr>
          <w:rFonts w:hint="eastAsia"/>
          <w:color w:val="auto"/>
        </w:rPr>
        <w:t>故生活区生活用水需用DN</w:t>
      </w:r>
      <w:r>
        <w:rPr>
          <w:color w:val="auto"/>
        </w:rPr>
        <w:t>63</w:t>
      </w:r>
      <w:r>
        <w:rPr>
          <w:rFonts w:hint="eastAsia"/>
          <w:color w:val="auto"/>
        </w:rPr>
        <w:t>mm水管可以满足要求。</w:t>
      </w:r>
    </w:p>
    <w:p w14:paraId="6F890376">
      <w:pPr>
        <w:rPr>
          <w:color w:val="auto"/>
        </w:rPr>
      </w:pPr>
      <w:r>
        <w:rPr>
          <w:rFonts w:hint="eastAsia"/>
          <w:color w:val="auto"/>
        </w:rPr>
        <w:t>（4）现场消防用水管径的选择</w:t>
      </w:r>
    </w:p>
    <w:p w14:paraId="7656B7D5">
      <w:pPr>
        <w:rPr>
          <w:color w:val="auto"/>
        </w:rPr>
      </w:pPr>
      <w:r>
        <w:rPr>
          <w:rFonts w:hint="eastAsia"/>
          <w:color w:val="auto"/>
        </w:rPr>
        <w:t>根据计算得知q3＝10(L/S)</w:t>
      </w:r>
    </w:p>
    <w:p w14:paraId="77D74ADB">
      <w:pPr>
        <w:jc w:val="center"/>
        <w:rPr>
          <w:color w:val="auto"/>
        </w:rPr>
      </w:pPr>
      <w:r>
        <w:rPr>
          <w:rFonts w:hint="eastAsia"/>
          <w:color w:val="auto"/>
        </w:rPr>
        <w:t>D＝</w:t>
      </w:r>
      <m:oMath>
        <m:rad>
          <m:radPr>
            <m:degHide m:val="1"/>
            <m:ctrlPr>
              <w:rPr>
                <w:rFonts w:ascii="Cambria Math" w:hAnsi="Cambria Math"/>
                <w:color w:val="auto"/>
              </w:rPr>
            </m:ctrlPr>
          </m:radPr>
          <m:deg>
            <m:ctrlPr>
              <w:rPr>
                <w:rFonts w:ascii="Cambria Math" w:hAnsi="Cambria Math"/>
                <w:i/>
                <w:color w:val="auto"/>
              </w:rPr>
            </m:ctrlPr>
          </m:deg>
          <m:e>
            <m:f>
              <m:fPr>
                <m:ctrlPr>
                  <w:rPr>
                    <w:rFonts w:ascii="Cambria Math" w:hAnsi="Cambria Math"/>
                    <w:color w:val="auto"/>
                  </w:rPr>
                </m:ctrlPr>
              </m:fPr>
              <m:num>
                <m:r>
                  <m:rPr>
                    <m:sty m:val="p"/>
                  </m:rPr>
                  <w:rPr>
                    <w:rFonts w:hint="eastAsia" w:ascii="Cambria Math" w:hAnsi="Cambria Math"/>
                    <w:color w:val="auto"/>
                  </w:rPr>
                  <m:t>4Q</m:t>
                </m:r>
                <m:ctrlPr>
                  <w:rPr>
                    <w:rFonts w:ascii="Cambria Math" w:hAnsi="Cambria Math"/>
                    <w:color w:val="auto"/>
                  </w:rPr>
                </m:ctrlPr>
              </m:num>
              <m:den>
                <m:r>
                  <m:rPr>
                    <m:sty m:val="p"/>
                  </m:rPr>
                  <w:rPr>
                    <w:rFonts w:hint="eastAsia" w:ascii="Cambria Math" w:hAnsi="Cambria Math"/>
                    <w:color w:val="auto"/>
                  </w:rPr>
                  <m:t>1000πν</m:t>
                </m:r>
                <m:ctrlPr>
                  <w:rPr>
                    <w:rFonts w:ascii="Cambria Math" w:hAnsi="Cambria Math"/>
                    <w:color w:val="auto"/>
                  </w:rPr>
                </m:ctrlPr>
              </m:den>
            </m:f>
            <m:ctrlPr>
              <w:rPr>
                <w:rFonts w:ascii="Cambria Math" w:hAnsi="Cambria Math"/>
                <w:color w:val="auto"/>
              </w:rPr>
            </m:ctrlPr>
          </m:e>
        </m:rad>
      </m:oMath>
    </w:p>
    <w:p w14:paraId="195FA3BB">
      <w:pPr>
        <w:rPr>
          <w:color w:val="auto"/>
        </w:rPr>
      </w:pPr>
      <w:r>
        <w:rPr>
          <w:rFonts w:hint="eastAsia"/>
          <w:color w:val="auto"/>
        </w:rPr>
        <w:t xml:space="preserve">     取ν=1.6m/s则</w:t>
      </w:r>
    </w:p>
    <w:p w14:paraId="0518ED44">
      <w:pPr>
        <w:jc w:val="center"/>
        <w:rPr>
          <w:color w:val="auto"/>
        </w:rPr>
      </w:pPr>
      <w:r>
        <w:rPr>
          <w:rFonts w:hint="eastAsia"/>
          <w:color w:val="auto"/>
        </w:rPr>
        <w:t>D＝</w:t>
      </w:r>
      <m:oMath>
        <m:rad>
          <m:radPr>
            <m:degHide m:val="1"/>
            <m:ctrlPr>
              <w:rPr>
                <w:rFonts w:ascii="Cambria Math" w:hAnsi="Cambria Math"/>
                <w:color w:val="auto"/>
              </w:rPr>
            </m:ctrlPr>
          </m:radPr>
          <m:deg>
            <m:ctrlPr>
              <w:rPr>
                <w:rFonts w:ascii="Cambria Math" w:hAnsi="Cambria Math"/>
                <w:i/>
                <w:color w:val="auto"/>
              </w:rPr>
            </m:ctrlPr>
          </m:deg>
          <m:e>
            <m:f>
              <m:fPr>
                <m:ctrlPr>
                  <w:rPr>
                    <w:rFonts w:ascii="Cambria Math" w:hAnsi="Cambria Math"/>
                    <w:color w:val="auto"/>
                  </w:rPr>
                </m:ctrlPr>
              </m:fPr>
              <m:num>
                <m:r>
                  <m:rPr>
                    <m:sty m:val="p"/>
                  </m:rPr>
                  <w:rPr>
                    <w:rFonts w:hint="eastAsia" w:ascii="Cambria Math" w:hAnsi="Cambria Math"/>
                    <w:color w:val="auto"/>
                  </w:rPr>
                  <m:t>4Q</m:t>
                </m:r>
                <m:ctrlPr>
                  <w:rPr>
                    <w:rFonts w:ascii="Cambria Math" w:hAnsi="Cambria Math"/>
                    <w:color w:val="auto"/>
                  </w:rPr>
                </m:ctrlPr>
              </m:num>
              <m:den>
                <m:r>
                  <m:rPr>
                    <m:sty m:val="p"/>
                  </m:rPr>
                  <w:rPr>
                    <w:rFonts w:hint="eastAsia" w:ascii="Cambria Math" w:hAnsi="Cambria Math"/>
                    <w:color w:val="auto"/>
                  </w:rPr>
                  <m:t>1000πν</m:t>
                </m:r>
                <m:ctrlPr>
                  <w:rPr>
                    <w:rFonts w:ascii="Cambria Math" w:hAnsi="Cambria Math"/>
                    <w:color w:val="auto"/>
                  </w:rPr>
                </m:ctrlPr>
              </m:den>
            </m:f>
            <m:ctrlPr>
              <w:rPr>
                <w:rFonts w:ascii="Cambria Math" w:hAnsi="Cambria Math"/>
                <w:color w:val="auto"/>
              </w:rPr>
            </m:ctrlPr>
          </m:e>
        </m:rad>
      </m:oMath>
      <w:r>
        <w:rPr>
          <w:rFonts w:hint="eastAsia"/>
          <w:color w:val="auto"/>
        </w:rPr>
        <w:t>＝</w:t>
      </w:r>
      <w:r>
        <w:rPr>
          <w:rFonts w:hint="eastAsia"/>
          <w:color w:val="auto"/>
        </w:rPr>
        <w:object>
          <v:shape id="_x0000_i1029" o:spt="75" type="#_x0000_t75" style="height:36pt;width:93.4pt;" o:ole="t" filled="f" o:preferrelative="t" stroked="f" coordsize="21600,21600">
            <v:path/>
            <v:fill on="f" focussize="0,0"/>
            <v:stroke on="f" joinstyle="miter"/>
            <v:imagedata r:id="rId56" o:title=""/>
            <o:lock v:ext="edit" aspectratio="t"/>
            <w10:wrap type="none"/>
            <w10:anchorlock/>
          </v:shape>
          <o:OLEObject Type="Embed" ProgID="Equation.3" ShapeID="_x0000_i1029" DrawAspect="Content" ObjectID="_1468075729" r:id="rId55">
            <o:LockedField>false</o:LockedField>
          </o:OLEObject>
        </w:object>
      </w:r>
      <w:r>
        <w:rPr>
          <w:rFonts w:hint="eastAsia"/>
          <w:color w:val="auto"/>
        </w:rPr>
        <w:t>≈0.089m</w:t>
      </w:r>
    </w:p>
    <w:p w14:paraId="28530340">
      <w:pPr>
        <w:rPr>
          <w:color w:val="auto"/>
        </w:rPr>
      </w:pPr>
      <w:r>
        <w:rPr>
          <w:rFonts w:hint="eastAsia"/>
          <w:color w:val="auto"/>
        </w:rPr>
        <w:t>故现场消防用水需用DN100mm水管可以满足要求。</w:t>
      </w:r>
    </w:p>
    <w:p w14:paraId="13B074E9">
      <w:pPr>
        <w:pStyle w:val="5"/>
        <w:rPr>
          <w:color w:val="auto"/>
        </w:rPr>
      </w:pPr>
      <w:bookmarkStart w:id="130" w:name="_Toc7200"/>
      <w:r>
        <w:rPr>
          <w:rFonts w:hint="eastAsia"/>
          <w:color w:val="auto"/>
        </w:rPr>
        <w:t>临时用电布置</w:t>
      </w:r>
      <w:bookmarkEnd w:id="130"/>
    </w:p>
    <w:p w14:paraId="7381CD22">
      <w:pPr>
        <w:pStyle w:val="6"/>
        <w:ind w:firstLine="480"/>
        <w:rPr>
          <w:color w:val="auto"/>
        </w:rPr>
      </w:pPr>
      <w:r>
        <w:rPr>
          <w:rFonts w:hint="eastAsia"/>
          <w:color w:val="auto"/>
        </w:rPr>
        <w:t>临时用电总体规划</w:t>
      </w:r>
    </w:p>
    <w:p w14:paraId="55A77DEC">
      <w:pPr>
        <w:rPr>
          <w:color w:val="auto"/>
        </w:rPr>
      </w:pPr>
      <w:r>
        <w:rPr>
          <w:rFonts w:hint="eastAsia"/>
          <w:color w:val="auto"/>
        </w:rPr>
        <w:t>业主提供两台变压器。设在现场东北角的500KVA变压器为一号变压器，现场西南角的500KVA变压器为二号变压器。根据现场的场地情况和负荷分布，同时考虑到实用性和经济性的需要，从一号变压器引出2条线路分别连接1#、2#总配电柜，1#总配电柜位于项目部生活区内，主要用于提供生活区、办公区用电；2#总配电柜主要用于提供施工区用电；</w:t>
      </w:r>
      <w:r>
        <w:rPr>
          <w:color w:val="auto"/>
        </w:rPr>
        <w:t xml:space="preserve"> </w:t>
      </w:r>
    </w:p>
    <w:p w14:paraId="1596A838">
      <w:pPr>
        <w:rPr>
          <w:color w:val="auto"/>
        </w:rPr>
      </w:pPr>
      <w:r>
        <w:rPr>
          <w:rFonts w:hint="eastAsia"/>
          <w:color w:val="auto"/>
        </w:rPr>
        <w:t>从一号变压器引出185mm电缆约140米连接至1#总配电柜，由1#总配引出4个回路。</w:t>
      </w:r>
    </w:p>
    <w:p w14:paraId="4FC02BE2">
      <w:pPr>
        <w:rPr>
          <w:color w:val="auto"/>
        </w:rPr>
      </w:pPr>
      <w:r>
        <w:rPr>
          <w:rFonts w:hint="eastAsia"/>
          <w:color w:val="auto"/>
        </w:rPr>
        <w:t>从一号变压器引出185mm电缆约120米连接至2#总配电柜，由2#总配引出6个回路。</w:t>
      </w:r>
    </w:p>
    <w:p w14:paraId="1A605824">
      <w:pPr>
        <w:rPr>
          <w:color w:val="auto"/>
        </w:rPr>
      </w:pPr>
      <w:r>
        <w:rPr>
          <w:rFonts w:hint="eastAsia"/>
          <w:color w:val="auto"/>
        </w:rPr>
        <w:t>从二号变压器引出150mm电缆约200米连接至3#总配电柜，由3#总配引出6个回路。</w:t>
      </w:r>
    </w:p>
    <w:p w14:paraId="7D222B26">
      <w:pPr>
        <w:rPr>
          <w:color w:val="auto"/>
        </w:rPr>
      </w:pPr>
      <w:r>
        <w:rPr>
          <w:rFonts w:hint="eastAsia"/>
          <w:color w:val="auto"/>
        </w:rPr>
        <w:t>从二号变压器引出185mm电缆约78米连接至4#总配电柜，由4#总配引出6个回路。</w:t>
      </w:r>
    </w:p>
    <w:p w14:paraId="22DE5B59">
      <w:pPr>
        <w:rPr>
          <w:color w:val="auto"/>
        </w:rPr>
      </w:pPr>
      <w:r>
        <w:rPr>
          <w:rFonts w:hint="eastAsia"/>
          <w:color w:val="auto"/>
        </w:rPr>
        <w:t>从二号变压器引出95mm电缆约170米连接至5#总配电柜，由5#总配引出6个回路。</w:t>
      </w:r>
    </w:p>
    <w:p w14:paraId="476339A0">
      <w:pPr>
        <w:pStyle w:val="6"/>
        <w:ind w:firstLine="480"/>
        <w:rPr>
          <w:color w:val="auto"/>
        </w:rPr>
      </w:pPr>
      <w:r>
        <w:rPr>
          <w:rFonts w:hint="eastAsia"/>
          <w:color w:val="auto"/>
        </w:rPr>
        <w:t>施工现场用电统计</w:t>
      </w:r>
    </w:p>
    <w:p w14:paraId="44A6963A">
      <w:pPr>
        <w:rPr>
          <w:color w:val="auto"/>
        </w:rPr>
      </w:pPr>
      <w:r>
        <w:rPr>
          <w:rFonts w:hint="eastAsia"/>
          <w:color w:val="auto"/>
        </w:rPr>
        <w:t>本工程现场临时用电按照用电高峰期进行统计，具体详见施工现场用电设备统计表。</w:t>
      </w:r>
    </w:p>
    <w:p w14:paraId="45DE0683">
      <w:pPr>
        <w:pStyle w:val="54"/>
        <w:rPr>
          <w:color w:val="auto"/>
        </w:rPr>
      </w:pPr>
      <w:r>
        <w:rPr>
          <w:rFonts w:hint="eastAsia"/>
          <w:color w:val="auto"/>
        </w:rPr>
        <w:t>施工现场用电设备统计表</w:t>
      </w:r>
    </w:p>
    <w:tbl>
      <w:tblPr>
        <w:tblStyle w:val="29"/>
        <w:tblW w:w="9229" w:type="dxa"/>
        <w:tblInd w:w="93" w:type="dxa"/>
        <w:tblLayout w:type="fixed"/>
        <w:tblCellMar>
          <w:top w:w="0" w:type="dxa"/>
          <w:left w:w="108" w:type="dxa"/>
          <w:bottom w:w="0" w:type="dxa"/>
          <w:right w:w="108" w:type="dxa"/>
        </w:tblCellMar>
      </w:tblPr>
      <w:tblGrid>
        <w:gridCol w:w="724"/>
        <w:gridCol w:w="1559"/>
        <w:gridCol w:w="1276"/>
        <w:gridCol w:w="851"/>
        <w:gridCol w:w="850"/>
        <w:gridCol w:w="1276"/>
        <w:gridCol w:w="1559"/>
        <w:gridCol w:w="1134"/>
      </w:tblGrid>
      <w:tr w14:paraId="07C75451">
        <w:tblPrEx>
          <w:tblCellMar>
            <w:top w:w="0" w:type="dxa"/>
            <w:left w:w="108" w:type="dxa"/>
            <w:bottom w:w="0" w:type="dxa"/>
            <w:right w:w="108" w:type="dxa"/>
          </w:tblCellMar>
        </w:tblPrEx>
        <w:trPr>
          <w:trHeight w:val="499" w:hRule="atLeast"/>
        </w:trPr>
        <w:tc>
          <w:tcPr>
            <w:tcW w:w="9229" w:type="dxa"/>
            <w:gridSpan w:val="8"/>
            <w:tcBorders>
              <w:top w:val="nil"/>
              <w:left w:val="nil"/>
              <w:bottom w:val="single" w:color="auto" w:sz="4" w:space="0"/>
              <w:right w:val="nil"/>
            </w:tcBorders>
            <w:vAlign w:val="center"/>
          </w:tcPr>
          <w:p w14:paraId="71ACA874">
            <w:pPr>
              <w:pStyle w:val="45"/>
              <w:rPr>
                <w:rFonts w:hint="eastAsia"/>
                <w:color w:val="auto"/>
              </w:rPr>
            </w:pPr>
            <w:r>
              <w:rPr>
                <w:rFonts w:hint="eastAsia"/>
                <w:color w:val="auto"/>
              </w:rPr>
              <w:t>总负荷模板</w:t>
            </w:r>
          </w:p>
        </w:tc>
      </w:tr>
      <w:tr w14:paraId="0526AA22">
        <w:tblPrEx>
          <w:tblCellMar>
            <w:top w:w="0" w:type="dxa"/>
            <w:left w:w="108" w:type="dxa"/>
            <w:bottom w:w="0" w:type="dxa"/>
            <w:right w:w="108" w:type="dxa"/>
          </w:tblCellMar>
        </w:tblPrEx>
        <w:trPr>
          <w:trHeight w:val="285" w:hRule="atLeast"/>
        </w:trPr>
        <w:tc>
          <w:tcPr>
            <w:tcW w:w="724" w:type="dxa"/>
            <w:vMerge w:val="restart"/>
            <w:tcBorders>
              <w:top w:val="nil"/>
              <w:left w:val="single" w:color="auto" w:sz="4" w:space="0"/>
              <w:bottom w:val="single" w:color="auto" w:sz="4" w:space="0"/>
              <w:right w:val="single" w:color="auto" w:sz="4" w:space="0"/>
            </w:tcBorders>
            <w:shd w:val="clear" w:color="auto" w:fill="FFFFFF"/>
            <w:vAlign w:val="center"/>
          </w:tcPr>
          <w:p w14:paraId="04FA69BE">
            <w:pPr>
              <w:pStyle w:val="45"/>
              <w:rPr>
                <w:rFonts w:hint="eastAsia"/>
                <w:color w:val="auto"/>
              </w:rPr>
            </w:pPr>
            <w:r>
              <w:rPr>
                <w:rFonts w:hint="eastAsia"/>
                <w:color w:val="auto"/>
              </w:rPr>
              <w:t>序号</w:t>
            </w:r>
          </w:p>
        </w:tc>
        <w:tc>
          <w:tcPr>
            <w:tcW w:w="1559" w:type="dxa"/>
            <w:vMerge w:val="restart"/>
            <w:tcBorders>
              <w:top w:val="nil"/>
              <w:left w:val="single" w:color="auto" w:sz="4" w:space="0"/>
              <w:bottom w:val="single" w:color="auto" w:sz="4" w:space="0"/>
              <w:right w:val="single" w:color="auto" w:sz="4" w:space="0"/>
            </w:tcBorders>
            <w:shd w:val="clear" w:color="auto" w:fill="FFFFFF"/>
            <w:vAlign w:val="center"/>
          </w:tcPr>
          <w:p w14:paraId="15B747FC">
            <w:pPr>
              <w:pStyle w:val="45"/>
              <w:rPr>
                <w:rFonts w:hint="eastAsia"/>
                <w:color w:val="auto"/>
              </w:rPr>
            </w:pPr>
            <w:r>
              <w:rPr>
                <w:rFonts w:hint="eastAsia"/>
                <w:color w:val="auto"/>
              </w:rPr>
              <w:t>设备名称</w:t>
            </w:r>
          </w:p>
        </w:tc>
        <w:tc>
          <w:tcPr>
            <w:tcW w:w="1276" w:type="dxa"/>
            <w:vMerge w:val="restart"/>
            <w:tcBorders>
              <w:top w:val="nil"/>
              <w:left w:val="single" w:color="auto" w:sz="4" w:space="0"/>
              <w:bottom w:val="single" w:color="auto" w:sz="4" w:space="0"/>
              <w:right w:val="single" w:color="auto" w:sz="4" w:space="0"/>
            </w:tcBorders>
            <w:shd w:val="clear" w:color="auto" w:fill="FFFFFF"/>
            <w:vAlign w:val="center"/>
          </w:tcPr>
          <w:p w14:paraId="33515D99">
            <w:pPr>
              <w:pStyle w:val="45"/>
              <w:rPr>
                <w:rFonts w:hint="eastAsia"/>
                <w:color w:val="auto"/>
              </w:rPr>
            </w:pPr>
            <w:r>
              <w:rPr>
                <w:rFonts w:hint="eastAsia"/>
                <w:color w:val="auto"/>
              </w:rPr>
              <w:t>规格型号</w:t>
            </w:r>
          </w:p>
        </w:tc>
        <w:tc>
          <w:tcPr>
            <w:tcW w:w="851" w:type="dxa"/>
            <w:vMerge w:val="restart"/>
            <w:tcBorders>
              <w:top w:val="nil"/>
              <w:left w:val="single" w:color="auto" w:sz="4" w:space="0"/>
              <w:bottom w:val="single" w:color="auto" w:sz="4" w:space="0"/>
              <w:right w:val="single" w:color="auto" w:sz="4" w:space="0"/>
            </w:tcBorders>
            <w:shd w:val="clear" w:color="auto" w:fill="FFFFFF"/>
            <w:vAlign w:val="center"/>
          </w:tcPr>
          <w:p w14:paraId="53808242">
            <w:pPr>
              <w:pStyle w:val="45"/>
              <w:rPr>
                <w:rFonts w:hint="eastAsia"/>
                <w:color w:val="auto"/>
              </w:rPr>
            </w:pPr>
            <w:r>
              <w:rPr>
                <w:rFonts w:hint="eastAsia"/>
                <w:color w:val="auto"/>
              </w:rPr>
              <w:t>单位</w:t>
            </w:r>
          </w:p>
        </w:tc>
        <w:tc>
          <w:tcPr>
            <w:tcW w:w="850" w:type="dxa"/>
            <w:vMerge w:val="restart"/>
            <w:tcBorders>
              <w:top w:val="nil"/>
              <w:left w:val="single" w:color="auto" w:sz="4" w:space="0"/>
              <w:bottom w:val="single" w:color="auto" w:sz="4" w:space="0"/>
              <w:right w:val="single" w:color="auto" w:sz="4" w:space="0"/>
            </w:tcBorders>
            <w:shd w:val="clear" w:color="auto" w:fill="FFFFFF"/>
            <w:vAlign w:val="center"/>
          </w:tcPr>
          <w:p w14:paraId="0412095A">
            <w:pPr>
              <w:pStyle w:val="45"/>
              <w:rPr>
                <w:rFonts w:hint="eastAsia"/>
                <w:color w:val="auto"/>
              </w:rPr>
            </w:pPr>
            <w:r>
              <w:rPr>
                <w:rFonts w:hint="eastAsia"/>
                <w:color w:val="auto"/>
              </w:rPr>
              <w:t>数量</w:t>
            </w:r>
          </w:p>
        </w:tc>
        <w:tc>
          <w:tcPr>
            <w:tcW w:w="2835" w:type="dxa"/>
            <w:gridSpan w:val="2"/>
            <w:tcBorders>
              <w:top w:val="single" w:color="auto" w:sz="4" w:space="0"/>
              <w:left w:val="nil"/>
              <w:bottom w:val="single" w:color="auto" w:sz="4" w:space="0"/>
              <w:right w:val="single" w:color="auto" w:sz="4" w:space="0"/>
            </w:tcBorders>
            <w:shd w:val="clear" w:color="auto" w:fill="FFFFFF"/>
            <w:vAlign w:val="center"/>
          </w:tcPr>
          <w:p w14:paraId="42FD8056">
            <w:pPr>
              <w:pStyle w:val="45"/>
              <w:rPr>
                <w:rFonts w:hint="eastAsia"/>
                <w:color w:val="auto"/>
              </w:rPr>
            </w:pPr>
            <w:r>
              <w:rPr>
                <w:rFonts w:hint="eastAsia"/>
                <w:color w:val="auto"/>
              </w:rPr>
              <w:t>负荷量(KW)</w:t>
            </w:r>
          </w:p>
        </w:tc>
        <w:tc>
          <w:tcPr>
            <w:tcW w:w="1134" w:type="dxa"/>
            <w:vMerge w:val="restart"/>
            <w:tcBorders>
              <w:top w:val="nil"/>
              <w:left w:val="single" w:color="auto" w:sz="4" w:space="0"/>
              <w:bottom w:val="single" w:color="auto" w:sz="4" w:space="0"/>
              <w:right w:val="single" w:color="auto" w:sz="4" w:space="0"/>
            </w:tcBorders>
            <w:shd w:val="clear" w:color="auto" w:fill="FFFFFF"/>
            <w:vAlign w:val="center"/>
          </w:tcPr>
          <w:p w14:paraId="12313764">
            <w:pPr>
              <w:pStyle w:val="45"/>
              <w:rPr>
                <w:rFonts w:hint="eastAsia"/>
                <w:color w:val="auto"/>
              </w:rPr>
            </w:pPr>
            <w:r>
              <w:rPr>
                <w:rFonts w:hint="eastAsia"/>
                <w:color w:val="auto"/>
              </w:rPr>
              <w:t>备注</w:t>
            </w:r>
          </w:p>
        </w:tc>
      </w:tr>
      <w:tr w14:paraId="2D8CF8A3">
        <w:tblPrEx>
          <w:tblCellMar>
            <w:top w:w="0" w:type="dxa"/>
            <w:left w:w="108" w:type="dxa"/>
            <w:bottom w:w="0" w:type="dxa"/>
            <w:right w:w="108" w:type="dxa"/>
          </w:tblCellMar>
        </w:tblPrEx>
        <w:trPr>
          <w:trHeight w:val="285" w:hRule="atLeast"/>
        </w:trPr>
        <w:tc>
          <w:tcPr>
            <w:tcW w:w="724" w:type="dxa"/>
            <w:vMerge w:val="continue"/>
            <w:tcBorders>
              <w:top w:val="nil"/>
              <w:left w:val="single" w:color="auto" w:sz="4" w:space="0"/>
              <w:bottom w:val="single" w:color="auto" w:sz="4" w:space="0"/>
              <w:right w:val="single" w:color="auto" w:sz="4" w:space="0"/>
            </w:tcBorders>
            <w:shd w:val="clear" w:color="auto" w:fill="FFFFFF"/>
            <w:vAlign w:val="center"/>
          </w:tcPr>
          <w:p w14:paraId="375993AC">
            <w:pPr>
              <w:pStyle w:val="45"/>
              <w:rPr>
                <w:rFonts w:hint="eastAsia"/>
                <w:color w:val="auto"/>
              </w:rPr>
            </w:pPr>
          </w:p>
        </w:tc>
        <w:tc>
          <w:tcPr>
            <w:tcW w:w="1559" w:type="dxa"/>
            <w:vMerge w:val="continue"/>
            <w:tcBorders>
              <w:top w:val="nil"/>
              <w:left w:val="single" w:color="auto" w:sz="4" w:space="0"/>
              <w:bottom w:val="single" w:color="auto" w:sz="4" w:space="0"/>
              <w:right w:val="single" w:color="auto" w:sz="4" w:space="0"/>
            </w:tcBorders>
            <w:shd w:val="clear" w:color="auto" w:fill="FFFFFF"/>
            <w:vAlign w:val="center"/>
          </w:tcPr>
          <w:p w14:paraId="0283059B">
            <w:pPr>
              <w:pStyle w:val="45"/>
              <w:rPr>
                <w:rFonts w:hint="eastAsia"/>
                <w:color w:val="auto"/>
              </w:rPr>
            </w:pPr>
          </w:p>
        </w:tc>
        <w:tc>
          <w:tcPr>
            <w:tcW w:w="1276" w:type="dxa"/>
            <w:vMerge w:val="continue"/>
            <w:tcBorders>
              <w:top w:val="nil"/>
              <w:left w:val="single" w:color="auto" w:sz="4" w:space="0"/>
              <w:bottom w:val="single" w:color="auto" w:sz="4" w:space="0"/>
              <w:right w:val="single" w:color="auto" w:sz="4" w:space="0"/>
            </w:tcBorders>
            <w:shd w:val="clear" w:color="auto" w:fill="FFFFFF"/>
            <w:vAlign w:val="center"/>
          </w:tcPr>
          <w:p w14:paraId="777AAFCC">
            <w:pPr>
              <w:pStyle w:val="45"/>
              <w:rPr>
                <w:rFonts w:hint="eastAsia"/>
                <w:color w:val="auto"/>
              </w:rPr>
            </w:pPr>
          </w:p>
        </w:tc>
        <w:tc>
          <w:tcPr>
            <w:tcW w:w="851" w:type="dxa"/>
            <w:vMerge w:val="continue"/>
            <w:tcBorders>
              <w:top w:val="nil"/>
              <w:left w:val="single" w:color="auto" w:sz="4" w:space="0"/>
              <w:bottom w:val="single" w:color="auto" w:sz="4" w:space="0"/>
              <w:right w:val="single" w:color="auto" w:sz="4" w:space="0"/>
            </w:tcBorders>
            <w:shd w:val="clear" w:color="auto" w:fill="FFFFFF"/>
            <w:vAlign w:val="center"/>
          </w:tcPr>
          <w:p w14:paraId="38B7108F">
            <w:pPr>
              <w:pStyle w:val="45"/>
              <w:rPr>
                <w:rFonts w:hint="eastAsia"/>
                <w:color w:val="auto"/>
              </w:rPr>
            </w:pPr>
          </w:p>
        </w:tc>
        <w:tc>
          <w:tcPr>
            <w:tcW w:w="850" w:type="dxa"/>
            <w:vMerge w:val="continue"/>
            <w:tcBorders>
              <w:top w:val="nil"/>
              <w:left w:val="single" w:color="auto" w:sz="4" w:space="0"/>
              <w:bottom w:val="single" w:color="auto" w:sz="4" w:space="0"/>
              <w:right w:val="single" w:color="auto" w:sz="4" w:space="0"/>
            </w:tcBorders>
            <w:shd w:val="clear" w:color="auto" w:fill="FFFFFF"/>
            <w:vAlign w:val="center"/>
          </w:tcPr>
          <w:p w14:paraId="62031AA2">
            <w:pPr>
              <w:pStyle w:val="45"/>
              <w:rPr>
                <w:rFonts w:hint="eastAsia"/>
                <w:color w:val="auto"/>
              </w:rPr>
            </w:pPr>
          </w:p>
        </w:tc>
        <w:tc>
          <w:tcPr>
            <w:tcW w:w="1276" w:type="dxa"/>
            <w:tcBorders>
              <w:top w:val="nil"/>
              <w:left w:val="nil"/>
              <w:bottom w:val="single" w:color="auto" w:sz="4" w:space="0"/>
              <w:right w:val="single" w:color="auto" w:sz="4" w:space="0"/>
            </w:tcBorders>
            <w:shd w:val="clear" w:color="auto" w:fill="FFFFFF"/>
            <w:vAlign w:val="center"/>
          </w:tcPr>
          <w:p w14:paraId="2C21AD24">
            <w:pPr>
              <w:pStyle w:val="45"/>
              <w:rPr>
                <w:rFonts w:hint="eastAsia"/>
                <w:color w:val="auto"/>
              </w:rPr>
            </w:pPr>
            <w:r>
              <w:rPr>
                <w:rFonts w:hint="eastAsia"/>
                <w:color w:val="auto"/>
              </w:rPr>
              <w:t>单台负荷</w:t>
            </w:r>
          </w:p>
        </w:tc>
        <w:tc>
          <w:tcPr>
            <w:tcW w:w="1559" w:type="dxa"/>
            <w:tcBorders>
              <w:top w:val="nil"/>
              <w:left w:val="nil"/>
              <w:bottom w:val="single" w:color="auto" w:sz="4" w:space="0"/>
              <w:right w:val="single" w:color="auto" w:sz="4" w:space="0"/>
            </w:tcBorders>
            <w:shd w:val="clear" w:color="auto" w:fill="FFFFFF"/>
            <w:vAlign w:val="center"/>
          </w:tcPr>
          <w:p w14:paraId="22FC1453">
            <w:pPr>
              <w:pStyle w:val="45"/>
              <w:rPr>
                <w:rFonts w:hint="eastAsia"/>
                <w:color w:val="auto"/>
              </w:rPr>
            </w:pPr>
            <w:r>
              <w:rPr>
                <w:rFonts w:hint="eastAsia"/>
                <w:color w:val="auto"/>
              </w:rPr>
              <w:t>总负荷</w:t>
            </w:r>
          </w:p>
        </w:tc>
        <w:tc>
          <w:tcPr>
            <w:tcW w:w="1134" w:type="dxa"/>
            <w:vMerge w:val="continue"/>
            <w:tcBorders>
              <w:top w:val="nil"/>
              <w:left w:val="single" w:color="auto" w:sz="4" w:space="0"/>
              <w:bottom w:val="single" w:color="auto" w:sz="4" w:space="0"/>
              <w:right w:val="single" w:color="auto" w:sz="4" w:space="0"/>
            </w:tcBorders>
            <w:shd w:val="clear" w:color="auto" w:fill="FFFFFF"/>
            <w:vAlign w:val="center"/>
          </w:tcPr>
          <w:p w14:paraId="3BA46A40">
            <w:pPr>
              <w:pStyle w:val="45"/>
              <w:rPr>
                <w:rFonts w:hint="eastAsia"/>
                <w:color w:val="auto"/>
              </w:rPr>
            </w:pPr>
          </w:p>
        </w:tc>
      </w:tr>
      <w:tr w14:paraId="5C0CCA16">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142B4176">
            <w:pPr>
              <w:pStyle w:val="45"/>
              <w:rPr>
                <w:rFonts w:hint="eastAsia"/>
                <w:color w:val="auto"/>
              </w:rPr>
            </w:pPr>
            <w:r>
              <w:rPr>
                <w:rFonts w:hint="eastAsia"/>
                <w:color w:val="auto"/>
              </w:rPr>
              <w:t>1</w:t>
            </w:r>
          </w:p>
        </w:tc>
        <w:tc>
          <w:tcPr>
            <w:tcW w:w="1559" w:type="dxa"/>
            <w:tcBorders>
              <w:top w:val="nil"/>
              <w:left w:val="nil"/>
              <w:bottom w:val="single" w:color="auto" w:sz="4" w:space="0"/>
              <w:right w:val="single" w:color="auto" w:sz="4" w:space="0"/>
            </w:tcBorders>
            <w:shd w:val="clear" w:color="auto" w:fill="FFFFFF"/>
            <w:vAlign w:val="center"/>
          </w:tcPr>
          <w:p w14:paraId="5A7B00D7">
            <w:pPr>
              <w:pStyle w:val="45"/>
              <w:rPr>
                <w:rFonts w:hint="eastAsia"/>
                <w:color w:val="auto"/>
              </w:rPr>
            </w:pPr>
            <w:r>
              <w:rPr>
                <w:rFonts w:hint="eastAsia"/>
                <w:color w:val="auto"/>
              </w:rPr>
              <w:t>塔吊</w:t>
            </w:r>
          </w:p>
        </w:tc>
        <w:tc>
          <w:tcPr>
            <w:tcW w:w="1276" w:type="dxa"/>
            <w:tcBorders>
              <w:top w:val="nil"/>
              <w:left w:val="nil"/>
              <w:bottom w:val="single" w:color="auto" w:sz="4" w:space="0"/>
              <w:right w:val="single" w:color="auto" w:sz="4" w:space="0"/>
            </w:tcBorders>
            <w:shd w:val="clear" w:color="auto" w:fill="FFFFFF"/>
            <w:vAlign w:val="center"/>
          </w:tcPr>
          <w:p w14:paraId="3BDC220E">
            <w:pPr>
              <w:pStyle w:val="45"/>
              <w:rPr>
                <w:rFonts w:hint="eastAsia"/>
                <w:color w:val="auto"/>
              </w:rPr>
            </w:pPr>
            <w:r>
              <w:rPr>
                <w:rFonts w:hint="eastAsia"/>
                <w:color w:val="auto"/>
              </w:rPr>
              <w:t>TC7035</w:t>
            </w:r>
          </w:p>
        </w:tc>
        <w:tc>
          <w:tcPr>
            <w:tcW w:w="851" w:type="dxa"/>
            <w:tcBorders>
              <w:top w:val="nil"/>
              <w:left w:val="nil"/>
              <w:bottom w:val="single" w:color="auto" w:sz="4" w:space="0"/>
              <w:right w:val="single" w:color="auto" w:sz="4" w:space="0"/>
            </w:tcBorders>
            <w:shd w:val="clear" w:color="auto" w:fill="FFFFFF"/>
            <w:vAlign w:val="center"/>
          </w:tcPr>
          <w:p w14:paraId="071346C9">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098F3C61">
            <w:pPr>
              <w:pStyle w:val="45"/>
              <w:rPr>
                <w:rFonts w:hint="eastAsia"/>
                <w:color w:val="auto"/>
              </w:rPr>
            </w:pPr>
            <w:r>
              <w:rPr>
                <w:rFonts w:hint="eastAsia"/>
                <w:color w:val="auto"/>
              </w:rPr>
              <w:t>2</w:t>
            </w:r>
          </w:p>
        </w:tc>
        <w:tc>
          <w:tcPr>
            <w:tcW w:w="1276" w:type="dxa"/>
            <w:tcBorders>
              <w:top w:val="nil"/>
              <w:left w:val="nil"/>
              <w:bottom w:val="single" w:color="auto" w:sz="4" w:space="0"/>
              <w:right w:val="single" w:color="auto" w:sz="4" w:space="0"/>
            </w:tcBorders>
            <w:shd w:val="clear" w:color="auto" w:fill="FFFFFF"/>
            <w:vAlign w:val="center"/>
          </w:tcPr>
          <w:p w14:paraId="570C00EC">
            <w:pPr>
              <w:pStyle w:val="45"/>
              <w:rPr>
                <w:rFonts w:hint="eastAsia"/>
                <w:color w:val="auto"/>
              </w:rPr>
            </w:pPr>
            <w:r>
              <w:rPr>
                <w:rFonts w:hint="eastAsia"/>
                <w:color w:val="auto"/>
              </w:rPr>
              <w:t>86</w:t>
            </w:r>
          </w:p>
        </w:tc>
        <w:tc>
          <w:tcPr>
            <w:tcW w:w="1559" w:type="dxa"/>
            <w:tcBorders>
              <w:top w:val="nil"/>
              <w:left w:val="nil"/>
              <w:bottom w:val="single" w:color="auto" w:sz="4" w:space="0"/>
              <w:right w:val="single" w:color="auto" w:sz="4" w:space="0"/>
            </w:tcBorders>
            <w:shd w:val="clear" w:color="auto" w:fill="FFFFFF"/>
            <w:vAlign w:val="center"/>
          </w:tcPr>
          <w:p w14:paraId="028C339B">
            <w:pPr>
              <w:pStyle w:val="45"/>
              <w:rPr>
                <w:rFonts w:hint="eastAsia"/>
                <w:color w:val="auto"/>
              </w:rPr>
            </w:pPr>
            <w:r>
              <w:rPr>
                <w:rFonts w:hint="eastAsia"/>
                <w:color w:val="auto"/>
              </w:rPr>
              <w:t>172</w:t>
            </w:r>
          </w:p>
        </w:tc>
        <w:tc>
          <w:tcPr>
            <w:tcW w:w="1134" w:type="dxa"/>
            <w:tcBorders>
              <w:top w:val="nil"/>
              <w:left w:val="nil"/>
              <w:bottom w:val="single" w:color="auto" w:sz="4" w:space="0"/>
              <w:right w:val="single" w:color="auto" w:sz="4" w:space="0"/>
            </w:tcBorders>
            <w:shd w:val="clear" w:color="auto" w:fill="FFFFFF"/>
            <w:vAlign w:val="center"/>
          </w:tcPr>
          <w:p w14:paraId="57A47AED">
            <w:pPr>
              <w:pStyle w:val="45"/>
              <w:rPr>
                <w:rFonts w:hint="eastAsia"/>
                <w:color w:val="auto"/>
              </w:rPr>
            </w:pPr>
            <w:r>
              <w:rPr>
                <w:rFonts w:hint="eastAsia"/>
                <w:color w:val="auto"/>
              </w:rPr>
              <w:t>/</w:t>
            </w:r>
          </w:p>
        </w:tc>
      </w:tr>
      <w:tr w14:paraId="334C9AF2">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71B1A5BA">
            <w:pPr>
              <w:pStyle w:val="45"/>
              <w:rPr>
                <w:rFonts w:hint="eastAsia"/>
                <w:color w:val="auto"/>
              </w:rPr>
            </w:pPr>
            <w:r>
              <w:rPr>
                <w:rFonts w:hint="eastAsia"/>
                <w:color w:val="auto"/>
              </w:rPr>
              <w:t>2</w:t>
            </w:r>
          </w:p>
        </w:tc>
        <w:tc>
          <w:tcPr>
            <w:tcW w:w="1559" w:type="dxa"/>
            <w:tcBorders>
              <w:top w:val="nil"/>
              <w:left w:val="nil"/>
              <w:bottom w:val="single" w:color="auto" w:sz="4" w:space="0"/>
              <w:right w:val="single" w:color="auto" w:sz="4" w:space="0"/>
            </w:tcBorders>
            <w:shd w:val="clear" w:color="auto" w:fill="FFFFFF"/>
            <w:vAlign w:val="center"/>
          </w:tcPr>
          <w:p w14:paraId="472FB473">
            <w:pPr>
              <w:pStyle w:val="45"/>
              <w:rPr>
                <w:rFonts w:hint="eastAsia"/>
                <w:color w:val="auto"/>
              </w:rPr>
            </w:pPr>
            <w:r>
              <w:rPr>
                <w:rFonts w:hint="eastAsia"/>
                <w:color w:val="auto"/>
              </w:rPr>
              <w:t>塔吊</w:t>
            </w:r>
          </w:p>
        </w:tc>
        <w:tc>
          <w:tcPr>
            <w:tcW w:w="1276" w:type="dxa"/>
            <w:tcBorders>
              <w:top w:val="nil"/>
              <w:left w:val="nil"/>
              <w:bottom w:val="single" w:color="auto" w:sz="4" w:space="0"/>
              <w:right w:val="single" w:color="auto" w:sz="4" w:space="0"/>
            </w:tcBorders>
            <w:shd w:val="clear" w:color="auto" w:fill="FFFFFF"/>
            <w:vAlign w:val="center"/>
          </w:tcPr>
          <w:p w14:paraId="0C2A7E91">
            <w:pPr>
              <w:pStyle w:val="45"/>
              <w:rPr>
                <w:rFonts w:hint="eastAsia"/>
                <w:color w:val="auto"/>
              </w:rPr>
            </w:pPr>
            <w:r>
              <w:rPr>
                <w:rFonts w:hint="eastAsia"/>
                <w:color w:val="auto"/>
              </w:rPr>
              <w:t>TC6515</w:t>
            </w:r>
          </w:p>
        </w:tc>
        <w:tc>
          <w:tcPr>
            <w:tcW w:w="851" w:type="dxa"/>
            <w:tcBorders>
              <w:top w:val="nil"/>
              <w:left w:val="nil"/>
              <w:bottom w:val="single" w:color="auto" w:sz="4" w:space="0"/>
              <w:right w:val="single" w:color="auto" w:sz="4" w:space="0"/>
            </w:tcBorders>
            <w:shd w:val="clear" w:color="auto" w:fill="FFFFFF"/>
            <w:vAlign w:val="center"/>
          </w:tcPr>
          <w:p w14:paraId="55462B89">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0000FCB7">
            <w:pPr>
              <w:pStyle w:val="45"/>
              <w:rPr>
                <w:rFonts w:hint="eastAsia"/>
                <w:color w:val="auto"/>
              </w:rPr>
            </w:pPr>
            <w:r>
              <w:rPr>
                <w:rFonts w:hint="eastAsia"/>
                <w:color w:val="auto"/>
              </w:rPr>
              <w:t>2</w:t>
            </w:r>
          </w:p>
        </w:tc>
        <w:tc>
          <w:tcPr>
            <w:tcW w:w="1276" w:type="dxa"/>
            <w:tcBorders>
              <w:top w:val="nil"/>
              <w:left w:val="nil"/>
              <w:bottom w:val="single" w:color="auto" w:sz="4" w:space="0"/>
              <w:right w:val="single" w:color="auto" w:sz="4" w:space="0"/>
            </w:tcBorders>
            <w:shd w:val="clear" w:color="auto" w:fill="FFFFFF"/>
            <w:vAlign w:val="center"/>
          </w:tcPr>
          <w:p w14:paraId="40EBB912">
            <w:pPr>
              <w:pStyle w:val="45"/>
              <w:rPr>
                <w:rFonts w:hint="eastAsia"/>
                <w:color w:val="auto"/>
              </w:rPr>
            </w:pPr>
            <w:r>
              <w:rPr>
                <w:rFonts w:hint="eastAsia"/>
                <w:color w:val="auto"/>
              </w:rPr>
              <w:t>64</w:t>
            </w:r>
          </w:p>
        </w:tc>
        <w:tc>
          <w:tcPr>
            <w:tcW w:w="1559" w:type="dxa"/>
            <w:tcBorders>
              <w:top w:val="nil"/>
              <w:left w:val="nil"/>
              <w:bottom w:val="single" w:color="auto" w:sz="4" w:space="0"/>
              <w:right w:val="single" w:color="auto" w:sz="4" w:space="0"/>
            </w:tcBorders>
            <w:shd w:val="clear" w:color="auto" w:fill="FFFFFF"/>
            <w:vAlign w:val="center"/>
          </w:tcPr>
          <w:p w14:paraId="2E27B10C">
            <w:pPr>
              <w:pStyle w:val="45"/>
              <w:rPr>
                <w:rFonts w:hint="eastAsia"/>
                <w:color w:val="auto"/>
              </w:rPr>
            </w:pPr>
            <w:r>
              <w:rPr>
                <w:rFonts w:hint="eastAsia"/>
                <w:color w:val="auto"/>
              </w:rPr>
              <w:t>128</w:t>
            </w:r>
          </w:p>
        </w:tc>
        <w:tc>
          <w:tcPr>
            <w:tcW w:w="1134" w:type="dxa"/>
            <w:tcBorders>
              <w:top w:val="nil"/>
              <w:left w:val="nil"/>
              <w:bottom w:val="single" w:color="auto" w:sz="4" w:space="0"/>
              <w:right w:val="single" w:color="auto" w:sz="4" w:space="0"/>
            </w:tcBorders>
            <w:shd w:val="clear" w:color="auto" w:fill="FFFFFF"/>
            <w:vAlign w:val="center"/>
          </w:tcPr>
          <w:p w14:paraId="43BFE1F7">
            <w:pPr>
              <w:pStyle w:val="45"/>
              <w:rPr>
                <w:rFonts w:hint="eastAsia"/>
                <w:color w:val="auto"/>
              </w:rPr>
            </w:pPr>
            <w:r>
              <w:rPr>
                <w:rFonts w:hint="eastAsia"/>
                <w:color w:val="auto"/>
              </w:rPr>
              <w:t>/</w:t>
            </w:r>
          </w:p>
        </w:tc>
      </w:tr>
      <w:tr w14:paraId="4C64969E">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1CE10411">
            <w:pPr>
              <w:pStyle w:val="45"/>
              <w:rPr>
                <w:rFonts w:hint="eastAsia"/>
                <w:color w:val="auto"/>
              </w:rPr>
            </w:pPr>
            <w:r>
              <w:rPr>
                <w:rFonts w:hint="eastAsia"/>
                <w:color w:val="auto"/>
              </w:rPr>
              <w:t>3</w:t>
            </w:r>
          </w:p>
        </w:tc>
        <w:tc>
          <w:tcPr>
            <w:tcW w:w="1559" w:type="dxa"/>
            <w:tcBorders>
              <w:top w:val="nil"/>
              <w:left w:val="nil"/>
              <w:bottom w:val="single" w:color="auto" w:sz="4" w:space="0"/>
              <w:right w:val="single" w:color="auto" w:sz="4" w:space="0"/>
            </w:tcBorders>
            <w:shd w:val="clear" w:color="auto" w:fill="FFFFFF"/>
            <w:vAlign w:val="center"/>
          </w:tcPr>
          <w:p w14:paraId="7F65C4F5">
            <w:pPr>
              <w:pStyle w:val="45"/>
              <w:rPr>
                <w:rFonts w:hint="eastAsia"/>
                <w:color w:val="auto"/>
              </w:rPr>
            </w:pPr>
            <w:r>
              <w:rPr>
                <w:rFonts w:hint="eastAsia"/>
                <w:color w:val="auto"/>
              </w:rPr>
              <w:t>物料提升机</w:t>
            </w:r>
          </w:p>
        </w:tc>
        <w:tc>
          <w:tcPr>
            <w:tcW w:w="1276" w:type="dxa"/>
            <w:tcBorders>
              <w:top w:val="nil"/>
              <w:left w:val="nil"/>
              <w:bottom w:val="single" w:color="auto" w:sz="4" w:space="0"/>
              <w:right w:val="single" w:color="auto" w:sz="4" w:space="0"/>
            </w:tcBorders>
            <w:shd w:val="clear" w:color="auto" w:fill="FFFFFF"/>
            <w:vAlign w:val="center"/>
          </w:tcPr>
          <w:p w14:paraId="7E41E176">
            <w:pPr>
              <w:pStyle w:val="45"/>
              <w:rPr>
                <w:rFonts w:hint="eastAsia"/>
                <w:color w:val="auto"/>
              </w:rPr>
            </w:pPr>
            <w:r>
              <w:rPr>
                <w:rFonts w:hint="eastAsia"/>
                <w:color w:val="auto"/>
              </w:rPr>
              <w:t>SC100/100</w:t>
            </w:r>
          </w:p>
        </w:tc>
        <w:tc>
          <w:tcPr>
            <w:tcW w:w="851" w:type="dxa"/>
            <w:tcBorders>
              <w:top w:val="nil"/>
              <w:left w:val="nil"/>
              <w:bottom w:val="single" w:color="auto" w:sz="4" w:space="0"/>
              <w:right w:val="single" w:color="auto" w:sz="4" w:space="0"/>
            </w:tcBorders>
            <w:shd w:val="clear" w:color="auto" w:fill="FFFFFF"/>
            <w:vAlign w:val="center"/>
          </w:tcPr>
          <w:p w14:paraId="407372D0">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280874A6">
            <w:pPr>
              <w:pStyle w:val="45"/>
              <w:rPr>
                <w:rFonts w:hint="eastAsia"/>
                <w:color w:val="auto"/>
              </w:rPr>
            </w:pPr>
            <w:r>
              <w:rPr>
                <w:rFonts w:hint="eastAsia"/>
                <w:color w:val="auto"/>
              </w:rPr>
              <w:t>11</w:t>
            </w:r>
          </w:p>
        </w:tc>
        <w:tc>
          <w:tcPr>
            <w:tcW w:w="1276" w:type="dxa"/>
            <w:tcBorders>
              <w:top w:val="nil"/>
              <w:left w:val="nil"/>
              <w:bottom w:val="single" w:color="auto" w:sz="4" w:space="0"/>
              <w:right w:val="single" w:color="auto" w:sz="4" w:space="0"/>
            </w:tcBorders>
            <w:shd w:val="clear" w:color="auto" w:fill="FFFFFF"/>
            <w:vAlign w:val="center"/>
          </w:tcPr>
          <w:p w14:paraId="676FCB09">
            <w:pPr>
              <w:pStyle w:val="45"/>
              <w:rPr>
                <w:rFonts w:hint="eastAsia"/>
                <w:color w:val="auto"/>
              </w:rPr>
            </w:pPr>
            <w:r>
              <w:rPr>
                <w:rFonts w:hint="eastAsia"/>
                <w:color w:val="auto"/>
              </w:rPr>
              <w:t>24</w:t>
            </w:r>
          </w:p>
        </w:tc>
        <w:tc>
          <w:tcPr>
            <w:tcW w:w="1559" w:type="dxa"/>
            <w:tcBorders>
              <w:top w:val="nil"/>
              <w:left w:val="nil"/>
              <w:bottom w:val="single" w:color="auto" w:sz="4" w:space="0"/>
              <w:right w:val="single" w:color="auto" w:sz="4" w:space="0"/>
            </w:tcBorders>
            <w:shd w:val="clear" w:color="auto" w:fill="FFFFFF"/>
            <w:vAlign w:val="center"/>
          </w:tcPr>
          <w:p w14:paraId="46CD0417">
            <w:pPr>
              <w:pStyle w:val="45"/>
              <w:rPr>
                <w:rFonts w:hint="eastAsia"/>
                <w:color w:val="auto"/>
              </w:rPr>
            </w:pPr>
            <w:r>
              <w:rPr>
                <w:rFonts w:hint="eastAsia"/>
                <w:color w:val="auto"/>
              </w:rPr>
              <w:t>264</w:t>
            </w:r>
          </w:p>
        </w:tc>
        <w:tc>
          <w:tcPr>
            <w:tcW w:w="1134" w:type="dxa"/>
            <w:tcBorders>
              <w:top w:val="nil"/>
              <w:left w:val="nil"/>
              <w:bottom w:val="single" w:color="auto" w:sz="4" w:space="0"/>
              <w:right w:val="single" w:color="auto" w:sz="4" w:space="0"/>
            </w:tcBorders>
            <w:shd w:val="clear" w:color="auto" w:fill="FFFFFF"/>
            <w:vAlign w:val="center"/>
          </w:tcPr>
          <w:p w14:paraId="4222CECE">
            <w:pPr>
              <w:pStyle w:val="45"/>
              <w:rPr>
                <w:rFonts w:hint="eastAsia"/>
                <w:color w:val="auto"/>
              </w:rPr>
            </w:pPr>
            <w:r>
              <w:rPr>
                <w:rFonts w:hint="eastAsia"/>
                <w:color w:val="auto"/>
              </w:rPr>
              <w:t>/</w:t>
            </w:r>
          </w:p>
        </w:tc>
      </w:tr>
      <w:tr w14:paraId="37C138E9">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49F306D0">
            <w:pPr>
              <w:pStyle w:val="45"/>
              <w:rPr>
                <w:rFonts w:hint="eastAsia"/>
                <w:color w:val="auto"/>
              </w:rPr>
            </w:pPr>
            <w:r>
              <w:rPr>
                <w:rFonts w:hint="eastAsia"/>
                <w:color w:val="auto"/>
              </w:rPr>
              <w:t>4</w:t>
            </w:r>
          </w:p>
        </w:tc>
        <w:tc>
          <w:tcPr>
            <w:tcW w:w="1559" w:type="dxa"/>
            <w:tcBorders>
              <w:top w:val="nil"/>
              <w:left w:val="nil"/>
              <w:bottom w:val="single" w:color="auto" w:sz="4" w:space="0"/>
              <w:right w:val="single" w:color="auto" w:sz="4" w:space="0"/>
            </w:tcBorders>
            <w:shd w:val="clear" w:color="auto" w:fill="FFFFFF"/>
            <w:vAlign w:val="center"/>
          </w:tcPr>
          <w:p w14:paraId="0B59241F">
            <w:pPr>
              <w:pStyle w:val="45"/>
              <w:rPr>
                <w:rFonts w:hint="eastAsia"/>
                <w:color w:val="auto"/>
              </w:rPr>
            </w:pPr>
            <w:r>
              <w:rPr>
                <w:rFonts w:hint="eastAsia"/>
                <w:color w:val="auto"/>
              </w:rPr>
              <w:t>钢筋液压调直机</w:t>
            </w:r>
          </w:p>
        </w:tc>
        <w:tc>
          <w:tcPr>
            <w:tcW w:w="1276" w:type="dxa"/>
            <w:tcBorders>
              <w:top w:val="nil"/>
              <w:left w:val="nil"/>
              <w:bottom w:val="single" w:color="auto" w:sz="4" w:space="0"/>
              <w:right w:val="single" w:color="auto" w:sz="4" w:space="0"/>
            </w:tcBorders>
            <w:shd w:val="clear" w:color="auto" w:fill="FFFFFF"/>
            <w:vAlign w:val="center"/>
          </w:tcPr>
          <w:p w14:paraId="75CB6278">
            <w:pPr>
              <w:pStyle w:val="45"/>
              <w:rPr>
                <w:rFonts w:hint="eastAsia"/>
                <w:color w:val="auto"/>
              </w:rPr>
            </w:pPr>
            <w:r>
              <w:rPr>
                <w:rFonts w:hint="eastAsia"/>
                <w:color w:val="auto"/>
              </w:rPr>
              <w:t>CW-30</w:t>
            </w:r>
          </w:p>
        </w:tc>
        <w:tc>
          <w:tcPr>
            <w:tcW w:w="851" w:type="dxa"/>
            <w:tcBorders>
              <w:top w:val="nil"/>
              <w:left w:val="nil"/>
              <w:bottom w:val="single" w:color="auto" w:sz="4" w:space="0"/>
              <w:right w:val="single" w:color="auto" w:sz="4" w:space="0"/>
            </w:tcBorders>
            <w:shd w:val="clear" w:color="auto" w:fill="FFFFFF"/>
            <w:vAlign w:val="center"/>
          </w:tcPr>
          <w:p w14:paraId="168D920D">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028CB52">
            <w:pPr>
              <w:pStyle w:val="45"/>
              <w:rPr>
                <w:rFonts w:hint="eastAsia"/>
                <w:color w:val="auto"/>
              </w:rPr>
            </w:pPr>
            <w:r>
              <w:rPr>
                <w:rFonts w:hint="eastAsia"/>
                <w:color w:val="auto"/>
              </w:rPr>
              <w:t>4</w:t>
            </w:r>
          </w:p>
        </w:tc>
        <w:tc>
          <w:tcPr>
            <w:tcW w:w="1276" w:type="dxa"/>
            <w:tcBorders>
              <w:top w:val="nil"/>
              <w:left w:val="nil"/>
              <w:bottom w:val="single" w:color="auto" w:sz="4" w:space="0"/>
              <w:right w:val="single" w:color="auto" w:sz="4" w:space="0"/>
            </w:tcBorders>
            <w:shd w:val="clear" w:color="auto" w:fill="FFFFFF"/>
            <w:vAlign w:val="center"/>
          </w:tcPr>
          <w:p w14:paraId="480CF762">
            <w:pPr>
              <w:pStyle w:val="45"/>
              <w:rPr>
                <w:rFonts w:hint="eastAsia"/>
                <w:color w:val="auto"/>
              </w:rPr>
            </w:pPr>
            <w:r>
              <w:rPr>
                <w:rFonts w:hint="eastAsia"/>
                <w:color w:val="auto"/>
              </w:rPr>
              <w:t>7.5</w:t>
            </w:r>
          </w:p>
        </w:tc>
        <w:tc>
          <w:tcPr>
            <w:tcW w:w="1559" w:type="dxa"/>
            <w:tcBorders>
              <w:top w:val="nil"/>
              <w:left w:val="nil"/>
              <w:bottom w:val="single" w:color="auto" w:sz="4" w:space="0"/>
              <w:right w:val="single" w:color="auto" w:sz="4" w:space="0"/>
            </w:tcBorders>
            <w:shd w:val="clear" w:color="auto" w:fill="FFFFFF"/>
            <w:vAlign w:val="center"/>
          </w:tcPr>
          <w:p w14:paraId="347B4856">
            <w:pPr>
              <w:pStyle w:val="45"/>
              <w:rPr>
                <w:rFonts w:hint="eastAsia"/>
                <w:color w:val="auto"/>
              </w:rPr>
            </w:pPr>
            <w:r>
              <w:rPr>
                <w:rFonts w:hint="eastAsia"/>
                <w:color w:val="auto"/>
              </w:rPr>
              <w:t>30</w:t>
            </w:r>
          </w:p>
        </w:tc>
        <w:tc>
          <w:tcPr>
            <w:tcW w:w="1134" w:type="dxa"/>
            <w:tcBorders>
              <w:top w:val="nil"/>
              <w:left w:val="nil"/>
              <w:bottom w:val="single" w:color="auto" w:sz="4" w:space="0"/>
              <w:right w:val="single" w:color="auto" w:sz="4" w:space="0"/>
            </w:tcBorders>
            <w:shd w:val="clear" w:color="auto" w:fill="FFFFFF"/>
            <w:vAlign w:val="center"/>
          </w:tcPr>
          <w:p w14:paraId="7892EDFF">
            <w:pPr>
              <w:pStyle w:val="45"/>
              <w:rPr>
                <w:rFonts w:hint="eastAsia"/>
                <w:color w:val="auto"/>
              </w:rPr>
            </w:pPr>
            <w:r>
              <w:rPr>
                <w:rFonts w:hint="eastAsia"/>
                <w:color w:val="auto"/>
              </w:rPr>
              <w:t>/</w:t>
            </w:r>
          </w:p>
        </w:tc>
      </w:tr>
      <w:tr w14:paraId="190974F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AB1246E">
            <w:pPr>
              <w:pStyle w:val="45"/>
              <w:rPr>
                <w:rFonts w:hint="eastAsia"/>
                <w:color w:val="auto"/>
              </w:rPr>
            </w:pPr>
            <w:r>
              <w:rPr>
                <w:rFonts w:hint="eastAsia"/>
                <w:color w:val="auto"/>
              </w:rPr>
              <w:t>5</w:t>
            </w:r>
          </w:p>
        </w:tc>
        <w:tc>
          <w:tcPr>
            <w:tcW w:w="1559" w:type="dxa"/>
            <w:tcBorders>
              <w:top w:val="nil"/>
              <w:left w:val="nil"/>
              <w:bottom w:val="single" w:color="auto" w:sz="4" w:space="0"/>
              <w:right w:val="single" w:color="auto" w:sz="4" w:space="0"/>
            </w:tcBorders>
            <w:shd w:val="clear" w:color="auto" w:fill="FFFFFF"/>
            <w:vAlign w:val="center"/>
          </w:tcPr>
          <w:p w14:paraId="48CF4503">
            <w:pPr>
              <w:pStyle w:val="45"/>
              <w:rPr>
                <w:rFonts w:hint="eastAsia"/>
                <w:color w:val="auto"/>
              </w:rPr>
            </w:pPr>
            <w:r>
              <w:rPr>
                <w:rFonts w:hint="eastAsia"/>
                <w:color w:val="auto"/>
              </w:rPr>
              <w:t>钢筋弯曲机</w:t>
            </w:r>
          </w:p>
        </w:tc>
        <w:tc>
          <w:tcPr>
            <w:tcW w:w="1276" w:type="dxa"/>
            <w:tcBorders>
              <w:top w:val="nil"/>
              <w:left w:val="nil"/>
              <w:bottom w:val="single" w:color="auto" w:sz="4" w:space="0"/>
              <w:right w:val="single" w:color="auto" w:sz="4" w:space="0"/>
            </w:tcBorders>
            <w:shd w:val="clear" w:color="auto" w:fill="FFFFFF"/>
            <w:vAlign w:val="center"/>
          </w:tcPr>
          <w:p w14:paraId="52974EA5">
            <w:pPr>
              <w:pStyle w:val="45"/>
              <w:rPr>
                <w:rFonts w:hint="eastAsia"/>
                <w:color w:val="auto"/>
              </w:rPr>
            </w:pPr>
            <w:r>
              <w:rPr>
                <w:rFonts w:hint="eastAsia"/>
                <w:color w:val="auto"/>
              </w:rPr>
              <w:t>GW-50</w:t>
            </w:r>
          </w:p>
        </w:tc>
        <w:tc>
          <w:tcPr>
            <w:tcW w:w="851" w:type="dxa"/>
            <w:tcBorders>
              <w:top w:val="nil"/>
              <w:left w:val="nil"/>
              <w:bottom w:val="single" w:color="auto" w:sz="4" w:space="0"/>
              <w:right w:val="single" w:color="auto" w:sz="4" w:space="0"/>
            </w:tcBorders>
            <w:shd w:val="clear" w:color="auto" w:fill="FFFFFF"/>
            <w:vAlign w:val="center"/>
          </w:tcPr>
          <w:p w14:paraId="11B0DF85">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497BA10C">
            <w:pPr>
              <w:pStyle w:val="45"/>
              <w:rPr>
                <w:rFonts w:hint="eastAsia"/>
                <w:color w:val="auto"/>
              </w:rPr>
            </w:pPr>
            <w:r>
              <w:rPr>
                <w:rFonts w:hint="eastAsia"/>
                <w:color w:val="auto"/>
              </w:rPr>
              <w:t>8</w:t>
            </w:r>
          </w:p>
        </w:tc>
        <w:tc>
          <w:tcPr>
            <w:tcW w:w="1276" w:type="dxa"/>
            <w:tcBorders>
              <w:top w:val="nil"/>
              <w:left w:val="nil"/>
              <w:bottom w:val="single" w:color="auto" w:sz="4" w:space="0"/>
              <w:right w:val="single" w:color="auto" w:sz="4" w:space="0"/>
            </w:tcBorders>
            <w:shd w:val="clear" w:color="auto" w:fill="FFFFFF"/>
            <w:vAlign w:val="center"/>
          </w:tcPr>
          <w:p w14:paraId="26DE17E3">
            <w:pPr>
              <w:pStyle w:val="45"/>
              <w:rPr>
                <w:rFonts w:hint="eastAsia"/>
                <w:color w:val="auto"/>
              </w:rPr>
            </w:pPr>
            <w:r>
              <w:rPr>
                <w:rFonts w:hint="eastAsia"/>
                <w:color w:val="auto"/>
              </w:rPr>
              <w:t>4</w:t>
            </w:r>
          </w:p>
        </w:tc>
        <w:tc>
          <w:tcPr>
            <w:tcW w:w="1559" w:type="dxa"/>
            <w:tcBorders>
              <w:top w:val="nil"/>
              <w:left w:val="nil"/>
              <w:bottom w:val="single" w:color="auto" w:sz="4" w:space="0"/>
              <w:right w:val="single" w:color="auto" w:sz="4" w:space="0"/>
            </w:tcBorders>
            <w:shd w:val="clear" w:color="auto" w:fill="FFFFFF"/>
            <w:vAlign w:val="center"/>
          </w:tcPr>
          <w:p w14:paraId="314720BB">
            <w:pPr>
              <w:pStyle w:val="45"/>
              <w:rPr>
                <w:rFonts w:hint="eastAsia"/>
                <w:color w:val="auto"/>
              </w:rPr>
            </w:pPr>
            <w:r>
              <w:rPr>
                <w:rFonts w:hint="eastAsia"/>
                <w:color w:val="auto"/>
              </w:rPr>
              <w:t>32</w:t>
            </w:r>
          </w:p>
        </w:tc>
        <w:tc>
          <w:tcPr>
            <w:tcW w:w="1134" w:type="dxa"/>
            <w:tcBorders>
              <w:top w:val="nil"/>
              <w:left w:val="nil"/>
              <w:bottom w:val="single" w:color="auto" w:sz="4" w:space="0"/>
              <w:right w:val="single" w:color="auto" w:sz="4" w:space="0"/>
            </w:tcBorders>
            <w:shd w:val="clear" w:color="auto" w:fill="FFFFFF"/>
            <w:vAlign w:val="center"/>
          </w:tcPr>
          <w:p w14:paraId="10BF616E">
            <w:pPr>
              <w:pStyle w:val="45"/>
              <w:rPr>
                <w:rFonts w:hint="eastAsia"/>
                <w:color w:val="auto"/>
              </w:rPr>
            </w:pPr>
            <w:r>
              <w:rPr>
                <w:rFonts w:hint="eastAsia"/>
                <w:color w:val="auto"/>
              </w:rPr>
              <w:t>/</w:t>
            </w:r>
          </w:p>
        </w:tc>
      </w:tr>
      <w:tr w14:paraId="64CBD58F">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1AD9879E">
            <w:pPr>
              <w:pStyle w:val="45"/>
              <w:rPr>
                <w:rFonts w:hint="eastAsia"/>
                <w:color w:val="auto"/>
              </w:rPr>
            </w:pPr>
            <w:r>
              <w:rPr>
                <w:rFonts w:hint="eastAsia"/>
                <w:color w:val="auto"/>
              </w:rPr>
              <w:t>6</w:t>
            </w:r>
          </w:p>
        </w:tc>
        <w:tc>
          <w:tcPr>
            <w:tcW w:w="1559" w:type="dxa"/>
            <w:tcBorders>
              <w:top w:val="nil"/>
              <w:left w:val="nil"/>
              <w:bottom w:val="single" w:color="auto" w:sz="4" w:space="0"/>
              <w:right w:val="single" w:color="auto" w:sz="4" w:space="0"/>
            </w:tcBorders>
            <w:shd w:val="clear" w:color="auto" w:fill="FFFFFF"/>
            <w:vAlign w:val="center"/>
          </w:tcPr>
          <w:p w14:paraId="26348859">
            <w:pPr>
              <w:pStyle w:val="45"/>
              <w:rPr>
                <w:rFonts w:hint="eastAsia"/>
                <w:color w:val="auto"/>
              </w:rPr>
            </w:pPr>
            <w:r>
              <w:rPr>
                <w:rFonts w:hint="eastAsia"/>
                <w:color w:val="auto"/>
              </w:rPr>
              <w:t>钢筋切断机</w:t>
            </w:r>
          </w:p>
        </w:tc>
        <w:tc>
          <w:tcPr>
            <w:tcW w:w="1276" w:type="dxa"/>
            <w:tcBorders>
              <w:top w:val="nil"/>
              <w:left w:val="nil"/>
              <w:bottom w:val="single" w:color="auto" w:sz="4" w:space="0"/>
              <w:right w:val="single" w:color="auto" w:sz="4" w:space="0"/>
            </w:tcBorders>
            <w:shd w:val="clear" w:color="auto" w:fill="FFFFFF"/>
            <w:vAlign w:val="center"/>
          </w:tcPr>
          <w:p w14:paraId="485F90E7">
            <w:pPr>
              <w:pStyle w:val="45"/>
              <w:rPr>
                <w:rFonts w:hint="eastAsia"/>
                <w:color w:val="auto"/>
              </w:rPr>
            </w:pPr>
            <w:r>
              <w:rPr>
                <w:rFonts w:hint="eastAsia"/>
                <w:color w:val="auto"/>
              </w:rPr>
              <w:t>GQ-50</w:t>
            </w:r>
          </w:p>
        </w:tc>
        <w:tc>
          <w:tcPr>
            <w:tcW w:w="851" w:type="dxa"/>
            <w:tcBorders>
              <w:top w:val="nil"/>
              <w:left w:val="nil"/>
              <w:bottom w:val="single" w:color="auto" w:sz="4" w:space="0"/>
              <w:right w:val="single" w:color="auto" w:sz="4" w:space="0"/>
            </w:tcBorders>
            <w:shd w:val="clear" w:color="auto" w:fill="FFFFFF"/>
            <w:vAlign w:val="center"/>
          </w:tcPr>
          <w:p w14:paraId="1546CE34">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8616406">
            <w:pPr>
              <w:pStyle w:val="45"/>
              <w:rPr>
                <w:rFonts w:hint="eastAsia"/>
                <w:color w:val="auto"/>
              </w:rPr>
            </w:pPr>
            <w:r>
              <w:rPr>
                <w:rFonts w:hint="eastAsia"/>
                <w:color w:val="auto"/>
              </w:rPr>
              <w:t>8</w:t>
            </w:r>
          </w:p>
        </w:tc>
        <w:tc>
          <w:tcPr>
            <w:tcW w:w="1276" w:type="dxa"/>
            <w:tcBorders>
              <w:top w:val="nil"/>
              <w:left w:val="nil"/>
              <w:bottom w:val="single" w:color="auto" w:sz="4" w:space="0"/>
              <w:right w:val="single" w:color="auto" w:sz="4" w:space="0"/>
            </w:tcBorders>
            <w:shd w:val="clear" w:color="auto" w:fill="FFFFFF"/>
            <w:vAlign w:val="center"/>
          </w:tcPr>
          <w:p w14:paraId="2B4730CB">
            <w:pPr>
              <w:pStyle w:val="45"/>
              <w:rPr>
                <w:rFonts w:hint="eastAsia"/>
                <w:color w:val="auto"/>
              </w:rPr>
            </w:pPr>
            <w:r>
              <w:rPr>
                <w:rFonts w:hint="eastAsia"/>
                <w:color w:val="auto"/>
              </w:rPr>
              <w:t>4</w:t>
            </w:r>
          </w:p>
        </w:tc>
        <w:tc>
          <w:tcPr>
            <w:tcW w:w="1559" w:type="dxa"/>
            <w:tcBorders>
              <w:top w:val="nil"/>
              <w:left w:val="nil"/>
              <w:bottom w:val="single" w:color="auto" w:sz="4" w:space="0"/>
              <w:right w:val="single" w:color="auto" w:sz="4" w:space="0"/>
            </w:tcBorders>
            <w:shd w:val="clear" w:color="auto" w:fill="FFFFFF"/>
            <w:vAlign w:val="center"/>
          </w:tcPr>
          <w:p w14:paraId="6527A3D3">
            <w:pPr>
              <w:pStyle w:val="45"/>
              <w:rPr>
                <w:rFonts w:hint="eastAsia"/>
                <w:color w:val="auto"/>
              </w:rPr>
            </w:pPr>
            <w:r>
              <w:rPr>
                <w:rFonts w:hint="eastAsia"/>
                <w:color w:val="auto"/>
              </w:rPr>
              <w:t>32</w:t>
            </w:r>
          </w:p>
        </w:tc>
        <w:tc>
          <w:tcPr>
            <w:tcW w:w="1134" w:type="dxa"/>
            <w:tcBorders>
              <w:top w:val="nil"/>
              <w:left w:val="nil"/>
              <w:bottom w:val="single" w:color="auto" w:sz="4" w:space="0"/>
              <w:right w:val="single" w:color="auto" w:sz="4" w:space="0"/>
            </w:tcBorders>
            <w:shd w:val="clear" w:color="auto" w:fill="FFFFFF"/>
            <w:vAlign w:val="center"/>
          </w:tcPr>
          <w:p w14:paraId="3CC4CBD1">
            <w:pPr>
              <w:pStyle w:val="45"/>
              <w:rPr>
                <w:rFonts w:hint="eastAsia"/>
                <w:color w:val="auto"/>
              </w:rPr>
            </w:pPr>
            <w:r>
              <w:rPr>
                <w:rFonts w:hint="eastAsia"/>
                <w:color w:val="auto"/>
              </w:rPr>
              <w:t>/</w:t>
            </w:r>
          </w:p>
        </w:tc>
      </w:tr>
      <w:tr w14:paraId="18AECC26">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7ACCB779">
            <w:pPr>
              <w:pStyle w:val="45"/>
              <w:rPr>
                <w:rFonts w:hint="eastAsia"/>
                <w:color w:val="auto"/>
              </w:rPr>
            </w:pPr>
            <w:r>
              <w:rPr>
                <w:rFonts w:hint="eastAsia"/>
                <w:color w:val="auto"/>
              </w:rPr>
              <w:t>7</w:t>
            </w:r>
          </w:p>
        </w:tc>
        <w:tc>
          <w:tcPr>
            <w:tcW w:w="1559" w:type="dxa"/>
            <w:tcBorders>
              <w:top w:val="nil"/>
              <w:left w:val="nil"/>
              <w:bottom w:val="single" w:color="auto" w:sz="4" w:space="0"/>
              <w:right w:val="single" w:color="auto" w:sz="4" w:space="0"/>
            </w:tcBorders>
            <w:shd w:val="clear" w:color="auto" w:fill="FFFFFF"/>
            <w:vAlign w:val="center"/>
          </w:tcPr>
          <w:p w14:paraId="1AA785B6">
            <w:pPr>
              <w:pStyle w:val="45"/>
              <w:rPr>
                <w:rFonts w:hint="eastAsia"/>
                <w:color w:val="auto"/>
              </w:rPr>
            </w:pPr>
            <w:r>
              <w:rPr>
                <w:rFonts w:hint="eastAsia"/>
                <w:color w:val="auto"/>
              </w:rPr>
              <w:t>直螺纹套丝机</w:t>
            </w:r>
          </w:p>
        </w:tc>
        <w:tc>
          <w:tcPr>
            <w:tcW w:w="1276" w:type="dxa"/>
            <w:tcBorders>
              <w:top w:val="nil"/>
              <w:left w:val="nil"/>
              <w:bottom w:val="single" w:color="auto" w:sz="4" w:space="0"/>
              <w:right w:val="single" w:color="auto" w:sz="4" w:space="0"/>
            </w:tcBorders>
            <w:shd w:val="clear" w:color="auto" w:fill="FFFFFF"/>
            <w:vAlign w:val="center"/>
          </w:tcPr>
          <w:p w14:paraId="27C14832">
            <w:pPr>
              <w:pStyle w:val="45"/>
              <w:rPr>
                <w:rFonts w:hint="eastAsia"/>
                <w:color w:val="auto"/>
              </w:rPr>
            </w:pPr>
            <w:r>
              <w:rPr>
                <w:rFonts w:hint="eastAsia"/>
                <w:color w:val="auto"/>
              </w:rPr>
              <w:t>CW-3</w:t>
            </w:r>
          </w:p>
        </w:tc>
        <w:tc>
          <w:tcPr>
            <w:tcW w:w="851" w:type="dxa"/>
            <w:tcBorders>
              <w:top w:val="nil"/>
              <w:left w:val="nil"/>
              <w:bottom w:val="single" w:color="auto" w:sz="4" w:space="0"/>
              <w:right w:val="single" w:color="auto" w:sz="4" w:space="0"/>
            </w:tcBorders>
            <w:shd w:val="clear" w:color="auto" w:fill="FFFFFF"/>
            <w:vAlign w:val="center"/>
          </w:tcPr>
          <w:p w14:paraId="3CFB7F08">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174519B8">
            <w:pPr>
              <w:pStyle w:val="45"/>
              <w:rPr>
                <w:rFonts w:hint="eastAsia"/>
                <w:color w:val="auto"/>
              </w:rPr>
            </w:pPr>
            <w:r>
              <w:rPr>
                <w:rFonts w:hint="eastAsia"/>
                <w:color w:val="auto"/>
              </w:rPr>
              <w:t>4</w:t>
            </w:r>
          </w:p>
        </w:tc>
        <w:tc>
          <w:tcPr>
            <w:tcW w:w="1276" w:type="dxa"/>
            <w:tcBorders>
              <w:top w:val="nil"/>
              <w:left w:val="nil"/>
              <w:bottom w:val="single" w:color="auto" w:sz="4" w:space="0"/>
              <w:right w:val="single" w:color="auto" w:sz="4" w:space="0"/>
            </w:tcBorders>
            <w:shd w:val="clear" w:color="auto" w:fill="FFFFFF"/>
            <w:vAlign w:val="center"/>
          </w:tcPr>
          <w:p w14:paraId="50F86A14">
            <w:pPr>
              <w:pStyle w:val="45"/>
              <w:rPr>
                <w:rFonts w:hint="eastAsia"/>
                <w:color w:val="auto"/>
              </w:rPr>
            </w:pPr>
            <w:r>
              <w:rPr>
                <w:rFonts w:hint="eastAsia"/>
                <w:color w:val="auto"/>
              </w:rPr>
              <w:t>7.5</w:t>
            </w:r>
          </w:p>
        </w:tc>
        <w:tc>
          <w:tcPr>
            <w:tcW w:w="1559" w:type="dxa"/>
            <w:tcBorders>
              <w:top w:val="nil"/>
              <w:left w:val="nil"/>
              <w:bottom w:val="single" w:color="auto" w:sz="4" w:space="0"/>
              <w:right w:val="single" w:color="auto" w:sz="4" w:space="0"/>
            </w:tcBorders>
            <w:shd w:val="clear" w:color="auto" w:fill="FFFFFF"/>
            <w:vAlign w:val="center"/>
          </w:tcPr>
          <w:p w14:paraId="650A70FB">
            <w:pPr>
              <w:pStyle w:val="45"/>
              <w:rPr>
                <w:rFonts w:hint="eastAsia"/>
                <w:color w:val="auto"/>
              </w:rPr>
            </w:pPr>
            <w:r>
              <w:rPr>
                <w:rFonts w:hint="eastAsia"/>
                <w:color w:val="auto"/>
              </w:rPr>
              <w:t>30</w:t>
            </w:r>
          </w:p>
        </w:tc>
        <w:tc>
          <w:tcPr>
            <w:tcW w:w="1134" w:type="dxa"/>
            <w:tcBorders>
              <w:top w:val="nil"/>
              <w:left w:val="nil"/>
              <w:bottom w:val="single" w:color="auto" w:sz="4" w:space="0"/>
              <w:right w:val="single" w:color="auto" w:sz="4" w:space="0"/>
            </w:tcBorders>
            <w:shd w:val="clear" w:color="auto" w:fill="FFFFFF"/>
            <w:vAlign w:val="center"/>
          </w:tcPr>
          <w:p w14:paraId="5C9D46B7">
            <w:pPr>
              <w:pStyle w:val="45"/>
              <w:rPr>
                <w:rFonts w:hint="eastAsia"/>
                <w:color w:val="auto"/>
              </w:rPr>
            </w:pPr>
            <w:r>
              <w:rPr>
                <w:rFonts w:hint="eastAsia"/>
                <w:color w:val="auto"/>
              </w:rPr>
              <w:t>/</w:t>
            </w:r>
          </w:p>
        </w:tc>
      </w:tr>
      <w:tr w14:paraId="4090CFA3">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4DA9657">
            <w:pPr>
              <w:pStyle w:val="45"/>
              <w:rPr>
                <w:rFonts w:hint="eastAsia"/>
                <w:color w:val="auto"/>
              </w:rPr>
            </w:pPr>
            <w:r>
              <w:rPr>
                <w:rFonts w:hint="eastAsia"/>
                <w:color w:val="auto"/>
              </w:rPr>
              <w:t>8</w:t>
            </w:r>
          </w:p>
        </w:tc>
        <w:tc>
          <w:tcPr>
            <w:tcW w:w="1559" w:type="dxa"/>
            <w:tcBorders>
              <w:top w:val="nil"/>
              <w:left w:val="nil"/>
              <w:bottom w:val="single" w:color="auto" w:sz="4" w:space="0"/>
              <w:right w:val="single" w:color="auto" w:sz="4" w:space="0"/>
            </w:tcBorders>
            <w:shd w:val="clear" w:color="auto" w:fill="FFFFFF"/>
            <w:vAlign w:val="center"/>
          </w:tcPr>
          <w:p w14:paraId="50C6347D">
            <w:pPr>
              <w:pStyle w:val="45"/>
              <w:rPr>
                <w:rFonts w:hint="eastAsia"/>
                <w:color w:val="auto"/>
              </w:rPr>
            </w:pPr>
            <w:r>
              <w:rPr>
                <w:rFonts w:hint="eastAsia"/>
                <w:color w:val="auto"/>
              </w:rPr>
              <w:t>圆盘锯</w:t>
            </w:r>
          </w:p>
        </w:tc>
        <w:tc>
          <w:tcPr>
            <w:tcW w:w="1276" w:type="dxa"/>
            <w:tcBorders>
              <w:top w:val="nil"/>
              <w:left w:val="nil"/>
              <w:bottom w:val="single" w:color="auto" w:sz="4" w:space="0"/>
              <w:right w:val="single" w:color="auto" w:sz="4" w:space="0"/>
            </w:tcBorders>
            <w:shd w:val="clear" w:color="auto" w:fill="FFFFFF"/>
            <w:vAlign w:val="center"/>
          </w:tcPr>
          <w:p w14:paraId="5ED871AE">
            <w:pPr>
              <w:pStyle w:val="45"/>
              <w:rPr>
                <w:rFonts w:hint="eastAsia"/>
                <w:color w:val="auto"/>
              </w:rPr>
            </w:pPr>
            <w:r>
              <w:rPr>
                <w:rFonts w:hint="eastAsia"/>
                <w:color w:val="auto"/>
              </w:rPr>
              <w:t>JD-400</w:t>
            </w:r>
          </w:p>
        </w:tc>
        <w:tc>
          <w:tcPr>
            <w:tcW w:w="851" w:type="dxa"/>
            <w:tcBorders>
              <w:top w:val="nil"/>
              <w:left w:val="nil"/>
              <w:bottom w:val="single" w:color="auto" w:sz="4" w:space="0"/>
              <w:right w:val="single" w:color="auto" w:sz="4" w:space="0"/>
            </w:tcBorders>
            <w:shd w:val="clear" w:color="auto" w:fill="FFFFFF"/>
            <w:vAlign w:val="center"/>
          </w:tcPr>
          <w:p w14:paraId="308E0AFC">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448392A">
            <w:pPr>
              <w:pStyle w:val="45"/>
              <w:rPr>
                <w:rFonts w:hint="eastAsia"/>
                <w:color w:val="auto"/>
              </w:rPr>
            </w:pPr>
            <w:r>
              <w:rPr>
                <w:rFonts w:hint="eastAsia"/>
                <w:color w:val="auto"/>
              </w:rPr>
              <w:t>6</w:t>
            </w:r>
          </w:p>
        </w:tc>
        <w:tc>
          <w:tcPr>
            <w:tcW w:w="1276" w:type="dxa"/>
            <w:tcBorders>
              <w:top w:val="nil"/>
              <w:left w:val="nil"/>
              <w:bottom w:val="single" w:color="auto" w:sz="4" w:space="0"/>
              <w:right w:val="single" w:color="auto" w:sz="4" w:space="0"/>
            </w:tcBorders>
            <w:shd w:val="clear" w:color="auto" w:fill="FFFFFF"/>
            <w:vAlign w:val="center"/>
          </w:tcPr>
          <w:p w14:paraId="71C5F55E">
            <w:pPr>
              <w:pStyle w:val="45"/>
              <w:rPr>
                <w:rFonts w:hint="eastAsia"/>
                <w:color w:val="auto"/>
              </w:rPr>
            </w:pPr>
            <w:r>
              <w:rPr>
                <w:rFonts w:hint="eastAsia"/>
                <w:color w:val="auto"/>
              </w:rPr>
              <w:t>3</w:t>
            </w:r>
          </w:p>
        </w:tc>
        <w:tc>
          <w:tcPr>
            <w:tcW w:w="1559" w:type="dxa"/>
            <w:tcBorders>
              <w:top w:val="nil"/>
              <w:left w:val="nil"/>
              <w:bottom w:val="single" w:color="auto" w:sz="4" w:space="0"/>
              <w:right w:val="single" w:color="auto" w:sz="4" w:space="0"/>
            </w:tcBorders>
            <w:shd w:val="clear" w:color="auto" w:fill="FFFFFF"/>
            <w:vAlign w:val="center"/>
          </w:tcPr>
          <w:p w14:paraId="526313AE">
            <w:pPr>
              <w:pStyle w:val="45"/>
              <w:rPr>
                <w:rFonts w:hint="eastAsia"/>
                <w:color w:val="auto"/>
              </w:rPr>
            </w:pPr>
            <w:r>
              <w:rPr>
                <w:rFonts w:hint="eastAsia"/>
                <w:color w:val="auto"/>
              </w:rPr>
              <w:t>18</w:t>
            </w:r>
          </w:p>
        </w:tc>
        <w:tc>
          <w:tcPr>
            <w:tcW w:w="1134" w:type="dxa"/>
            <w:tcBorders>
              <w:top w:val="nil"/>
              <w:left w:val="nil"/>
              <w:bottom w:val="single" w:color="auto" w:sz="4" w:space="0"/>
              <w:right w:val="single" w:color="auto" w:sz="4" w:space="0"/>
            </w:tcBorders>
            <w:shd w:val="clear" w:color="auto" w:fill="FFFFFF"/>
            <w:vAlign w:val="center"/>
          </w:tcPr>
          <w:p w14:paraId="3DF6CFDB">
            <w:pPr>
              <w:pStyle w:val="45"/>
              <w:rPr>
                <w:rFonts w:hint="eastAsia"/>
                <w:color w:val="auto"/>
              </w:rPr>
            </w:pPr>
            <w:r>
              <w:rPr>
                <w:rFonts w:hint="eastAsia"/>
                <w:color w:val="auto"/>
              </w:rPr>
              <w:t>/</w:t>
            </w:r>
          </w:p>
        </w:tc>
      </w:tr>
      <w:tr w14:paraId="31A522D3">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E7A7A35">
            <w:pPr>
              <w:pStyle w:val="45"/>
              <w:rPr>
                <w:rFonts w:hint="eastAsia"/>
                <w:color w:val="auto"/>
              </w:rPr>
            </w:pPr>
            <w:r>
              <w:rPr>
                <w:rFonts w:hint="eastAsia"/>
                <w:color w:val="auto"/>
              </w:rPr>
              <w:t>9</w:t>
            </w:r>
          </w:p>
        </w:tc>
        <w:tc>
          <w:tcPr>
            <w:tcW w:w="1559" w:type="dxa"/>
            <w:tcBorders>
              <w:top w:val="nil"/>
              <w:left w:val="nil"/>
              <w:bottom w:val="single" w:color="auto" w:sz="4" w:space="0"/>
              <w:right w:val="single" w:color="auto" w:sz="4" w:space="0"/>
            </w:tcBorders>
            <w:shd w:val="clear" w:color="auto" w:fill="FFFFFF"/>
            <w:vAlign w:val="center"/>
          </w:tcPr>
          <w:p w14:paraId="0BAEFC81">
            <w:pPr>
              <w:pStyle w:val="45"/>
              <w:rPr>
                <w:rFonts w:hint="eastAsia"/>
                <w:color w:val="auto"/>
              </w:rPr>
            </w:pPr>
            <w:r>
              <w:rPr>
                <w:rFonts w:hint="eastAsia"/>
                <w:color w:val="auto"/>
              </w:rPr>
              <w:t>混凝土搅拌机</w:t>
            </w:r>
          </w:p>
        </w:tc>
        <w:tc>
          <w:tcPr>
            <w:tcW w:w="1276" w:type="dxa"/>
            <w:tcBorders>
              <w:top w:val="nil"/>
              <w:left w:val="nil"/>
              <w:bottom w:val="single" w:color="auto" w:sz="4" w:space="0"/>
              <w:right w:val="single" w:color="auto" w:sz="4" w:space="0"/>
            </w:tcBorders>
            <w:shd w:val="clear" w:color="auto" w:fill="FFFFFF"/>
            <w:vAlign w:val="center"/>
          </w:tcPr>
          <w:p w14:paraId="53198BA6">
            <w:pPr>
              <w:pStyle w:val="45"/>
              <w:rPr>
                <w:rFonts w:hint="eastAsia"/>
                <w:color w:val="auto"/>
              </w:rPr>
            </w:pPr>
            <w:r>
              <w:rPr>
                <w:rFonts w:hint="eastAsia"/>
                <w:color w:val="auto"/>
              </w:rPr>
              <w:t>ASCARI</w:t>
            </w:r>
          </w:p>
        </w:tc>
        <w:tc>
          <w:tcPr>
            <w:tcW w:w="851" w:type="dxa"/>
            <w:tcBorders>
              <w:top w:val="nil"/>
              <w:left w:val="nil"/>
              <w:bottom w:val="single" w:color="auto" w:sz="4" w:space="0"/>
              <w:right w:val="single" w:color="auto" w:sz="4" w:space="0"/>
            </w:tcBorders>
            <w:shd w:val="clear" w:color="auto" w:fill="FFFFFF"/>
            <w:vAlign w:val="center"/>
          </w:tcPr>
          <w:p w14:paraId="160F2E48">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F6F44DD">
            <w:pPr>
              <w:pStyle w:val="45"/>
              <w:rPr>
                <w:rFonts w:hint="eastAsia"/>
                <w:color w:val="auto"/>
              </w:rPr>
            </w:pPr>
            <w:r>
              <w:rPr>
                <w:rFonts w:hint="eastAsia"/>
                <w:color w:val="auto"/>
              </w:rPr>
              <w:t>2</w:t>
            </w:r>
          </w:p>
        </w:tc>
        <w:tc>
          <w:tcPr>
            <w:tcW w:w="1276" w:type="dxa"/>
            <w:tcBorders>
              <w:top w:val="nil"/>
              <w:left w:val="nil"/>
              <w:bottom w:val="single" w:color="auto" w:sz="4" w:space="0"/>
              <w:right w:val="single" w:color="auto" w:sz="4" w:space="0"/>
            </w:tcBorders>
            <w:shd w:val="clear" w:color="auto" w:fill="FFFFFF"/>
            <w:vAlign w:val="center"/>
          </w:tcPr>
          <w:p w14:paraId="4AB1C1C7">
            <w:pPr>
              <w:pStyle w:val="45"/>
              <w:rPr>
                <w:rFonts w:hint="eastAsia"/>
                <w:color w:val="auto"/>
              </w:rPr>
            </w:pPr>
            <w:r>
              <w:rPr>
                <w:rFonts w:hint="eastAsia"/>
                <w:color w:val="auto"/>
              </w:rPr>
              <w:t>5.5</w:t>
            </w:r>
          </w:p>
        </w:tc>
        <w:tc>
          <w:tcPr>
            <w:tcW w:w="1559" w:type="dxa"/>
            <w:tcBorders>
              <w:top w:val="nil"/>
              <w:left w:val="nil"/>
              <w:bottom w:val="single" w:color="auto" w:sz="4" w:space="0"/>
              <w:right w:val="single" w:color="auto" w:sz="4" w:space="0"/>
            </w:tcBorders>
            <w:shd w:val="clear" w:color="auto" w:fill="FFFFFF"/>
            <w:vAlign w:val="center"/>
          </w:tcPr>
          <w:p w14:paraId="2063D3ED">
            <w:pPr>
              <w:pStyle w:val="45"/>
              <w:rPr>
                <w:rFonts w:hint="eastAsia"/>
                <w:color w:val="auto"/>
              </w:rPr>
            </w:pPr>
            <w:r>
              <w:rPr>
                <w:rFonts w:hint="eastAsia"/>
                <w:color w:val="auto"/>
              </w:rPr>
              <w:t>11</w:t>
            </w:r>
          </w:p>
        </w:tc>
        <w:tc>
          <w:tcPr>
            <w:tcW w:w="1134" w:type="dxa"/>
            <w:tcBorders>
              <w:top w:val="nil"/>
              <w:left w:val="nil"/>
              <w:bottom w:val="single" w:color="auto" w:sz="4" w:space="0"/>
              <w:right w:val="single" w:color="auto" w:sz="4" w:space="0"/>
            </w:tcBorders>
            <w:shd w:val="clear" w:color="auto" w:fill="FFFFFF"/>
            <w:vAlign w:val="center"/>
          </w:tcPr>
          <w:p w14:paraId="30C5DC67">
            <w:pPr>
              <w:pStyle w:val="45"/>
              <w:rPr>
                <w:rFonts w:hint="eastAsia"/>
                <w:color w:val="auto"/>
              </w:rPr>
            </w:pPr>
            <w:r>
              <w:rPr>
                <w:rFonts w:hint="eastAsia"/>
                <w:color w:val="auto"/>
              </w:rPr>
              <w:t>/</w:t>
            </w:r>
          </w:p>
        </w:tc>
      </w:tr>
      <w:tr w14:paraId="7B880906">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2735D677">
            <w:pPr>
              <w:pStyle w:val="45"/>
              <w:rPr>
                <w:rFonts w:hint="eastAsia"/>
                <w:color w:val="auto"/>
              </w:rPr>
            </w:pPr>
            <w:r>
              <w:rPr>
                <w:rFonts w:hint="eastAsia"/>
                <w:color w:val="auto"/>
              </w:rPr>
              <w:t>10</w:t>
            </w:r>
          </w:p>
        </w:tc>
        <w:tc>
          <w:tcPr>
            <w:tcW w:w="1559" w:type="dxa"/>
            <w:tcBorders>
              <w:top w:val="nil"/>
              <w:left w:val="nil"/>
              <w:bottom w:val="single" w:color="auto" w:sz="4" w:space="0"/>
              <w:right w:val="single" w:color="auto" w:sz="4" w:space="0"/>
            </w:tcBorders>
            <w:shd w:val="clear" w:color="auto" w:fill="FFFFFF"/>
            <w:vAlign w:val="center"/>
          </w:tcPr>
          <w:p w14:paraId="57715697">
            <w:pPr>
              <w:pStyle w:val="45"/>
              <w:rPr>
                <w:rFonts w:hint="eastAsia"/>
                <w:color w:val="auto"/>
              </w:rPr>
            </w:pPr>
            <w:r>
              <w:rPr>
                <w:rFonts w:hint="eastAsia"/>
                <w:color w:val="auto"/>
              </w:rPr>
              <w:t>振动棒</w:t>
            </w:r>
          </w:p>
        </w:tc>
        <w:tc>
          <w:tcPr>
            <w:tcW w:w="1276" w:type="dxa"/>
            <w:tcBorders>
              <w:top w:val="nil"/>
              <w:left w:val="nil"/>
              <w:bottom w:val="single" w:color="auto" w:sz="4" w:space="0"/>
              <w:right w:val="single" w:color="auto" w:sz="4" w:space="0"/>
            </w:tcBorders>
            <w:shd w:val="clear" w:color="auto" w:fill="FFFFFF"/>
            <w:vAlign w:val="center"/>
          </w:tcPr>
          <w:p w14:paraId="3213C403">
            <w:pPr>
              <w:pStyle w:val="45"/>
              <w:rPr>
                <w:rFonts w:hint="eastAsia"/>
                <w:color w:val="auto"/>
              </w:rPr>
            </w:pPr>
            <w:r>
              <w:rPr>
                <w:rFonts w:hint="eastAsia"/>
                <w:color w:val="auto"/>
              </w:rPr>
              <w:t>50/30</w:t>
            </w:r>
          </w:p>
        </w:tc>
        <w:tc>
          <w:tcPr>
            <w:tcW w:w="851" w:type="dxa"/>
            <w:tcBorders>
              <w:top w:val="nil"/>
              <w:left w:val="nil"/>
              <w:bottom w:val="single" w:color="auto" w:sz="4" w:space="0"/>
              <w:right w:val="single" w:color="auto" w:sz="4" w:space="0"/>
            </w:tcBorders>
            <w:shd w:val="clear" w:color="auto" w:fill="FFFFFF"/>
            <w:vAlign w:val="center"/>
          </w:tcPr>
          <w:p w14:paraId="3B5362CF">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09027020">
            <w:pPr>
              <w:pStyle w:val="45"/>
              <w:rPr>
                <w:rFonts w:hint="eastAsia"/>
                <w:color w:val="auto"/>
              </w:rPr>
            </w:pPr>
            <w:r>
              <w:rPr>
                <w:rFonts w:hint="eastAsia"/>
                <w:color w:val="auto"/>
              </w:rPr>
              <w:t>5</w:t>
            </w:r>
          </w:p>
        </w:tc>
        <w:tc>
          <w:tcPr>
            <w:tcW w:w="1276" w:type="dxa"/>
            <w:tcBorders>
              <w:top w:val="nil"/>
              <w:left w:val="nil"/>
              <w:bottom w:val="single" w:color="auto" w:sz="4" w:space="0"/>
              <w:right w:val="single" w:color="auto" w:sz="4" w:space="0"/>
            </w:tcBorders>
            <w:shd w:val="clear" w:color="auto" w:fill="FFFFFF"/>
            <w:vAlign w:val="center"/>
          </w:tcPr>
          <w:p w14:paraId="3D9435B2">
            <w:pPr>
              <w:pStyle w:val="45"/>
              <w:rPr>
                <w:rFonts w:hint="eastAsia"/>
                <w:color w:val="auto"/>
              </w:rPr>
            </w:pPr>
            <w:r>
              <w:rPr>
                <w:rFonts w:hint="eastAsia"/>
                <w:color w:val="auto"/>
              </w:rPr>
              <w:t>2.2</w:t>
            </w:r>
          </w:p>
        </w:tc>
        <w:tc>
          <w:tcPr>
            <w:tcW w:w="1559" w:type="dxa"/>
            <w:tcBorders>
              <w:top w:val="nil"/>
              <w:left w:val="nil"/>
              <w:bottom w:val="single" w:color="auto" w:sz="4" w:space="0"/>
              <w:right w:val="single" w:color="auto" w:sz="4" w:space="0"/>
            </w:tcBorders>
            <w:shd w:val="clear" w:color="auto" w:fill="FFFFFF"/>
            <w:vAlign w:val="center"/>
          </w:tcPr>
          <w:p w14:paraId="79DCBEBC">
            <w:pPr>
              <w:pStyle w:val="45"/>
              <w:rPr>
                <w:rFonts w:hint="eastAsia"/>
                <w:color w:val="auto"/>
              </w:rPr>
            </w:pPr>
            <w:r>
              <w:rPr>
                <w:rFonts w:hint="eastAsia"/>
                <w:color w:val="auto"/>
              </w:rPr>
              <w:t>11</w:t>
            </w:r>
          </w:p>
        </w:tc>
        <w:tc>
          <w:tcPr>
            <w:tcW w:w="1134" w:type="dxa"/>
            <w:tcBorders>
              <w:top w:val="nil"/>
              <w:left w:val="nil"/>
              <w:bottom w:val="single" w:color="auto" w:sz="4" w:space="0"/>
              <w:right w:val="single" w:color="auto" w:sz="4" w:space="0"/>
            </w:tcBorders>
            <w:shd w:val="clear" w:color="auto" w:fill="FFFFFF"/>
            <w:vAlign w:val="center"/>
          </w:tcPr>
          <w:p w14:paraId="248E20AB">
            <w:pPr>
              <w:pStyle w:val="45"/>
              <w:rPr>
                <w:rFonts w:hint="eastAsia"/>
                <w:color w:val="auto"/>
              </w:rPr>
            </w:pPr>
            <w:r>
              <w:rPr>
                <w:rFonts w:hint="eastAsia"/>
                <w:color w:val="auto"/>
              </w:rPr>
              <w:t>/</w:t>
            </w:r>
          </w:p>
        </w:tc>
      </w:tr>
      <w:tr w14:paraId="03048E5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2CCF2145">
            <w:pPr>
              <w:pStyle w:val="45"/>
              <w:rPr>
                <w:rFonts w:hint="eastAsia"/>
                <w:color w:val="auto"/>
              </w:rPr>
            </w:pPr>
            <w:r>
              <w:rPr>
                <w:rFonts w:hint="eastAsia"/>
                <w:color w:val="auto"/>
              </w:rPr>
              <w:t>11</w:t>
            </w:r>
          </w:p>
        </w:tc>
        <w:tc>
          <w:tcPr>
            <w:tcW w:w="1559" w:type="dxa"/>
            <w:tcBorders>
              <w:top w:val="nil"/>
              <w:left w:val="nil"/>
              <w:bottom w:val="single" w:color="auto" w:sz="4" w:space="0"/>
              <w:right w:val="single" w:color="auto" w:sz="4" w:space="0"/>
            </w:tcBorders>
            <w:shd w:val="clear" w:color="auto" w:fill="FFFFFF"/>
            <w:vAlign w:val="center"/>
          </w:tcPr>
          <w:p w14:paraId="213C11BC">
            <w:pPr>
              <w:pStyle w:val="45"/>
              <w:rPr>
                <w:rFonts w:hint="eastAsia"/>
                <w:color w:val="auto"/>
              </w:rPr>
            </w:pPr>
            <w:r>
              <w:rPr>
                <w:rFonts w:hint="eastAsia"/>
                <w:color w:val="auto"/>
              </w:rPr>
              <w:t>电钻</w:t>
            </w:r>
          </w:p>
        </w:tc>
        <w:tc>
          <w:tcPr>
            <w:tcW w:w="1276" w:type="dxa"/>
            <w:tcBorders>
              <w:top w:val="nil"/>
              <w:left w:val="nil"/>
              <w:bottom w:val="single" w:color="auto" w:sz="4" w:space="0"/>
              <w:right w:val="single" w:color="auto" w:sz="4" w:space="0"/>
            </w:tcBorders>
            <w:shd w:val="clear" w:color="auto" w:fill="FFFFFF"/>
            <w:vAlign w:val="center"/>
          </w:tcPr>
          <w:p w14:paraId="18811F95">
            <w:pPr>
              <w:pStyle w:val="45"/>
              <w:rPr>
                <w:rFonts w:hint="eastAsia"/>
                <w:color w:val="auto"/>
              </w:rPr>
            </w:pPr>
            <w:r>
              <w:rPr>
                <w:rFonts w:hint="eastAsia"/>
                <w:color w:val="auto"/>
              </w:rPr>
              <w:t>6501</w:t>
            </w:r>
          </w:p>
        </w:tc>
        <w:tc>
          <w:tcPr>
            <w:tcW w:w="851" w:type="dxa"/>
            <w:tcBorders>
              <w:top w:val="nil"/>
              <w:left w:val="nil"/>
              <w:bottom w:val="single" w:color="auto" w:sz="4" w:space="0"/>
              <w:right w:val="single" w:color="auto" w:sz="4" w:space="0"/>
            </w:tcBorders>
            <w:shd w:val="clear" w:color="auto" w:fill="FFFFFF"/>
            <w:vAlign w:val="center"/>
          </w:tcPr>
          <w:p w14:paraId="2CA55924">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E5994E4">
            <w:pPr>
              <w:pStyle w:val="45"/>
              <w:rPr>
                <w:rFonts w:hint="eastAsia"/>
                <w:color w:val="auto"/>
              </w:rPr>
            </w:pPr>
            <w:r>
              <w:rPr>
                <w:rFonts w:hint="eastAsia"/>
                <w:color w:val="auto"/>
              </w:rPr>
              <w:t>5</w:t>
            </w:r>
          </w:p>
        </w:tc>
        <w:tc>
          <w:tcPr>
            <w:tcW w:w="1276" w:type="dxa"/>
            <w:tcBorders>
              <w:top w:val="nil"/>
              <w:left w:val="nil"/>
              <w:bottom w:val="single" w:color="auto" w:sz="4" w:space="0"/>
              <w:right w:val="single" w:color="auto" w:sz="4" w:space="0"/>
            </w:tcBorders>
            <w:shd w:val="clear" w:color="auto" w:fill="FFFFFF"/>
            <w:vAlign w:val="center"/>
          </w:tcPr>
          <w:p w14:paraId="2DB1CE5D">
            <w:pPr>
              <w:pStyle w:val="45"/>
              <w:rPr>
                <w:rFonts w:hint="eastAsia"/>
                <w:color w:val="auto"/>
              </w:rPr>
            </w:pPr>
            <w:r>
              <w:rPr>
                <w:rFonts w:hint="eastAsia"/>
                <w:color w:val="auto"/>
              </w:rPr>
              <w:t>0.4</w:t>
            </w:r>
          </w:p>
        </w:tc>
        <w:tc>
          <w:tcPr>
            <w:tcW w:w="1559" w:type="dxa"/>
            <w:tcBorders>
              <w:top w:val="nil"/>
              <w:left w:val="nil"/>
              <w:bottom w:val="single" w:color="auto" w:sz="4" w:space="0"/>
              <w:right w:val="single" w:color="auto" w:sz="4" w:space="0"/>
            </w:tcBorders>
            <w:shd w:val="clear" w:color="auto" w:fill="FFFFFF"/>
            <w:vAlign w:val="center"/>
          </w:tcPr>
          <w:p w14:paraId="19468FF8">
            <w:pPr>
              <w:pStyle w:val="45"/>
              <w:rPr>
                <w:rFonts w:hint="eastAsia"/>
                <w:color w:val="auto"/>
              </w:rPr>
            </w:pPr>
            <w:r>
              <w:rPr>
                <w:rFonts w:hint="eastAsia"/>
                <w:color w:val="auto"/>
              </w:rPr>
              <w:t>2</w:t>
            </w:r>
          </w:p>
        </w:tc>
        <w:tc>
          <w:tcPr>
            <w:tcW w:w="1134" w:type="dxa"/>
            <w:tcBorders>
              <w:top w:val="nil"/>
              <w:left w:val="nil"/>
              <w:bottom w:val="single" w:color="auto" w:sz="4" w:space="0"/>
              <w:right w:val="single" w:color="auto" w:sz="4" w:space="0"/>
            </w:tcBorders>
            <w:shd w:val="clear" w:color="auto" w:fill="FFFFFF"/>
            <w:vAlign w:val="center"/>
          </w:tcPr>
          <w:p w14:paraId="430DC9D3">
            <w:pPr>
              <w:pStyle w:val="45"/>
              <w:rPr>
                <w:rFonts w:hint="eastAsia"/>
                <w:color w:val="auto"/>
              </w:rPr>
            </w:pPr>
            <w:r>
              <w:rPr>
                <w:rFonts w:hint="eastAsia"/>
                <w:color w:val="auto"/>
              </w:rPr>
              <w:t>/</w:t>
            </w:r>
          </w:p>
        </w:tc>
      </w:tr>
      <w:tr w14:paraId="076631FF">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60D5DF58">
            <w:pPr>
              <w:pStyle w:val="45"/>
              <w:rPr>
                <w:rFonts w:hint="eastAsia"/>
                <w:color w:val="auto"/>
              </w:rPr>
            </w:pPr>
            <w:r>
              <w:rPr>
                <w:rFonts w:hint="eastAsia"/>
                <w:color w:val="auto"/>
              </w:rPr>
              <w:t>12</w:t>
            </w:r>
          </w:p>
        </w:tc>
        <w:tc>
          <w:tcPr>
            <w:tcW w:w="1559" w:type="dxa"/>
            <w:tcBorders>
              <w:top w:val="nil"/>
              <w:left w:val="nil"/>
              <w:bottom w:val="single" w:color="auto" w:sz="4" w:space="0"/>
              <w:right w:val="single" w:color="auto" w:sz="4" w:space="0"/>
            </w:tcBorders>
            <w:shd w:val="clear" w:color="auto" w:fill="FFFFFF"/>
            <w:vAlign w:val="center"/>
          </w:tcPr>
          <w:p w14:paraId="07E62C35">
            <w:pPr>
              <w:pStyle w:val="45"/>
              <w:rPr>
                <w:rFonts w:hint="eastAsia"/>
                <w:color w:val="auto"/>
              </w:rPr>
            </w:pPr>
            <w:r>
              <w:rPr>
                <w:rFonts w:hint="eastAsia"/>
                <w:color w:val="auto"/>
              </w:rPr>
              <w:t>立式多级泵</w:t>
            </w:r>
          </w:p>
        </w:tc>
        <w:tc>
          <w:tcPr>
            <w:tcW w:w="1276" w:type="dxa"/>
            <w:tcBorders>
              <w:top w:val="nil"/>
              <w:left w:val="nil"/>
              <w:bottom w:val="single" w:color="auto" w:sz="4" w:space="0"/>
              <w:right w:val="single" w:color="auto" w:sz="4" w:space="0"/>
            </w:tcBorders>
            <w:shd w:val="clear" w:color="auto" w:fill="FFFFFF"/>
            <w:vAlign w:val="center"/>
          </w:tcPr>
          <w:p w14:paraId="243AB3B0">
            <w:pPr>
              <w:pStyle w:val="45"/>
              <w:rPr>
                <w:rFonts w:hint="eastAsia"/>
                <w:color w:val="auto"/>
              </w:rPr>
            </w:pPr>
            <w:r>
              <w:rPr>
                <w:rFonts w:hint="eastAsia"/>
                <w:color w:val="auto"/>
              </w:rPr>
              <w:t>50GDL12-15×9</w:t>
            </w:r>
          </w:p>
        </w:tc>
        <w:tc>
          <w:tcPr>
            <w:tcW w:w="851" w:type="dxa"/>
            <w:tcBorders>
              <w:top w:val="nil"/>
              <w:left w:val="nil"/>
              <w:bottom w:val="single" w:color="auto" w:sz="4" w:space="0"/>
              <w:right w:val="single" w:color="auto" w:sz="4" w:space="0"/>
            </w:tcBorders>
            <w:shd w:val="clear" w:color="auto" w:fill="FFFFFF"/>
            <w:vAlign w:val="center"/>
          </w:tcPr>
          <w:p w14:paraId="7B0C36E2">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1EA2750A">
            <w:pPr>
              <w:pStyle w:val="45"/>
              <w:rPr>
                <w:rFonts w:hint="eastAsia"/>
                <w:color w:val="auto"/>
              </w:rPr>
            </w:pPr>
            <w:r>
              <w:rPr>
                <w:rFonts w:hint="eastAsia"/>
                <w:color w:val="auto"/>
              </w:rPr>
              <w:t>2</w:t>
            </w:r>
          </w:p>
        </w:tc>
        <w:tc>
          <w:tcPr>
            <w:tcW w:w="1276" w:type="dxa"/>
            <w:tcBorders>
              <w:top w:val="nil"/>
              <w:left w:val="nil"/>
              <w:bottom w:val="single" w:color="auto" w:sz="4" w:space="0"/>
              <w:right w:val="single" w:color="auto" w:sz="4" w:space="0"/>
            </w:tcBorders>
            <w:shd w:val="clear" w:color="auto" w:fill="FFFFFF"/>
            <w:vAlign w:val="center"/>
          </w:tcPr>
          <w:p w14:paraId="5970BAB3">
            <w:pPr>
              <w:pStyle w:val="45"/>
              <w:rPr>
                <w:rFonts w:hint="eastAsia"/>
                <w:color w:val="auto"/>
              </w:rPr>
            </w:pPr>
            <w:r>
              <w:rPr>
                <w:rFonts w:hint="eastAsia"/>
                <w:color w:val="auto"/>
              </w:rPr>
              <w:t>11</w:t>
            </w:r>
          </w:p>
        </w:tc>
        <w:tc>
          <w:tcPr>
            <w:tcW w:w="1559" w:type="dxa"/>
            <w:tcBorders>
              <w:top w:val="nil"/>
              <w:left w:val="nil"/>
              <w:bottom w:val="single" w:color="auto" w:sz="4" w:space="0"/>
              <w:right w:val="single" w:color="auto" w:sz="4" w:space="0"/>
            </w:tcBorders>
            <w:shd w:val="clear" w:color="auto" w:fill="FFFFFF"/>
            <w:vAlign w:val="center"/>
          </w:tcPr>
          <w:p w14:paraId="54B75C76">
            <w:pPr>
              <w:pStyle w:val="45"/>
              <w:rPr>
                <w:rFonts w:hint="eastAsia"/>
                <w:color w:val="auto"/>
              </w:rPr>
            </w:pPr>
            <w:r>
              <w:rPr>
                <w:rFonts w:hint="eastAsia"/>
                <w:color w:val="auto"/>
              </w:rPr>
              <w:t>22</w:t>
            </w:r>
          </w:p>
        </w:tc>
        <w:tc>
          <w:tcPr>
            <w:tcW w:w="1134" w:type="dxa"/>
            <w:tcBorders>
              <w:top w:val="nil"/>
              <w:left w:val="nil"/>
              <w:bottom w:val="single" w:color="auto" w:sz="4" w:space="0"/>
              <w:right w:val="single" w:color="auto" w:sz="4" w:space="0"/>
            </w:tcBorders>
            <w:shd w:val="clear" w:color="auto" w:fill="FFFFFF"/>
            <w:vAlign w:val="center"/>
          </w:tcPr>
          <w:p w14:paraId="1963093D">
            <w:pPr>
              <w:pStyle w:val="45"/>
              <w:rPr>
                <w:rFonts w:hint="eastAsia"/>
                <w:color w:val="auto"/>
              </w:rPr>
            </w:pPr>
            <w:r>
              <w:rPr>
                <w:rFonts w:hint="eastAsia"/>
                <w:color w:val="auto"/>
              </w:rPr>
              <w:t>18m³;120m</w:t>
            </w:r>
          </w:p>
        </w:tc>
      </w:tr>
      <w:tr w14:paraId="4E183C11">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7698A607">
            <w:pPr>
              <w:pStyle w:val="45"/>
              <w:rPr>
                <w:rFonts w:hint="eastAsia"/>
                <w:color w:val="auto"/>
              </w:rPr>
            </w:pPr>
            <w:r>
              <w:rPr>
                <w:rFonts w:hint="eastAsia"/>
                <w:color w:val="auto"/>
              </w:rPr>
              <w:t>13</w:t>
            </w:r>
          </w:p>
        </w:tc>
        <w:tc>
          <w:tcPr>
            <w:tcW w:w="1559" w:type="dxa"/>
            <w:tcBorders>
              <w:top w:val="nil"/>
              <w:left w:val="nil"/>
              <w:bottom w:val="single" w:color="auto" w:sz="4" w:space="0"/>
              <w:right w:val="single" w:color="auto" w:sz="4" w:space="0"/>
            </w:tcBorders>
            <w:shd w:val="clear" w:color="auto" w:fill="FFFFFF"/>
            <w:vAlign w:val="center"/>
          </w:tcPr>
          <w:p w14:paraId="592642B1">
            <w:pPr>
              <w:pStyle w:val="45"/>
              <w:rPr>
                <w:rFonts w:hint="eastAsia"/>
                <w:color w:val="auto"/>
              </w:rPr>
            </w:pPr>
            <w:r>
              <w:rPr>
                <w:rFonts w:hint="eastAsia"/>
                <w:color w:val="auto"/>
              </w:rPr>
              <w:t>消防增压泵</w:t>
            </w:r>
          </w:p>
        </w:tc>
        <w:tc>
          <w:tcPr>
            <w:tcW w:w="1276" w:type="dxa"/>
            <w:tcBorders>
              <w:top w:val="nil"/>
              <w:left w:val="nil"/>
              <w:bottom w:val="single" w:color="auto" w:sz="4" w:space="0"/>
              <w:right w:val="single" w:color="auto" w:sz="4" w:space="0"/>
            </w:tcBorders>
            <w:shd w:val="clear" w:color="auto" w:fill="FFFFFF"/>
            <w:vAlign w:val="center"/>
          </w:tcPr>
          <w:p w14:paraId="2BD96CB9">
            <w:pPr>
              <w:pStyle w:val="45"/>
              <w:rPr>
                <w:rFonts w:hint="eastAsia"/>
                <w:color w:val="auto"/>
              </w:rPr>
            </w:pPr>
            <w:r>
              <w:rPr>
                <w:rFonts w:hint="eastAsia"/>
                <w:color w:val="auto"/>
              </w:rPr>
              <w:t>DLB-22</w:t>
            </w:r>
          </w:p>
        </w:tc>
        <w:tc>
          <w:tcPr>
            <w:tcW w:w="851" w:type="dxa"/>
            <w:tcBorders>
              <w:top w:val="nil"/>
              <w:left w:val="nil"/>
              <w:bottom w:val="single" w:color="auto" w:sz="4" w:space="0"/>
              <w:right w:val="single" w:color="auto" w:sz="4" w:space="0"/>
            </w:tcBorders>
            <w:shd w:val="clear" w:color="auto" w:fill="FFFFFF"/>
            <w:vAlign w:val="center"/>
          </w:tcPr>
          <w:p w14:paraId="4F2CC8AD">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041B7C07">
            <w:pPr>
              <w:pStyle w:val="45"/>
              <w:rPr>
                <w:rFonts w:hint="eastAsia"/>
                <w:color w:val="auto"/>
              </w:rPr>
            </w:pPr>
            <w:r>
              <w:rPr>
                <w:rFonts w:hint="eastAsia"/>
                <w:color w:val="auto"/>
              </w:rPr>
              <w:t>4</w:t>
            </w:r>
          </w:p>
        </w:tc>
        <w:tc>
          <w:tcPr>
            <w:tcW w:w="1276" w:type="dxa"/>
            <w:tcBorders>
              <w:top w:val="nil"/>
              <w:left w:val="nil"/>
              <w:bottom w:val="single" w:color="auto" w:sz="4" w:space="0"/>
              <w:right w:val="single" w:color="auto" w:sz="4" w:space="0"/>
            </w:tcBorders>
            <w:shd w:val="clear" w:color="auto" w:fill="FFFFFF"/>
            <w:vAlign w:val="center"/>
          </w:tcPr>
          <w:p w14:paraId="2D71D097">
            <w:pPr>
              <w:pStyle w:val="45"/>
              <w:rPr>
                <w:rFonts w:hint="eastAsia"/>
                <w:color w:val="auto"/>
              </w:rPr>
            </w:pPr>
            <w:r>
              <w:rPr>
                <w:rFonts w:hint="eastAsia"/>
                <w:color w:val="auto"/>
              </w:rPr>
              <w:t>15</w:t>
            </w:r>
          </w:p>
        </w:tc>
        <w:tc>
          <w:tcPr>
            <w:tcW w:w="1559" w:type="dxa"/>
            <w:tcBorders>
              <w:top w:val="nil"/>
              <w:left w:val="nil"/>
              <w:bottom w:val="single" w:color="auto" w:sz="4" w:space="0"/>
              <w:right w:val="single" w:color="auto" w:sz="4" w:space="0"/>
            </w:tcBorders>
            <w:shd w:val="clear" w:color="auto" w:fill="FFFFFF"/>
            <w:vAlign w:val="center"/>
          </w:tcPr>
          <w:p w14:paraId="025C059A">
            <w:pPr>
              <w:pStyle w:val="45"/>
              <w:rPr>
                <w:rFonts w:hint="eastAsia"/>
                <w:color w:val="auto"/>
              </w:rPr>
            </w:pPr>
            <w:r>
              <w:rPr>
                <w:rFonts w:hint="eastAsia"/>
                <w:color w:val="auto"/>
              </w:rPr>
              <w:t>60</w:t>
            </w:r>
          </w:p>
        </w:tc>
        <w:tc>
          <w:tcPr>
            <w:tcW w:w="1134" w:type="dxa"/>
            <w:tcBorders>
              <w:top w:val="nil"/>
              <w:left w:val="nil"/>
              <w:bottom w:val="single" w:color="auto" w:sz="4" w:space="0"/>
              <w:right w:val="single" w:color="auto" w:sz="4" w:space="0"/>
            </w:tcBorders>
            <w:shd w:val="clear" w:color="auto" w:fill="FFFFFF"/>
            <w:vAlign w:val="center"/>
          </w:tcPr>
          <w:p w14:paraId="1F4FA922">
            <w:pPr>
              <w:pStyle w:val="45"/>
              <w:rPr>
                <w:rFonts w:hint="eastAsia"/>
                <w:color w:val="auto"/>
              </w:rPr>
            </w:pPr>
            <w:r>
              <w:rPr>
                <w:rFonts w:hint="eastAsia"/>
                <w:color w:val="auto"/>
              </w:rPr>
              <w:t>/</w:t>
            </w:r>
          </w:p>
        </w:tc>
      </w:tr>
      <w:tr w14:paraId="53396F70">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12C54A4B">
            <w:pPr>
              <w:pStyle w:val="45"/>
              <w:rPr>
                <w:rFonts w:hint="eastAsia"/>
                <w:color w:val="auto"/>
              </w:rPr>
            </w:pPr>
            <w:r>
              <w:rPr>
                <w:rFonts w:hint="eastAsia"/>
                <w:color w:val="auto"/>
              </w:rPr>
              <w:t>14</w:t>
            </w:r>
          </w:p>
        </w:tc>
        <w:tc>
          <w:tcPr>
            <w:tcW w:w="1559" w:type="dxa"/>
            <w:tcBorders>
              <w:top w:val="nil"/>
              <w:left w:val="nil"/>
              <w:bottom w:val="single" w:color="auto" w:sz="4" w:space="0"/>
              <w:right w:val="single" w:color="auto" w:sz="4" w:space="0"/>
            </w:tcBorders>
            <w:shd w:val="clear" w:color="auto" w:fill="FFFFFF"/>
            <w:vAlign w:val="center"/>
          </w:tcPr>
          <w:p w14:paraId="35BFEB39">
            <w:pPr>
              <w:pStyle w:val="45"/>
              <w:rPr>
                <w:rFonts w:hint="eastAsia"/>
                <w:color w:val="auto"/>
              </w:rPr>
            </w:pPr>
            <w:r>
              <w:rPr>
                <w:rFonts w:hint="eastAsia"/>
                <w:color w:val="auto"/>
              </w:rPr>
              <w:t>污水泵</w:t>
            </w:r>
          </w:p>
        </w:tc>
        <w:tc>
          <w:tcPr>
            <w:tcW w:w="1276" w:type="dxa"/>
            <w:tcBorders>
              <w:top w:val="nil"/>
              <w:left w:val="nil"/>
              <w:bottom w:val="single" w:color="auto" w:sz="4" w:space="0"/>
              <w:right w:val="single" w:color="auto" w:sz="4" w:space="0"/>
            </w:tcBorders>
            <w:shd w:val="clear" w:color="auto" w:fill="FFFFFF"/>
            <w:vAlign w:val="center"/>
          </w:tcPr>
          <w:p w14:paraId="1EAFCA97">
            <w:pPr>
              <w:pStyle w:val="45"/>
              <w:rPr>
                <w:rFonts w:hint="eastAsia"/>
                <w:color w:val="auto"/>
              </w:rPr>
            </w:pPr>
            <w:r>
              <w:rPr>
                <w:rFonts w:hint="eastAsia"/>
                <w:color w:val="auto"/>
              </w:rPr>
              <w:t>100WQ100-7.5</w:t>
            </w:r>
          </w:p>
        </w:tc>
        <w:tc>
          <w:tcPr>
            <w:tcW w:w="851" w:type="dxa"/>
            <w:tcBorders>
              <w:top w:val="nil"/>
              <w:left w:val="nil"/>
              <w:bottom w:val="single" w:color="auto" w:sz="4" w:space="0"/>
              <w:right w:val="single" w:color="auto" w:sz="4" w:space="0"/>
            </w:tcBorders>
            <w:shd w:val="clear" w:color="auto" w:fill="FFFFFF"/>
            <w:vAlign w:val="center"/>
          </w:tcPr>
          <w:p w14:paraId="58FBD760">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0825384">
            <w:pPr>
              <w:pStyle w:val="45"/>
              <w:rPr>
                <w:rFonts w:hint="eastAsia"/>
                <w:color w:val="auto"/>
              </w:rPr>
            </w:pPr>
            <w:r>
              <w:rPr>
                <w:rFonts w:hint="eastAsia"/>
                <w:color w:val="auto"/>
              </w:rPr>
              <w:t>1</w:t>
            </w:r>
          </w:p>
        </w:tc>
        <w:tc>
          <w:tcPr>
            <w:tcW w:w="1276" w:type="dxa"/>
            <w:tcBorders>
              <w:top w:val="nil"/>
              <w:left w:val="nil"/>
              <w:bottom w:val="single" w:color="auto" w:sz="4" w:space="0"/>
              <w:right w:val="single" w:color="auto" w:sz="4" w:space="0"/>
            </w:tcBorders>
            <w:shd w:val="clear" w:color="auto" w:fill="FFFFFF"/>
            <w:vAlign w:val="center"/>
          </w:tcPr>
          <w:p w14:paraId="32CAE065">
            <w:pPr>
              <w:pStyle w:val="45"/>
              <w:rPr>
                <w:rFonts w:hint="eastAsia"/>
                <w:color w:val="auto"/>
              </w:rPr>
            </w:pPr>
            <w:r>
              <w:rPr>
                <w:rFonts w:hint="eastAsia"/>
                <w:color w:val="auto"/>
              </w:rPr>
              <w:t>7.5</w:t>
            </w:r>
          </w:p>
        </w:tc>
        <w:tc>
          <w:tcPr>
            <w:tcW w:w="1559" w:type="dxa"/>
            <w:tcBorders>
              <w:top w:val="nil"/>
              <w:left w:val="nil"/>
              <w:bottom w:val="single" w:color="auto" w:sz="4" w:space="0"/>
              <w:right w:val="single" w:color="auto" w:sz="4" w:space="0"/>
            </w:tcBorders>
            <w:shd w:val="clear" w:color="auto" w:fill="FFFFFF"/>
            <w:vAlign w:val="center"/>
          </w:tcPr>
          <w:p w14:paraId="2C0F5CAF">
            <w:pPr>
              <w:pStyle w:val="45"/>
              <w:rPr>
                <w:rFonts w:hint="eastAsia"/>
                <w:color w:val="auto"/>
              </w:rPr>
            </w:pPr>
            <w:r>
              <w:rPr>
                <w:rFonts w:hint="eastAsia"/>
                <w:color w:val="auto"/>
              </w:rPr>
              <w:t>7.5</w:t>
            </w:r>
          </w:p>
        </w:tc>
        <w:tc>
          <w:tcPr>
            <w:tcW w:w="1134" w:type="dxa"/>
            <w:tcBorders>
              <w:top w:val="nil"/>
              <w:left w:val="nil"/>
              <w:bottom w:val="single" w:color="auto" w:sz="4" w:space="0"/>
              <w:right w:val="single" w:color="auto" w:sz="4" w:space="0"/>
            </w:tcBorders>
            <w:shd w:val="clear" w:color="auto" w:fill="FFFFFF"/>
            <w:vAlign w:val="center"/>
          </w:tcPr>
          <w:p w14:paraId="64635ED1">
            <w:pPr>
              <w:pStyle w:val="45"/>
              <w:rPr>
                <w:rFonts w:hint="eastAsia"/>
                <w:color w:val="auto"/>
              </w:rPr>
            </w:pPr>
            <w:r>
              <w:rPr>
                <w:rFonts w:hint="eastAsia"/>
                <w:color w:val="auto"/>
              </w:rPr>
              <w:t>/</w:t>
            </w:r>
          </w:p>
        </w:tc>
      </w:tr>
      <w:tr w14:paraId="52B7A4E1">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5D74EAA9">
            <w:pPr>
              <w:pStyle w:val="45"/>
              <w:rPr>
                <w:rFonts w:hint="eastAsia"/>
                <w:color w:val="auto"/>
              </w:rPr>
            </w:pPr>
            <w:r>
              <w:rPr>
                <w:rFonts w:hint="eastAsia"/>
                <w:color w:val="auto"/>
              </w:rPr>
              <w:t>15</w:t>
            </w:r>
          </w:p>
        </w:tc>
        <w:tc>
          <w:tcPr>
            <w:tcW w:w="1559" w:type="dxa"/>
            <w:tcBorders>
              <w:top w:val="nil"/>
              <w:left w:val="nil"/>
              <w:bottom w:val="single" w:color="auto" w:sz="4" w:space="0"/>
              <w:right w:val="single" w:color="auto" w:sz="4" w:space="0"/>
            </w:tcBorders>
            <w:shd w:val="clear" w:color="auto" w:fill="FFFFFF"/>
            <w:vAlign w:val="center"/>
          </w:tcPr>
          <w:p w14:paraId="695B4077">
            <w:pPr>
              <w:pStyle w:val="45"/>
              <w:rPr>
                <w:rFonts w:hint="eastAsia"/>
                <w:color w:val="auto"/>
              </w:rPr>
            </w:pPr>
            <w:r>
              <w:rPr>
                <w:rFonts w:hint="eastAsia"/>
                <w:color w:val="auto"/>
              </w:rPr>
              <w:t>污水泵</w:t>
            </w:r>
          </w:p>
        </w:tc>
        <w:tc>
          <w:tcPr>
            <w:tcW w:w="1276" w:type="dxa"/>
            <w:tcBorders>
              <w:top w:val="nil"/>
              <w:left w:val="nil"/>
              <w:bottom w:val="single" w:color="auto" w:sz="4" w:space="0"/>
              <w:right w:val="single" w:color="auto" w:sz="4" w:space="0"/>
            </w:tcBorders>
            <w:shd w:val="clear" w:color="auto" w:fill="FFFFFF"/>
            <w:vAlign w:val="center"/>
          </w:tcPr>
          <w:p w14:paraId="6CC504B9">
            <w:pPr>
              <w:pStyle w:val="45"/>
              <w:rPr>
                <w:rFonts w:hint="eastAsia"/>
                <w:color w:val="auto"/>
              </w:rPr>
            </w:pPr>
            <w:r>
              <w:rPr>
                <w:rFonts w:hint="eastAsia"/>
                <w:color w:val="auto"/>
              </w:rPr>
              <w:t>50WQ15-5.5</w:t>
            </w:r>
          </w:p>
        </w:tc>
        <w:tc>
          <w:tcPr>
            <w:tcW w:w="851" w:type="dxa"/>
            <w:tcBorders>
              <w:top w:val="nil"/>
              <w:left w:val="nil"/>
              <w:bottom w:val="single" w:color="auto" w:sz="4" w:space="0"/>
              <w:right w:val="single" w:color="auto" w:sz="4" w:space="0"/>
            </w:tcBorders>
            <w:shd w:val="clear" w:color="auto" w:fill="FFFFFF"/>
            <w:vAlign w:val="center"/>
          </w:tcPr>
          <w:p w14:paraId="5D5311D6">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56E0167B">
            <w:pPr>
              <w:pStyle w:val="45"/>
              <w:rPr>
                <w:rFonts w:hint="eastAsia"/>
                <w:color w:val="auto"/>
              </w:rPr>
            </w:pPr>
            <w:r>
              <w:rPr>
                <w:rFonts w:hint="eastAsia"/>
                <w:color w:val="auto"/>
              </w:rPr>
              <w:t>3</w:t>
            </w:r>
          </w:p>
        </w:tc>
        <w:tc>
          <w:tcPr>
            <w:tcW w:w="1276" w:type="dxa"/>
            <w:tcBorders>
              <w:top w:val="nil"/>
              <w:left w:val="nil"/>
              <w:bottom w:val="single" w:color="auto" w:sz="4" w:space="0"/>
              <w:right w:val="single" w:color="auto" w:sz="4" w:space="0"/>
            </w:tcBorders>
            <w:shd w:val="clear" w:color="auto" w:fill="FFFFFF"/>
            <w:vAlign w:val="center"/>
          </w:tcPr>
          <w:p w14:paraId="6DCB616B">
            <w:pPr>
              <w:pStyle w:val="45"/>
              <w:rPr>
                <w:rFonts w:hint="eastAsia"/>
                <w:color w:val="auto"/>
              </w:rPr>
            </w:pPr>
            <w:r>
              <w:rPr>
                <w:rFonts w:hint="eastAsia"/>
                <w:color w:val="auto"/>
              </w:rPr>
              <w:t>5.5</w:t>
            </w:r>
          </w:p>
        </w:tc>
        <w:tc>
          <w:tcPr>
            <w:tcW w:w="1559" w:type="dxa"/>
            <w:tcBorders>
              <w:top w:val="nil"/>
              <w:left w:val="nil"/>
              <w:bottom w:val="single" w:color="auto" w:sz="4" w:space="0"/>
              <w:right w:val="single" w:color="auto" w:sz="4" w:space="0"/>
            </w:tcBorders>
            <w:shd w:val="clear" w:color="auto" w:fill="FFFFFF"/>
            <w:vAlign w:val="center"/>
          </w:tcPr>
          <w:p w14:paraId="2E6545ED">
            <w:pPr>
              <w:pStyle w:val="45"/>
              <w:rPr>
                <w:rFonts w:hint="eastAsia"/>
                <w:color w:val="auto"/>
              </w:rPr>
            </w:pPr>
            <w:r>
              <w:rPr>
                <w:rFonts w:hint="eastAsia"/>
                <w:color w:val="auto"/>
              </w:rPr>
              <w:t>16.5</w:t>
            </w:r>
          </w:p>
        </w:tc>
        <w:tc>
          <w:tcPr>
            <w:tcW w:w="1134" w:type="dxa"/>
            <w:tcBorders>
              <w:top w:val="nil"/>
              <w:left w:val="nil"/>
              <w:bottom w:val="single" w:color="auto" w:sz="4" w:space="0"/>
              <w:right w:val="single" w:color="auto" w:sz="4" w:space="0"/>
            </w:tcBorders>
            <w:shd w:val="clear" w:color="auto" w:fill="FFFFFF"/>
            <w:vAlign w:val="center"/>
          </w:tcPr>
          <w:p w14:paraId="7E3858E7">
            <w:pPr>
              <w:pStyle w:val="45"/>
              <w:rPr>
                <w:rFonts w:hint="eastAsia"/>
                <w:color w:val="auto"/>
              </w:rPr>
            </w:pPr>
            <w:r>
              <w:rPr>
                <w:rFonts w:hint="eastAsia"/>
                <w:color w:val="auto"/>
              </w:rPr>
              <w:t>/</w:t>
            </w:r>
          </w:p>
        </w:tc>
      </w:tr>
      <w:tr w14:paraId="1C9E6379">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6A3D3B74">
            <w:pPr>
              <w:pStyle w:val="45"/>
              <w:rPr>
                <w:rFonts w:hint="eastAsia"/>
                <w:color w:val="auto"/>
              </w:rPr>
            </w:pPr>
            <w:r>
              <w:rPr>
                <w:rFonts w:hint="eastAsia"/>
                <w:color w:val="auto"/>
              </w:rPr>
              <w:t>16</w:t>
            </w:r>
          </w:p>
        </w:tc>
        <w:tc>
          <w:tcPr>
            <w:tcW w:w="1559" w:type="dxa"/>
            <w:tcBorders>
              <w:top w:val="nil"/>
              <w:left w:val="nil"/>
              <w:bottom w:val="single" w:color="auto" w:sz="4" w:space="0"/>
              <w:right w:val="single" w:color="auto" w:sz="4" w:space="0"/>
            </w:tcBorders>
            <w:shd w:val="clear" w:color="auto" w:fill="FFFFFF"/>
            <w:vAlign w:val="center"/>
          </w:tcPr>
          <w:p w14:paraId="4A1ECAAD">
            <w:pPr>
              <w:pStyle w:val="45"/>
              <w:rPr>
                <w:rFonts w:hint="eastAsia"/>
                <w:color w:val="auto"/>
              </w:rPr>
            </w:pPr>
            <w:r>
              <w:rPr>
                <w:rFonts w:hint="eastAsia"/>
                <w:color w:val="auto"/>
              </w:rPr>
              <w:t>污水泵</w:t>
            </w:r>
          </w:p>
        </w:tc>
        <w:tc>
          <w:tcPr>
            <w:tcW w:w="1276" w:type="dxa"/>
            <w:tcBorders>
              <w:top w:val="nil"/>
              <w:left w:val="nil"/>
              <w:bottom w:val="single" w:color="auto" w:sz="4" w:space="0"/>
              <w:right w:val="single" w:color="auto" w:sz="4" w:space="0"/>
            </w:tcBorders>
            <w:shd w:val="clear" w:color="auto" w:fill="FFFFFF"/>
            <w:vAlign w:val="center"/>
          </w:tcPr>
          <w:p w14:paraId="1A521A27">
            <w:pPr>
              <w:pStyle w:val="45"/>
              <w:rPr>
                <w:rFonts w:hint="eastAsia"/>
                <w:color w:val="auto"/>
              </w:rPr>
            </w:pPr>
            <w:r>
              <w:rPr>
                <w:rFonts w:hint="eastAsia"/>
                <w:color w:val="auto"/>
              </w:rPr>
              <w:t>50WQ15-2.2</w:t>
            </w:r>
          </w:p>
        </w:tc>
        <w:tc>
          <w:tcPr>
            <w:tcW w:w="851" w:type="dxa"/>
            <w:tcBorders>
              <w:top w:val="nil"/>
              <w:left w:val="nil"/>
              <w:bottom w:val="single" w:color="auto" w:sz="4" w:space="0"/>
              <w:right w:val="single" w:color="auto" w:sz="4" w:space="0"/>
            </w:tcBorders>
            <w:shd w:val="clear" w:color="auto" w:fill="FFFFFF"/>
            <w:vAlign w:val="center"/>
          </w:tcPr>
          <w:p w14:paraId="5AC212B2">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62543045">
            <w:pPr>
              <w:pStyle w:val="45"/>
              <w:rPr>
                <w:rFonts w:hint="eastAsia"/>
                <w:color w:val="auto"/>
              </w:rPr>
            </w:pPr>
            <w:r>
              <w:rPr>
                <w:rFonts w:hint="eastAsia"/>
                <w:color w:val="auto"/>
              </w:rPr>
              <w:t>15</w:t>
            </w:r>
          </w:p>
        </w:tc>
        <w:tc>
          <w:tcPr>
            <w:tcW w:w="1276" w:type="dxa"/>
            <w:tcBorders>
              <w:top w:val="nil"/>
              <w:left w:val="nil"/>
              <w:bottom w:val="single" w:color="auto" w:sz="4" w:space="0"/>
              <w:right w:val="single" w:color="auto" w:sz="4" w:space="0"/>
            </w:tcBorders>
            <w:shd w:val="clear" w:color="auto" w:fill="FFFFFF"/>
            <w:vAlign w:val="center"/>
          </w:tcPr>
          <w:p w14:paraId="52CCBFB3">
            <w:pPr>
              <w:pStyle w:val="45"/>
              <w:rPr>
                <w:rFonts w:hint="eastAsia"/>
                <w:color w:val="auto"/>
              </w:rPr>
            </w:pPr>
            <w:r>
              <w:rPr>
                <w:rFonts w:hint="eastAsia"/>
                <w:color w:val="auto"/>
              </w:rPr>
              <w:t>2.2</w:t>
            </w:r>
          </w:p>
        </w:tc>
        <w:tc>
          <w:tcPr>
            <w:tcW w:w="1559" w:type="dxa"/>
            <w:tcBorders>
              <w:top w:val="nil"/>
              <w:left w:val="nil"/>
              <w:bottom w:val="single" w:color="auto" w:sz="4" w:space="0"/>
              <w:right w:val="single" w:color="auto" w:sz="4" w:space="0"/>
            </w:tcBorders>
            <w:shd w:val="clear" w:color="auto" w:fill="FFFFFF"/>
            <w:vAlign w:val="center"/>
          </w:tcPr>
          <w:p w14:paraId="13E320CE">
            <w:pPr>
              <w:pStyle w:val="45"/>
              <w:rPr>
                <w:rFonts w:hint="eastAsia"/>
                <w:color w:val="auto"/>
              </w:rPr>
            </w:pPr>
            <w:r>
              <w:rPr>
                <w:rFonts w:hint="eastAsia"/>
                <w:color w:val="auto"/>
              </w:rPr>
              <w:t>33</w:t>
            </w:r>
          </w:p>
        </w:tc>
        <w:tc>
          <w:tcPr>
            <w:tcW w:w="1134" w:type="dxa"/>
            <w:tcBorders>
              <w:top w:val="nil"/>
              <w:left w:val="nil"/>
              <w:bottom w:val="single" w:color="auto" w:sz="4" w:space="0"/>
              <w:right w:val="single" w:color="auto" w:sz="4" w:space="0"/>
            </w:tcBorders>
            <w:shd w:val="clear" w:color="auto" w:fill="FFFFFF"/>
            <w:vAlign w:val="center"/>
          </w:tcPr>
          <w:p w14:paraId="0B6E2C19">
            <w:pPr>
              <w:pStyle w:val="45"/>
              <w:rPr>
                <w:rFonts w:hint="eastAsia"/>
                <w:color w:val="auto"/>
              </w:rPr>
            </w:pPr>
            <w:r>
              <w:rPr>
                <w:rFonts w:hint="eastAsia"/>
                <w:color w:val="auto"/>
              </w:rPr>
              <w:t>/</w:t>
            </w:r>
          </w:p>
        </w:tc>
      </w:tr>
      <w:tr w14:paraId="00720225">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35AC8C4">
            <w:pPr>
              <w:pStyle w:val="45"/>
              <w:rPr>
                <w:rFonts w:hint="eastAsia"/>
                <w:color w:val="auto"/>
              </w:rPr>
            </w:pPr>
            <w:r>
              <w:rPr>
                <w:rFonts w:hint="eastAsia"/>
                <w:color w:val="auto"/>
              </w:rPr>
              <w:t>17</w:t>
            </w:r>
          </w:p>
        </w:tc>
        <w:tc>
          <w:tcPr>
            <w:tcW w:w="1559" w:type="dxa"/>
            <w:tcBorders>
              <w:top w:val="nil"/>
              <w:left w:val="nil"/>
              <w:bottom w:val="single" w:color="auto" w:sz="4" w:space="0"/>
              <w:right w:val="single" w:color="auto" w:sz="4" w:space="0"/>
            </w:tcBorders>
            <w:shd w:val="clear" w:color="auto" w:fill="FFFFFF"/>
            <w:vAlign w:val="center"/>
          </w:tcPr>
          <w:p w14:paraId="4CD4B655">
            <w:pPr>
              <w:pStyle w:val="45"/>
              <w:rPr>
                <w:rFonts w:hint="eastAsia"/>
                <w:color w:val="auto"/>
              </w:rPr>
            </w:pPr>
            <w:r>
              <w:rPr>
                <w:rFonts w:hint="eastAsia"/>
                <w:color w:val="auto"/>
              </w:rPr>
              <w:t>开水器</w:t>
            </w:r>
          </w:p>
        </w:tc>
        <w:tc>
          <w:tcPr>
            <w:tcW w:w="1276" w:type="dxa"/>
            <w:tcBorders>
              <w:top w:val="nil"/>
              <w:left w:val="nil"/>
              <w:bottom w:val="single" w:color="auto" w:sz="4" w:space="0"/>
              <w:right w:val="single" w:color="auto" w:sz="4" w:space="0"/>
            </w:tcBorders>
            <w:shd w:val="clear" w:color="auto" w:fill="FFFFFF"/>
            <w:vAlign w:val="center"/>
          </w:tcPr>
          <w:p w14:paraId="1763BE63">
            <w:pPr>
              <w:pStyle w:val="45"/>
              <w:rPr>
                <w:rFonts w:hint="eastAsia"/>
                <w:color w:val="auto"/>
              </w:rPr>
            </w:pPr>
            <w:r>
              <w:rPr>
                <w:rFonts w:hint="eastAsia"/>
                <w:color w:val="auto"/>
              </w:rPr>
              <w:t>3×9KW</w:t>
            </w:r>
          </w:p>
        </w:tc>
        <w:tc>
          <w:tcPr>
            <w:tcW w:w="851" w:type="dxa"/>
            <w:tcBorders>
              <w:top w:val="nil"/>
              <w:left w:val="nil"/>
              <w:bottom w:val="single" w:color="auto" w:sz="4" w:space="0"/>
              <w:right w:val="single" w:color="auto" w:sz="4" w:space="0"/>
            </w:tcBorders>
            <w:shd w:val="clear" w:color="auto" w:fill="FFFFFF"/>
            <w:vAlign w:val="center"/>
          </w:tcPr>
          <w:p w14:paraId="688B97D5">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4E4CA53D">
            <w:pPr>
              <w:pStyle w:val="45"/>
              <w:rPr>
                <w:rFonts w:hint="eastAsia"/>
                <w:color w:val="auto"/>
              </w:rPr>
            </w:pPr>
            <w:r>
              <w:rPr>
                <w:rFonts w:hint="eastAsia"/>
                <w:color w:val="auto"/>
              </w:rPr>
              <w:t>2</w:t>
            </w:r>
          </w:p>
        </w:tc>
        <w:tc>
          <w:tcPr>
            <w:tcW w:w="1276" w:type="dxa"/>
            <w:tcBorders>
              <w:top w:val="nil"/>
              <w:left w:val="nil"/>
              <w:bottom w:val="single" w:color="auto" w:sz="4" w:space="0"/>
              <w:right w:val="single" w:color="auto" w:sz="4" w:space="0"/>
            </w:tcBorders>
            <w:shd w:val="clear" w:color="auto" w:fill="FFFFFF"/>
            <w:vAlign w:val="center"/>
          </w:tcPr>
          <w:p w14:paraId="6D6BED59">
            <w:pPr>
              <w:pStyle w:val="45"/>
              <w:rPr>
                <w:rFonts w:hint="eastAsia"/>
                <w:color w:val="auto"/>
              </w:rPr>
            </w:pPr>
            <w:r>
              <w:rPr>
                <w:rFonts w:hint="eastAsia"/>
                <w:color w:val="auto"/>
              </w:rPr>
              <w:t>9</w:t>
            </w:r>
          </w:p>
        </w:tc>
        <w:tc>
          <w:tcPr>
            <w:tcW w:w="1559" w:type="dxa"/>
            <w:tcBorders>
              <w:top w:val="nil"/>
              <w:left w:val="nil"/>
              <w:bottom w:val="single" w:color="auto" w:sz="4" w:space="0"/>
              <w:right w:val="single" w:color="auto" w:sz="4" w:space="0"/>
            </w:tcBorders>
            <w:shd w:val="clear" w:color="auto" w:fill="FFFFFF"/>
            <w:vAlign w:val="center"/>
          </w:tcPr>
          <w:p w14:paraId="607D6784">
            <w:pPr>
              <w:pStyle w:val="45"/>
              <w:rPr>
                <w:rFonts w:hint="eastAsia"/>
                <w:color w:val="auto"/>
              </w:rPr>
            </w:pPr>
            <w:r>
              <w:rPr>
                <w:rFonts w:hint="eastAsia"/>
                <w:color w:val="auto"/>
              </w:rPr>
              <w:t>18</w:t>
            </w:r>
          </w:p>
        </w:tc>
        <w:tc>
          <w:tcPr>
            <w:tcW w:w="1134" w:type="dxa"/>
            <w:tcBorders>
              <w:top w:val="nil"/>
              <w:left w:val="nil"/>
              <w:bottom w:val="single" w:color="auto" w:sz="4" w:space="0"/>
              <w:right w:val="single" w:color="auto" w:sz="4" w:space="0"/>
            </w:tcBorders>
            <w:shd w:val="clear" w:color="auto" w:fill="FFFFFF"/>
            <w:vAlign w:val="center"/>
          </w:tcPr>
          <w:p w14:paraId="45F91A47">
            <w:pPr>
              <w:pStyle w:val="45"/>
              <w:rPr>
                <w:rFonts w:hint="eastAsia"/>
                <w:color w:val="auto"/>
              </w:rPr>
            </w:pPr>
            <w:r>
              <w:rPr>
                <w:rFonts w:hint="eastAsia"/>
                <w:color w:val="auto"/>
              </w:rPr>
              <w:t>/</w:t>
            </w:r>
          </w:p>
        </w:tc>
      </w:tr>
      <w:tr w14:paraId="40A53CDC">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30C8EB95">
            <w:pPr>
              <w:pStyle w:val="45"/>
              <w:rPr>
                <w:rFonts w:hint="eastAsia"/>
                <w:color w:val="auto"/>
              </w:rPr>
            </w:pPr>
            <w:r>
              <w:rPr>
                <w:rFonts w:hint="eastAsia"/>
                <w:color w:val="auto"/>
              </w:rPr>
              <w:t>18</w:t>
            </w:r>
          </w:p>
        </w:tc>
        <w:tc>
          <w:tcPr>
            <w:tcW w:w="1559" w:type="dxa"/>
            <w:tcBorders>
              <w:top w:val="nil"/>
              <w:left w:val="nil"/>
              <w:bottom w:val="single" w:color="auto" w:sz="4" w:space="0"/>
              <w:right w:val="single" w:color="auto" w:sz="4" w:space="0"/>
            </w:tcBorders>
            <w:shd w:val="clear" w:color="auto" w:fill="FFFFFF"/>
            <w:vAlign w:val="center"/>
          </w:tcPr>
          <w:p w14:paraId="27027811">
            <w:pPr>
              <w:pStyle w:val="45"/>
              <w:rPr>
                <w:rFonts w:hint="eastAsia"/>
                <w:color w:val="auto"/>
              </w:rPr>
            </w:pPr>
            <w:r>
              <w:rPr>
                <w:rFonts w:hint="eastAsia"/>
                <w:color w:val="auto"/>
              </w:rPr>
              <w:t>即热式电热水器</w:t>
            </w:r>
          </w:p>
        </w:tc>
        <w:tc>
          <w:tcPr>
            <w:tcW w:w="1276" w:type="dxa"/>
            <w:tcBorders>
              <w:top w:val="nil"/>
              <w:left w:val="nil"/>
              <w:bottom w:val="single" w:color="auto" w:sz="4" w:space="0"/>
              <w:right w:val="single" w:color="auto" w:sz="4" w:space="0"/>
            </w:tcBorders>
            <w:shd w:val="clear" w:color="auto" w:fill="FFFFFF"/>
            <w:vAlign w:val="center"/>
          </w:tcPr>
          <w:p w14:paraId="24C4E75A">
            <w:pPr>
              <w:pStyle w:val="45"/>
              <w:rPr>
                <w:rFonts w:hint="eastAsia"/>
                <w:color w:val="auto"/>
              </w:rPr>
            </w:pPr>
            <w:r>
              <w:rPr>
                <w:rFonts w:hint="eastAsia"/>
                <w:color w:val="auto"/>
              </w:rPr>
              <w:t>DSK-H60</w:t>
            </w:r>
          </w:p>
        </w:tc>
        <w:tc>
          <w:tcPr>
            <w:tcW w:w="851" w:type="dxa"/>
            <w:tcBorders>
              <w:top w:val="nil"/>
              <w:left w:val="nil"/>
              <w:bottom w:val="single" w:color="auto" w:sz="4" w:space="0"/>
              <w:right w:val="single" w:color="auto" w:sz="4" w:space="0"/>
            </w:tcBorders>
            <w:shd w:val="clear" w:color="auto" w:fill="FFFFFF"/>
            <w:vAlign w:val="center"/>
          </w:tcPr>
          <w:p w14:paraId="30EC283F">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6ED0D216">
            <w:pPr>
              <w:pStyle w:val="45"/>
              <w:rPr>
                <w:rFonts w:hint="eastAsia"/>
                <w:color w:val="auto"/>
              </w:rPr>
            </w:pPr>
            <w:r>
              <w:rPr>
                <w:rFonts w:hint="eastAsia"/>
                <w:color w:val="auto"/>
              </w:rPr>
              <w:t>9</w:t>
            </w:r>
          </w:p>
        </w:tc>
        <w:tc>
          <w:tcPr>
            <w:tcW w:w="1276" w:type="dxa"/>
            <w:tcBorders>
              <w:top w:val="nil"/>
              <w:left w:val="nil"/>
              <w:bottom w:val="single" w:color="auto" w:sz="4" w:space="0"/>
              <w:right w:val="single" w:color="auto" w:sz="4" w:space="0"/>
            </w:tcBorders>
            <w:shd w:val="clear" w:color="auto" w:fill="FFFFFF"/>
            <w:vAlign w:val="center"/>
          </w:tcPr>
          <w:p w14:paraId="5C188C57">
            <w:pPr>
              <w:pStyle w:val="45"/>
              <w:rPr>
                <w:rFonts w:hint="eastAsia"/>
                <w:color w:val="auto"/>
              </w:rPr>
            </w:pPr>
            <w:r>
              <w:rPr>
                <w:rFonts w:hint="eastAsia"/>
                <w:color w:val="auto"/>
              </w:rPr>
              <w:t>9</w:t>
            </w:r>
          </w:p>
        </w:tc>
        <w:tc>
          <w:tcPr>
            <w:tcW w:w="1559" w:type="dxa"/>
            <w:tcBorders>
              <w:top w:val="nil"/>
              <w:left w:val="nil"/>
              <w:bottom w:val="single" w:color="auto" w:sz="4" w:space="0"/>
              <w:right w:val="single" w:color="auto" w:sz="4" w:space="0"/>
            </w:tcBorders>
            <w:shd w:val="clear" w:color="auto" w:fill="FFFFFF"/>
            <w:vAlign w:val="center"/>
          </w:tcPr>
          <w:p w14:paraId="34CCCEE1">
            <w:pPr>
              <w:pStyle w:val="45"/>
              <w:rPr>
                <w:rFonts w:hint="eastAsia"/>
                <w:color w:val="auto"/>
              </w:rPr>
            </w:pPr>
            <w:r>
              <w:rPr>
                <w:rFonts w:hint="eastAsia"/>
                <w:color w:val="auto"/>
              </w:rPr>
              <w:t>81</w:t>
            </w:r>
          </w:p>
        </w:tc>
        <w:tc>
          <w:tcPr>
            <w:tcW w:w="1134" w:type="dxa"/>
            <w:tcBorders>
              <w:top w:val="nil"/>
              <w:left w:val="nil"/>
              <w:bottom w:val="single" w:color="auto" w:sz="4" w:space="0"/>
              <w:right w:val="single" w:color="auto" w:sz="4" w:space="0"/>
            </w:tcBorders>
            <w:shd w:val="clear" w:color="auto" w:fill="FFFFFF"/>
            <w:vAlign w:val="center"/>
          </w:tcPr>
          <w:p w14:paraId="30296F72">
            <w:pPr>
              <w:pStyle w:val="45"/>
              <w:rPr>
                <w:rFonts w:hint="eastAsia"/>
                <w:color w:val="auto"/>
              </w:rPr>
            </w:pPr>
            <w:r>
              <w:rPr>
                <w:rFonts w:hint="eastAsia"/>
                <w:color w:val="auto"/>
              </w:rPr>
              <w:t>/</w:t>
            </w:r>
          </w:p>
        </w:tc>
      </w:tr>
      <w:tr w14:paraId="51809B8E">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1E1C9299">
            <w:pPr>
              <w:pStyle w:val="45"/>
              <w:rPr>
                <w:rFonts w:hint="eastAsia"/>
                <w:color w:val="auto"/>
              </w:rPr>
            </w:pPr>
            <w:r>
              <w:rPr>
                <w:rFonts w:hint="eastAsia"/>
                <w:color w:val="auto"/>
              </w:rPr>
              <w:t>19</w:t>
            </w:r>
          </w:p>
        </w:tc>
        <w:tc>
          <w:tcPr>
            <w:tcW w:w="1559" w:type="dxa"/>
            <w:tcBorders>
              <w:top w:val="nil"/>
              <w:left w:val="nil"/>
              <w:bottom w:val="single" w:color="auto" w:sz="4" w:space="0"/>
              <w:right w:val="single" w:color="auto" w:sz="4" w:space="0"/>
            </w:tcBorders>
            <w:shd w:val="clear" w:color="auto" w:fill="FFFFFF"/>
            <w:vAlign w:val="center"/>
          </w:tcPr>
          <w:p w14:paraId="4930C6C8">
            <w:pPr>
              <w:pStyle w:val="45"/>
              <w:rPr>
                <w:rFonts w:hint="eastAsia"/>
                <w:color w:val="auto"/>
              </w:rPr>
            </w:pPr>
            <w:r>
              <w:rPr>
                <w:rFonts w:hint="eastAsia"/>
                <w:color w:val="auto"/>
              </w:rPr>
              <w:t>小食堂用电</w:t>
            </w:r>
          </w:p>
        </w:tc>
        <w:tc>
          <w:tcPr>
            <w:tcW w:w="1276" w:type="dxa"/>
            <w:tcBorders>
              <w:top w:val="nil"/>
              <w:left w:val="nil"/>
              <w:bottom w:val="single" w:color="auto" w:sz="4" w:space="0"/>
              <w:right w:val="single" w:color="auto" w:sz="4" w:space="0"/>
            </w:tcBorders>
            <w:shd w:val="clear" w:color="auto" w:fill="FFFFFF"/>
            <w:vAlign w:val="center"/>
          </w:tcPr>
          <w:p w14:paraId="6F46C045">
            <w:pPr>
              <w:pStyle w:val="45"/>
              <w:rPr>
                <w:rFonts w:hint="eastAsia"/>
                <w:color w:val="auto"/>
              </w:rPr>
            </w:pPr>
            <w:r>
              <w:rPr>
                <w:rFonts w:hint="eastAsia"/>
                <w:color w:val="auto"/>
              </w:rPr>
              <w:t>蒸饭车、冰箱等</w:t>
            </w:r>
          </w:p>
        </w:tc>
        <w:tc>
          <w:tcPr>
            <w:tcW w:w="851" w:type="dxa"/>
            <w:tcBorders>
              <w:top w:val="nil"/>
              <w:left w:val="nil"/>
              <w:bottom w:val="single" w:color="auto" w:sz="4" w:space="0"/>
              <w:right w:val="single" w:color="auto" w:sz="4" w:space="0"/>
            </w:tcBorders>
            <w:shd w:val="clear" w:color="auto" w:fill="FFFFFF"/>
            <w:vAlign w:val="center"/>
          </w:tcPr>
          <w:p w14:paraId="084AFA33">
            <w:pPr>
              <w:pStyle w:val="45"/>
              <w:rPr>
                <w:rFonts w:hint="eastAsia"/>
                <w:color w:val="auto"/>
              </w:rPr>
            </w:pPr>
            <w:r>
              <w:rPr>
                <w:rFonts w:hint="eastAsia"/>
                <w:color w:val="auto"/>
              </w:rPr>
              <w:t>套</w:t>
            </w:r>
          </w:p>
        </w:tc>
        <w:tc>
          <w:tcPr>
            <w:tcW w:w="850" w:type="dxa"/>
            <w:tcBorders>
              <w:top w:val="nil"/>
              <w:left w:val="nil"/>
              <w:bottom w:val="single" w:color="auto" w:sz="4" w:space="0"/>
              <w:right w:val="single" w:color="auto" w:sz="4" w:space="0"/>
            </w:tcBorders>
            <w:shd w:val="clear" w:color="auto" w:fill="FFFFFF"/>
            <w:vAlign w:val="center"/>
          </w:tcPr>
          <w:p w14:paraId="3F6D35FE">
            <w:pPr>
              <w:pStyle w:val="45"/>
              <w:rPr>
                <w:rFonts w:hint="eastAsia"/>
                <w:color w:val="auto"/>
              </w:rPr>
            </w:pPr>
            <w:r>
              <w:rPr>
                <w:rFonts w:hint="eastAsia"/>
                <w:color w:val="auto"/>
              </w:rPr>
              <w:t>1</w:t>
            </w:r>
          </w:p>
        </w:tc>
        <w:tc>
          <w:tcPr>
            <w:tcW w:w="1276" w:type="dxa"/>
            <w:tcBorders>
              <w:top w:val="nil"/>
              <w:left w:val="nil"/>
              <w:bottom w:val="single" w:color="auto" w:sz="4" w:space="0"/>
              <w:right w:val="single" w:color="auto" w:sz="4" w:space="0"/>
            </w:tcBorders>
            <w:shd w:val="clear" w:color="auto" w:fill="FFFFFF"/>
            <w:vAlign w:val="center"/>
          </w:tcPr>
          <w:p w14:paraId="5BBD2557">
            <w:pPr>
              <w:pStyle w:val="45"/>
              <w:rPr>
                <w:rFonts w:hint="eastAsia"/>
                <w:color w:val="auto"/>
              </w:rPr>
            </w:pPr>
            <w:r>
              <w:rPr>
                <w:rFonts w:hint="eastAsia"/>
                <w:color w:val="auto"/>
              </w:rPr>
              <w:t>30</w:t>
            </w:r>
          </w:p>
        </w:tc>
        <w:tc>
          <w:tcPr>
            <w:tcW w:w="1559" w:type="dxa"/>
            <w:tcBorders>
              <w:top w:val="nil"/>
              <w:left w:val="nil"/>
              <w:bottom w:val="single" w:color="auto" w:sz="4" w:space="0"/>
              <w:right w:val="single" w:color="auto" w:sz="4" w:space="0"/>
            </w:tcBorders>
            <w:shd w:val="clear" w:color="auto" w:fill="FFFFFF"/>
            <w:vAlign w:val="center"/>
          </w:tcPr>
          <w:p w14:paraId="024E732B">
            <w:pPr>
              <w:pStyle w:val="45"/>
              <w:rPr>
                <w:rFonts w:hint="eastAsia"/>
                <w:color w:val="auto"/>
              </w:rPr>
            </w:pPr>
            <w:r>
              <w:rPr>
                <w:rFonts w:hint="eastAsia"/>
                <w:color w:val="auto"/>
              </w:rPr>
              <w:t>30</w:t>
            </w:r>
          </w:p>
        </w:tc>
        <w:tc>
          <w:tcPr>
            <w:tcW w:w="1134" w:type="dxa"/>
            <w:tcBorders>
              <w:top w:val="nil"/>
              <w:left w:val="nil"/>
              <w:bottom w:val="single" w:color="auto" w:sz="4" w:space="0"/>
              <w:right w:val="single" w:color="auto" w:sz="4" w:space="0"/>
            </w:tcBorders>
            <w:shd w:val="clear" w:color="auto" w:fill="FFFFFF"/>
            <w:vAlign w:val="center"/>
          </w:tcPr>
          <w:p w14:paraId="16A4F611">
            <w:pPr>
              <w:pStyle w:val="45"/>
              <w:rPr>
                <w:rFonts w:hint="eastAsia"/>
                <w:color w:val="auto"/>
              </w:rPr>
            </w:pPr>
            <w:r>
              <w:rPr>
                <w:rFonts w:hint="eastAsia"/>
                <w:color w:val="auto"/>
              </w:rPr>
              <w:t>/</w:t>
            </w:r>
          </w:p>
        </w:tc>
      </w:tr>
      <w:tr w14:paraId="55538DB6">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4DDC7BF7">
            <w:pPr>
              <w:pStyle w:val="45"/>
              <w:rPr>
                <w:rFonts w:hint="eastAsia"/>
                <w:color w:val="auto"/>
              </w:rPr>
            </w:pPr>
            <w:r>
              <w:rPr>
                <w:rFonts w:hint="eastAsia"/>
                <w:color w:val="auto"/>
              </w:rPr>
              <w:t>20</w:t>
            </w:r>
          </w:p>
        </w:tc>
        <w:tc>
          <w:tcPr>
            <w:tcW w:w="1559" w:type="dxa"/>
            <w:tcBorders>
              <w:top w:val="nil"/>
              <w:left w:val="nil"/>
              <w:bottom w:val="single" w:color="auto" w:sz="4" w:space="0"/>
              <w:right w:val="single" w:color="auto" w:sz="4" w:space="0"/>
            </w:tcBorders>
            <w:shd w:val="clear" w:color="auto" w:fill="FFFFFF"/>
            <w:vAlign w:val="center"/>
          </w:tcPr>
          <w:p w14:paraId="1E8C835B">
            <w:pPr>
              <w:pStyle w:val="45"/>
              <w:rPr>
                <w:rFonts w:hint="eastAsia"/>
                <w:color w:val="auto"/>
              </w:rPr>
            </w:pPr>
            <w:r>
              <w:rPr>
                <w:rFonts w:hint="eastAsia"/>
                <w:color w:val="auto"/>
              </w:rPr>
              <w:t>大食堂用电</w:t>
            </w:r>
          </w:p>
        </w:tc>
        <w:tc>
          <w:tcPr>
            <w:tcW w:w="1276" w:type="dxa"/>
            <w:tcBorders>
              <w:top w:val="nil"/>
              <w:left w:val="nil"/>
              <w:bottom w:val="single" w:color="auto" w:sz="4" w:space="0"/>
              <w:right w:val="single" w:color="auto" w:sz="4" w:space="0"/>
            </w:tcBorders>
            <w:shd w:val="clear" w:color="auto" w:fill="FFFFFF"/>
            <w:vAlign w:val="center"/>
          </w:tcPr>
          <w:p w14:paraId="0F97FE9F">
            <w:pPr>
              <w:pStyle w:val="45"/>
              <w:rPr>
                <w:rFonts w:hint="eastAsia"/>
                <w:color w:val="auto"/>
              </w:rPr>
            </w:pPr>
            <w:r>
              <w:rPr>
                <w:rFonts w:hint="eastAsia"/>
                <w:color w:val="auto"/>
              </w:rPr>
              <w:t>蒸饭车、冰箱等</w:t>
            </w:r>
          </w:p>
        </w:tc>
        <w:tc>
          <w:tcPr>
            <w:tcW w:w="851" w:type="dxa"/>
            <w:tcBorders>
              <w:top w:val="nil"/>
              <w:left w:val="nil"/>
              <w:bottom w:val="single" w:color="auto" w:sz="4" w:space="0"/>
              <w:right w:val="single" w:color="auto" w:sz="4" w:space="0"/>
            </w:tcBorders>
            <w:shd w:val="clear" w:color="auto" w:fill="FFFFFF"/>
            <w:vAlign w:val="center"/>
          </w:tcPr>
          <w:p w14:paraId="550FD4F4">
            <w:pPr>
              <w:pStyle w:val="45"/>
              <w:rPr>
                <w:rFonts w:hint="eastAsia"/>
                <w:color w:val="auto"/>
              </w:rPr>
            </w:pPr>
            <w:r>
              <w:rPr>
                <w:rFonts w:hint="eastAsia"/>
                <w:color w:val="auto"/>
              </w:rPr>
              <w:t>套</w:t>
            </w:r>
          </w:p>
        </w:tc>
        <w:tc>
          <w:tcPr>
            <w:tcW w:w="850" w:type="dxa"/>
            <w:tcBorders>
              <w:top w:val="nil"/>
              <w:left w:val="nil"/>
              <w:bottom w:val="single" w:color="auto" w:sz="4" w:space="0"/>
              <w:right w:val="single" w:color="auto" w:sz="4" w:space="0"/>
            </w:tcBorders>
            <w:shd w:val="clear" w:color="auto" w:fill="FFFFFF"/>
            <w:vAlign w:val="center"/>
          </w:tcPr>
          <w:p w14:paraId="5B698183">
            <w:pPr>
              <w:pStyle w:val="45"/>
              <w:rPr>
                <w:rFonts w:hint="eastAsia"/>
                <w:color w:val="auto"/>
              </w:rPr>
            </w:pPr>
            <w:r>
              <w:rPr>
                <w:rFonts w:hint="eastAsia"/>
                <w:color w:val="auto"/>
              </w:rPr>
              <w:t>1</w:t>
            </w:r>
          </w:p>
        </w:tc>
        <w:tc>
          <w:tcPr>
            <w:tcW w:w="1276" w:type="dxa"/>
            <w:tcBorders>
              <w:top w:val="nil"/>
              <w:left w:val="nil"/>
              <w:bottom w:val="single" w:color="auto" w:sz="4" w:space="0"/>
              <w:right w:val="single" w:color="auto" w:sz="4" w:space="0"/>
            </w:tcBorders>
            <w:shd w:val="clear" w:color="auto" w:fill="FFFFFF"/>
            <w:vAlign w:val="center"/>
          </w:tcPr>
          <w:p w14:paraId="799A5581">
            <w:pPr>
              <w:pStyle w:val="45"/>
              <w:rPr>
                <w:rFonts w:hint="eastAsia"/>
                <w:color w:val="auto"/>
              </w:rPr>
            </w:pPr>
            <w:r>
              <w:rPr>
                <w:rFonts w:hint="eastAsia"/>
                <w:color w:val="auto"/>
              </w:rPr>
              <w:t>40</w:t>
            </w:r>
          </w:p>
        </w:tc>
        <w:tc>
          <w:tcPr>
            <w:tcW w:w="1559" w:type="dxa"/>
            <w:tcBorders>
              <w:top w:val="nil"/>
              <w:left w:val="nil"/>
              <w:bottom w:val="single" w:color="auto" w:sz="4" w:space="0"/>
              <w:right w:val="single" w:color="auto" w:sz="4" w:space="0"/>
            </w:tcBorders>
            <w:shd w:val="clear" w:color="auto" w:fill="FFFFFF"/>
            <w:vAlign w:val="center"/>
          </w:tcPr>
          <w:p w14:paraId="30CF2AAE">
            <w:pPr>
              <w:pStyle w:val="45"/>
              <w:rPr>
                <w:rFonts w:hint="eastAsia"/>
                <w:color w:val="auto"/>
              </w:rPr>
            </w:pPr>
            <w:r>
              <w:rPr>
                <w:rFonts w:hint="eastAsia"/>
                <w:color w:val="auto"/>
              </w:rPr>
              <w:t>40</w:t>
            </w:r>
          </w:p>
        </w:tc>
        <w:tc>
          <w:tcPr>
            <w:tcW w:w="1134" w:type="dxa"/>
            <w:tcBorders>
              <w:top w:val="nil"/>
              <w:left w:val="nil"/>
              <w:bottom w:val="single" w:color="auto" w:sz="4" w:space="0"/>
              <w:right w:val="single" w:color="auto" w:sz="4" w:space="0"/>
            </w:tcBorders>
            <w:shd w:val="clear" w:color="auto" w:fill="FFFFFF"/>
            <w:vAlign w:val="center"/>
          </w:tcPr>
          <w:p w14:paraId="16A50F95">
            <w:pPr>
              <w:pStyle w:val="45"/>
              <w:rPr>
                <w:rFonts w:hint="eastAsia"/>
                <w:color w:val="auto"/>
              </w:rPr>
            </w:pPr>
            <w:r>
              <w:rPr>
                <w:rFonts w:hint="eastAsia"/>
                <w:color w:val="auto"/>
              </w:rPr>
              <w:t>/</w:t>
            </w:r>
          </w:p>
        </w:tc>
      </w:tr>
      <w:tr w14:paraId="0FEB4E2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1705D02">
            <w:pPr>
              <w:pStyle w:val="45"/>
              <w:rPr>
                <w:rFonts w:hint="eastAsia"/>
                <w:color w:val="auto"/>
              </w:rPr>
            </w:pPr>
            <w:r>
              <w:rPr>
                <w:rFonts w:hint="eastAsia"/>
                <w:color w:val="auto"/>
              </w:rPr>
              <w:t>21</w:t>
            </w:r>
          </w:p>
        </w:tc>
        <w:tc>
          <w:tcPr>
            <w:tcW w:w="1559" w:type="dxa"/>
            <w:tcBorders>
              <w:top w:val="nil"/>
              <w:left w:val="nil"/>
              <w:bottom w:val="single" w:color="auto" w:sz="4" w:space="0"/>
              <w:right w:val="single" w:color="auto" w:sz="4" w:space="0"/>
            </w:tcBorders>
            <w:shd w:val="clear" w:color="auto" w:fill="FFFFFF"/>
            <w:vAlign w:val="center"/>
          </w:tcPr>
          <w:p w14:paraId="4EACB9B1">
            <w:pPr>
              <w:pStyle w:val="45"/>
              <w:rPr>
                <w:rFonts w:hint="eastAsia"/>
                <w:color w:val="auto"/>
              </w:rPr>
            </w:pPr>
            <w:r>
              <w:rPr>
                <w:rFonts w:hint="eastAsia"/>
                <w:color w:val="auto"/>
              </w:rPr>
              <w:t>直流逆变焊机</w:t>
            </w:r>
          </w:p>
        </w:tc>
        <w:tc>
          <w:tcPr>
            <w:tcW w:w="1276" w:type="dxa"/>
            <w:tcBorders>
              <w:top w:val="nil"/>
              <w:left w:val="nil"/>
              <w:bottom w:val="single" w:color="auto" w:sz="4" w:space="0"/>
              <w:right w:val="single" w:color="auto" w:sz="4" w:space="0"/>
            </w:tcBorders>
            <w:shd w:val="clear" w:color="auto" w:fill="FFFFFF"/>
            <w:vAlign w:val="center"/>
          </w:tcPr>
          <w:p w14:paraId="535C9C55">
            <w:pPr>
              <w:pStyle w:val="45"/>
              <w:rPr>
                <w:rFonts w:hint="eastAsia"/>
                <w:color w:val="auto"/>
              </w:rPr>
            </w:pPr>
            <w:r>
              <w:rPr>
                <w:rFonts w:hint="eastAsia"/>
                <w:color w:val="auto"/>
              </w:rPr>
              <w:t>ZX7-315</w:t>
            </w:r>
          </w:p>
        </w:tc>
        <w:tc>
          <w:tcPr>
            <w:tcW w:w="851" w:type="dxa"/>
            <w:tcBorders>
              <w:top w:val="nil"/>
              <w:left w:val="nil"/>
              <w:bottom w:val="single" w:color="auto" w:sz="4" w:space="0"/>
              <w:right w:val="single" w:color="auto" w:sz="4" w:space="0"/>
            </w:tcBorders>
            <w:shd w:val="clear" w:color="auto" w:fill="FFFFFF"/>
            <w:vAlign w:val="center"/>
          </w:tcPr>
          <w:p w14:paraId="22E656CD">
            <w:pPr>
              <w:pStyle w:val="45"/>
              <w:rPr>
                <w:rFonts w:hint="eastAsia"/>
                <w:color w:val="auto"/>
              </w:rPr>
            </w:pPr>
            <w:r>
              <w:rPr>
                <w:rFonts w:hint="eastAsia"/>
                <w:color w:val="auto"/>
              </w:rPr>
              <w:t>台</w:t>
            </w:r>
          </w:p>
        </w:tc>
        <w:tc>
          <w:tcPr>
            <w:tcW w:w="850" w:type="dxa"/>
            <w:tcBorders>
              <w:top w:val="nil"/>
              <w:left w:val="nil"/>
              <w:bottom w:val="single" w:color="auto" w:sz="4" w:space="0"/>
              <w:right w:val="single" w:color="auto" w:sz="4" w:space="0"/>
            </w:tcBorders>
            <w:shd w:val="clear" w:color="auto" w:fill="FFFFFF"/>
            <w:vAlign w:val="center"/>
          </w:tcPr>
          <w:p w14:paraId="799CBBDA">
            <w:pPr>
              <w:pStyle w:val="45"/>
              <w:rPr>
                <w:rFonts w:hint="eastAsia"/>
                <w:color w:val="auto"/>
              </w:rPr>
            </w:pPr>
            <w:r>
              <w:rPr>
                <w:rFonts w:hint="eastAsia"/>
                <w:color w:val="auto"/>
              </w:rPr>
              <w:t>10</w:t>
            </w:r>
          </w:p>
        </w:tc>
        <w:tc>
          <w:tcPr>
            <w:tcW w:w="1276" w:type="dxa"/>
            <w:tcBorders>
              <w:top w:val="nil"/>
              <w:left w:val="nil"/>
              <w:bottom w:val="single" w:color="auto" w:sz="4" w:space="0"/>
              <w:right w:val="single" w:color="auto" w:sz="4" w:space="0"/>
            </w:tcBorders>
            <w:shd w:val="clear" w:color="auto" w:fill="FFFFFF"/>
            <w:vAlign w:val="center"/>
          </w:tcPr>
          <w:p w14:paraId="0CDFA20B">
            <w:pPr>
              <w:pStyle w:val="45"/>
              <w:rPr>
                <w:rFonts w:hint="eastAsia"/>
                <w:color w:val="auto"/>
              </w:rPr>
            </w:pPr>
            <w:r>
              <w:rPr>
                <w:rFonts w:hint="eastAsia"/>
                <w:color w:val="auto"/>
              </w:rPr>
              <w:t>11</w:t>
            </w:r>
          </w:p>
        </w:tc>
        <w:tc>
          <w:tcPr>
            <w:tcW w:w="1559" w:type="dxa"/>
            <w:tcBorders>
              <w:top w:val="nil"/>
              <w:left w:val="nil"/>
              <w:bottom w:val="single" w:color="auto" w:sz="4" w:space="0"/>
              <w:right w:val="single" w:color="auto" w:sz="4" w:space="0"/>
            </w:tcBorders>
            <w:shd w:val="clear" w:color="auto" w:fill="FFFFFF"/>
            <w:vAlign w:val="center"/>
          </w:tcPr>
          <w:p w14:paraId="7A583F9B">
            <w:pPr>
              <w:pStyle w:val="45"/>
              <w:rPr>
                <w:rFonts w:hint="eastAsia"/>
                <w:color w:val="auto"/>
              </w:rPr>
            </w:pPr>
            <w:r>
              <w:rPr>
                <w:rFonts w:hint="eastAsia"/>
                <w:color w:val="auto"/>
              </w:rPr>
              <w:t>110</w:t>
            </w:r>
          </w:p>
        </w:tc>
        <w:tc>
          <w:tcPr>
            <w:tcW w:w="1134" w:type="dxa"/>
            <w:tcBorders>
              <w:top w:val="nil"/>
              <w:left w:val="nil"/>
              <w:bottom w:val="single" w:color="auto" w:sz="4" w:space="0"/>
              <w:right w:val="single" w:color="auto" w:sz="4" w:space="0"/>
            </w:tcBorders>
            <w:shd w:val="clear" w:color="auto" w:fill="FFFFFF"/>
            <w:vAlign w:val="center"/>
          </w:tcPr>
          <w:p w14:paraId="268D25AE">
            <w:pPr>
              <w:pStyle w:val="45"/>
              <w:rPr>
                <w:rFonts w:hint="eastAsia"/>
                <w:color w:val="auto"/>
              </w:rPr>
            </w:pPr>
            <w:r>
              <w:rPr>
                <w:rFonts w:hint="eastAsia"/>
                <w:color w:val="auto"/>
              </w:rPr>
              <w:t>/</w:t>
            </w:r>
          </w:p>
        </w:tc>
      </w:tr>
      <w:tr w14:paraId="01CD7B9C">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512285D0">
            <w:pPr>
              <w:pStyle w:val="45"/>
              <w:rPr>
                <w:rFonts w:hint="eastAsia"/>
                <w:color w:val="auto"/>
              </w:rPr>
            </w:pPr>
            <w:r>
              <w:rPr>
                <w:rFonts w:hint="eastAsia"/>
                <w:color w:val="auto"/>
              </w:rPr>
              <w:t>22</w:t>
            </w:r>
          </w:p>
        </w:tc>
        <w:tc>
          <w:tcPr>
            <w:tcW w:w="1559" w:type="dxa"/>
            <w:tcBorders>
              <w:top w:val="nil"/>
              <w:left w:val="nil"/>
              <w:bottom w:val="single" w:color="auto" w:sz="4" w:space="0"/>
              <w:right w:val="single" w:color="auto" w:sz="4" w:space="0"/>
            </w:tcBorders>
            <w:shd w:val="clear" w:color="auto" w:fill="FFFFFF"/>
            <w:vAlign w:val="center"/>
          </w:tcPr>
          <w:p w14:paraId="34744D43">
            <w:pPr>
              <w:pStyle w:val="45"/>
              <w:rPr>
                <w:rFonts w:hint="eastAsia"/>
                <w:color w:val="auto"/>
              </w:rPr>
            </w:pPr>
            <w:r>
              <w:rPr>
                <w:rFonts w:hint="eastAsia"/>
                <w:color w:val="auto"/>
              </w:rPr>
              <w:t>塔吊LED照明灯</w:t>
            </w:r>
          </w:p>
        </w:tc>
        <w:tc>
          <w:tcPr>
            <w:tcW w:w="1276" w:type="dxa"/>
            <w:tcBorders>
              <w:top w:val="nil"/>
              <w:left w:val="nil"/>
              <w:bottom w:val="single" w:color="auto" w:sz="4" w:space="0"/>
              <w:right w:val="single" w:color="auto" w:sz="4" w:space="0"/>
            </w:tcBorders>
            <w:shd w:val="clear" w:color="auto" w:fill="FFFFFF"/>
            <w:vAlign w:val="center"/>
          </w:tcPr>
          <w:p w14:paraId="6CC4CEDD">
            <w:pPr>
              <w:pStyle w:val="45"/>
              <w:rPr>
                <w:rFonts w:hint="eastAsia"/>
                <w:color w:val="auto"/>
              </w:rPr>
            </w:pPr>
            <w:r>
              <w:rPr>
                <w:rFonts w:hint="eastAsia"/>
                <w:color w:val="auto"/>
              </w:rPr>
              <w:t>LED  800</w:t>
            </w:r>
          </w:p>
        </w:tc>
        <w:tc>
          <w:tcPr>
            <w:tcW w:w="851" w:type="dxa"/>
            <w:tcBorders>
              <w:top w:val="nil"/>
              <w:left w:val="nil"/>
              <w:bottom w:val="single" w:color="auto" w:sz="4" w:space="0"/>
              <w:right w:val="single" w:color="auto" w:sz="4" w:space="0"/>
            </w:tcBorders>
            <w:shd w:val="clear" w:color="auto" w:fill="FFFFFF"/>
            <w:vAlign w:val="center"/>
          </w:tcPr>
          <w:p w14:paraId="5540F815">
            <w:pPr>
              <w:pStyle w:val="45"/>
              <w:rPr>
                <w:rFonts w:hint="eastAsia"/>
                <w:color w:val="auto"/>
              </w:rPr>
            </w:pPr>
            <w:r>
              <w:rPr>
                <w:rFonts w:hint="eastAsia"/>
                <w:color w:val="auto"/>
              </w:rPr>
              <w:t>盏</w:t>
            </w:r>
          </w:p>
        </w:tc>
        <w:tc>
          <w:tcPr>
            <w:tcW w:w="850" w:type="dxa"/>
            <w:tcBorders>
              <w:top w:val="nil"/>
              <w:left w:val="nil"/>
              <w:bottom w:val="single" w:color="auto" w:sz="4" w:space="0"/>
              <w:right w:val="single" w:color="auto" w:sz="4" w:space="0"/>
            </w:tcBorders>
            <w:shd w:val="clear" w:color="auto" w:fill="FFFFFF"/>
            <w:vAlign w:val="center"/>
          </w:tcPr>
          <w:p w14:paraId="387A2AF3">
            <w:pPr>
              <w:pStyle w:val="45"/>
              <w:rPr>
                <w:rFonts w:hint="eastAsia"/>
                <w:color w:val="auto"/>
              </w:rPr>
            </w:pPr>
            <w:r>
              <w:rPr>
                <w:rFonts w:hint="eastAsia"/>
                <w:color w:val="auto"/>
              </w:rPr>
              <w:t>32</w:t>
            </w:r>
          </w:p>
        </w:tc>
        <w:tc>
          <w:tcPr>
            <w:tcW w:w="1276" w:type="dxa"/>
            <w:tcBorders>
              <w:top w:val="nil"/>
              <w:left w:val="nil"/>
              <w:bottom w:val="single" w:color="auto" w:sz="4" w:space="0"/>
              <w:right w:val="single" w:color="auto" w:sz="4" w:space="0"/>
            </w:tcBorders>
            <w:shd w:val="clear" w:color="auto" w:fill="FFFFFF"/>
            <w:vAlign w:val="center"/>
          </w:tcPr>
          <w:p w14:paraId="41CE86A4">
            <w:pPr>
              <w:pStyle w:val="45"/>
              <w:rPr>
                <w:rFonts w:hint="eastAsia"/>
                <w:color w:val="auto"/>
              </w:rPr>
            </w:pPr>
            <w:r>
              <w:rPr>
                <w:rFonts w:hint="eastAsia"/>
                <w:color w:val="auto"/>
              </w:rPr>
              <w:t>0.8</w:t>
            </w:r>
          </w:p>
        </w:tc>
        <w:tc>
          <w:tcPr>
            <w:tcW w:w="1559" w:type="dxa"/>
            <w:tcBorders>
              <w:top w:val="nil"/>
              <w:left w:val="nil"/>
              <w:bottom w:val="single" w:color="auto" w:sz="4" w:space="0"/>
              <w:right w:val="single" w:color="auto" w:sz="4" w:space="0"/>
            </w:tcBorders>
            <w:shd w:val="clear" w:color="auto" w:fill="FFFFFF"/>
            <w:vAlign w:val="center"/>
          </w:tcPr>
          <w:p w14:paraId="2B101DAB">
            <w:pPr>
              <w:pStyle w:val="45"/>
              <w:rPr>
                <w:rFonts w:hint="eastAsia"/>
                <w:color w:val="auto"/>
              </w:rPr>
            </w:pPr>
            <w:r>
              <w:rPr>
                <w:rFonts w:hint="eastAsia"/>
                <w:color w:val="auto"/>
              </w:rPr>
              <w:t>25.6</w:t>
            </w:r>
          </w:p>
        </w:tc>
        <w:tc>
          <w:tcPr>
            <w:tcW w:w="1134" w:type="dxa"/>
            <w:tcBorders>
              <w:top w:val="nil"/>
              <w:left w:val="nil"/>
              <w:bottom w:val="single" w:color="auto" w:sz="4" w:space="0"/>
              <w:right w:val="single" w:color="auto" w:sz="4" w:space="0"/>
            </w:tcBorders>
            <w:shd w:val="clear" w:color="auto" w:fill="FFFFFF"/>
            <w:vAlign w:val="center"/>
          </w:tcPr>
          <w:p w14:paraId="244EE5AA">
            <w:pPr>
              <w:pStyle w:val="45"/>
              <w:rPr>
                <w:rFonts w:hint="eastAsia"/>
                <w:color w:val="auto"/>
              </w:rPr>
            </w:pPr>
            <w:r>
              <w:rPr>
                <w:rFonts w:hint="eastAsia"/>
                <w:color w:val="auto"/>
              </w:rPr>
              <w:t>/</w:t>
            </w:r>
          </w:p>
        </w:tc>
      </w:tr>
      <w:tr w14:paraId="176081E8">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430BC2C6">
            <w:pPr>
              <w:pStyle w:val="45"/>
              <w:rPr>
                <w:rFonts w:hint="eastAsia"/>
                <w:color w:val="auto"/>
              </w:rPr>
            </w:pPr>
            <w:r>
              <w:rPr>
                <w:rFonts w:hint="eastAsia"/>
                <w:color w:val="auto"/>
              </w:rPr>
              <w:t>23</w:t>
            </w:r>
          </w:p>
        </w:tc>
        <w:tc>
          <w:tcPr>
            <w:tcW w:w="1559" w:type="dxa"/>
            <w:tcBorders>
              <w:top w:val="nil"/>
              <w:left w:val="nil"/>
              <w:bottom w:val="single" w:color="auto" w:sz="4" w:space="0"/>
              <w:right w:val="single" w:color="auto" w:sz="4" w:space="0"/>
            </w:tcBorders>
            <w:shd w:val="clear" w:color="auto" w:fill="FFFFFF"/>
            <w:vAlign w:val="center"/>
          </w:tcPr>
          <w:p w14:paraId="353BFB20">
            <w:pPr>
              <w:pStyle w:val="45"/>
              <w:rPr>
                <w:rFonts w:hint="eastAsia"/>
                <w:color w:val="auto"/>
              </w:rPr>
            </w:pPr>
            <w:r>
              <w:rPr>
                <w:rFonts w:hint="eastAsia"/>
                <w:color w:val="auto"/>
              </w:rPr>
              <w:t>普通LED照明灯</w:t>
            </w:r>
          </w:p>
        </w:tc>
        <w:tc>
          <w:tcPr>
            <w:tcW w:w="1276" w:type="dxa"/>
            <w:tcBorders>
              <w:top w:val="nil"/>
              <w:left w:val="nil"/>
              <w:bottom w:val="single" w:color="auto" w:sz="4" w:space="0"/>
              <w:right w:val="single" w:color="auto" w:sz="4" w:space="0"/>
            </w:tcBorders>
            <w:shd w:val="clear" w:color="auto" w:fill="FFFFFF"/>
            <w:vAlign w:val="center"/>
          </w:tcPr>
          <w:p w14:paraId="591DD942">
            <w:pPr>
              <w:pStyle w:val="45"/>
              <w:rPr>
                <w:rFonts w:hint="eastAsia"/>
                <w:color w:val="auto"/>
              </w:rPr>
            </w:pPr>
            <w:r>
              <w:rPr>
                <w:rFonts w:hint="eastAsia"/>
                <w:color w:val="auto"/>
              </w:rPr>
              <w:t>50W</w:t>
            </w:r>
          </w:p>
        </w:tc>
        <w:tc>
          <w:tcPr>
            <w:tcW w:w="851" w:type="dxa"/>
            <w:tcBorders>
              <w:top w:val="nil"/>
              <w:left w:val="nil"/>
              <w:bottom w:val="single" w:color="auto" w:sz="4" w:space="0"/>
              <w:right w:val="single" w:color="auto" w:sz="4" w:space="0"/>
            </w:tcBorders>
            <w:shd w:val="clear" w:color="auto" w:fill="FFFFFF"/>
            <w:vAlign w:val="center"/>
          </w:tcPr>
          <w:p w14:paraId="6924A2A0">
            <w:pPr>
              <w:pStyle w:val="45"/>
              <w:rPr>
                <w:rFonts w:hint="eastAsia"/>
                <w:color w:val="auto"/>
              </w:rPr>
            </w:pPr>
            <w:r>
              <w:rPr>
                <w:rFonts w:hint="eastAsia"/>
                <w:color w:val="auto"/>
              </w:rPr>
              <w:t>盏</w:t>
            </w:r>
          </w:p>
        </w:tc>
        <w:tc>
          <w:tcPr>
            <w:tcW w:w="850" w:type="dxa"/>
            <w:tcBorders>
              <w:top w:val="nil"/>
              <w:left w:val="nil"/>
              <w:bottom w:val="single" w:color="auto" w:sz="4" w:space="0"/>
              <w:right w:val="single" w:color="auto" w:sz="4" w:space="0"/>
            </w:tcBorders>
            <w:shd w:val="clear" w:color="auto" w:fill="FFFFFF"/>
            <w:vAlign w:val="center"/>
          </w:tcPr>
          <w:p w14:paraId="3D7FB24F">
            <w:pPr>
              <w:pStyle w:val="45"/>
              <w:rPr>
                <w:rFonts w:hint="eastAsia"/>
                <w:color w:val="auto"/>
              </w:rPr>
            </w:pPr>
            <w:r>
              <w:rPr>
                <w:rFonts w:hint="eastAsia"/>
                <w:color w:val="auto"/>
              </w:rPr>
              <w:t>8</w:t>
            </w:r>
          </w:p>
        </w:tc>
        <w:tc>
          <w:tcPr>
            <w:tcW w:w="1276" w:type="dxa"/>
            <w:tcBorders>
              <w:top w:val="nil"/>
              <w:left w:val="nil"/>
              <w:bottom w:val="single" w:color="auto" w:sz="4" w:space="0"/>
              <w:right w:val="single" w:color="auto" w:sz="4" w:space="0"/>
            </w:tcBorders>
            <w:shd w:val="clear" w:color="auto" w:fill="FFFFFF"/>
            <w:vAlign w:val="center"/>
          </w:tcPr>
          <w:p w14:paraId="66E866E6">
            <w:pPr>
              <w:pStyle w:val="45"/>
              <w:rPr>
                <w:rFonts w:hint="eastAsia"/>
                <w:color w:val="auto"/>
              </w:rPr>
            </w:pPr>
            <w:r>
              <w:rPr>
                <w:rFonts w:hint="eastAsia"/>
                <w:color w:val="auto"/>
              </w:rPr>
              <w:t>0.05</w:t>
            </w:r>
          </w:p>
        </w:tc>
        <w:tc>
          <w:tcPr>
            <w:tcW w:w="1559" w:type="dxa"/>
            <w:tcBorders>
              <w:top w:val="nil"/>
              <w:left w:val="nil"/>
              <w:bottom w:val="single" w:color="auto" w:sz="4" w:space="0"/>
              <w:right w:val="single" w:color="auto" w:sz="4" w:space="0"/>
            </w:tcBorders>
            <w:shd w:val="clear" w:color="auto" w:fill="FFFFFF"/>
            <w:vAlign w:val="center"/>
          </w:tcPr>
          <w:p w14:paraId="7CC07C76">
            <w:pPr>
              <w:pStyle w:val="45"/>
              <w:rPr>
                <w:rFonts w:hint="eastAsia"/>
                <w:color w:val="auto"/>
              </w:rPr>
            </w:pPr>
            <w:r>
              <w:rPr>
                <w:rFonts w:hint="eastAsia"/>
                <w:color w:val="auto"/>
              </w:rPr>
              <w:t>0.4</w:t>
            </w:r>
          </w:p>
        </w:tc>
        <w:tc>
          <w:tcPr>
            <w:tcW w:w="1134" w:type="dxa"/>
            <w:tcBorders>
              <w:top w:val="nil"/>
              <w:left w:val="nil"/>
              <w:bottom w:val="single" w:color="auto" w:sz="4" w:space="0"/>
              <w:right w:val="single" w:color="auto" w:sz="4" w:space="0"/>
            </w:tcBorders>
            <w:shd w:val="clear" w:color="auto" w:fill="FFFFFF"/>
            <w:vAlign w:val="center"/>
          </w:tcPr>
          <w:p w14:paraId="7F73C52E">
            <w:pPr>
              <w:pStyle w:val="45"/>
              <w:rPr>
                <w:rFonts w:hint="eastAsia"/>
                <w:color w:val="auto"/>
              </w:rPr>
            </w:pPr>
            <w:r>
              <w:rPr>
                <w:rFonts w:hint="eastAsia"/>
                <w:color w:val="auto"/>
              </w:rPr>
              <w:t>/</w:t>
            </w:r>
          </w:p>
        </w:tc>
      </w:tr>
      <w:tr w14:paraId="70AF0A1A">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6C644F0F">
            <w:pPr>
              <w:pStyle w:val="45"/>
              <w:rPr>
                <w:rFonts w:hint="eastAsia"/>
                <w:color w:val="auto"/>
              </w:rPr>
            </w:pPr>
            <w:r>
              <w:rPr>
                <w:rFonts w:hint="eastAsia"/>
                <w:color w:val="auto"/>
              </w:rPr>
              <w:t>24</w:t>
            </w:r>
          </w:p>
        </w:tc>
        <w:tc>
          <w:tcPr>
            <w:tcW w:w="1559" w:type="dxa"/>
            <w:tcBorders>
              <w:top w:val="nil"/>
              <w:left w:val="nil"/>
              <w:bottom w:val="single" w:color="auto" w:sz="4" w:space="0"/>
              <w:right w:val="single" w:color="auto" w:sz="4" w:space="0"/>
            </w:tcBorders>
            <w:shd w:val="clear" w:color="auto" w:fill="FFFFFF"/>
            <w:vAlign w:val="center"/>
          </w:tcPr>
          <w:p w14:paraId="5F39F1FA">
            <w:pPr>
              <w:pStyle w:val="45"/>
              <w:rPr>
                <w:rFonts w:hint="eastAsia"/>
                <w:color w:val="auto"/>
              </w:rPr>
            </w:pPr>
            <w:r>
              <w:rPr>
                <w:rFonts w:hint="eastAsia"/>
                <w:color w:val="auto"/>
              </w:rPr>
              <w:t>室内照明</w:t>
            </w:r>
          </w:p>
        </w:tc>
        <w:tc>
          <w:tcPr>
            <w:tcW w:w="1276" w:type="dxa"/>
            <w:tcBorders>
              <w:top w:val="nil"/>
              <w:left w:val="nil"/>
              <w:bottom w:val="single" w:color="auto" w:sz="4" w:space="0"/>
              <w:right w:val="single" w:color="auto" w:sz="4" w:space="0"/>
            </w:tcBorders>
            <w:shd w:val="clear" w:color="auto" w:fill="FFFFFF"/>
            <w:vAlign w:val="center"/>
          </w:tcPr>
          <w:p w14:paraId="4D04E3A7">
            <w:pPr>
              <w:pStyle w:val="45"/>
              <w:rPr>
                <w:rFonts w:hint="eastAsia"/>
                <w:color w:val="auto"/>
              </w:rPr>
            </w:pPr>
            <w:r>
              <w:rPr>
                <w:rFonts w:hint="eastAsia"/>
                <w:color w:val="auto"/>
              </w:rPr>
              <w:t>办公室用电</w:t>
            </w:r>
          </w:p>
        </w:tc>
        <w:tc>
          <w:tcPr>
            <w:tcW w:w="851" w:type="dxa"/>
            <w:tcBorders>
              <w:top w:val="nil"/>
              <w:left w:val="nil"/>
              <w:bottom w:val="single" w:color="auto" w:sz="4" w:space="0"/>
              <w:right w:val="single" w:color="auto" w:sz="4" w:space="0"/>
            </w:tcBorders>
            <w:shd w:val="clear" w:color="auto" w:fill="FFFFFF"/>
            <w:vAlign w:val="center"/>
          </w:tcPr>
          <w:p w14:paraId="4F9E63B8">
            <w:pPr>
              <w:pStyle w:val="45"/>
              <w:rPr>
                <w:rFonts w:hint="eastAsia"/>
                <w:color w:val="auto"/>
              </w:rPr>
            </w:pPr>
            <w:r>
              <w:rPr>
                <w:rFonts w:hint="eastAsia"/>
                <w:color w:val="auto"/>
              </w:rPr>
              <w:t>间</w:t>
            </w:r>
          </w:p>
        </w:tc>
        <w:tc>
          <w:tcPr>
            <w:tcW w:w="850" w:type="dxa"/>
            <w:tcBorders>
              <w:top w:val="nil"/>
              <w:left w:val="nil"/>
              <w:bottom w:val="single" w:color="auto" w:sz="4" w:space="0"/>
              <w:right w:val="single" w:color="auto" w:sz="4" w:space="0"/>
            </w:tcBorders>
            <w:shd w:val="clear" w:color="auto" w:fill="FFFFFF"/>
            <w:vAlign w:val="center"/>
          </w:tcPr>
          <w:p w14:paraId="0A6472D2">
            <w:pPr>
              <w:pStyle w:val="45"/>
              <w:rPr>
                <w:rFonts w:hint="eastAsia"/>
                <w:color w:val="auto"/>
              </w:rPr>
            </w:pPr>
            <w:r>
              <w:rPr>
                <w:rFonts w:hint="eastAsia"/>
                <w:color w:val="auto"/>
              </w:rPr>
              <w:t>16</w:t>
            </w:r>
          </w:p>
        </w:tc>
        <w:tc>
          <w:tcPr>
            <w:tcW w:w="1276" w:type="dxa"/>
            <w:tcBorders>
              <w:top w:val="nil"/>
              <w:left w:val="nil"/>
              <w:bottom w:val="single" w:color="auto" w:sz="4" w:space="0"/>
              <w:right w:val="single" w:color="auto" w:sz="4" w:space="0"/>
            </w:tcBorders>
            <w:shd w:val="clear" w:color="auto" w:fill="FFFFFF"/>
            <w:vAlign w:val="center"/>
          </w:tcPr>
          <w:p w14:paraId="4A95A81F">
            <w:pPr>
              <w:pStyle w:val="45"/>
              <w:rPr>
                <w:rFonts w:hint="eastAsia"/>
                <w:color w:val="auto"/>
              </w:rPr>
            </w:pPr>
            <w:r>
              <w:rPr>
                <w:rFonts w:hint="eastAsia"/>
                <w:color w:val="auto"/>
              </w:rPr>
              <w:t>3</w:t>
            </w:r>
          </w:p>
        </w:tc>
        <w:tc>
          <w:tcPr>
            <w:tcW w:w="1559" w:type="dxa"/>
            <w:tcBorders>
              <w:top w:val="nil"/>
              <w:left w:val="nil"/>
              <w:bottom w:val="single" w:color="auto" w:sz="4" w:space="0"/>
              <w:right w:val="single" w:color="auto" w:sz="4" w:space="0"/>
            </w:tcBorders>
            <w:shd w:val="clear" w:color="auto" w:fill="FFFFFF"/>
            <w:vAlign w:val="center"/>
          </w:tcPr>
          <w:p w14:paraId="6A5F9230">
            <w:pPr>
              <w:pStyle w:val="45"/>
              <w:rPr>
                <w:rFonts w:hint="eastAsia"/>
                <w:color w:val="auto"/>
              </w:rPr>
            </w:pPr>
            <w:r>
              <w:rPr>
                <w:rFonts w:hint="eastAsia"/>
                <w:color w:val="auto"/>
              </w:rPr>
              <w:t>48</w:t>
            </w:r>
          </w:p>
        </w:tc>
        <w:tc>
          <w:tcPr>
            <w:tcW w:w="1134" w:type="dxa"/>
            <w:tcBorders>
              <w:top w:val="nil"/>
              <w:left w:val="nil"/>
              <w:bottom w:val="single" w:color="auto" w:sz="4" w:space="0"/>
              <w:right w:val="single" w:color="auto" w:sz="4" w:space="0"/>
            </w:tcBorders>
            <w:shd w:val="clear" w:color="auto" w:fill="FFFFFF"/>
            <w:vAlign w:val="center"/>
          </w:tcPr>
          <w:p w14:paraId="6F782EF9">
            <w:pPr>
              <w:pStyle w:val="45"/>
              <w:rPr>
                <w:rFonts w:hint="eastAsia"/>
                <w:color w:val="auto"/>
              </w:rPr>
            </w:pPr>
            <w:r>
              <w:rPr>
                <w:rFonts w:hint="eastAsia"/>
                <w:color w:val="auto"/>
              </w:rPr>
              <w:t>/</w:t>
            </w:r>
          </w:p>
        </w:tc>
      </w:tr>
      <w:tr w14:paraId="5D773DC9">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6238D32">
            <w:pPr>
              <w:pStyle w:val="45"/>
              <w:rPr>
                <w:rFonts w:hint="eastAsia"/>
                <w:color w:val="auto"/>
              </w:rPr>
            </w:pPr>
            <w:r>
              <w:rPr>
                <w:rFonts w:hint="eastAsia"/>
                <w:color w:val="auto"/>
              </w:rPr>
              <w:t>25</w:t>
            </w:r>
          </w:p>
        </w:tc>
        <w:tc>
          <w:tcPr>
            <w:tcW w:w="1559" w:type="dxa"/>
            <w:tcBorders>
              <w:top w:val="nil"/>
              <w:left w:val="nil"/>
              <w:bottom w:val="single" w:color="auto" w:sz="4" w:space="0"/>
              <w:right w:val="single" w:color="auto" w:sz="4" w:space="0"/>
            </w:tcBorders>
            <w:shd w:val="clear" w:color="auto" w:fill="FFFFFF"/>
            <w:vAlign w:val="center"/>
          </w:tcPr>
          <w:p w14:paraId="1CEC737C">
            <w:pPr>
              <w:pStyle w:val="45"/>
              <w:rPr>
                <w:rFonts w:hint="eastAsia"/>
                <w:color w:val="auto"/>
              </w:rPr>
            </w:pPr>
            <w:r>
              <w:rPr>
                <w:rFonts w:hint="eastAsia"/>
                <w:color w:val="auto"/>
              </w:rPr>
              <w:t>室内照明</w:t>
            </w:r>
          </w:p>
        </w:tc>
        <w:tc>
          <w:tcPr>
            <w:tcW w:w="1276" w:type="dxa"/>
            <w:tcBorders>
              <w:top w:val="nil"/>
              <w:left w:val="nil"/>
              <w:bottom w:val="single" w:color="auto" w:sz="4" w:space="0"/>
              <w:right w:val="single" w:color="auto" w:sz="4" w:space="0"/>
            </w:tcBorders>
            <w:shd w:val="clear" w:color="auto" w:fill="FFFFFF"/>
            <w:vAlign w:val="center"/>
          </w:tcPr>
          <w:p w14:paraId="361717FE">
            <w:pPr>
              <w:pStyle w:val="45"/>
              <w:rPr>
                <w:rFonts w:hint="eastAsia"/>
                <w:color w:val="auto"/>
              </w:rPr>
            </w:pPr>
            <w:r>
              <w:rPr>
                <w:rFonts w:hint="eastAsia"/>
                <w:color w:val="auto"/>
              </w:rPr>
              <w:t>民工生活区</w:t>
            </w:r>
          </w:p>
        </w:tc>
        <w:tc>
          <w:tcPr>
            <w:tcW w:w="851" w:type="dxa"/>
            <w:tcBorders>
              <w:top w:val="nil"/>
              <w:left w:val="nil"/>
              <w:bottom w:val="single" w:color="auto" w:sz="4" w:space="0"/>
              <w:right w:val="single" w:color="auto" w:sz="4" w:space="0"/>
            </w:tcBorders>
            <w:shd w:val="clear" w:color="auto" w:fill="FFFFFF"/>
            <w:vAlign w:val="center"/>
          </w:tcPr>
          <w:p w14:paraId="2F002ABD">
            <w:pPr>
              <w:pStyle w:val="45"/>
              <w:rPr>
                <w:rFonts w:hint="eastAsia"/>
                <w:color w:val="auto"/>
              </w:rPr>
            </w:pPr>
            <w:r>
              <w:rPr>
                <w:rFonts w:hint="eastAsia"/>
                <w:color w:val="auto"/>
              </w:rPr>
              <w:t>间</w:t>
            </w:r>
          </w:p>
        </w:tc>
        <w:tc>
          <w:tcPr>
            <w:tcW w:w="850" w:type="dxa"/>
            <w:tcBorders>
              <w:top w:val="nil"/>
              <w:left w:val="nil"/>
              <w:bottom w:val="single" w:color="auto" w:sz="4" w:space="0"/>
              <w:right w:val="single" w:color="auto" w:sz="4" w:space="0"/>
            </w:tcBorders>
            <w:shd w:val="clear" w:color="auto" w:fill="FFFFFF"/>
            <w:vAlign w:val="center"/>
          </w:tcPr>
          <w:p w14:paraId="347468BB">
            <w:pPr>
              <w:pStyle w:val="45"/>
              <w:rPr>
                <w:rFonts w:hint="eastAsia"/>
                <w:color w:val="auto"/>
              </w:rPr>
            </w:pPr>
            <w:r>
              <w:rPr>
                <w:rFonts w:hint="eastAsia"/>
                <w:color w:val="auto"/>
              </w:rPr>
              <w:t>76</w:t>
            </w:r>
          </w:p>
        </w:tc>
        <w:tc>
          <w:tcPr>
            <w:tcW w:w="1276" w:type="dxa"/>
            <w:tcBorders>
              <w:top w:val="nil"/>
              <w:left w:val="nil"/>
              <w:bottom w:val="single" w:color="auto" w:sz="4" w:space="0"/>
              <w:right w:val="single" w:color="auto" w:sz="4" w:space="0"/>
            </w:tcBorders>
            <w:shd w:val="clear" w:color="auto" w:fill="FFFFFF"/>
            <w:vAlign w:val="center"/>
          </w:tcPr>
          <w:p w14:paraId="70E2A021">
            <w:pPr>
              <w:pStyle w:val="45"/>
              <w:rPr>
                <w:rFonts w:hint="eastAsia"/>
                <w:color w:val="auto"/>
              </w:rPr>
            </w:pPr>
            <w:r>
              <w:rPr>
                <w:rFonts w:hint="eastAsia"/>
                <w:color w:val="auto"/>
              </w:rPr>
              <w:t>2.5</w:t>
            </w:r>
          </w:p>
        </w:tc>
        <w:tc>
          <w:tcPr>
            <w:tcW w:w="1559" w:type="dxa"/>
            <w:tcBorders>
              <w:top w:val="nil"/>
              <w:left w:val="nil"/>
              <w:bottom w:val="single" w:color="auto" w:sz="4" w:space="0"/>
              <w:right w:val="single" w:color="auto" w:sz="4" w:space="0"/>
            </w:tcBorders>
            <w:shd w:val="clear" w:color="auto" w:fill="FFFFFF"/>
            <w:vAlign w:val="center"/>
          </w:tcPr>
          <w:p w14:paraId="4125F5CB">
            <w:pPr>
              <w:pStyle w:val="45"/>
              <w:rPr>
                <w:rFonts w:hint="eastAsia"/>
                <w:color w:val="auto"/>
              </w:rPr>
            </w:pPr>
            <w:r>
              <w:rPr>
                <w:rFonts w:hint="eastAsia"/>
                <w:color w:val="auto"/>
              </w:rPr>
              <w:t>190</w:t>
            </w:r>
          </w:p>
        </w:tc>
        <w:tc>
          <w:tcPr>
            <w:tcW w:w="1134" w:type="dxa"/>
            <w:tcBorders>
              <w:top w:val="nil"/>
              <w:left w:val="nil"/>
              <w:bottom w:val="single" w:color="auto" w:sz="4" w:space="0"/>
              <w:right w:val="single" w:color="auto" w:sz="4" w:space="0"/>
            </w:tcBorders>
            <w:shd w:val="clear" w:color="auto" w:fill="FFFFFF"/>
            <w:vAlign w:val="center"/>
          </w:tcPr>
          <w:p w14:paraId="6853447C">
            <w:pPr>
              <w:pStyle w:val="45"/>
              <w:rPr>
                <w:rFonts w:hint="eastAsia"/>
                <w:color w:val="auto"/>
              </w:rPr>
            </w:pPr>
            <w:r>
              <w:rPr>
                <w:rFonts w:hint="eastAsia"/>
                <w:color w:val="auto"/>
              </w:rPr>
              <w:t>/</w:t>
            </w:r>
          </w:p>
        </w:tc>
      </w:tr>
      <w:tr w14:paraId="03987E9C">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428A21B5">
            <w:pPr>
              <w:pStyle w:val="45"/>
              <w:rPr>
                <w:rFonts w:hint="eastAsia"/>
                <w:color w:val="auto"/>
              </w:rPr>
            </w:pPr>
            <w:r>
              <w:rPr>
                <w:rFonts w:hint="eastAsia"/>
                <w:color w:val="auto"/>
              </w:rPr>
              <w:t>26</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483C06DA">
            <w:pPr>
              <w:pStyle w:val="45"/>
              <w:rPr>
                <w:rFonts w:hint="eastAsia"/>
                <w:color w:val="auto"/>
              </w:rPr>
            </w:pPr>
            <w:r>
              <w:rPr>
                <w:rFonts w:hint="eastAsia"/>
                <w:color w:val="auto"/>
              </w:rPr>
              <w:t>铭牌总功率(KW)</w:t>
            </w:r>
          </w:p>
        </w:tc>
        <w:tc>
          <w:tcPr>
            <w:tcW w:w="851" w:type="dxa"/>
            <w:tcBorders>
              <w:top w:val="nil"/>
              <w:left w:val="nil"/>
              <w:bottom w:val="single" w:color="auto" w:sz="4" w:space="0"/>
              <w:right w:val="single" w:color="auto" w:sz="4" w:space="0"/>
            </w:tcBorders>
            <w:shd w:val="clear" w:color="auto" w:fill="FFFFFF"/>
            <w:vAlign w:val="center"/>
          </w:tcPr>
          <w:p w14:paraId="41DFBAD4">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3F0F247E">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42F7C892">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36D657DD">
            <w:pPr>
              <w:pStyle w:val="45"/>
              <w:rPr>
                <w:rFonts w:hint="eastAsia"/>
                <w:color w:val="auto"/>
              </w:rPr>
            </w:pPr>
            <w:r>
              <w:rPr>
                <w:rFonts w:hint="eastAsia"/>
                <w:color w:val="auto"/>
              </w:rPr>
              <w:t>1409</w:t>
            </w:r>
          </w:p>
        </w:tc>
        <w:tc>
          <w:tcPr>
            <w:tcW w:w="1134" w:type="dxa"/>
            <w:tcBorders>
              <w:top w:val="nil"/>
              <w:left w:val="nil"/>
              <w:bottom w:val="single" w:color="auto" w:sz="4" w:space="0"/>
              <w:right w:val="single" w:color="auto" w:sz="4" w:space="0"/>
            </w:tcBorders>
            <w:shd w:val="clear" w:color="auto" w:fill="FFFFFF"/>
            <w:vAlign w:val="center"/>
          </w:tcPr>
          <w:p w14:paraId="57F5966B">
            <w:pPr>
              <w:pStyle w:val="45"/>
              <w:rPr>
                <w:rFonts w:hint="eastAsia"/>
                <w:color w:val="auto"/>
              </w:rPr>
            </w:pPr>
            <w:r>
              <w:rPr>
                <w:rFonts w:hint="eastAsia"/>
                <w:color w:val="auto"/>
              </w:rPr>
              <w:t>/</w:t>
            </w:r>
          </w:p>
        </w:tc>
      </w:tr>
      <w:tr w14:paraId="6489504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C3DE431">
            <w:pPr>
              <w:pStyle w:val="45"/>
              <w:rPr>
                <w:rFonts w:hint="eastAsia"/>
                <w:color w:val="auto"/>
              </w:rPr>
            </w:pPr>
            <w:r>
              <w:rPr>
                <w:rFonts w:hint="eastAsia"/>
                <w:color w:val="auto"/>
              </w:rPr>
              <w:t>27</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3D67E426">
            <w:pPr>
              <w:pStyle w:val="45"/>
              <w:rPr>
                <w:rFonts w:hint="eastAsia"/>
                <w:color w:val="auto"/>
              </w:rPr>
            </w:pPr>
            <w:r>
              <w:rPr>
                <w:rFonts w:hint="eastAsia"/>
                <w:color w:val="auto"/>
              </w:rPr>
              <w:t>电动机总功率(P1)</w:t>
            </w:r>
          </w:p>
        </w:tc>
        <w:tc>
          <w:tcPr>
            <w:tcW w:w="851" w:type="dxa"/>
            <w:tcBorders>
              <w:top w:val="nil"/>
              <w:left w:val="nil"/>
              <w:bottom w:val="single" w:color="auto" w:sz="4" w:space="0"/>
              <w:right w:val="single" w:color="auto" w:sz="4" w:space="0"/>
            </w:tcBorders>
            <w:shd w:val="clear" w:color="auto" w:fill="FFFFFF"/>
            <w:vAlign w:val="center"/>
          </w:tcPr>
          <w:p w14:paraId="55A8500F">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35142984">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61896D2A">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702DD7A5">
            <w:pPr>
              <w:pStyle w:val="45"/>
              <w:rPr>
                <w:rFonts w:hint="eastAsia"/>
                <w:color w:val="auto"/>
              </w:rPr>
            </w:pPr>
            <w:r>
              <w:rPr>
                <w:rFonts w:hint="eastAsia"/>
                <w:color w:val="auto"/>
              </w:rPr>
              <w:t>1031</w:t>
            </w:r>
          </w:p>
        </w:tc>
        <w:tc>
          <w:tcPr>
            <w:tcW w:w="1134" w:type="dxa"/>
            <w:tcBorders>
              <w:top w:val="nil"/>
              <w:left w:val="nil"/>
              <w:bottom w:val="single" w:color="auto" w:sz="4" w:space="0"/>
              <w:right w:val="single" w:color="auto" w:sz="4" w:space="0"/>
            </w:tcBorders>
            <w:shd w:val="clear" w:color="auto" w:fill="FFFFFF"/>
            <w:vAlign w:val="center"/>
          </w:tcPr>
          <w:p w14:paraId="29B6CAA8">
            <w:pPr>
              <w:pStyle w:val="45"/>
              <w:rPr>
                <w:rFonts w:hint="eastAsia"/>
                <w:color w:val="auto"/>
              </w:rPr>
            </w:pPr>
            <w:r>
              <w:rPr>
                <w:rFonts w:hint="eastAsia"/>
                <w:color w:val="auto"/>
              </w:rPr>
              <w:t>/</w:t>
            </w:r>
          </w:p>
        </w:tc>
      </w:tr>
      <w:tr w14:paraId="678A759F">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02DA2F1B">
            <w:pPr>
              <w:pStyle w:val="45"/>
              <w:rPr>
                <w:rFonts w:hint="eastAsia"/>
                <w:color w:val="auto"/>
              </w:rPr>
            </w:pPr>
            <w:r>
              <w:rPr>
                <w:rFonts w:hint="eastAsia"/>
                <w:color w:val="auto"/>
              </w:rPr>
              <w:t>28</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074DDAD4">
            <w:pPr>
              <w:pStyle w:val="45"/>
              <w:rPr>
                <w:rFonts w:hint="eastAsia"/>
                <w:color w:val="auto"/>
              </w:rPr>
            </w:pPr>
            <w:r>
              <w:rPr>
                <w:rFonts w:hint="eastAsia"/>
                <w:color w:val="auto"/>
              </w:rPr>
              <w:t>焊接设备总功率(P2)</w:t>
            </w:r>
          </w:p>
        </w:tc>
        <w:tc>
          <w:tcPr>
            <w:tcW w:w="851" w:type="dxa"/>
            <w:tcBorders>
              <w:top w:val="nil"/>
              <w:left w:val="nil"/>
              <w:bottom w:val="single" w:color="auto" w:sz="4" w:space="0"/>
              <w:right w:val="single" w:color="auto" w:sz="4" w:space="0"/>
            </w:tcBorders>
            <w:shd w:val="clear" w:color="auto" w:fill="FFFFFF"/>
            <w:vAlign w:val="center"/>
          </w:tcPr>
          <w:p w14:paraId="50D0BD73">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7300CBB7">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0094326E">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505F5EAE">
            <w:pPr>
              <w:pStyle w:val="45"/>
              <w:rPr>
                <w:rFonts w:hint="eastAsia"/>
                <w:color w:val="auto"/>
              </w:rPr>
            </w:pPr>
            <w:r>
              <w:rPr>
                <w:rFonts w:hint="eastAsia"/>
                <w:color w:val="auto"/>
              </w:rPr>
              <w:t>110</w:t>
            </w:r>
          </w:p>
        </w:tc>
        <w:tc>
          <w:tcPr>
            <w:tcW w:w="1134" w:type="dxa"/>
            <w:tcBorders>
              <w:top w:val="nil"/>
              <w:left w:val="nil"/>
              <w:bottom w:val="single" w:color="auto" w:sz="4" w:space="0"/>
              <w:right w:val="single" w:color="auto" w:sz="4" w:space="0"/>
            </w:tcBorders>
            <w:shd w:val="clear" w:color="auto" w:fill="FFFFFF"/>
            <w:vAlign w:val="center"/>
          </w:tcPr>
          <w:p w14:paraId="75C0264E">
            <w:pPr>
              <w:pStyle w:val="45"/>
              <w:rPr>
                <w:rFonts w:hint="eastAsia"/>
                <w:color w:val="auto"/>
              </w:rPr>
            </w:pPr>
            <w:r>
              <w:rPr>
                <w:rFonts w:hint="eastAsia"/>
                <w:color w:val="auto"/>
              </w:rPr>
              <w:t>/</w:t>
            </w:r>
          </w:p>
        </w:tc>
      </w:tr>
      <w:tr w14:paraId="47B3F746">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45CF3532">
            <w:pPr>
              <w:pStyle w:val="45"/>
              <w:rPr>
                <w:rFonts w:hint="eastAsia"/>
                <w:color w:val="auto"/>
              </w:rPr>
            </w:pPr>
            <w:r>
              <w:rPr>
                <w:rFonts w:hint="eastAsia"/>
                <w:color w:val="auto"/>
              </w:rPr>
              <w:t>29</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3938903D">
            <w:pPr>
              <w:pStyle w:val="45"/>
              <w:rPr>
                <w:rFonts w:hint="eastAsia"/>
                <w:color w:val="auto"/>
              </w:rPr>
            </w:pPr>
            <w:r>
              <w:rPr>
                <w:rFonts w:hint="eastAsia"/>
                <w:color w:val="auto"/>
              </w:rPr>
              <w:t>室外照明设备总功率(P3)</w:t>
            </w:r>
          </w:p>
        </w:tc>
        <w:tc>
          <w:tcPr>
            <w:tcW w:w="851" w:type="dxa"/>
            <w:tcBorders>
              <w:top w:val="nil"/>
              <w:left w:val="nil"/>
              <w:bottom w:val="single" w:color="auto" w:sz="4" w:space="0"/>
              <w:right w:val="single" w:color="auto" w:sz="4" w:space="0"/>
            </w:tcBorders>
            <w:shd w:val="clear" w:color="auto" w:fill="FFFFFF"/>
            <w:vAlign w:val="center"/>
          </w:tcPr>
          <w:p w14:paraId="4A023C2A">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52CB0673">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51C358E5">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4E363157">
            <w:pPr>
              <w:pStyle w:val="45"/>
              <w:rPr>
                <w:rFonts w:hint="eastAsia"/>
                <w:color w:val="auto"/>
              </w:rPr>
            </w:pPr>
            <w:r>
              <w:rPr>
                <w:rFonts w:hint="eastAsia"/>
                <w:color w:val="auto"/>
              </w:rPr>
              <w:t>26</w:t>
            </w:r>
          </w:p>
        </w:tc>
        <w:tc>
          <w:tcPr>
            <w:tcW w:w="1134" w:type="dxa"/>
            <w:tcBorders>
              <w:top w:val="nil"/>
              <w:left w:val="nil"/>
              <w:bottom w:val="single" w:color="auto" w:sz="4" w:space="0"/>
              <w:right w:val="single" w:color="auto" w:sz="4" w:space="0"/>
            </w:tcBorders>
            <w:shd w:val="clear" w:color="auto" w:fill="FFFFFF"/>
            <w:vAlign w:val="center"/>
          </w:tcPr>
          <w:p w14:paraId="100FC2E1">
            <w:pPr>
              <w:pStyle w:val="45"/>
              <w:rPr>
                <w:rFonts w:hint="eastAsia"/>
                <w:color w:val="auto"/>
              </w:rPr>
            </w:pPr>
            <w:r>
              <w:rPr>
                <w:rFonts w:hint="eastAsia"/>
                <w:color w:val="auto"/>
              </w:rPr>
              <w:t>/</w:t>
            </w:r>
          </w:p>
        </w:tc>
      </w:tr>
      <w:tr w14:paraId="1827A94B">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5E22017C">
            <w:pPr>
              <w:pStyle w:val="45"/>
              <w:rPr>
                <w:rFonts w:hint="eastAsia"/>
                <w:color w:val="auto"/>
              </w:rPr>
            </w:pPr>
            <w:r>
              <w:rPr>
                <w:rFonts w:hint="eastAsia"/>
                <w:color w:val="auto"/>
              </w:rPr>
              <w:t>30</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599FCFB5">
            <w:pPr>
              <w:pStyle w:val="45"/>
              <w:rPr>
                <w:rFonts w:hint="eastAsia"/>
                <w:color w:val="auto"/>
              </w:rPr>
            </w:pPr>
            <w:r>
              <w:rPr>
                <w:rFonts w:hint="eastAsia"/>
                <w:color w:val="auto"/>
              </w:rPr>
              <w:t>室内照明设备总功率(P4＇)</w:t>
            </w:r>
          </w:p>
        </w:tc>
        <w:tc>
          <w:tcPr>
            <w:tcW w:w="851" w:type="dxa"/>
            <w:tcBorders>
              <w:top w:val="nil"/>
              <w:left w:val="nil"/>
              <w:bottom w:val="single" w:color="auto" w:sz="4" w:space="0"/>
              <w:right w:val="single" w:color="auto" w:sz="4" w:space="0"/>
            </w:tcBorders>
            <w:shd w:val="clear" w:color="auto" w:fill="FFFFFF"/>
            <w:vAlign w:val="center"/>
          </w:tcPr>
          <w:p w14:paraId="62F02E8A">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33365187">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45E28960">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1EBCFFD8">
            <w:pPr>
              <w:pStyle w:val="45"/>
              <w:rPr>
                <w:rFonts w:hint="eastAsia"/>
                <w:color w:val="auto"/>
              </w:rPr>
            </w:pPr>
            <w:r>
              <w:rPr>
                <w:rFonts w:hint="eastAsia"/>
                <w:color w:val="auto"/>
              </w:rPr>
              <w:t>238</w:t>
            </w:r>
          </w:p>
        </w:tc>
        <w:tc>
          <w:tcPr>
            <w:tcW w:w="1134" w:type="dxa"/>
            <w:tcBorders>
              <w:top w:val="nil"/>
              <w:left w:val="nil"/>
              <w:bottom w:val="single" w:color="auto" w:sz="4" w:space="0"/>
              <w:right w:val="single" w:color="auto" w:sz="4" w:space="0"/>
            </w:tcBorders>
            <w:shd w:val="clear" w:color="auto" w:fill="FFFFFF"/>
            <w:vAlign w:val="center"/>
          </w:tcPr>
          <w:p w14:paraId="53AFBE62">
            <w:pPr>
              <w:pStyle w:val="45"/>
              <w:rPr>
                <w:rFonts w:hint="eastAsia"/>
                <w:color w:val="auto"/>
              </w:rPr>
            </w:pPr>
            <w:r>
              <w:rPr>
                <w:rFonts w:hint="eastAsia"/>
                <w:color w:val="auto"/>
              </w:rPr>
              <w:t>/</w:t>
            </w:r>
          </w:p>
        </w:tc>
      </w:tr>
      <w:tr w14:paraId="50B46CA2">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4496671B">
            <w:pPr>
              <w:pStyle w:val="45"/>
              <w:rPr>
                <w:rFonts w:hint="eastAsia"/>
                <w:color w:val="auto"/>
              </w:rPr>
            </w:pPr>
            <w:r>
              <w:rPr>
                <w:rFonts w:hint="eastAsia"/>
                <w:color w:val="auto"/>
              </w:rPr>
              <w:t>31</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58FE4DE0">
            <w:pPr>
              <w:pStyle w:val="45"/>
              <w:rPr>
                <w:rFonts w:hint="eastAsia"/>
                <w:color w:val="auto"/>
              </w:rPr>
            </w:pPr>
            <w:r>
              <w:rPr>
                <w:rFonts w:hint="eastAsia"/>
                <w:color w:val="auto"/>
              </w:rPr>
              <w:t>室内照明设备总功率(P4)</w:t>
            </w:r>
          </w:p>
        </w:tc>
        <w:tc>
          <w:tcPr>
            <w:tcW w:w="851" w:type="dxa"/>
            <w:tcBorders>
              <w:top w:val="nil"/>
              <w:left w:val="nil"/>
              <w:bottom w:val="single" w:color="auto" w:sz="4" w:space="0"/>
              <w:right w:val="single" w:color="auto" w:sz="4" w:space="0"/>
            </w:tcBorders>
            <w:shd w:val="clear" w:color="auto" w:fill="FFFFFF"/>
            <w:vAlign w:val="center"/>
          </w:tcPr>
          <w:p w14:paraId="2EFE66C3">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70B91F41">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08F0E758">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1CE7CFA5">
            <w:pPr>
              <w:pStyle w:val="45"/>
              <w:rPr>
                <w:rFonts w:hint="eastAsia"/>
                <w:color w:val="auto"/>
              </w:rPr>
            </w:pPr>
            <w:r>
              <w:rPr>
                <w:rFonts w:hint="eastAsia"/>
                <w:color w:val="auto"/>
              </w:rPr>
              <w:t xml:space="preserve">137 </w:t>
            </w:r>
          </w:p>
        </w:tc>
        <w:tc>
          <w:tcPr>
            <w:tcW w:w="1134" w:type="dxa"/>
            <w:tcBorders>
              <w:top w:val="nil"/>
              <w:left w:val="nil"/>
              <w:bottom w:val="single" w:color="auto" w:sz="4" w:space="0"/>
              <w:right w:val="single" w:color="auto" w:sz="4" w:space="0"/>
            </w:tcBorders>
            <w:shd w:val="clear" w:color="auto" w:fill="FFFFFF"/>
            <w:vAlign w:val="center"/>
          </w:tcPr>
          <w:p w14:paraId="0415BB05">
            <w:pPr>
              <w:pStyle w:val="45"/>
              <w:rPr>
                <w:rFonts w:hint="eastAsia"/>
                <w:color w:val="auto"/>
              </w:rPr>
            </w:pPr>
            <w:r>
              <w:rPr>
                <w:rFonts w:hint="eastAsia"/>
                <w:color w:val="auto"/>
              </w:rPr>
              <w:t>/</w:t>
            </w:r>
          </w:p>
        </w:tc>
      </w:tr>
      <w:tr w14:paraId="45959D90">
        <w:tblPrEx>
          <w:tblCellMar>
            <w:top w:w="0" w:type="dxa"/>
            <w:left w:w="108" w:type="dxa"/>
            <w:bottom w:w="0" w:type="dxa"/>
            <w:right w:w="108" w:type="dxa"/>
          </w:tblCellMar>
        </w:tblPrEx>
        <w:trPr>
          <w:trHeight w:val="285" w:hRule="atLeast"/>
        </w:trPr>
        <w:tc>
          <w:tcPr>
            <w:tcW w:w="724" w:type="dxa"/>
            <w:tcBorders>
              <w:top w:val="nil"/>
              <w:left w:val="single" w:color="auto" w:sz="4" w:space="0"/>
              <w:bottom w:val="single" w:color="auto" w:sz="4" w:space="0"/>
              <w:right w:val="single" w:color="auto" w:sz="4" w:space="0"/>
            </w:tcBorders>
            <w:shd w:val="clear" w:color="auto" w:fill="FFFFFF"/>
            <w:vAlign w:val="center"/>
          </w:tcPr>
          <w:p w14:paraId="34B85712">
            <w:pPr>
              <w:pStyle w:val="45"/>
              <w:rPr>
                <w:rFonts w:hint="eastAsia"/>
                <w:color w:val="auto"/>
              </w:rPr>
            </w:pPr>
            <w:r>
              <w:rPr>
                <w:rFonts w:hint="eastAsia"/>
                <w:color w:val="auto"/>
              </w:rPr>
              <w:t>32</w:t>
            </w:r>
          </w:p>
        </w:tc>
        <w:tc>
          <w:tcPr>
            <w:tcW w:w="2835" w:type="dxa"/>
            <w:gridSpan w:val="2"/>
            <w:tcBorders>
              <w:top w:val="single" w:color="auto" w:sz="4" w:space="0"/>
              <w:left w:val="nil"/>
              <w:bottom w:val="single" w:color="auto" w:sz="4" w:space="0"/>
              <w:right w:val="single" w:color="000000" w:sz="4" w:space="0"/>
            </w:tcBorders>
            <w:shd w:val="clear" w:color="auto" w:fill="FFFFFF"/>
            <w:vAlign w:val="center"/>
          </w:tcPr>
          <w:p w14:paraId="1EF12DAD">
            <w:pPr>
              <w:pStyle w:val="45"/>
              <w:rPr>
                <w:rFonts w:hint="eastAsia"/>
                <w:color w:val="auto"/>
              </w:rPr>
            </w:pPr>
            <w:r>
              <w:rPr>
                <w:rFonts w:hint="eastAsia"/>
                <w:color w:val="auto"/>
              </w:rPr>
              <w:t>视在总功率(P)</w:t>
            </w:r>
          </w:p>
        </w:tc>
        <w:tc>
          <w:tcPr>
            <w:tcW w:w="851" w:type="dxa"/>
            <w:tcBorders>
              <w:top w:val="nil"/>
              <w:left w:val="nil"/>
              <w:bottom w:val="single" w:color="auto" w:sz="4" w:space="0"/>
              <w:right w:val="single" w:color="auto" w:sz="4" w:space="0"/>
            </w:tcBorders>
            <w:shd w:val="clear" w:color="auto" w:fill="FFFFFF"/>
            <w:vAlign w:val="center"/>
          </w:tcPr>
          <w:p w14:paraId="2571FB0C">
            <w:pPr>
              <w:pStyle w:val="45"/>
              <w:rPr>
                <w:rFonts w:hint="eastAsia"/>
                <w:color w:val="auto"/>
              </w:rPr>
            </w:pPr>
            <w:r>
              <w:rPr>
                <w:rFonts w:hint="eastAsia"/>
                <w:color w:val="auto"/>
              </w:rPr>
              <w:t>/</w:t>
            </w:r>
          </w:p>
        </w:tc>
        <w:tc>
          <w:tcPr>
            <w:tcW w:w="850" w:type="dxa"/>
            <w:tcBorders>
              <w:top w:val="nil"/>
              <w:left w:val="nil"/>
              <w:bottom w:val="single" w:color="auto" w:sz="4" w:space="0"/>
              <w:right w:val="single" w:color="auto" w:sz="4" w:space="0"/>
            </w:tcBorders>
            <w:shd w:val="clear" w:color="auto" w:fill="FFFFFF"/>
            <w:vAlign w:val="center"/>
          </w:tcPr>
          <w:p w14:paraId="20B8D3DA">
            <w:pPr>
              <w:pStyle w:val="45"/>
              <w:rPr>
                <w:rFonts w:hint="eastAsia"/>
                <w:color w:val="auto"/>
              </w:rPr>
            </w:pPr>
            <w:r>
              <w:rPr>
                <w:rFonts w:hint="eastAsia"/>
                <w:color w:val="auto"/>
              </w:rPr>
              <w:t>/</w:t>
            </w:r>
          </w:p>
        </w:tc>
        <w:tc>
          <w:tcPr>
            <w:tcW w:w="1276" w:type="dxa"/>
            <w:tcBorders>
              <w:top w:val="nil"/>
              <w:left w:val="nil"/>
              <w:bottom w:val="single" w:color="auto" w:sz="4" w:space="0"/>
              <w:right w:val="single" w:color="auto" w:sz="4" w:space="0"/>
            </w:tcBorders>
            <w:shd w:val="clear" w:color="auto" w:fill="FFFFFF"/>
            <w:vAlign w:val="center"/>
          </w:tcPr>
          <w:p w14:paraId="6DA41986">
            <w:pPr>
              <w:pStyle w:val="45"/>
              <w:rPr>
                <w:rFonts w:hint="eastAsia"/>
                <w:color w:val="auto"/>
              </w:rPr>
            </w:pPr>
            <w:r>
              <w:rPr>
                <w:rFonts w:hint="eastAsia"/>
                <w:color w:val="auto"/>
              </w:rPr>
              <w:t>/</w:t>
            </w:r>
          </w:p>
        </w:tc>
        <w:tc>
          <w:tcPr>
            <w:tcW w:w="1559" w:type="dxa"/>
            <w:tcBorders>
              <w:top w:val="nil"/>
              <w:left w:val="nil"/>
              <w:bottom w:val="single" w:color="auto" w:sz="4" w:space="0"/>
              <w:right w:val="single" w:color="auto" w:sz="4" w:space="0"/>
            </w:tcBorders>
            <w:shd w:val="clear" w:color="auto" w:fill="FFFFFF"/>
            <w:vAlign w:val="center"/>
          </w:tcPr>
          <w:p w14:paraId="4B7426E2">
            <w:pPr>
              <w:pStyle w:val="45"/>
              <w:rPr>
                <w:rFonts w:hint="eastAsia"/>
                <w:color w:val="auto"/>
              </w:rPr>
            </w:pPr>
            <w:r>
              <w:rPr>
                <w:rFonts w:hint="eastAsia"/>
                <w:color w:val="auto"/>
              </w:rPr>
              <w:t>880</w:t>
            </w:r>
          </w:p>
        </w:tc>
        <w:tc>
          <w:tcPr>
            <w:tcW w:w="1134" w:type="dxa"/>
            <w:tcBorders>
              <w:top w:val="nil"/>
              <w:left w:val="nil"/>
              <w:bottom w:val="single" w:color="auto" w:sz="4" w:space="0"/>
              <w:right w:val="single" w:color="auto" w:sz="4" w:space="0"/>
            </w:tcBorders>
            <w:shd w:val="clear" w:color="auto" w:fill="FFFFFF"/>
            <w:vAlign w:val="center"/>
          </w:tcPr>
          <w:p w14:paraId="42049A06">
            <w:pPr>
              <w:pStyle w:val="45"/>
              <w:rPr>
                <w:rFonts w:hint="eastAsia"/>
                <w:color w:val="auto"/>
              </w:rPr>
            </w:pPr>
            <w:r>
              <w:rPr>
                <w:rFonts w:hint="eastAsia"/>
                <w:color w:val="auto"/>
              </w:rPr>
              <w:t>/</w:t>
            </w:r>
          </w:p>
        </w:tc>
      </w:tr>
    </w:tbl>
    <w:p w14:paraId="17CA7ECC">
      <w:pPr>
        <w:pStyle w:val="4"/>
        <w:ind w:firstLine="482"/>
        <w:rPr>
          <w:color w:val="auto"/>
        </w:rPr>
      </w:pPr>
      <w:bookmarkStart w:id="131" w:name="_Toc9544"/>
      <w:r>
        <w:rPr>
          <w:rFonts w:hint="eastAsia"/>
          <w:color w:val="auto"/>
        </w:rPr>
        <w:t>各阶段总平面布置图</w:t>
      </w:r>
      <w:bookmarkEnd w:id="131"/>
    </w:p>
    <w:p w14:paraId="4E6F17A6">
      <w:pPr>
        <w:rPr>
          <w:color w:val="auto"/>
        </w:rPr>
      </w:pPr>
    </w:p>
    <w:p w14:paraId="16EB1658">
      <w:pPr>
        <w:rPr>
          <w:color w:val="auto"/>
        </w:rPr>
      </w:pPr>
    </w:p>
    <w:p w14:paraId="53C4FC0B">
      <w:pPr>
        <w:rPr>
          <w:color w:val="auto"/>
        </w:rPr>
        <w:sectPr>
          <w:headerReference r:id="rId28" w:type="default"/>
          <w:pgSz w:w="11906" w:h="16838"/>
          <w:pgMar w:top="1440" w:right="1361" w:bottom="1440" w:left="1701" w:header="851" w:footer="992" w:gutter="0"/>
          <w:cols w:space="425" w:num="1"/>
          <w:docGrid w:type="lines" w:linePitch="326" w:charSpace="0"/>
        </w:sectPr>
      </w:pPr>
    </w:p>
    <w:p w14:paraId="4706162D">
      <w:pPr>
        <w:pStyle w:val="49"/>
        <w:rPr>
          <w:rFonts w:hint="eastAsia"/>
          <w:color w:val="auto"/>
        </w:rPr>
      </w:pPr>
      <w:r>
        <w:rPr>
          <w:color w:val="auto"/>
        </w:rPr>
        <w:drawing>
          <wp:inline distT="0" distB="0" distL="0" distR="0">
            <wp:extent cx="7731125" cy="5308600"/>
            <wp:effectExtent l="0" t="0" r="3175" b="635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pic:cNvPicPr>
                  </pic:nvPicPr>
                  <pic:blipFill>
                    <a:blip r:embed="rId57"/>
                    <a:stretch>
                      <a:fillRect/>
                    </a:stretch>
                  </pic:blipFill>
                  <pic:spPr>
                    <a:xfrm>
                      <a:off x="0" y="0"/>
                      <a:ext cx="7732110" cy="5309222"/>
                    </a:xfrm>
                    <a:prstGeom prst="rect">
                      <a:avLst/>
                    </a:prstGeom>
                  </pic:spPr>
                </pic:pic>
              </a:graphicData>
            </a:graphic>
          </wp:inline>
        </w:drawing>
      </w:r>
    </w:p>
    <w:p w14:paraId="4F8D9091">
      <w:pPr>
        <w:pStyle w:val="53"/>
        <w:rPr>
          <w:color w:val="auto"/>
        </w:rPr>
      </w:pPr>
      <w:r>
        <w:rPr>
          <w:rFonts w:hint="eastAsia"/>
          <w:color w:val="auto"/>
        </w:rPr>
        <w:t>桩基阶段总平面布置图</w:t>
      </w:r>
    </w:p>
    <w:p w14:paraId="04EFEAD0">
      <w:pPr>
        <w:pStyle w:val="49"/>
        <w:rPr>
          <w:rFonts w:hint="eastAsia"/>
          <w:color w:val="auto"/>
        </w:rPr>
      </w:pPr>
      <w:r>
        <w:rPr>
          <w:color w:val="auto"/>
        </w:rPr>
        <w:drawing>
          <wp:inline distT="0" distB="0" distL="0" distR="0">
            <wp:extent cx="7645400" cy="52978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8"/>
                    <a:stretch>
                      <a:fillRect/>
                    </a:stretch>
                  </pic:blipFill>
                  <pic:spPr>
                    <a:xfrm>
                      <a:off x="0" y="0"/>
                      <a:ext cx="7650702" cy="5301482"/>
                    </a:xfrm>
                    <a:prstGeom prst="rect">
                      <a:avLst/>
                    </a:prstGeom>
                  </pic:spPr>
                </pic:pic>
              </a:graphicData>
            </a:graphic>
          </wp:inline>
        </w:drawing>
      </w:r>
    </w:p>
    <w:p w14:paraId="030FE2C4">
      <w:pPr>
        <w:pStyle w:val="53"/>
        <w:rPr>
          <w:color w:val="auto"/>
        </w:rPr>
      </w:pPr>
      <w:r>
        <w:rPr>
          <w:rFonts w:hint="eastAsia"/>
          <w:color w:val="auto"/>
        </w:rPr>
        <w:t>土方开挖阶段总平面布置图</w:t>
      </w:r>
    </w:p>
    <w:p w14:paraId="137B2B55">
      <w:pPr>
        <w:pStyle w:val="49"/>
        <w:rPr>
          <w:rFonts w:hint="eastAsia"/>
          <w:color w:val="auto"/>
        </w:rPr>
      </w:pPr>
      <w:r>
        <w:rPr>
          <w:color w:val="auto"/>
        </w:rPr>
        <w:t xml:space="preserve"> </w:t>
      </w:r>
      <w:r>
        <w:rPr>
          <w:color w:val="auto"/>
        </w:rPr>
        <w:drawing>
          <wp:inline distT="0" distB="0" distL="0" distR="0">
            <wp:extent cx="7561580" cy="521970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9"/>
                    <a:stretch>
                      <a:fillRect/>
                    </a:stretch>
                  </pic:blipFill>
                  <pic:spPr>
                    <a:xfrm>
                      <a:off x="0" y="0"/>
                      <a:ext cx="7570496" cy="5225841"/>
                    </a:xfrm>
                    <a:prstGeom prst="rect">
                      <a:avLst/>
                    </a:prstGeom>
                  </pic:spPr>
                </pic:pic>
              </a:graphicData>
            </a:graphic>
          </wp:inline>
        </w:drawing>
      </w:r>
    </w:p>
    <w:p w14:paraId="773A2336">
      <w:pPr>
        <w:pStyle w:val="53"/>
        <w:rPr>
          <w:color w:val="auto"/>
        </w:rPr>
      </w:pPr>
      <w:r>
        <w:rPr>
          <w:rFonts w:hint="eastAsia"/>
          <w:color w:val="auto"/>
        </w:rPr>
        <w:t>地下室结构施工阶段</w:t>
      </w:r>
    </w:p>
    <w:p w14:paraId="0C65BC77">
      <w:pPr>
        <w:jc w:val="center"/>
        <w:rPr>
          <w:color w:val="auto"/>
        </w:rPr>
      </w:pPr>
      <w:r>
        <w:rPr>
          <w:color w:val="auto"/>
        </w:rPr>
        <w:drawing>
          <wp:inline distT="0" distB="0" distL="0" distR="0">
            <wp:extent cx="7472045" cy="5143500"/>
            <wp:effectExtent l="0" t="0" r="0" b="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pic:cNvPicPr>
                  </pic:nvPicPr>
                  <pic:blipFill>
                    <a:blip r:embed="rId60"/>
                    <a:stretch>
                      <a:fillRect/>
                    </a:stretch>
                  </pic:blipFill>
                  <pic:spPr>
                    <a:xfrm>
                      <a:off x="0" y="0"/>
                      <a:ext cx="7487301" cy="5153931"/>
                    </a:xfrm>
                    <a:prstGeom prst="rect">
                      <a:avLst/>
                    </a:prstGeom>
                  </pic:spPr>
                </pic:pic>
              </a:graphicData>
            </a:graphic>
          </wp:inline>
        </w:drawing>
      </w:r>
    </w:p>
    <w:p w14:paraId="35FBDFCC">
      <w:pPr>
        <w:pStyle w:val="53"/>
        <w:rPr>
          <w:color w:val="auto"/>
        </w:rPr>
      </w:pPr>
      <w:r>
        <w:rPr>
          <w:rFonts w:hint="eastAsia"/>
          <w:color w:val="auto"/>
        </w:rPr>
        <w:t>主体结构施工阶段</w:t>
      </w:r>
    </w:p>
    <w:p w14:paraId="1AC5624A">
      <w:pPr>
        <w:jc w:val="center"/>
        <w:rPr>
          <w:color w:val="auto"/>
        </w:rPr>
      </w:pPr>
      <w:r>
        <w:rPr>
          <w:color w:val="auto"/>
        </w:rPr>
        <w:drawing>
          <wp:inline distT="0" distB="0" distL="0" distR="0">
            <wp:extent cx="7264400" cy="5046345"/>
            <wp:effectExtent l="0" t="0" r="0" b="1905"/>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pic:cNvPicPr>
                  </pic:nvPicPr>
                  <pic:blipFill>
                    <a:blip r:embed="rId61"/>
                    <a:stretch>
                      <a:fillRect/>
                    </a:stretch>
                  </pic:blipFill>
                  <pic:spPr>
                    <a:xfrm>
                      <a:off x="0" y="0"/>
                      <a:ext cx="7269985" cy="5050329"/>
                    </a:xfrm>
                    <a:prstGeom prst="rect">
                      <a:avLst/>
                    </a:prstGeom>
                  </pic:spPr>
                </pic:pic>
              </a:graphicData>
            </a:graphic>
          </wp:inline>
        </w:drawing>
      </w:r>
    </w:p>
    <w:p w14:paraId="215867CF">
      <w:pPr>
        <w:pStyle w:val="53"/>
        <w:rPr>
          <w:color w:val="auto"/>
        </w:rPr>
      </w:pPr>
      <w:r>
        <w:rPr>
          <w:rFonts w:hint="eastAsia"/>
          <w:color w:val="auto"/>
        </w:rPr>
        <w:t>装饰装修施工阶段</w:t>
      </w:r>
    </w:p>
    <w:p w14:paraId="57932925">
      <w:pPr>
        <w:pStyle w:val="49"/>
        <w:rPr>
          <w:rFonts w:hint="eastAsia"/>
          <w:color w:val="auto"/>
        </w:rPr>
      </w:pPr>
      <w:r>
        <w:rPr>
          <w:rFonts w:hint="eastAsia" w:ascii="Times New Roman" w:hAnsi="Times New Roman"/>
          <w:color w:val="auto"/>
        </w:rPr>
        <w:drawing>
          <wp:inline distT="0" distB="0" distL="114300" distR="114300">
            <wp:extent cx="7797800" cy="5220970"/>
            <wp:effectExtent l="0" t="0" r="0" b="0"/>
            <wp:docPr id="3519" name="图片 17" descr="临电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 name="图片 17" descr="临电_1"/>
                    <pic:cNvPicPr>
                      <a:picLocks noChangeAspect="1"/>
                    </pic:cNvPicPr>
                  </pic:nvPicPr>
                  <pic:blipFill>
                    <a:blip r:embed="rId62"/>
                    <a:srcRect t="2359" b="2768"/>
                    <a:stretch>
                      <a:fillRect/>
                    </a:stretch>
                  </pic:blipFill>
                  <pic:spPr>
                    <a:xfrm>
                      <a:off x="0" y="0"/>
                      <a:ext cx="7805002" cy="5226283"/>
                    </a:xfrm>
                    <a:prstGeom prst="rect">
                      <a:avLst/>
                    </a:prstGeom>
                    <a:noFill/>
                    <a:ln>
                      <a:noFill/>
                    </a:ln>
                  </pic:spPr>
                </pic:pic>
              </a:graphicData>
            </a:graphic>
          </wp:inline>
        </w:drawing>
      </w:r>
    </w:p>
    <w:p w14:paraId="439E4C14">
      <w:pPr>
        <w:pStyle w:val="53"/>
        <w:rPr>
          <w:color w:val="auto"/>
        </w:rPr>
      </w:pPr>
      <w:r>
        <w:rPr>
          <w:rFonts w:hint="eastAsia"/>
          <w:color w:val="auto"/>
        </w:rPr>
        <w:t>临电平面布置图</w:t>
      </w:r>
    </w:p>
    <w:p w14:paraId="2AD97ABA">
      <w:pPr>
        <w:pStyle w:val="65"/>
        <w:spacing w:before="163" w:after="163"/>
        <w:rPr>
          <w:color w:val="auto"/>
        </w:rPr>
      </w:pPr>
      <w:r>
        <w:rPr>
          <w:color w:val="auto"/>
        </w:rPr>
        <w:drawing>
          <wp:inline distT="0" distB="0" distL="114300" distR="114300">
            <wp:extent cx="7323455" cy="4978400"/>
            <wp:effectExtent l="0" t="0" r="0" b="0"/>
            <wp:docPr id="3520" name="图片 18" descr="临水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0" name="图片 18" descr="临水_1"/>
                    <pic:cNvPicPr>
                      <a:picLocks noChangeAspect="1"/>
                    </pic:cNvPicPr>
                  </pic:nvPicPr>
                  <pic:blipFill>
                    <a:blip r:embed="rId63"/>
                    <a:srcRect t="1469" b="2573"/>
                    <a:stretch>
                      <a:fillRect/>
                    </a:stretch>
                  </pic:blipFill>
                  <pic:spPr>
                    <a:xfrm>
                      <a:off x="0" y="0"/>
                      <a:ext cx="7329900" cy="4982780"/>
                    </a:xfrm>
                    <a:prstGeom prst="rect">
                      <a:avLst/>
                    </a:prstGeom>
                    <a:noFill/>
                    <a:ln>
                      <a:noFill/>
                    </a:ln>
                  </pic:spPr>
                </pic:pic>
              </a:graphicData>
            </a:graphic>
          </wp:inline>
        </w:drawing>
      </w:r>
    </w:p>
    <w:p w14:paraId="7445F4C7">
      <w:pPr>
        <w:pStyle w:val="53"/>
        <w:rPr>
          <w:color w:val="auto"/>
        </w:rPr>
      </w:pPr>
      <w:r>
        <w:rPr>
          <w:rFonts w:hint="eastAsia"/>
          <w:color w:val="auto"/>
        </w:rPr>
        <w:t>临水平面布置图</w:t>
      </w:r>
    </w:p>
    <w:p w14:paraId="3ACC73E0">
      <w:pPr>
        <w:rPr>
          <w:color w:val="auto"/>
        </w:rPr>
        <w:sectPr>
          <w:headerReference r:id="rId29" w:type="default"/>
          <w:pgSz w:w="16838" w:h="11906" w:orient="landscape"/>
          <w:pgMar w:top="1701" w:right="1440" w:bottom="1361" w:left="1440" w:header="1134" w:footer="850" w:gutter="0"/>
          <w:cols w:space="425" w:num="1"/>
          <w:docGrid w:type="lines" w:linePitch="326" w:charSpace="0"/>
        </w:sectPr>
      </w:pPr>
    </w:p>
    <w:p w14:paraId="50861C56">
      <w:pPr>
        <w:pStyle w:val="3"/>
        <w:rPr>
          <w:color w:val="auto"/>
        </w:rPr>
      </w:pPr>
      <w:bookmarkStart w:id="132" w:name="_Toc16346"/>
      <w:r>
        <w:rPr>
          <w:rFonts w:hint="eastAsia"/>
          <w:color w:val="auto"/>
        </w:rPr>
        <w:t>主要分部分项工程施工方法</w:t>
      </w:r>
      <w:bookmarkEnd w:id="132"/>
    </w:p>
    <w:p w14:paraId="43F9DF6A">
      <w:pPr>
        <w:pStyle w:val="4"/>
        <w:ind w:firstLine="482"/>
        <w:rPr>
          <w:color w:val="auto"/>
        </w:rPr>
      </w:pPr>
      <w:bookmarkStart w:id="133" w:name="_Toc16824"/>
      <w:r>
        <w:rPr>
          <w:rFonts w:hint="eastAsia"/>
          <w:color w:val="auto"/>
        </w:rPr>
        <w:t>测量放线</w:t>
      </w:r>
      <w:bookmarkEnd w:id="133"/>
    </w:p>
    <w:p w14:paraId="63FCCCFB">
      <w:pPr>
        <w:rPr>
          <w:color w:val="auto"/>
        </w:rPr>
      </w:pPr>
      <w:r>
        <w:rPr>
          <w:rFonts w:hint="eastAsia"/>
          <w:color w:val="auto"/>
        </w:rPr>
        <w:t>建筑结构施工中，测量控制是关键工序之一，垂直度、轴线和标高偏差是衡量工程质量的重要指标。为此应在施工准备期间制定切实可行的施测方案，布置有效的测量控制点，为施工提供依据。本工程测量依据为《工程测量规范》GB50026-2007。</w:t>
      </w:r>
    </w:p>
    <w:p w14:paraId="7450B377">
      <w:pPr>
        <w:pStyle w:val="5"/>
        <w:rPr>
          <w:color w:val="auto"/>
        </w:rPr>
      </w:pPr>
      <w:bookmarkStart w:id="134" w:name="_Toc11343"/>
      <w:r>
        <w:rPr>
          <w:rFonts w:hint="eastAsia"/>
          <w:color w:val="auto"/>
        </w:rPr>
        <w:t>测量准备</w:t>
      </w:r>
      <w:bookmarkEnd w:id="134"/>
    </w:p>
    <w:p w14:paraId="5701C6DA">
      <w:pPr>
        <w:rPr>
          <w:color w:val="auto"/>
        </w:rPr>
      </w:pPr>
      <w:r>
        <w:rPr>
          <w:rFonts w:hint="eastAsia"/>
          <w:color w:val="auto"/>
        </w:rPr>
        <w:t>施工测量准备工作是保证施工测量全过程顺利进行的重要环节，包括图纸和测量规范的熟悉，测量基准点的交接与校核，人员的组织及测量仪器的选择及检定，测量方案的讨论，工程重难点的分析和应对措施。建筑物测量目标按下表控制。</w:t>
      </w:r>
    </w:p>
    <w:p w14:paraId="7A368550">
      <w:pPr>
        <w:pStyle w:val="54"/>
        <w:rPr>
          <w:color w:val="auto"/>
        </w:rPr>
      </w:pPr>
      <w:r>
        <w:rPr>
          <w:rFonts w:hint="eastAsia"/>
          <w:color w:val="auto"/>
        </w:rPr>
        <w:t>建筑物测量目标控制表</w:t>
      </w:r>
    </w:p>
    <w:tbl>
      <w:tblPr>
        <w:tblStyle w:val="29"/>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28" w:type="dxa"/>
          <w:left w:w="108" w:type="dxa"/>
          <w:bottom w:w="28" w:type="dxa"/>
          <w:right w:w="108" w:type="dxa"/>
        </w:tblCellMar>
      </w:tblPr>
      <w:tblGrid>
        <w:gridCol w:w="2631"/>
        <w:gridCol w:w="3724"/>
        <w:gridCol w:w="2705"/>
      </w:tblGrid>
      <w:tr w14:paraId="3A8AF1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08" w:type="dxa"/>
            <w:bottom w:w="28" w:type="dxa"/>
            <w:right w:w="108" w:type="dxa"/>
          </w:tblCellMar>
        </w:tblPrEx>
        <w:trPr>
          <w:trHeight w:val="454" w:hRule="atLeast"/>
        </w:trPr>
        <w:tc>
          <w:tcPr>
            <w:tcW w:w="1452" w:type="pct"/>
            <w:tcMar>
              <w:top w:w="28" w:type="dxa"/>
              <w:bottom w:w="28" w:type="dxa"/>
            </w:tcMar>
            <w:vAlign w:val="center"/>
          </w:tcPr>
          <w:p w14:paraId="18A55263">
            <w:pPr>
              <w:pStyle w:val="45"/>
              <w:rPr>
                <w:rFonts w:hint="eastAsia"/>
                <w:color w:val="auto"/>
              </w:rPr>
            </w:pPr>
            <w:r>
              <w:rPr>
                <w:rFonts w:hint="eastAsia"/>
                <w:color w:val="auto"/>
              </w:rPr>
              <w:t>名称</w:t>
            </w:r>
          </w:p>
        </w:tc>
        <w:tc>
          <w:tcPr>
            <w:tcW w:w="2055" w:type="pct"/>
            <w:tcMar>
              <w:top w:w="28" w:type="dxa"/>
              <w:bottom w:w="28" w:type="dxa"/>
            </w:tcMar>
            <w:vAlign w:val="center"/>
          </w:tcPr>
          <w:p w14:paraId="1956716A">
            <w:pPr>
              <w:pStyle w:val="45"/>
              <w:rPr>
                <w:rFonts w:hint="eastAsia"/>
                <w:color w:val="auto"/>
              </w:rPr>
            </w:pPr>
            <w:r>
              <w:rPr>
                <w:rFonts w:hint="eastAsia"/>
                <w:color w:val="auto"/>
              </w:rPr>
              <w:t>规范允许偏差</w:t>
            </w:r>
          </w:p>
        </w:tc>
        <w:tc>
          <w:tcPr>
            <w:tcW w:w="1493" w:type="pct"/>
            <w:tcMar>
              <w:top w:w="28" w:type="dxa"/>
              <w:bottom w:w="28" w:type="dxa"/>
            </w:tcMar>
            <w:vAlign w:val="center"/>
          </w:tcPr>
          <w:p w14:paraId="2449B3FF">
            <w:pPr>
              <w:pStyle w:val="45"/>
              <w:rPr>
                <w:rFonts w:hint="eastAsia"/>
                <w:color w:val="auto"/>
              </w:rPr>
            </w:pPr>
            <w:r>
              <w:rPr>
                <w:rFonts w:hint="eastAsia"/>
                <w:color w:val="auto"/>
              </w:rPr>
              <w:t>项目测量精度目标</w:t>
            </w:r>
          </w:p>
        </w:tc>
      </w:tr>
      <w:tr w14:paraId="7F311B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08" w:type="dxa"/>
            <w:bottom w:w="28" w:type="dxa"/>
            <w:right w:w="108" w:type="dxa"/>
          </w:tblCellMar>
        </w:tblPrEx>
        <w:trPr>
          <w:trHeight w:val="454" w:hRule="atLeast"/>
        </w:trPr>
        <w:tc>
          <w:tcPr>
            <w:tcW w:w="1452" w:type="pct"/>
            <w:tcMar>
              <w:top w:w="28" w:type="dxa"/>
              <w:bottom w:w="28" w:type="dxa"/>
            </w:tcMar>
            <w:vAlign w:val="center"/>
          </w:tcPr>
          <w:p w14:paraId="7F6D75E9">
            <w:pPr>
              <w:pStyle w:val="45"/>
              <w:rPr>
                <w:rFonts w:hint="eastAsia"/>
                <w:color w:val="auto"/>
              </w:rPr>
            </w:pPr>
            <w:r>
              <w:rPr>
                <w:rFonts w:hint="eastAsia"/>
                <w:color w:val="auto"/>
              </w:rPr>
              <w:t>建筑物倾斜</w:t>
            </w:r>
          </w:p>
        </w:tc>
        <w:tc>
          <w:tcPr>
            <w:tcW w:w="2055" w:type="pct"/>
            <w:tcMar>
              <w:top w:w="28" w:type="dxa"/>
              <w:bottom w:w="28" w:type="dxa"/>
            </w:tcMar>
            <w:vAlign w:val="center"/>
          </w:tcPr>
          <w:p w14:paraId="2551688D">
            <w:pPr>
              <w:pStyle w:val="45"/>
              <w:rPr>
                <w:rFonts w:hint="eastAsia"/>
                <w:color w:val="auto"/>
              </w:rPr>
            </w:pPr>
            <w:r>
              <w:rPr>
                <w:rFonts w:hint="eastAsia"/>
                <w:color w:val="auto"/>
              </w:rPr>
              <w:t>向内</w:t>
            </w:r>
            <w:r>
              <w:rPr>
                <w:color w:val="auto"/>
              </w:rPr>
              <w:t>50mm,</w:t>
            </w:r>
            <w:r>
              <w:rPr>
                <w:rFonts w:hint="eastAsia"/>
                <w:color w:val="auto"/>
              </w:rPr>
              <w:t>向外</w:t>
            </w:r>
            <w:r>
              <w:rPr>
                <w:color w:val="auto"/>
              </w:rPr>
              <w:t>50mm</w:t>
            </w:r>
          </w:p>
        </w:tc>
        <w:tc>
          <w:tcPr>
            <w:tcW w:w="1493" w:type="pct"/>
            <w:tcMar>
              <w:top w:w="28" w:type="dxa"/>
              <w:bottom w:w="28" w:type="dxa"/>
            </w:tcMar>
            <w:vAlign w:val="center"/>
          </w:tcPr>
          <w:p w14:paraId="3F24BB45">
            <w:pPr>
              <w:pStyle w:val="45"/>
              <w:rPr>
                <w:rFonts w:hint="eastAsia"/>
                <w:color w:val="auto"/>
              </w:rPr>
            </w:pPr>
            <w:r>
              <w:rPr>
                <w:rFonts w:hint="eastAsia"/>
                <w:color w:val="auto"/>
              </w:rPr>
              <w:t>向外</w:t>
            </w:r>
            <w:r>
              <w:rPr>
                <w:color w:val="auto"/>
              </w:rPr>
              <w:t>20mm</w:t>
            </w:r>
            <w:r>
              <w:rPr>
                <w:rFonts w:hint="eastAsia"/>
                <w:color w:val="auto"/>
              </w:rPr>
              <w:t>，向内</w:t>
            </w:r>
            <w:r>
              <w:rPr>
                <w:color w:val="auto"/>
              </w:rPr>
              <w:t>25mm</w:t>
            </w:r>
          </w:p>
        </w:tc>
      </w:tr>
      <w:tr w14:paraId="7B3F86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08" w:type="dxa"/>
            <w:bottom w:w="28" w:type="dxa"/>
            <w:right w:w="108" w:type="dxa"/>
          </w:tblCellMar>
        </w:tblPrEx>
        <w:trPr>
          <w:trHeight w:val="454" w:hRule="atLeast"/>
        </w:trPr>
        <w:tc>
          <w:tcPr>
            <w:tcW w:w="1452" w:type="pct"/>
            <w:tcMar>
              <w:top w:w="28" w:type="dxa"/>
              <w:bottom w:w="28" w:type="dxa"/>
            </w:tcMar>
            <w:vAlign w:val="center"/>
          </w:tcPr>
          <w:p w14:paraId="1A097FCF">
            <w:pPr>
              <w:pStyle w:val="45"/>
              <w:rPr>
                <w:rFonts w:hint="eastAsia"/>
                <w:color w:val="auto"/>
              </w:rPr>
            </w:pPr>
            <w:r>
              <w:rPr>
                <w:rFonts w:hint="eastAsia"/>
                <w:color w:val="auto"/>
              </w:rPr>
              <w:t>建筑物总高度偏差</w:t>
            </w:r>
          </w:p>
        </w:tc>
        <w:tc>
          <w:tcPr>
            <w:tcW w:w="2055" w:type="pct"/>
            <w:tcMar>
              <w:top w:w="28" w:type="dxa"/>
              <w:bottom w:w="28" w:type="dxa"/>
            </w:tcMar>
            <w:vAlign w:val="center"/>
          </w:tcPr>
          <w:p w14:paraId="7978F5E6">
            <w:pPr>
              <w:pStyle w:val="45"/>
              <w:rPr>
                <w:rFonts w:hint="eastAsia"/>
                <w:color w:val="auto"/>
              </w:rPr>
            </w:pPr>
            <w:r>
              <w:rPr>
                <w:color w:val="auto"/>
              </w:rPr>
              <w:t>-H/1000</w:t>
            </w:r>
            <w:r>
              <w:rPr>
                <w:rFonts w:hint="eastAsia"/>
                <w:color w:val="auto"/>
              </w:rPr>
              <w:t>≤</w:t>
            </w:r>
            <w:r>
              <w:rPr>
                <w:color w:val="auto"/>
              </w:rPr>
              <w:t>e</w:t>
            </w:r>
            <w:r>
              <w:rPr>
                <w:rFonts w:hint="eastAsia"/>
                <w:color w:val="auto"/>
              </w:rPr>
              <w:t>≤</w:t>
            </w:r>
            <w:r>
              <w:rPr>
                <w:color w:val="auto"/>
              </w:rPr>
              <w:t>H/1000</w:t>
            </w:r>
            <w:r>
              <w:rPr>
                <w:rFonts w:hint="eastAsia"/>
                <w:color w:val="auto"/>
              </w:rPr>
              <w:t>且</w:t>
            </w:r>
            <w:r>
              <w:rPr>
                <w:color w:val="auto"/>
              </w:rPr>
              <w:t>e</w:t>
            </w:r>
            <w:r>
              <w:rPr>
                <w:rFonts w:hint="eastAsia"/>
                <w:color w:val="auto"/>
              </w:rPr>
              <w:t>≤</w:t>
            </w:r>
            <w:r>
              <w:rPr>
                <w:color w:val="auto"/>
              </w:rPr>
              <w:t>5cm</w:t>
            </w:r>
          </w:p>
        </w:tc>
        <w:tc>
          <w:tcPr>
            <w:tcW w:w="1493" w:type="pct"/>
            <w:tcMar>
              <w:top w:w="28" w:type="dxa"/>
              <w:bottom w:w="28" w:type="dxa"/>
            </w:tcMar>
            <w:vAlign w:val="center"/>
          </w:tcPr>
          <w:p w14:paraId="307E6042">
            <w:pPr>
              <w:pStyle w:val="45"/>
              <w:rPr>
                <w:rFonts w:hint="eastAsia"/>
                <w:color w:val="auto"/>
              </w:rPr>
            </w:pPr>
            <w:r>
              <w:rPr>
                <w:color w:val="auto"/>
              </w:rPr>
              <w:t>-20mm</w:t>
            </w:r>
            <w:r>
              <w:rPr>
                <w:rFonts w:hint="eastAsia"/>
                <w:color w:val="auto"/>
              </w:rPr>
              <w:t>≤</w:t>
            </w:r>
            <w:r>
              <w:rPr>
                <w:color w:val="auto"/>
              </w:rPr>
              <w:t>e</w:t>
            </w:r>
            <w:r>
              <w:rPr>
                <w:rFonts w:hint="eastAsia"/>
                <w:color w:val="auto"/>
              </w:rPr>
              <w:t>≤</w:t>
            </w:r>
            <w:r>
              <w:rPr>
                <w:color w:val="auto"/>
              </w:rPr>
              <w:t>20mm</w:t>
            </w:r>
          </w:p>
        </w:tc>
      </w:tr>
      <w:tr w14:paraId="5AE995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08" w:type="dxa"/>
            <w:bottom w:w="28" w:type="dxa"/>
            <w:right w:w="108" w:type="dxa"/>
          </w:tblCellMar>
        </w:tblPrEx>
        <w:trPr>
          <w:trHeight w:val="454" w:hRule="atLeast"/>
        </w:trPr>
        <w:tc>
          <w:tcPr>
            <w:tcW w:w="1452" w:type="pct"/>
            <w:tcMar>
              <w:top w:w="28" w:type="dxa"/>
              <w:bottom w:w="28" w:type="dxa"/>
            </w:tcMar>
            <w:vAlign w:val="center"/>
          </w:tcPr>
          <w:p w14:paraId="4F1554F2">
            <w:pPr>
              <w:pStyle w:val="45"/>
              <w:rPr>
                <w:rFonts w:hint="eastAsia"/>
                <w:color w:val="auto"/>
              </w:rPr>
            </w:pPr>
            <w:r>
              <w:rPr>
                <w:rFonts w:hint="eastAsia"/>
                <w:color w:val="auto"/>
              </w:rPr>
              <w:t>建筑物总矢量弯曲</w:t>
            </w:r>
          </w:p>
        </w:tc>
        <w:tc>
          <w:tcPr>
            <w:tcW w:w="2055" w:type="pct"/>
            <w:tcMar>
              <w:top w:w="28" w:type="dxa"/>
              <w:bottom w:w="28" w:type="dxa"/>
            </w:tcMar>
            <w:vAlign w:val="center"/>
          </w:tcPr>
          <w:p w14:paraId="0068B53D">
            <w:pPr>
              <w:pStyle w:val="45"/>
              <w:rPr>
                <w:rFonts w:hint="eastAsia"/>
                <w:color w:val="auto"/>
              </w:rPr>
            </w:pPr>
            <w:r>
              <w:rPr>
                <w:color w:val="auto"/>
              </w:rPr>
              <w:t>e</w:t>
            </w:r>
            <w:r>
              <w:rPr>
                <w:rFonts w:hint="eastAsia"/>
                <w:color w:val="auto"/>
              </w:rPr>
              <w:t>≤</w:t>
            </w:r>
            <w:r>
              <w:rPr>
                <w:color w:val="auto"/>
              </w:rPr>
              <w:t>L/2500</w:t>
            </w:r>
            <w:r>
              <w:rPr>
                <w:rFonts w:hint="eastAsia"/>
                <w:color w:val="auto"/>
              </w:rPr>
              <w:t>且</w:t>
            </w:r>
            <w:r>
              <w:rPr>
                <w:color w:val="auto"/>
              </w:rPr>
              <w:t>e</w:t>
            </w:r>
            <w:r>
              <w:rPr>
                <w:rFonts w:hint="eastAsia"/>
                <w:color w:val="auto"/>
              </w:rPr>
              <w:t>≤</w:t>
            </w:r>
            <w:r>
              <w:rPr>
                <w:color w:val="auto"/>
              </w:rPr>
              <w:t>25mm</w:t>
            </w:r>
          </w:p>
        </w:tc>
        <w:tc>
          <w:tcPr>
            <w:tcW w:w="1493" w:type="pct"/>
            <w:tcMar>
              <w:top w:w="28" w:type="dxa"/>
              <w:bottom w:w="28" w:type="dxa"/>
            </w:tcMar>
            <w:vAlign w:val="center"/>
          </w:tcPr>
          <w:p w14:paraId="4BFD9929">
            <w:pPr>
              <w:pStyle w:val="45"/>
              <w:rPr>
                <w:rFonts w:hint="eastAsia"/>
                <w:color w:val="auto"/>
              </w:rPr>
            </w:pPr>
            <w:r>
              <w:rPr>
                <w:color w:val="auto"/>
              </w:rPr>
              <w:t>e</w:t>
            </w:r>
            <w:r>
              <w:rPr>
                <w:rFonts w:hint="eastAsia"/>
                <w:color w:val="auto"/>
              </w:rPr>
              <w:t>≤</w:t>
            </w:r>
            <w:r>
              <w:rPr>
                <w:color w:val="auto"/>
              </w:rPr>
              <w:t>L/2500</w:t>
            </w:r>
            <w:r>
              <w:rPr>
                <w:rFonts w:hint="eastAsia"/>
                <w:color w:val="auto"/>
              </w:rPr>
              <w:t>且</w:t>
            </w:r>
            <w:r>
              <w:rPr>
                <w:color w:val="auto"/>
              </w:rPr>
              <w:t>e</w:t>
            </w:r>
            <w:r>
              <w:rPr>
                <w:rFonts w:hint="eastAsia"/>
                <w:color w:val="auto"/>
              </w:rPr>
              <w:t>≤</w:t>
            </w:r>
            <w:r>
              <w:rPr>
                <w:color w:val="auto"/>
              </w:rPr>
              <w:t>25mm</w:t>
            </w:r>
          </w:p>
        </w:tc>
      </w:tr>
      <w:tr w14:paraId="090BF3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08" w:type="dxa"/>
            <w:bottom w:w="28" w:type="dxa"/>
            <w:right w:w="108" w:type="dxa"/>
          </w:tblCellMar>
        </w:tblPrEx>
        <w:trPr>
          <w:trHeight w:val="454" w:hRule="atLeast"/>
        </w:trPr>
        <w:tc>
          <w:tcPr>
            <w:tcW w:w="1452" w:type="pct"/>
            <w:tcMar>
              <w:top w:w="28" w:type="dxa"/>
              <w:bottom w:w="28" w:type="dxa"/>
            </w:tcMar>
            <w:vAlign w:val="center"/>
          </w:tcPr>
          <w:p w14:paraId="4E2BAF7A">
            <w:pPr>
              <w:pStyle w:val="45"/>
              <w:rPr>
                <w:rFonts w:hint="eastAsia"/>
                <w:color w:val="auto"/>
              </w:rPr>
            </w:pPr>
            <w:r>
              <w:rPr>
                <w:rFonts w:hint="eastAsia"/>
                <w:color w:val="auto"/>
              </w:rPr>
              <w:t>层高偏差</w:t>
            </w:r>
          </w:p>
        </w:tc>
        <w:tc>
          <w:tcPr>
            <w:tcW w:w="2055" w:type="pct"/>
            <w:tcMar>
              <w:top w:w="28" w:type="dxa"/>
              <w:bottom w:w="28" w:type="dxa"/>
            </w:tcMar>
            <w:vAlign w:val="center"/>
          </w:tcPr>
          <w:p w14:paraId="7CF7A75E">
            <w:pPr>
              <w:pStyle w:val="45"/>
              <w:rPr>
                <w:rFonts w:hint="eastAsia"/>
                <w:color w:val="auto"/>
              </w:rPr>
            </w:pPr>
            <w:r>
              <w:rPr>
                <w:rFonts w:hint="eastAsia"/>
                <w:color w:val="auto"/>
              </w:rPr>
              <w:t>±</w:t>
            </w:r>
            <w:r>
              <w:rPr>
                <w:color w:val="auto"/>
              </w:rPr>
              <w:t>5mm</w:t>
            </w:r>
          </w:p>
        </w:tc>
        <w:tc>
          <w:tcPr>
            <w:tcW w:w="1493" w:type="pct"/>
            <w:tcMar>
              <w:top w:w="28" w:type="dxa"/>
              <w:bottom w:w="28" w:type="dxa"/>
            </w:tcMar>
            <w:vAlign w:val="center"/>
          </w:tcPr>
          <w:p w14:paraId="43DCCF5D">
            <w:pPr>
              <w:pStyle w:val="45"/>
              <w:rPr>
                <w:rFonts w:hint="eastAsia"/>
                <w:color w:val="auto"/>
              </w:rPr>
            </w:pPr>
            <w:r>
              <w:rPr>
                <w:rFonts w:hint="eastAsia"/>
                <w:color w:val="auto"/>
              </w:rPr>
              <w:t>±</w:t>
            </w:r>
            <w:r>
              <w:rPr>
                <w:color w:val="auto"/>
              </w:rPr>
              <w:t>2mm</w:t>
            </w:r>
          </w:p>
        </w:tc>
      </w:tr>
      <w:tr w14:paraId="03D99B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28" w:type="dxa"/>
            <w:left w:w="108" w:type="dxa"/>
            <w:bottom w:w="28" w:type="dxa"/>
            <w:right w:w="108" w:type="dxa"/>
          </w:tblCellMar>
        </w:tblPrEx>
        <w:trPr>
          <w:trHeight w:val="454" w:hRule="atLeast"/>
        </w:trPr>
        <w:tc>
          <w:tcPr>
            <w:tcW w:w="1452" w:type="pct"/>
            <w:tcMar>
              <w:top w:w="28" w:type="dxa"/>
              <w:bottom w:w="28" w:type="dxa"/>
            </w:tcMar>
            <w:vAlign w:val="center"/>
          </w:tcPr>
          <w:p w14:paraId="2A82E7D6">
            <w:pPr>
              <w:pStyle w:val="45"/>
              <w:rPr>
                <w:rFonts w:hint="eastAsia"/>
                <w:color w:val="auto"/>
              </w:rPr>
            </w:pPr>
            <w:r>
              <w:rPr>
                <w:rFonts w:hint="eastAsia"/>
                <w:color w:val="auto"/>
              </w:rPr>
              <w:t>每层轴线偏差</w:t>
            </w:r>
          </w:p>
        </w:tc>
        <w:tc>
          <w:tcPr>
            <w:tcW w:w="2055" w:type="pct"/>
            <w:tcMar>
              <w:top w:w="28" w:type="dxa"/>
              <w:bottom w:w="28" w:type="dxa"/>
            </w:tcMar>
            <w:vAlign w:val="center"/>
          </w:tcPr>
          <w:p w14:paraId="7B04BC0E">
            <w:pPr>
              <w:pStyle w:val="45"/>
              <w:rPr>
                <w:rFonts w:hint="eastAsia"/>
                <w:color w:val="auto"/>
              </w:rPr>
            </w:pPr>
            <w:r>
              <w:rPr>
                <w:rFonts w:hint="eastAsia"/>
                <w:color w:val="auto"/>
              </w:rPr>
              <w:t>±</w:t>
            </w:r>
            <w:r>
              <w:rPr>
                <w:color w:val="auto"/>
              </w:rPr>
              <w:t>2mm</w:t>
            </w:r>
          </w:p>
        </w:tc>
        <w:tc>
          <w:tcPr>
            <w:tcW w:w="1493" w:type="pct"/>
            <w:tcMar>
              <w:top w:w="28" w:type="dxa"/>
              <w:bottom w:w="28" w:type="dxa"/>
            </w:tcMar>
            <w:vAlign w:val="center"/>
          </w:tcPr>
          <w:p w14:paraId="7FAF5194">
            <w:pPr>
              <w:pStyle w:val="45"/>
              <w:rPr>
                <w:rFonts w:hint="eastAsia"/>
                <w:color w:val="auto"/>
              </w:rPr>
            </w:pPr>
            <w:r>
              <w:rPr>
                <w:rFonts w:hint="eastAsia"/>
                <w:color w:val="auto"/>
              </w:rPr>
              <w:t>±</w:t>
            </w:r>
            <w:r>
              <w:rPr>
                <w:color w:val="auto"/>
              </w:rPr>
              <w:t>1mm</w:t>
            </w:r>
          </w:p>
        </w:tc>
      </w:tr>
    </w:tbl>
    <w:p w14:paraId="4E31ECCE">
      <w:pPr>
        <w:pStyle w:val="5"/>
        <w:rPr>
          <w:color w:val="auto"/>
        </w:rPr>
      </w:pPr>
      <w:bookmarkStart w:id="135" w:name="_Toc11554"/>
      <w:r>
        <w:rPr>
          <w:rFonts w:hint="eastAsia"/>
          <w:color w:val="auto"/>
        </w:rPr>
        <w:t>测量设备配置</w:t>
      </w:r>
      <w:bookmarkEnd w:id="135"/>
    </w:p>
    <w:p w14:paraId="6C568096">
      <w:pPr>
        <w:pStyle w:val="54"/>
        <w:rPr>
          <w:color w:val="auto"/>
        </w:rPr>
      </w:pPr>
      <w:r>
        <w:rPr>
          <w:rFonts w:hint="eastAsia"/>
          <w:color w:val="auto"/>
        </w:rPr>
        <w:t>测量设备配置表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488"/>
        <w:gridCol w:w="1749"/>
        <w:gridCol w:w="792"/>
        <w:gridCol w:w="2265"/>
        <w:gridCol w:w="1973"/>
      </w:tblGrid>
      <w:tr w14:paraId="5DABC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4D8FEDF5">
            <w:pPr>
              <w:pStyle w:val="45"/>
              <w:rPr>
                <w:rFonts w:hint="eastAsia"/>
                <w:color w:val="auto"/>
              </w:rPr>
            </w:pPr>
            <w:r>
              <w:rPr>
                <w:rFonts w:hint="eastAsia"/>
                <w:color w:val="auto"/>
              </w:rPr>
              <w:t>序号</w:t>
            </w:r>
          </w:p>
        </w:tc>
        <w:tc>
          <w:tcPr>
            <w:tcW w:w="821" w:type="pct"/>
            <w:vAlign w:val="center"/>
          </w:tcPr>
          <w:p w14:paraId="25A8A666">
            <w:pPr>
              <w:pStyle w:val="45"/>
              <w:rPr>
                <w:rFonts w:hint="eastAsia"/>
                <w:color w:val="auto"/>
              </w:rPr>
            </w:pPr>
            <w:r>
              <w:rPr>
                <w:rFonts w:hint="eastAsia"/>
                <w:color w:val="auto"/>
              </w:rPr>
              <w:t>名称</w:t>
            </w:r>
          </w:p>
        </w:tc>
        <w:tc>
          <w:tcPr>
            <w:tcW w:w="965" w:type="pct"/>
            <w:vAlign w:val="center"/>
          </w:tcPr>
          <w:p w14:paraId="52045B17">
            <w:pPr>
              <w:pStyle w:val="45"/>
              <w:rPr>
                <w:rFonts w:hint="eastAsia"/>
                <w:color w:val="auto"/>
              </w:rPr>
            </w:pPr>
            <w:r>
              <w:rPr>
                <w:rFonts w:hint="eastAsia"/>
                <w:color w:val="auto"/>
              </w:rPr>
              <w:t>型号</w:t>
            </w:r>
          </w:p>
        </w:tc>
        <w:tc>
          <w:tcPr>
            <w:tcW w:w="437" w:type="pct"/>
            <w:vAlign w:val="center"/>
          </w:tcPr>
          <w:p w14:paraId="0C275880">
            <w:pPr>
              <w:pStyle w:val="45"/>
              <w:rPr>
                <w:rFonts w:hint="eastAsia"/>
                <w:color w:val="auto"/>
              </w:rPr>
            </w:pPr>
            <w:r>
              <w:rPr>
                <w:rFonts w:hint="eastAsia"/>
                <w:color w:val="auto"/>
              </w:rPr>
              <w:t>数量</w:t>
            </w:r>
          </w:p>
        </w:tc>
        <w:tc>
          <w:tcPr>
            <w:tcW w:w="1250" w:type="pct"/>
            <w:vAlign w:val="center"/>
          </w:tcPr>
          <w:p w14:paraId="5C7AE37D">
            <w:pPr>
              <w:pStyle w:val="45"/>
              <w:rPr>
                <w:rFonts w:hint="eastAsia"/>
                <w:color w:val="auto"/>
              </w:rPr>
            </w:pPr>
            <w:r>
              <w:rPr>
                <w:rFonts w:hint="eastAsia"/>
                <w:color w:val="auto"/>
              </w:rPr>
              <w:t>用途</w:t>
            </w:r>
          </w:p>
        </w:tc>
        <w:tc>
          <w:tcPr>
            <w:tcW w:w="1089" w:type="pct"/>
            <w:vAlign w:val="center"/>
          </w:tcPr>
          <w:p w14:paraId="71762D11">
            <w:pPr>
              <w:pStyle w:val="45"/>
              <w:rPr>
                <w:rFonts w:hint="eastAsia"/>
                <w:color w:val="auto"/>
              </w:rPr>
            </w:pPr>
            <w:r>
              <w:rPr>
                <w:rFonts w:hint="eastAsia"/>
                <w:color w:val="auto"/>
              </w:rPr>
              <w:t>精度</w:t>
            </w:r>
          </w:p>
        </w:tc>
      </w:tr>
      <w:tr w14:paraId="14CF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22C8973D">
            <w:pPr>
              <w:pStyle w:val="45"/>
              <w:rPr>
                <w:rFonts w:hint="eastAsia"/>
                <w:color w:val="auto"/>
              </w:rPr>
            </w:pPr>
            <w:r>
              <w:rPr>
                <w:rFonts w:hint="eastAsia"/>
                <w:color w:val="auto"/>
              </w:rPr>
              <w:t>1</w:t>
            </w:r>
          </w:p>
        </w:tc>
        <w:tc>
          <w:tcPr>
            <w:tcW w:w="821" w:type="pct"/>
            <w:vAlign w:val="center"/>
          </w:tcPr>
          <w:p w14:paraId="045EB1AA">
            <w:pPr>
              <w:pStyle w:val="45"/>
              <w:rPr>
                <w:rFonts w:hint="eastAsia"/>
                <w:color w:val="auto"/>
              </w:rPr>
            </w:pPr>
            <w:r>
              <w:rPr>
                <w:rFonts w:hint="eastAsia"/>
                <w:color w:val="auto"/>
              </w:rPr>
              <w:t>全站仪</w:t>
            </w:r>
          </w:p>
        </w:tc>
        <w:tc>
          <w:tcPr>
            <w:tcW w:w="965" w:type="pct"/>
            <w:vAlign w:val="center"/>
          </w:tcPr>
          <w:p w14:paraId="3FD28A91">
            <w:pPr>
              <w:pStyle w:val="45"/>
              <w:rPr>
                <w:rFonts w:hint="eastAsia"/>
                <w:color w:val="auto"/>
              </w:rPr>
            </w:pPr>
            <w:r>
              <w:rPr>
                <w:rFonts w:hint="eastAsia"/>
                <w:color w:val="auto"/>
              </w:rPr>
              <w:t>SOKKIASET210</w:t>
            </w:r>
          </w:p>
        </w:tc>
        <w:tc>
          <w:tcPr>
            <w:tcW w:w="437" w:type="pct"/>
            <w:vAlign w:val="center"/>
          </w:tcPr>
          <w:p w14:paraId="0B1AC547">
            <w:pPr>
              <w:pStyle w:val="45"/>
              <w:rPr>
                <w:rFonts w:hint="eastAsia"/>
                <w:color w:val="auto"/>
              </w:rPr>
            </w:pPr>
            <w:r>
              <w:rPr>
                <w:rFonts w:hint="eastAsia"/>
                <w:color w:val="auto"/>
              </w:rPr>
              <w:t>1台</w:t>
            </w:r>
          </w:p>
        </w:tc>
        <w:tc>
          <w:tcPr>
            <w:tcW w:w="1250" w:type="pct"/>
            <w:vAlign w:val="center"/>
          </w:tcPr>
          <w:p w14:paraId="1D0EFE26">
            <w:pPr>
              <w:pStyle w:val="45"/>
              <w:rPr>
                <w:rFonts w:hint="eastAsia"/>
                <w:color w:val="auto"/>
              </w:rPr>
            </w:pPr>
            <w:r>
              <w:rPr>
                <w:color w:val="auto"/>
              </w:rPr>
              <w:t>控制测量、</w:t>
            </w:r>
            <w:r>
              <w:rPr>
                <w:rFonts w:hint="eastAsia"/>
                <w:color w:val="auto"/>
              </w:rPr>
              <w:t>水平</w:t>
            </w:r>
            <w:r>
              <w:rPr>
                <w:color w:val="auto"/>
              </w:rPr>
              <w:t>位移监测</w:t>
            </w:r>
            <w:r>
              <w:rPr>
                <w:rFonts w:hint="eastAsia"/>
                <w:color w:val="auto"/>
              </w:rPr>
              <w:t>、垂直度外控投测</w:t>
            </w:r>
          </w:p>
        </w:tc>
        <w:tc>
          <w:tcPr>
            <w:tcW w:w="1089" w:type="pct"/>
            <w:vAlign w:val="center"/>
          </w:tcPr>
          <w:p w14:paraId="6338CAF9">
            <w:pPr>
              <w:pStyle w:val="45"/>
              <w:rPr>
                <w:rFonts w:hint="eastAsia"/>
                <w:color w:val="auto"/>
              </w:rPr>
            </w:pPr>
            <w:r>
              <w:rPr>
                <w:rFonts w:hint="eastAsia"/>
                <w:color w:val="auto"/>
              </w:rPr>
              <w:t>2</w:t>
            </w:r>
            <w:r>
              <w:rPr>
                <w:color w:val="auto"/>
              </w:rPr>
              <w:t>”</w:t>
            </w:r>
            <w:r>
              <w:rPr>
                <w:rFonts w:hint="eastAsia"/>
                <w:color w:val="auto"/>
              </w:rPr>
              <w:t>/2.0</w:t>
            </w:r>
            <w:r>
              <w:rPr>
                <w:color w:val="auto"/>
              </w:rPr>
              <w:t>mm+</w:t>
            </w:r>
            <w:r>
              <w:rPr>
                <w:rFonts w:hint="eastAsia"/>
                <w:color w:val="auto"/>
              </w:rPr>
              <w:t>2</w:t>
            </w:r>
            <w:r>
              <w:rPr>
                <w:color w:val="auto"/>
              </w:rPr>
              <w:t>ppm</w:t>
            </w:r>
          </w:p>
        </w:tc>
      </w:tr>
      <w:tr w14:paraId="315BC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7CD82827">
            <w:pPr>
              <w:pStyle w:val="45"/>
              <w:rPr>
                <w:rFonts w:hint="eastAsia"/>
                <w:color w:val="auto"/>
              </w:rPr>
            </w:pPr>
            <w:r>
              <w:rPr>
                <w:rFonts w:hint="eastAsia"/>
                <w:color w:val="auto"/>
              </w:rPr>
              <w:t>2</w:t>
            </w:r>
          </w:p>
        </w:tc>
        <w:tc>
          <w:tcPr>
            <w:tcW w:w="821" w:type="pct"/>
            <w:vAlign w:val="center"/>
          </w:tcPr>
          <w:p w14:paraId="0B8959C8">
            <w:pPr>
              <w:pStyle w:val="45"/>
              <w:rPr>
                <w:rFonts w:hint="eastAsia"/>
                <w:color w:val="auto"/>
              </w:rPr>
            </w:pPr>
            <w:r>
              <w:rPr>
                <w:rFonts w:hint="eastAsia"/>
                <w:color w:val="auto"/>
              </w:rPr>
              <w:t>水准仪</w:t>
            </w:r>
          </w:p>
        </w:tc>
        <w:tc>
          <w:tcPr>
            <w:tcW w:w="965" w:type="pct"/>
            <w:vAlign w:val="center"/>
          </w:tcPr>
          <w:p w14:paraId="2F45F9A4">
            <w:pPr>
              <w:pStyle w:val="45"/>
              <w:rPr>
                <w:rFonts w:hint="eastAsia"/>
                <w:color w:val="auto"/>
              </w:rPr>
            </w:pPr>
            <w:r>
              <w:rPr>
                <w:rFonts w:hint="eastAsia"/>
                <w:color w:val="auto"/>
              </w:rPr>
              <w:t>AL132-C</w:t>
            </w:r>
          </w:p>
        </w:tc>
        <w:tc>
          <w:tcPr>
            <w:tcW w:w="437" w:type="pct"/>
            <w:vAlign w:val="center"/>
          </w:tcPr>
          <w:p w14:paraId="2A86D3F5">
            <w:pPr>
              <w:pStyle w:val="45"/>
              <w:rPr>
                <w:rFonts w:hint="eastAsia"/>
                <w:color w:val="auto"/>
              </w:rPr>
            </w:pPr>
            <w:r>
              <w:rPr>
                <w:rFonts w:hint="eastAsia"/>
                <w:color w:val="auto"/>
              </w:rPr>
              <w:t>1台</w:t>
            </w:r>
          </w:p>
        </w:tc>
        <w:tc>
          <w:tcPr>
            <w:tcW w:w="1250" w:type="pct"/>
            <w:vAlign w:val="center"/>
          </w:tcPr>
          <w:p w14:paraId="117E2D82">
            <w:pPr>
              <w:pStyle w:val="45"/>
              <w:rPr>
                <w:rFonts w:hint="eastAsia"/>
                <w:color w:val="auto"/>
              </w:rPr>
            </w:pPr>
            <w:r>
              <w:rPr>
                <w:color w:val="auto"/>
              </w:rPr>
              <w:t>施工水准测量</w:t>
            </w:r>
          </w:p>
        </w:tc>
        <w:tc>
          <w:tcPr>
            <w:tcW w:w="1089" w:type="pct"/>
            <w:vAlign w:val="center"/>
          </w:tcPr>
          <w:p w14:paraId="30A47CFD">
            <w:pPr>
              <w:pStyle w:val="45"/>
              <w:rPr>
                <w:rFonts w:hint="eastAsia"/>
                <w:color w:val="auto"/>
              </w:rPr>
            </w:pPr>
            <w:r>
              <w:rPr>
                <w:rFonts w:hint="eastAsia"/>
                <w:color w:val="auto"/>
              </w:rPr>
              <w:t>1mm/km</w:t>
            </w:r>
          </w:p>
        </w:tc>
      </w:tr>
      <w:tr w14:paraId="35B39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2929D6D7">
            <w:pPr>
              <w:pStyle w:val="45"/>
              <w:rPr>
                <w:rFonts w:hint="eastAsia"/>
                <w:color w:val="auto"/>
              </w:rPr>
            </w:pPr>
            <w:r>
              <w:rPr>
                <w:rFonts w:hint="eastAsia"/>
                <w:color w:val="auto"/>
              </w:rPr>
              <w:t>3</w:t>
            </w:r>
          </w:p>
        </w:tc>
        <w:tc>
          <w:tcPr>
            <w:tcW w:w="821" w:type="pct"/>
            <w:vAlign w:val="center"/>
          </w:tcPr>
          <w:p w14:paraId="4523B51F">
            <w:pPr>
              <w:pStyle w:val="45"/>
              <w:rPr>
                <w:rFonts w:hint="eastAsia"/>
                <w:color w:val="auto"/>
              </w:rPr>
            </w:pPr>
            <w:r>
              <w:rPr>
                <w:rFonts w:hint="eastAsia"/>
                <w:color w:val="auto"/>
              </w:rPr>
              <w:t>激光垂准仪</w:t>
            </w:r>
          </w:p>
        </w:tc>
        <w:tc>
          <w:tcPr>
            <w:tcW w:w="965" w:type="pct"/>
            <w:vAlign w:val="center"/>
          </w:tcPr>
          <w:p w14:paraId="05E836E3">
            <w:pPr>
              <w:pStyle w:val="45"/>
              <w:rPr>
                <w:rFonts w:hint="eastAsia"/>
                <w:color w:val="auto"/>
              </w:rPr>
            </w:pPr>
            <w:r>
              <w:rPr>
                <w:rFonts w:hint="eastAsia"/>
                <w:color w:val="auto"/>
              </w:rPr>
              <w:t>莱卡NL</w:t>
            </w:r>
          </w:p>
        </w:tc>
        <w:tc>
          <w:tcPr>
            <w:tcW w:w="437" w:type="pct"/>
            <w:vAlign w:val="center"/>
          </w:tcPr>
          <w:p w14:paraId="388E6706">
            <w:pPr>
              <w:pStyle w:val="45"/>
              <w:rPr>
                <w:rFonts w:hint="eastAsia"/>
                <w:color w:val="auto"/>
              </w:rPr>
            </w:pPr>
            <w:r>
              <w:rPr>
                <w:rFonts w:hint="eastAsia"/>
                <w:color w:val="auto"/>
              </w:rPr>
              <w:t>1台</w:t>
            </w:r>
          </w:p>
        </w:tc>
        <w:tc>
          <w:tcPr>
            <w:tcW w:w="1250" w:type="pct"/>
            <w:vAlign w:val="center"/>
          </w:tcPr>
          <w:p w14:paraId="4A1332BC">
            <w:pPr>
              <w:pStyle w:val="45"/>
              <w:rPr>
                <w:rFonts w:hint="eastAsia"/>
                <w:color w:val="auto"/>
              </w:rPr>
            </w:pPr>
            <w:r>
              <w:rPr>
                <w:rFonts w:hint="eastAsia"/>
                <w:color w:val="auto"/>
              </w:rPr>
              <w:t>轴线控制</w:t>
            </w:r>
            <w:r>
              <w:rPr>
                <w:color w:val="auto"/>
              </w:rPr>
              <w:t>点的竖向投递</w:t>
            </w:r>
          </w:p>
        </w:tc>
        <w:tc>
          <w:tcPr>
            <w:tcW w:w="1089" w:type="pct"/>
            <w:vAlign w:val="center"/>
          </w:tcPr>
          <w:p w14:paraId="5D8E432B">
            <w:pPr>
              <w:pStyle w:val="45"/>
              <w:rPr>
                <w:rFonts w:hint="eastAsia"/>
                <w:color w:val="auto"/>
              </w:rPr>
            </w:pPr>
            <w:r>
              <w:rPr>
                <w:color w:val="auto"/>
              </w:rPr>
              <w:t>1/</w:t>
            </w:r>
            <w:r>
              <w:rPr>
                <w:rFonts w:hint="eastAsia"/>
                <w:color w:val="auto"/>
              </w:rPr>
              <w:t>200000</w:t>
            </w:r>
          </w:p>
        </w:tc>
      </w:tr>
      <w:tr w14:paraId="626B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46FC3F95">
            <w:pPr>
              <w:pStyle w:val="45"/>
              <w:rPr>
                <w:rFonts w:hint="eastAsia"/>
                <w:color w:val="auto"/>
              </w:rPr>
            </w:pPr>
            <w:r>
              <w:rPr>
                <w:rFonts w:hint="eastAsia"/>
                <w:color w:val="auto"/>
              </w:rPr>
              <w:t>4</w:t>
            </w:r>
          </w:p>
        </w:tc>
        <w:tc>
          <w:tcPr>
            <w:tcW w:w="821" w:type="pct"/>
            <w:vAlign w:val="center"/>
          </w:tcPr>
          <w:p w14:paraId="562017C9">
            <w:pPr>
              <w:pStyle w:val="45"/>
              <w:rPr>
                <w:rFonts w:hint="eastAsia"/>
                <w:color w:val="auto"/>
              </w:rPr>
            </w:pPr>
            <w:r>
              <w:rPr>
                <w:rFonts w:hint="eastAsia"/>
                <w:color w:val="auto"/>
              </w:rPr>
              <w:t>经纬仪</w:t>
            </w:r>
          </w:p>
        </w:tc>
        <w:tc>
          <w:tcPr>
            <w:tcW w:w="965" w:type="pct"/>
            <w:vAlign w:val="center"/>
          </w:tcPr>
          <w:p w14:paraId="283D6000">
            <w:pPr>
              <w:pStyle w:val="45"/>
              <w:rPr>
                <w:rFonts w:hint="eastAsia"/>
                <w:color w:val="auto"/>
              </w:rPr>
            </w:pPr>
            <w:r>
              <w:rPr>
                <w:rFonts w:hint="eastAsia"/>
                <w:color w:val="auto"/>
              </w:rPr>
              <w:t>苏光J2-2</w:t>
            </w:r>
          </w:p>
        </w:tc>
        <w:tc>
          <w:tcPr>
            <w:tcW w:w="437" w:type="pct"/>
            <w:vAlign w:val="center"/>
          </w:tcPr>
          <w:p w14:paraId="55989BA4">
            <w:pPr>
              <w:pStyle w:val="45"/>
              <w:rPr>
                <w:rFonts w:hint="eastAsia"/>
                <w:color w:val="auto"/>
              </w:rPr>
            </w:pPr>
            <w:r>
              <w:rPr>
                <w:rFonts w:hint="eastAsia"/>
                <w:color w:val="auto"/>
              </w:rPr>
              <w:t>1台</w:t>
            </w:r>
          </w:p>
        </w:tc>
        <w:tc>
          <w:tcPr>
            <w:tcW w:w="1250" w:type="pct"/>
            <w:vAlign w:val="center"/>
          </w:tcPr>
          <w:p w14:paraId="5A97D2E5">
            <w:pPr>
              <w:pStyle w:val="45"/>
              <w:rPr>
                <w:rFonts w:hint="eastAsia"/>
                <w:color w:val="auto"/>
              </w:rPr>
            </w:pPr>
            <w:r>
              <w:rPr>
                <w:rFonts w:hint="eastAsia"/>
                <w:color w:val="auto"/>
              </w:rPr>
              <w:t>角度测量</w:t>
            </w:r>
          </w:p>
        </w:tc>
        <w:tc>
          <w:tcPr>
            <w:tcW w:w="1089" w:type="pct"/>
            <w:vAlign w:val="center"/>
          </w:tcPr>
          <w:p w14:paraId="0D827FC0">
            <w:pPr>
              <w:pStyle w:val="45"/>
              <w:rPr>
                <w:rFonts w:hint="eastAsia"/>
                <w:color w:val="auto"/>
              </w:rPr>
            </w:pPr>
            <w:r>
              <w:rPr>
                <w:rFonts w:hint="eastAsia"/>
                <w:color w:val="auto"/>
              </w:rPr>
              <w:t>2</w:t>
            </w:r>
            <w:r>
              <w:rPr>
                <w:color w:val="auto"/>
              </w:rPr>
              <w:t>”</w:t>
            </w:r>
          </w:p>
        </w:tc>
      </w:tr>
      <w:tr w14:paraId="43817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53F67E85">
            <w:pPr>
              <w:pStyle w:val="45"/>
              <w:rPr>
                <w:rFonts w:hint="eastAsia"/>
                <w:color w:val="auto"/>
              </w:rPr>
            </w:pPr>
            <w:r>
              <w:rPr>
                <w:rFonts w:hint="eastAsia"/>
                <w:color w:val="auto"/>
              </w:rPr>
              <w:t>5</w:t>
            </w:r>
          </w:p>
        </w:tc>
        <w:tc>
          <w:tcPr>
            <w:tcW w:w="821" w:type="pct"/>
            <w:vAlign w:val="center"/>
          </w:tcPr>
          <w:p w14:paraId="326091C1">
            <w:pPr>
              <w:pStyle w:val="45"/>
              <w:rPr>
                <w:rFonts w:hint="eastAsia"/>
                <w:color w:val="auto"/>
              </w:rPr>
            </w:pPr>
            <w:r>
              <w:rPr>
                <w:rFonts w:hint="eastAsia"/>
                <w:color w:val="auto"/>
              </w:rPr>
              <w:t>钢卷尺</w:t>
            </w:r>
          </w:p>
        </w:tc>
        <w:tc>
          <w:tcPr>
            <w:tcW w:w="965" w:type="pct"/>
            <w:vAlign w:val="center"/>
          </w:tcPr>
          <w:p w14:paraId="3DC45FFF">
            <w:pPr>
              <w:pStyle w:val="45"/>
              <w:rPr>
                <w:rFonts w:hint="eastAsia"/>
                <w:color w:val="auto"/>
              </w:rPr>
            </w:pPr>
            <w:r>
              <w:rPr>
                <w:rFonts w:hint="eastAsia"/>
                <w:color w:val="auto"/>
              </w:rPr>
              <w:t>/</w:t>
            </w:r>
          </w:p>
        </w:tc>
        <w:tc>
          <w:tcPr>
            <w:tcW w:w="437" w:type="pct"/>
            <w:vAlign w:val="center"/>
          </w:tcPr>
          <w:p w14:paraId="31A38D08">
            <w:pPr>
              <w:pStyle w:val="45"/>
              <w:rPr>
                <w:rFonts w:hint="eastAsia"/>
                <w:color w:val="auto"/>
              </w:rPr>
            </w:pPr>
            <w:r>
              <w:rPr>
                <w:rFonts w:hint="eastAsia"/>
                <w:color w:val="auto"/>
              </w:rPr>
              <w:t>5把</w:t>
            </w:r>
          </w:p>
        </w:tc>
        <w:tc>
          <w:tcPr>
            <w:tcW w:w="1250" w:type="pct"/>
            <w:vAlign w:val="center"/>
          </w:tcPr>
          <w:p w14:paraId="6A664C1D">
            <w:pPr>
              <w:pStyle w:val="45"/>
              <w:rPr>
                <w:rFonts w:hint="eastAsia"/>
                <w:color w:val="auto"/>
              </w:rPr>
            </w:pPr>
            <w:r>
              <w:rPr>
                <w:rFonts w:hint="eastAsia"/>
                <w:color w:val="auto"/>
              </w:rPr>
              <w:t>测距</w:t>
            </w:r>
          </w:p>
        </w:tc>
        <w:tc>
          <w:tcPr>
            <w:tcW w:w="1089" w:type="pct"/>
            <w:vAlign w:val="center"/>
          </w:tcPr>
          <w:p w14:paraId="7182D710">
            <w:pPr>
              <w:pStyle w:val="45"/>
              <w:rPr>
                <w:rFonts w:hint="eastAsia"/>
                <w:color w:val="auto"/>
              </w:rPr>
            </w:pPr>
            <w:r>
              <w:rPr>
                <w:rFonts w:hint="eastAsia"/>
                <w:color w:val="auto"/>
              </w:rPr>
              <w:t>0.5mm</w:t>
            </w:r>
          </w:p>
        </w:tc>
      </w:tr>
      <w:tr w14:paraId="0F14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596D71B7">
            <w:pPr>
              <w:pStyle w:val="45"/>
              <w:rPr>
                <w:rFonts w:hint="eastAsia"/>
                <w:color w:val="auto"/>
              </w:rPr>
            </w:pPr>
            <w:r>
              <w:rPr>
                <w:rFonts w:hint="eastAsia"/>
                <w:color w:val="auto"/>
              </w:rPr>
              <w:t>6</w:t>
            </w:r>
          </w:p>
        </w:tc>
        <w:tc>
          <w:tcPr>
            <w:tcW w:w="821" w:type="pct"/>
            <w:vAlign w:val="center"/>
          </w:tcPr>
          <w:p w14:paraId="56B05ABD">
            <w:pPr>
              <w:pStyle w:val="45"/>
              <w:rPr>
                <w:rFonts w:hint="eastAsia"/>
                <w:color w:val="auto"/>
              </w:rPr>
            </w:pPr>
            <w:r>
              <w:rPr>
                <w:rFonts w:hint="eastAsia"/>
                <w:color w:val="auto"/>
              </w:rPr>
              <w:t>塔尺</w:t>
            </w:r>
          </w:p>
        </w:tc>
        <w:tc>
          <w:tcPr>
            <w:tcW w:w="965" w:type="pct"/>
            <w:vAlign w:val="center"/>
          </w:tcPr>
          <w:p w14:paraId="4695D5A8">
            <w:pPr>
              <w:pStyle w:val="45"/>
              <w:rPr>
                <w:rFonts w:hint="eastAsia"/>
                <w:color w:val="auto"/>
              </w:rPr>
            </w:pPr>
            <w:r>
              <w:rPr>
                <w:rFonts w:hint="eastAsia"/>
                <w:color w:val="auto"/>
              </w:rPr>
              <w:t>/</w:t>
            </w:r>
          </w:p>
        </w:tc>
        <w:tc>
          <w:tcPr>
            <w:tcW w:w="437" w:type="pct"/>
            <w:vAlign w:val="center"/>
          </w:tcPr>
          <w:p w14:paraId="7D32756E">
            <w:pPr>
              <w:pStyle w:val="45"/>
              <w:rPr>
                <w:rFonts w:hint="eastAsia"/>
                <w:color w:val="auto"/>
              </w:rPr>
            </w:pPr>
            <w:r>
              <w:rPr>
                <w:rFonts w:hint="eastAsia"/>
                <w:color w:val="auto"/>
              </w:rPr>
              <w:t>2把</w:t>
            </w:r>
          </w:p>
        </w:tc>
        <w:tc>
          <w:tcPr>
            <w:tcW w:w="1250" w:type="pct"/>
            <w:vAlign w:val="center"/>
          </w:tcPr>
          <w:p w14:paraId="13CFF047">
            <w:pPr>
              <w:pStyle w:val="45"/>
              <w:rPr>
                <w:rFonts w:hint="eastAsia"/>
                <w:color w:val="auto"/>
              </w:rPr>
            </w:pPr>
            <w:r>
              <w:rPr>
                <w:rFonts w:hint="eastAsia"/>
                <w:color w:val="auto"/>
              </w:rPr>
              <w:t>高度测量</w:t>
            </w:r>
          </w:p>
        </w:tc>
        <w:tc>
          <w:tcPr>
            <w:tcW w:w="1089" w:type="pct"/>
            <w:vAlign w:val="center"/>
          </w:tcPr>
          <w:p w14:paraId="2B419C40">
            <w:pPr>
              <w:pStyle w:val="45"/>
              <w:rPr>
                <w:rFonts w:hint="eastAsia"/>
                <w:color w:val="auto"/>
              </w:rPr>
            </w:pPr>
            <w:r>
              <w:rPr>
                <w:rFonts w:hint="eastAsia"/>
                <w:color w:val="auto"/>
              </w:rPr>
              <w:t>5m/3m</w:t>
            </w:r>
          </w:p>
        </w:tc>
      </w:tr>
      <w:tr w14:paraId="73FB6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0FA48470">
            <w:pPr>
              <w:pStyle w:val="45"/>
              <w:rPr>
                <w:rFonts w:hint="eastAsia"/>
                <w:color w:val="auto"/>
              </w:rPr>
            </w:pPr>
            <w:r>
              <w:rPr>
                <w:rFonts w:hint="eastAsia"/>
                <w:color w:val="auto"/>
              </w:rPr>
              <w:t>7</w:t>
            </w:r>
          </w:p>
        </w:tc>
        <w:tc>
          <w:tcPr>
            <w:tcW w:w="821" w:type="pct"/>
            <w:vAlign w:val="center"/>
          </w:tcPr>
          <w:p w14:paraId="357980B9">
            <w:pPr>
              <w:pStyle w:val="45"/>
              <w:rPr>
                <w:rFonts w:hint="eastAsia"/>
                <w:color w:val="auto"/>
              </w:rPr>
            </w:pPr>
            <w:r>
              <w:rPr>
                <w:rFonts w:hint="eastAsia"/>
                <w:color w:val="auto"/>
              </w:rPr>
              <w:t>手摇盘尺</w:t>
            </w:r>
          </w:p>
        </w:tc>
        <w:tc>
          <w:tcPr>
            <w:tcW w:w="965" w:type="pct"/>
            <w:vAlign w:val="center"/>
          </w:tcPr>
          <w:p w14:paraId="114C105A">
            <w:pPr>
              <w:pStyle w:val="45"/>
              <w:rPr>
                <w:rFonts w:hint="eastAsia"/>
                <w:color w:val="auto"/>
              </w:rPr>
            </w:pPr>
            <w:r>
              <w:rPr>
                <w:rFonts w:hint="eastAsia"/>
                <w:color w:val="auto"/>
              </w:rPr>
              <w:t>长城</w:t>
            </w:r>
          </w:p>
        </w:tc>
        <w:tc>
          <w:tcPr>
            <w:tcW w:w="437" w:type="pct"/>
            <w:vAlign w:val="center"/>
          </w:tcPr>
          <w:p w14:paraId="2E1C09B0">
            <w:pPr>
              <w:pStyle w:val="45"/>
              <w:rPr>
                <w:rFonts w:hint="eastAsia"/>
                <w:color w:val="auto"/>
              </w:rPr>
            </w:pPr>
            <w:r>
              <w:rPr>
                <w:rFonts w:hint="eastAsia"/>
                <w:color w:val="auto"/>
              </w:rPr>
              <w:t>2把</w:t>
            </w:r>
          </w:p>
        </w:tc>
        <w:tc>
          <w:tcPr>
            <w:tcW w:w="1250" w:type="pct"/>
            <w:vAlign w:val="center"/>
          </w:tcPr>
          <w:p w14:paraId="04AC793C">
            <w:pPr>
              <w:pStyle w:val="45"/>
              <w:rPr>
                <w:rFonts w:hint="eastAsia"/>
                <w:color w:val="auto"/>
              </w:rPr>
            </w:pPr>
            <w:r>
              <w:rPr>
                <w:rFonts w:hint="eastAsia"/>
                <w:color w:val="auto"/>
              </w:rPr>
              <w:t>距离丈量</w:t>
            </w:r>
          </w:p>
        </w:tc>
        <w:tc>
          <w:tcPr>
            <w:tcW w:w="1089" w:type="pct"/>
            <w:vAlign w:val="center"/>
          </w:tcPr>
          <w:p w14:paraId="67B3B388">
            <w:pPr>
              <w:pStyle w:val="45"/>
              <w:rPr>
                <w:rFonts w:hint="eastAsia"/>
                <w:color w:val="auto"/>
              </w:rPr>
            </w:pPr>
            <w:r>
              <w:rPr>
                <w:rFonts w:hint="eastAsia"/>
                <w:color w:val="auto"/>
              </w:rPr>
              <w:t>50m/30m</w:t>
            </w:r>
          </w:p>
        </w:tc>
      </w:tr>
      <w:tr w14:paraId="6BAED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0E8CFE7C">
            <w:pPr>
              <w:pStyle w:val="45"/>
              <w:rPr>
                <w:rFonts w:hint="eastAsia"/>
                <w:color w:val="auto"/>
              </w:rPr>
            </w:pPr>
            <w:r>
              <w:rPr>
                <w:rFonts w:hint="eastAsia"/>
                <w:color w:val="auto"/>
              </w:rPr>
              <w:t>8</w:t>
            </w:r>
          </w:p>
        </w:tc>
        <w:tc>
          <w:tcPr>
            <w:tcW w:w="821" w:type="pct"/>
            <w:vAlign w:val="center"/>
          </w:tcPr>
          <w:p w14:paraId="520B9F02">
            <w:pPr>
              <w:pStyle w:val="45"/>
              <w:rPr>
                <w:rFonts w:hint="eastAsia"/>
                <w:color w:val="auto"/>
              </w:rPr>
            </w:pPr>
            <w:r>
              <w:rPr>
                <w:rFonts w:hint="eastAsia"/>
                <w:color w:val="auto"/>
              </w:rPr>
              <w:t>测温仪</w:t>
            </w:r>
          </w:p>
        </w:tc>
        <w:tc>
          <w:tcPr>
            <w:tcW w:w="965" w:type="pct"/>
            <w:vAlign w:val="center"/>
          </w:tcPr>
          <w:p w14:paraId="22DFDFE7">
            <w:pPr>
              <w:pStyle w:val="45"/>
              <w:rPr>
                <w:rFonts w:hint="eastAsia"/>
                <w:color w:val="auto"/>
              </w:rPr>
            </w:pPr>
            <w:r>
              <w:rPr>
                <w:rFonts w:hint="eastAsia"/>
                <w:color w:val="auto"/>
              </w:rPr>
              <w:t>300°C</w:t>
            </w:r>
          </w:p>
        </w:tc>
        <w:tc>
          <w:tcPr>
            <w:tcW w:w="437" w:type="pct"/>
            <w:vAlign w:val="center"/>
          </w:tcPr>
          <w:p w14:paraId="019D6209">
            <w:pPr>
              <w:pStyle w:val="45"/>
              <w:rPr>
                <w:rFonts w:hint="eastAsia"/>
                <w:color w:val="auto"/>
              </w:rPr>
            </w:pPr>
            <w:r>
              <w:rPr>
                <w:rFonts w:hint="eastAsia"/>
                <w:color w:val="auto"/>
              </w:rPr>
              <w:t>2台</w:t>
            </w:r>
          </w:p>
        </w:tc>
        <w:tc>
          <w:tcPr>
            <w:tcW w:w="1250" w:type="pct"/>
            <w:vAlign w:val="center"/>
          </w:tcPr>
          <w:p w14:paraId="0DC6A0D4">
            <w:pPr>
              <w:pStyle w:val="45"/>
              <w:rPr>
                <w:rFonts w:hint="eastAsia"/>
                <w:color w:val="auto"/>
              </w:rPr>
            </w:pPr>
            <w:r>
              <w:rPr>
                <w:rFonts w:hint="eastAsia"/>
                <w:color w:val="auto"/>
              </w:rPr>
              <w:t>温度测量</w:t>
            </w:r>
          </w:p>
        </w:tc>
        <w:tc>
          <w:tcPr>
            <w:tcW w:w="1089" w:type="pct"/>
            <w:vAlign w:val="center"/>
          </w:tcPr>
          <w:p w14:paraId="1814A947">
            <w:pPr>
              <w:pStyle w:val="45"/>
              <w:rPr>
                <w:rFonts w:hint="eastAsia"/>
                <w:color w:val="auto"/>
              </w:rPr>
            </w:pPr>
            <w:r>
              <w:rPr>
                <w:rFonts w:hint="eastAsia"/>
                <w:color w:val="auto"/>
              </w:rPr>
              <w:t>/</w:t>
            </w:r>
          </w:p>
        </w:tc>
      </w:tr>
      <w:tr w14:paraId="3FD84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2DED3176">
            <w:pPr>
              <w:pStyle w:val="45"/>
              <w:rPr>
                <w:rFonts w:hint="eastAsia"/>
                <w:color w:val="auto"/>
              </w:rPr>
            </w:pPr>
            <w:r>
              <w:rPr>
                <w:rFonts w:hint="eastAsia"/>
                <w:color w:val="auto"/>
              </w:rPr>
              <w:t>9</w:t>
            </w:r>
          </w:p>
        </w:tc>
        <w:tc>
          <w:tcPr>
            <w:tcW w:w="821" w:type="pct"/>
            <w:vAlign w:val="center"/>
          </w:tcPr>
          <w:p w14:paraId="7F8F51CE">
            <w:pPr>
              <w:pStyle w:val="45"/>
              <w:rPr>
                <w:rFonts w:hint="eastAsia"/>
                <w:color w:val="auto"/>
              </w:rPr>
            </w:pPr>
            <w:r>
              <w:rPr>
                <w:rFonts w:hint="eastAsia"/>
                <w:color w:val="auto"/>
              </w:rPr>
              <w:t>温度计</w:t>
            </w:r>
          </w:p>
        </w:tc>
        <w:tc>
          <w:tcPr>
            <w:tcW w:w="965" w:type="pct"/>
            <w:vAlign w:val="center"/>
          </w:tcPr>
          <w:p w14:paraId="38425927">
            <w:pPr>
              <w:pStyle w:val="45"/>
              <w:rPr>
                <w:rFonts w:hint="eastAsia"/>
                <w:color w:val="auto"/>
              </w:rPr>
            </w:pPr>
            <w:r>
              <w:rPr>
                <w:rFonts w:hint="eastAsia"/>
                <w:color w:val="auto"/>
              </w:rPr>
              <w:t>/</w:t>
            </w:r>
          </w:p>
        </w:tc>
        <w:tc>
          <w:tcPr>
            <w:tcW w:w="437" w:type="pct"/>
            <w:vAlign w:val="center"/>
          </w:tcPr>
          <w:p w14:paraId="6462F6D2">
            <w:pPr>
              <w:pStyle w:val="45"/>
              <w:rPr>
                <w:rFonts w:hint="eastAsia"/>
                <w:color w:val="auto"/>
              </w:rPr>
            </w:pPr>
            <w:r>
              <w:rPr>
                <w:rFonts w:hint="eastAsia"/>
                <w:color w:val="auto"/>
              </w:rPr>
              <w:t>1个</w:t>
            </w:r>
          </w:p>
        </w:tc>
        <w:tc>
          <w:tcPr>
            <w:tcW w:w="1250" w:type="pct"/>
            <w:vAlign w:val="center"/>
          </w:tcPr>
          <w:p w14:paraId="43A3C555">
            <w:pPr>
              <w:pStyle w:val="45"/>
              <w:rPr>
                <w:rFonts w:hint="eastAsia"/>
                <w:color w:val="auto"/>
              </w:rPr>
            </w:pPr>
            <w:r>
              <w:rPr>
                <w:rFonts w:hint="eastAsia"/>
                <w:color w:val="auto"/>
              </w:rPr>
              <w:t>温度测量</w:t>
            </w:r>
          </w:p>
        </w:tc>
        <w:tc>
          <w:tcPr>
            <w:tcW w:w="1089" w:type="pct"/>
            <w:vAlign w:val="center"/>
          </w:tcPr>
          <w:p w14:paraId="7CD62F0F">
            <w:pPr>
              <w:pStyle w:val="45"/>
              <w:rPr>
                <w:rFonts w:hint="eastAsia"/>
                <w:color w:val="auto"/>
              </w:rPr>
            </w:pPr>
            <w:r>
              <w:rPr>
                <w:rFonts w:hint="eastAsia"/>
                <w:color w:val="auto"/>
              </w:rPr>
              <w:t>/</w:t>
            </w:r>
          </w:p>
        </w:tc>
      </w:tr>
      <w:tr w14:paraId="0CC4F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8" w:type="pct"/>
            <w:vAlign w:val="center"/>
          </w:tcPr>
          <w:p w14:paraId="66891DA0">
            <w:pPr>
              <w:pStyle w:val="45"/>
              <w:rPr>
                <w:rFonts w:hint="eastAsia"/>
                <w:color w:val="auto"/>
              </w:rPr>
            </w:pPr>
            <w:r>
              <w:rPr>
                <w:rFonts w:hint="eastAsia"/>
                <w:color w:val="auto"/>
              </w:rPr>
              <w:t>10</w:t>
            </w:r>
          </w:p>
        </w:tc>
        <w:tc>
          <w:tcPr>
            <w:tcW w:w="821" w:type="pct"/>
            <w:vAlign w:val="center"/>
          </w:tcPr>
          <w:p w14:paraId="35427611">
            <w:pPr>
              <w:pStyle w:val="45"/>
              <w:rPr>
                <w:rFonts w:hint="eastAsia"/>
                <w:color w:val="auto"/>
              </w:rPr>
            </w:pPr>
            <w:r>
              <w:rPr>
                <w:rFonts w:hint="eastAsia"/>
                <w:color w:val="auto"/>
              </w:rPr>
              <w:t>湿度计</w:t>
            </w:r>
          </w:p>
        </w:tc>
        <w:tc>
          <w:tcPr>
            <w:tcW w:w="965" w:type="pct"/>
            <w:vAlign w:val="center"/>
          </w:tcPr>
          <w:p w14:paraId="51B83614">
            <w:pPr>
              <w:pStyle w:val="45"/>
              <w:rPr>
                <w:rFonts w:hint="eastAsia"/>
                <w:color w:val="auto"/>
              </w:rPr>
            </w:pPr>
            <w:r>
              <w:rPr>
                <w:rFonts w:hint="eastAsia"/>
                <w:color w:val="auto"/>
              </w:rPr>
              <w:t>/</w:t>
            </w:r>
          </w:p>
        </w:tc>
        <w:tc>
          <w:tcPr>
            <w:tcW w:w="437" w:type="pct"/>
            <w:vAlign w:val="center"/>
          </w:tcPr>
          <w:p w14:paraId="22FF772F">
            <w:pPr>
              <w:pStyle w:val="45"/>
              <w:rPr>
                <w:rFonts w:hint="eastAsia"/>
                <w:color w:val="auto"/>
              </w:rPr>
            </w:pPr>
            <w:r>
              <w:rPr>
                <w:rFonts w:hint="eastAsia"/>
                <w:color w:val="auto"/>
              </w:rPr>
              <w:t>1个</w:t>
            </w:r>
          </w:p>
        </w:tc>
        <w:tc>
          <w:tcPr>
            <w:tcW w:w="1250" w:type="pct"/>
            <w:vAlign w:val="center"/>
          </w:tcPr>
          <w:p w14:paraId="3D8BF85A">
            <w:pPr>
              <w:pStyle w:val="45"/>
              <w:rPr>
                <w:rFonts w:hint="eastAsia"/>
                <w:color w:val="auto"/>
              </w:rPr>
            </w:pPr>
            <w:r>
              <w:rPr>
                <w:rFonts w:hint="eastAsia"/>
                <w:color w:val="auto"/>
              </w:rPr>
              <w:t>湿度测量</w:t>
            </w:r>
          </w:p>
        </w:tc>
        <w:tc>
          <w:tcPr>
            <w:tcW w:w="1089" w:type="pct"/>
            <w:vAlign w:val="center"/>
          </w:tcPr>
          <w:p w14:paraId="3DC369F7">
            <w:pPr>
              <w:pStyle w:val="45"/>
              <w:rPr>
                <w:rFonts w:hint="eastAsia"/>
                <w:color w:val="auto"/>
              </w:rPr>
            </w:pPr>
            <w:r>
              <w:rPr>
                <w:rFonts w:hint="eastAsia"/>
                <w:color w:val="auto"/>
              </w:rPr>
              <w:t>/</w:t>
            </w:r>
          </w:p>
        </w:tc>
      </w:tr>
    </w:tbl>
    <w:p w14:paraId="7B51401B">
      <w:pPr>
        <w:pStyle w:val="5"/>
        <w:rPr>
          <w:color w:val="auto"/>
        </w:rPr>
      </w:pPr>
      <w:bookmarkStart w:id="136" w:name="_Toc482351649"/>
      <w:bookmarkStart w:id="137" w:name="_Toc483814329"/>
      <w:bookmarkStart w:id="138" w:name="_Toc30033"/>
      <w:bookmarkStart w:id="139" w:name="_Toc32237"/>
      <w:bookmarkStart w:id="140" w:name="_Toc230317326"/>
      <w:bookmarkStart w:id="141" w:name="_Toc307507572"/>
      <w:r>
        <w:rPr>
          <w:rFonts w:hint="eastAsia"/>
          <w:color w:val="auto"/>
        </w:rPr>
        <w:t>测量控制基准点的建立</w:t>
      </w:r>
      <w:bookmarkEnd w:id="136"/>
      <w:bookmarkEnd w:id="137"/>
      <w:bookmarkEnd w:id="138"/>
      <w:bookmarkEnd w:id="139"/>
      <w:bookmarkEnd w:id="140"/>
      <w:bookmarkEnd w:id="141"/>
    </w:p>
    <w:p w14:paraId="77154FE7">
      <w:pPr>
        <w:pStyle w:val="6"/>
        <w:ind w:firstLine="480"/>
        <w:rPr>
          <w:color w:val="auto"/>
        </w:rPr>
      </w:pPr>
      <w:r>
        <w:rPr>
          <w:rFonts w:hint="eastAsia"/>
          <w:color w:val="auto"/>
        </w:rPr>
        <w:t>测量轴线控制点和高程控制点</w:t>
      </w:r>
    </w:p>
    <w:p w14:paraId="07A75A1E">
      <w:pPr>
        <w:rPr>
          <w:color w:val="auto"/>
        </w:rPr>
      </w:pPr>
      <w:r>
        <w:rPr>
          <w:rFonts w:hint="eastAsia"/>
          <w:color w:val="auto"/>
        </w:rPr>
        <w:t>轴线控制点以业主提供的控制点为基准，采用直角坐标法和极坐标法来测设中心点及控制轴线。标高控制根据业主提供的由规划勘测部门设置的水准点为准，引测现场施工用水准点，均匀布置在施工现场四周，建立水准基准组。采用高精度水准仪进行数次往返闭合测量形成正式基准点资料，便于相互校核和满足分段施工的需要。</w:t>
      </w:r>
    </w:p>
    <w:p w14:paraId="3A38D47D">
      <w:pPr>
        <w:rPr>
          <w:color w:val="auto"/>
        </w:rPr>
      </w:pPr>
      <w:r>
        <w:rPr>
          <w:rFonts w:hint="eastAsia"/>
          <w:color w:val="auto"/>
        </w:rPr>
        <w:t>过程中严格按照国家、海南省、三亚市住房和城乡建设局有关安全文明施工的各项标准和规定进行施工，确保在施工过程中，无重伤、无死亡、无坍塌、无中毒、无火灾、无重大机械事故、无重大社会影响事件。</w:t>
      </w:r>
    </w:p>
    <w:p w14:paraId="313CA3F7">
      <w:pPr>
        <w:pStyle w:val="6"/>
        <w:ind w:firstLine="480"/>
        <w:rPr>
          <w:color w:val="auto"/>
        </w:rPr>
      </w:pPr>
      <w:r>
        <w:rPr>
          <w:rFonts w:hint="eastAsia"/>
          <w:color w:val="auto"/>
        </w:rPr>
        <w:t>基准点的保护</w:t>
      </w:r>
    </w:p>
    <w:p w14:paraId="7E6B0B6D">
      <w:pPr>
        <w:rPr>
          <w:color w:val="auto"/>
        </w:rPr>
      </w:pPr>
      <w:r>
        <w:rPr>
          <w:rFonts w:hint="eastAsia"/>
          <w:color w:val="auto"/>
        </w:rPr>
        <w:t>为便于施工测量，水准点采用边长</w:t>
      </w:r>
      <w:r>
        <w:rPr>
          <w:color w:val="auto"/>
        </w:rPr>
        <w:t>25</w:t>
      </w:r>
      <w:r>
        <w:rPr>
          <w:rFonts w:hint="eastAsia"/>
          <w:color w:val="auto"/>
        </w:rPr>
        <w:t>0</w:t>
      </w:r>
      <w:r>
        <w:rPr>
          <w:color w:val="auto"/>
        </w:rPr>
        <w:t>mm</w:t>
      </w:r>
      <w:r>
        <w:rPr>
          <w:rFonts w:hint="eastAsia"/>
          <w:color w:val="auto"/>
        </w:rPr>
        <w:t>，桩长</w:t>
      </w:r>
      <w:r>
        <w:rPr>
          <w:color w:val="auto"/>
        </w:rPr>
        <w:t>8m</w:t>
      </w:r>
      <w:r>
        <w:rPr>
          <w:rFonts w:hint="eastAsia"/>
          <w:color w:val="auto"/>
        </w:rPr>
        <w:t>的预制钢筋混凝土方桩打入地下作为标志，其顶部周围用混凝土围护，地面以上设醒目的围护栏杆，防止施工机具车辆碰压，造成水准点高程变动。</w:t>
      </w:r>
    </w:p>
    <w:p w14:paraId="6BA2467C">
      <w:pPr>
        <w:pStyle w:val="6"/>
        <w:ind w:firstLine="480"/>
        <w:rPr>
          <w:color w:val="auto"/>
        </w:rPr>
      </w:pPr>
      <w:r>
        <w:rPr>
          <w:rFonts w:hint="eastAsia"/>
          <w:color w:val="auto"/>
        </w:rPr>
        <w:t>施工测量控制网布设</w:t>
      </w:r>
    </w:p>
    <w:p w14:paraId="4B7706D8">
      <w:pPr>
        <w:rPr>
          <w:color w:val="auto"/>
        </w:rPr>
      </w:pPr>
      <w:r>
        <w:rPr>
          <w:rFonts w:hint="eastAsia"/>
          <w:color w:val="auto"/>
        </w:rPr>
        <w:t>1、分阶段测量控制网</w:t>
      </w:r>
    </w:p>
    <w:p w14:paraId="304E79CA">
      <w:pPr>
        <w:rPr>
          <w:color w:val="auto"/>
        </w:rPr>
      </w:pPr>
      <w:r>
        <w:rPr>
          <w:rFonts w:hint="eastAsia"/>
          <w:color w:val="auto"/>
        </w:rPr>
        <w:t>由于工程规模大，含地下部分及地上部分，因此施工测量控制网分阶段实施，各阶段都必须和测量基准点校验。施工测量控制网布设采用两种方法：±0.000以下采用外控法，±0.000以上采用内控法。地上部分各栋单体轴线控制网因结构形式变化不大，平面控制网采用同一控制网。</w:t>
      </w:r>
    </w:p>
    <w:p w14:paraId="4DA314BF">
      <w:pPr>
        <w:rPr>
          <w:color w:val="auto"/>
        </w:rPr>
      </w:pPr>
      <w:r>
        <w:rPr>
          <w:rFonts w:hint="eastAsia"/>
          <w:color w:val="auto"/>
        </w:rPr>
        <w:t>2、地下室施工阶段</w:t>
      </w:r>
    </w:p>
    <w:p w14:paraId="045FBF7A">
      <w:pPr>
        <w:rPr>
          <w:color w:val="auto"/>
        </w:rPr>
      </w:pPr>
      <w:r>
        <w:rPr>
          <w:rFonts w:hint="eastAsia"/>
          <w:color w:val="auto"/>
        </w:rPr>
        <w:t>外围轴线控制网，在地下室以外建立一套轴线控制网，考虑施工中可能有损坏，两个方向贯通设置多个控制点。</w:t>
      </w:r>
    </w:p>
    <w:p w14:paraId="684167DC">
      <w:pPr>
        <w:pStyle w:val="5"/>
        <w:rPr>
          <w:color w:val="auto"/>
        </w:rPr>
      </w:pPr>
      <w:bookmarkStart w:id="142" w:name="_Toc482351650"/>
      <w:bookmarkStart w:id="143" w:name="_Toc307507573"/>
      <w:bookmarkStart w:id="144" w:name="_Toc483814330"/>
      <w:bookmarkStart w:id="145" w:name="_Toc230317327"/>
      <w:bookmarkStart w:id="146" w:name="_Toc22400"/>
      <w:bookmarkStart w:id="147" w:name="_Toc1099"/>
      <w:r>
        <w:rPr>
          <w:rFonts w:hint="eastAsia"/>
          <w:color w:val="auto"/>
        </w:rPr>
        <w:t>平面控制网的测设技术</w:t>
      </w:r>
      <w:bookmarkEnd w:id="142"/>
      <w:bookmarkEnd w:id="143"/>
      <w:bookmarkEnd w:id="144"/>
      <w:bookmarkEnd w:id="145"/>
      <w:bookmarkEnd w:id="146"/>
      <w:bookmarkEnd w:id="147"/>
    </w:p>
    <w:p w14:paraId="303A5A22">
      <w:pPr>
        <w:pStyle w:val="6"/>
        <w:ind w:firstLine="480"/>
        <w:rPr>
          <w:color w:val="auto"/>
        </w:rPr>
      </w:pPr>
      <w:r>
        <w:rPr>
          <w:rFonts w:hint="eastAsia"/>
          <w:color w:val="auto"/>
        </w:rPr>
        <w:t>控制网的设置</w:t>
      </w:r>
    </w:p>
    <w:p w14:paraId="49A0A3D1">
      <w:pPr>
        <w:rPr>
          <w:color w:val="auto"/>
        </w:rPr>
      </w:pPr>
      <w:r>
        <w:rPr>
          <w:rFonts w:hint="eastAsia"/>
          <w:color w:val="auto"/>
        </w:rPr>
        <w:t>根据施工条件，地上结构采用内控法进行竖向测量控制，地下结构采用外控法进行测量控制。控制点布置主要原则：</w:t>
      </w:r>
    </w:p>
    <w:p w14:paraId="32B95E1F">
      <w:pPr>
        <w:rPr>
          <w:color w:val="auto"/>
        </w:rPr>
      </w:pPr>
      <w:r>
        <w:rPr>
          <w:rFonts w:hint="eastAsia"/>
          <w:color w:val="auto"/>
        </w:rPr>
        <w:t>1、两个控制点之间视线通透，无剪力墙、柱等结构阻碍视线。</w:t>
      </w:r>
    </w:p>
    <w:p w14:paraId="0C5C92E6">
      <w:pPr>
        <w:rPr>
          <w:color w:val="auto"/>
        </w:rPr>
      </w:pPr>
      <w:r>
        <w:rPr>
          <w:rFonts w:hint="eastAsia"/>
          <w:color w:val="auto"/>
        </w:rPr>
        <w:t>2、轴线控制点连线偏离轴线1~2米，避免与轴线重合。</w:t>
      </w:r>
    </w:p>
    <w:p w14:paraId="567C278B">
      <w:pPr>
        <w:rPr>
          <w:color w:val="auto"/>
        </w:rPr>
      </w:pPr>
      <w:r>
        <w:rPr>
          <w:rFonts w:hint="eastAsia"/>
          <w:color w:val="auto"/>
        </w:rPr>
        <w:t>3、同一轴线方向2个控制点间的距离不大于50米。</w:t>
      </w:r>
    </w:p>
    <w:p w14:paraId="7405DCDB">
      <w:pPr>
        <w:rPr>
          <w:color w:val="auto"/>
        </w:rPr>
      </w:pPr>
      <w:r>
        <w:rPr>
          <w:rFonts w:hint="eastAsia"/>
          <w:color w:val="auto"/>
        </w:rPr>
        <w:t>现场各主体及地下室结构平面控制网具体测量点布置进场后由专业测量人员根据现场实际情况布设。</w:t>
      </w:r>
    </w:p>
    <w:p w14:paraId="1FF6A3D7">
      <w:pPr>
        <w:pStyle w:val="6"/>
        <w:ind w:firstLine="480"/>
        <w:rPr>
          <w:color w:val="auto"/>
        </w:rPr>
      </w:pPr>
      <w:r>
        <w:rPr>
          <w:rFonts w:hint="eastAsia"/>
          <w:color w:val="auto"/>
        </w:rPr>
        <w:t>控制网的测设</w:t>
      </w:r>
    </w:p>
    <w:p w14:paraId="53F82055">
      <w:pPr>
        <w:rPr>
          <w:color w:val="auto"/>
        </w:rPr>
      </w:pPr>
      <w:r>
        <w:rPr>
          <w:rFonts w:hint="eastAsia"/>
          <w:color w:val="auto"/>
        </w:rPr>
        <w:t>为提高精度，使用全站仪采用直角坐标法进行控制网的测设，该仪器在一个测站上可以连续进行角度测量和距离测量，角度和距离测量均作3个测回，将偏差严格控制在预控标准范围内。考虑到温度对混凝土楼面板上网点间距的影响，将测设时间选择在温差很小的清晨，并应保证做到同时间、同施测方法、同施测者、同仪器。</w:t>
      </w:r>
    </w:p>
    <w:p w14:paraId="70FD43AE">
      <w:pPr>
        <w:pStyle w:val="6"/>
        <w:ind w:firstLine="480"/>
        <w:rPr>
          <w:color w:val="auto"/>
        </w:rPr>
      </w:pPr>
      <w:r>
        <w:rPr>
          <w:rFonts w:hint="eastAsia"/>
          <w:color w:val="auto"/>
        </w:rPr>
        <w:t>高程控制</w:t>
      </w:r>
    </w:p>
    <w:p w14:paraId="3F1A4C25">
      <w:pPr>
        <w:rPr>
          <w:color w:val="auto"/>
        </w:rPr>
      </w:pPr>
      <w:r>
        <w:rPr>
          <w:rFonts w:hint="eastAsia"/>
          <w:color w:val="auto"/>
        </w:rPr>
        <w:t>在±0.00m以上标高引测，首先在主楼首层墙上建立多条+1000mm的标高基准线（数量根据每栋单体的单层面积、结构形式等确定）。</w:t>
      </w:r>
    </w:p>
    <w:p w14:paraId="6EE7EA80">
      <w:pPr>
        <w:rPr>
          <w:color w:val="auto"/>
        </w:rPr>
      </w:pPr>
      <w:r>
        <w:rPr>
          <w:rFonts w:hint="eastAsia"/>
          <w:color w:val="auto"/>
        </w:rPr>
        <w:t>基准线的测设采用水准仪。</w:t>
      </w:r>
    </w:p>
    <w:p w14:paraId="521C2024">
      <w:pPr>
        <w:rPr>
          <w:color w:val="auto"/>
        </w:rPr>
      </w:pPr>
      <w:r>
        <w:rPr>
          <w:rFonts w:hint="eastAsia"/>
          <w:color w:val="auto"/>
        </w:rPr>
        <w:t>方法是：调整仪器高度使其后视线正对水平线，前视则用铅笔直接标出视线。这种测法与一般的塔尺标记测法相比，精度可以提高1~2mm。从首层基准线用检定合格的50m钢尺按照规定的拉力，向上引测，在每个施工层上引出相同数量的标高控制线，以便相互校核。</w:t>
      </w:r>
    </w:p>
    <w:p w14:paraId="1C09F7CC">
      <w:pPr>
        <w:pStyle w:val="5"/>
        <w:rPr>
          <w:color w:val="auto"/>
        </w:rPr>
      </w:pPr>
      <w:bookmarkStart w:id="148" w:name="_Toc483814331"/>
      <w:bookmarkStart w:id="149" w:name="_Toc5046"/>
      <w:bookmarkStart w:id="150" w:name="_Toc307507574"/>
      <w:bookmarkStart w:id="151" w:name="_Toc230317328"/>
      <w:bookmarkStart w:id="152" w:name="_Toc482351651"/>
      <w:bookmarkStart w:id="153" w:name="_Toc28848"/>
      <w:r>
        <w:rPr>
          <w:rFonts w:hint="eastAsia"/>
          <w:color w:val="auto"/>
        </w:rPr>
        <w:t>沉降变形观测</w:t>
      </w:r>
      <w:bookmarkEnd w:id="148"/>
      <w:bookmarkEnd w:id="149"/>
      <w:bookmarkEnd w:id="150"/>
      <w:bookmarkEnd w:id="151"/>
      <w:bookmarkEnd w:id="152"/>
      <w:bookmarkEnd w:id="153"/>
    </w:p>
    <w:p w14:paraId="4574041B">
      <w:pPr>
        <w:rPr>
          <w:color w:val="auto"/>
        </w:rPr>
      </w:pPr>
      <w:r>
        <w:rPr>
          <w:rFonts w:hint="eastAsia"/>
          <w:color w:val="auto"/>
        </w:rPr>
        <w:t>本工程在建筑物外围一周均匀设置了若干个沉降观测点，沉降观测按Ⅱ级水准精度采用闭合法观测，每施工完一层观测一次。建筑物竣工后的观测第一年每三个月一次，第二年半年一次，以后每年一次，直至下沉稳定为止。</w:t>
      </w:r>
    </w:p>
    <w:p w14:paraId="0ECE6617">
      <w:pPr>
        <w:rPr>
          <w:color w:val="auto"/>
        </w:rPr>
      </w:pPr>
      <w:r>
        <w:rPr>
          <w:rFonts w:hint="eastAsia"/>
          <w:color w:val="auto"/>
        </w:rPr>
        <w:t>采用几何水准测量方法进行沉降观测，沉降观测网布设成闭合线路。</w:t>
      </w:r>
    </w:p>
    <w:p w14:paraId="1F2F3183">
      <w:pPr>
        <w:pStyle w:val="6"/>
        <w:ind w:firstLine="480"/>
        <w:rPr>
          <w:color w:val="auto"/>
        </w:rPr>
      </w:pPr>
      <w:r>
        <w:rPr>
          <w:rFonts w:hint="eastAsia"/>
          <w:color w:val="auto"/>
        </w:rPr>
        <w:t>沉降基准点埋设</w:t>
      </w:r>
    </w:p>
    <w:p w14:paraId="708B280F">
      <w:pPr>
        <w:rPr>
          <w:color w:val="auto"/>
        </w:rPr>
      </w:pPr>
      <w:r>
        <w:rPr>
          <w:rFonts w:hint="eastAsia"/>
          <w:color w:val="auto"/>
        </w:rPr>
        <w:t>根据中华人民共和国国家标准的有关沉降基准点埋设规定布置施工现场沉降基准点。</w:t>
      </w:r>
    </w:p>
    <w:p w14:paraId="258CAD81">
      <w:pPr>
        <w:rPr>
          <w:color w:val="auto"/>
        </w:rPr>
      </w:pPr>
      <w:r>
        <w:rPr>
          <w:rFonts w:hint="eastAsia"/>
          <w:color w:val="auto"/>
        </w:rPr>
        <w:t>沉降基准点布设原则：</w:t>
      </w:r>
    </w:p>
    <w:p w14:paraId="20E8F0A0">
      <w:pPr>
        <w:rPr>
          <w:color w:val="auto"/>
        </w:rPr>
      </w:pPr>
      <w:r>
        <w:rPr>
          <w:rFonts w:hint="eastAsia"/>
          <w:color w:val="auto"/>
        </w:rPr>
        <w:t>布设的沉降基准点必须坚固稳定且便于长期保存。</w:t>
      </w:r>
    </w:p>
    <w:p w14:paraId="2363FDE6">
      <w:pPr>
        <w:rPr>
          <w:color w:val="auto"/>
        </w:rPr>
      </w:pPr>
      <w:r>
        <w:rPr>
          <w:rFonts w:hint="eastAsia"/>
          <w:color w:val="auto"/>
        </w:rPr>
        <w:t>为了对沉降基准点进行相互检查，沉降基准点的数目应不少于三个，以保证沉降观测成果的正确性。</w:t>
      </w:r>
    </w:p>
    <w:p w14:paraId="4E1016E1">
      <w:pPr>
        <w:rPr>
          <w:color w:val="auto"/>
        </w:rPr>
      </w:pPr>
      <w:r>
        <w:rPr>
          <w:rFonts w:hint="eastAsia"/>
          <w:color w:val="auto"/>
        </w:rPr>
        <w:t>沉降基准点与观测点的距离不宜太远，以保证观测精度。</w:t>
      </w:r>
    </w:p>
    <w:p w14:paraId="5A4A83AA">
      <w:pPr>
        <w:rPr>
          <w:color w:val="auto"/>
        </w:rPr>
      </w:pPr>
      <w:r>
        <w:rPr>
          <w:rFonts w:hint="eastAsia"/>
          <w:color w:val="auto"/>
        </w:rPr>
        <w:t>沉降基准点须埋设在建筑物的压力传播范围以外，同时为了防止沉降基准点受到冻胀的影响，沉降基准点的埋设深度不小于</w:t>
      </w:r>
      <w:r>
        <w:rPr>
          <w:color w:val="auto"/>
        </w:rPr>
        <w:t>1.5</w:t>
      </w:r>
      <w:r>
        <w:rPr>
          <w:rFonts w:hint="eastAsia"/>
          <w:color w:val="auto"/>
        </w:rPr>
        <w:t>米，以保证沉降基准点的稳定。</w:t>
      </w:r>
    </w:p>
    <w:p w14:paraId="77A9E6FF">
      <w:pPr>
        <w:rPr>
          <w:color w:val="auto"/>
        </w:rPr>
      </w:pPr>
      <w:r>
        <w:rPr>
          <w:rFonts w:hint="eastAsia"/>
          <w:color w:val="auto"/>
        </w:rPr>
        <w:t>沉降观测基准点埋设在变形区以外，数量三个，按国家二等水准测量的技术要求施测，每站高差中误差±</w:t>
      </w:r>
      <w:r>
        <w:rPr>
          <w:color w:val="auto"/>
        </w:rPr>
        <w:t>0.3mm</w:t>
      </w:r>
      <w:r>
        <w:rPr>
          <w:rFonts w:hint="eastAsia"/>
          <w:color w:val="auto"/>
        </w:rPr>
        <w:t>，闭合差±</w:t>
      </w:r>
      <w:r>
        <w:rPr>
          <w:color w:val="auto"/>
        </w:rPr>
        <w:t>0.6mm</w:t>
      </w:r>
      <w:r>
        <w:rPr>
          <w:rFonts w:hint="eastAsia"/>
          <w:color w:val="auto"/>
        </w:rPr>
        <w:t>×</w:t>
      </w:r>
      <w:r>
        <w:rPr>
          <w:color w:val="auto"/>
        </w:rPr>
        <w:t>n0.5</w:t>
      </w:r>
      <w:r>
        <w:rPr>
          <w:rFonts w:hint="eastAsia"/>
          <w:color w:val="auto"/>
        </w:rPr>
        <w:t>。</w:t>
      </w:r>
    </w:p>
    <w:p w14:paraId="4C0FC776">
      <w:pPr>
        <w:pStyle w:val="6"/>
        <w:ind w:firstLine="480"/>
        <w:rPr>
          <w:color w:val="auto"/>
        </w:rPr>
      </w:pPr>
      <w:r>
        <w:rPr>
          <w:rFonts w:hint="eastAsia"/>
          <w:color w:val="auto"/>
        </w:rPr>
        <w:t>沉降观测点的布设</w:t>
      </w:r>
    </w:p>
    <w:p w14:paraId="1463D967">
      <w:pPr>
        <w:rPr>
          <w:color w:val="auto"/>
        </w:rPr>
      </w:pPr>
      <w:r>
        <w:rPr>
          <w:rFonts w:hint="eastAsia"/>
          <w:color w:val="auto"/>
        </w:rPr>
        <w:t>变形观测点是直接反映建筑物变形的参照点，应与变形体固结为一体，布设在能敏感反映变形的位置。在建筑物的房角、变形缝处的外墙上设置沉降观测点，观测点间距不大于</w:t>
      </w:r>
      <w:r>
        <w:rPr>
          <w:color w:val="auto"/>
        </w:rPr>
        <w:t>30m</w:t>
      </w:r>
      <w:r>
        <w:rPr>
          <w:rFonts w:hint="eastAsia"/>
          <w:color w:val="auto"/>
        </w:rPr>
        <w:t>。沉降点埋设如下图所示。</w:t>
      </w:r>
    </w:p>
    <w:p w14:paraId="55980E99">
      <w:pPr>
        <w:pStyle w:val="49"/>
        <w:rPr>
          <w:rFonts w:hint="eastAsia"/>
          <w:color w:val="auto"/>
        </w:rPr>
      </w:pPr>
      <w:r>
        <w:rPr>
          <w:color w:val="auto"/>
        </w:rPr>
        <w:drawing>
          <wp:inline distT="0" distB="0" distL="0" distR="0">
            <wp:extent cx="3851275" cy="3352800"/>
            <wp:effectExtent l="0" t="0" r="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64"/>
                    <a:stretch>
                      <a:fillRect/>
                    </a:stretch>
                  </pic:blipFill>
                  <pic:spPr>
                    <a:xfrm>
                      <a:off x="0" y="0"/>
                      <a:ext cx="3860544" cy="3360364"/>
                    </a:xfrm>
                    <a:prstGeom prst="rect">
                      <a:avLst/>
                    </a:prstGeom>
                  </pic:spPr>
                </pic:pic>
              </a:graphicData>
            </a:graphic>
          </wp:inline>
        </w:drawing>
      </w:r>
    </w:p>
    <w:p w14:paraId="4574D6AD">
      <w:pPr>
        <w:pStyle w:val="49"/>
        <w:rPr>
          <w:rFonts w:hint="eastAsia"/>
          <w:color w:val="auto"/>
        </w:rPr>
      </w:pPr>
      <w:r>
        <w:rPr>
          <w:color w:val="auto"/>
        </w:rPr>
        <w:drawing>
          <wp:inline distT="0" distB="0" distL="0" distR="0">
            <wp:extent cx="4841875" cy="1388745"/>
            <wp:effectExtent l="0" t="0" r="15875" b="1905"/>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pic:cNvPicPr>
                  </pic:nvPicPr>
                  <pic:blipFill>
                    <a:blip r:embed="rId65"/>
                    <a:stretch>
                      <a:fillRect/>
                    </a:stretch>
                  </pic:blipFill>
                  <pic:spPr>
                    <a:xfrm>
                      <a:off x="0" y="0"/>
                      <a:ext cx="4853123" cy="1391903"/>
                    </a:xfrm>
                    <a:prstGeom prst="rect">
                      <a:avLst/>
                    </a:prstGeom>
                  </pic:spPr>
                </pic:pic>
              </a:graphicData>
            </a:graphic>
          </wp:inline>
        </w:drawing>
      </w:r>
    </w:p>
    <w:p w14:paraId="2E5C958C">
      <w:pPr>
        <w:pStyle w:val="53"/>
        <w:rPr>
          <w:color w:val="auto"/>
        </w:rPr>
      </w:pPr>
      <w:r>
        <w:rPr>
          <w:rFonts w:hint="eastAsia"/>
          <w:color w:val="auto"/>
        </w:rPr>
        <w:t>沉降点埋设示意图</w:t>
      </w:r>
    </w:p>
    <w:p w14:paraId="30E1E883">
      <w:pPr>
        <w:rPr>
          <w:color w:val="auto"/>
        </w:rPr>
      </w:pPr>
      <w:r>
        <w:rPr>
          <w:rFonts w:hint="eastAsia"/>
          <w:color w:val="auto"/>
        </w:rPr>
        <w:t>在外墙上沉降观测点标志采用内藏式，用F32电锤在设计位置打孔，将直径28mm预埋件放入孔内，周围用环氧树脂填充使其牢固，观测时将活动标志旋紧，测毕取出外旋保护盖，既不影响原有建筑物的外观又起到保护标志的作用。</w:t>
      </w:r>
    </w:p>
    <w:p w14:paraId="65A1BC75">
      <w:pPr>
        <w:pStyle w:val="6"/>
        <w:ind w:firstLine="480"/>
        <w:rPr>
          <w:color w:val="auto"/>
        </w:rPr>
      </w:pPr>
      <w:r>
        <w:rPr>
          <w:rFonts w:hint="eastAsia"/>
          <w:color w:val="auto"/>
        </w:rPr>
        <w:t>沉降观测</w:t>
      </w:r>
    </w:p>
    <w:p w14:paraId="08C7D0AA">
      <w:pPr>
        <w:rPr>
          <w:color w:val="auto"/>
        </w:rPr>
      </w:pPr>
      <w:r>
        <w:rPr>
          <w:rFonts w:hint="eastAsia"/>
          <w:color w:val="auto"/>
        </w:rPr>
        <w:t>观测仪器采用精密水准仪，配合铟钢尺作业，采用相同观测路线和观测方法，使用同一仪器和设备，并要固定观测人员，在基本相同的环境和条件下工作。</w:t>
      </w:r>
    </w:p>
    <w:p w14:paraId="749CBC68">
      <w:pPr>
        <w:rPr>
          <w:color w:val="auto"/>
        </w:rPr>
      </w:pPr>
      <w:r>
        <w:rPr>
          <w:rFonts w:hint="eastAsia"/>
          <w:color w:val="auto"/>
        </w:rPr>
        <w:t>根据深圳市有关文件规定，施工沉降观测应由有资质的第三方进行沉降观测。在施工过程中我单位将同监测单位密切配合，共同完成监测工作。我单位自己必须将对周边建筑物变形观测每七天做1次，每次的观测结果必须整理打印出来报业主、监理、设计和技术部门。每次观测完毕后，观测数据及时整理填入相应的表中，并及时报告项目总工和值班监理，挑选1~2各点绘制位移和标高随时间变化的关系曲线。</w:t>
      </w:r>
    </w:p>
    <w:p w14:paraId="3BF4D9E4">
      <w:pPr>
        <w:rPr>
          <w:color w:val="auto"/>
        </w:rPr>
      </w:pPr>
      <w:r>
        <w:rPr>
          <w:rFonts w:hint="eastAsia"/>
          <w:color w:val="auto"/>
        </w:rPr>
        <w:t>若发现变位速率较大，建筑物发生异常情况，及时向各有关单位联络人汇报。</w:t>
      </w:r>
    </w:p>
    <w:p w14:paraId="3B57E043">
      <w:pPr>
        <w:pStyle w:val="4"/>
        <w:ind w:firstLine="482"/>
        <w:rPr>
          <w:color w:val="auto"/>
        </w:rPr>
      </w:pPr>
      <w:bookmarkStart w:id="154" w:name="_Toc22037"/>
      <w:r>
        <w:rPr>
          <w:rFonts w:hint="eastAsia"/>
          <w:color w:val="auto"/>
        </w:rPr>
        <w:t>桩基施工方案</w:t>
      </w:r>
      <w:bookmarkEnd w:id="154"/>
    </w:p>
    <w:p w14:paraId="35433B6A">
      <w:pPr>
        <w:pStyle w:val="5"/>
        <w:rPr>
          <w:color w:val="auto"/>
        </w:rPr>
      </w:pPr>
      <w:bookmarkStart w:id="155" w:name="_Toc632"/>
      <w:r>
        <w:rPr>
          <w:rFonts w:hint="eastAsia"/>
          <w:color w:val="auto"/>
        </w:rPr>
        <w:t>工程桩概况</w:t>
      </w:r>
      <w:bookmarkEnd w:id="155"/>
    </w:p>
    <w:p w14:paraId="6F4B1983">
      <w:pPr>
        <w:rPr>
          <w:rFonts w:cs="Times New Roman"/>
          <w:color w:val="auto"/>
          <w:szCs w:val="24"/>
        </w:rPr>
      </w:pPr>
      <w:r>
        <w:rPr>
          <w:rFonts w:hint="eastAsia"/>
          <w:color w:val="auto"/>
        </w:rPr>
        <w:t>本工程桩基选用PHC-</w:t>
      </w:r>
      <w:r>
        <w:rPr>
          <w:color w:val="auto"/>
        </w:rPr>
        <w:t>600-</w:t>
      </w:r>
      <w:r>
        <w:rPr>
          <w:rFonts w:hint="eastAsia"/>
          <w:color w:val="auto"/>
        </w:rPr>
        <w:t>AB、PHC</w:t>
      </w:r>
      <w:r>
        <w:rPr>
          <w:color w:val="auto"/>
        </w:rPr>
        <w:t>-500-AB</w:t>
      </w:r>
      <w:r>
        <w:rPr>
          <w:rFonts w:hint="eastAsia"/>
          <w:color w:val="auto"/>
        </w:rPr>
        <w:t>、</w:t>
      </w:r>
      <w:r>
        <w:rPr>
          <w:color w:val="auto"/>
        </w:rPr>
        <w:t>PHC-500-B</w:t>
      </w:r>
      <w:r>
        <w:rPr>
          <w:rFonts w:hint="eastAsia"/>
          <w:color w:val="auto"/>
        </w:rPr>
        <w:t>型预制管桩，桩径500mm、6</w:t>
      </w:r>
      <w:r>
        <w:rPr>
          <w:color w:val="auto"/>
        </w:rPr>
        <w:t>00mm</w:t>
      </w:r>
      <w:r>
        <w:rPr>
          <w:rFonts w:hint="eastAsia"/>
          <w:color w:val="auto"/>
        </w:rPr>
        <w:t>，持力层在第6层砾砂层及第九层粉质黏土层，有效桩长为</w:t>
      </w:r>
      <w:r>
        <w:rPr>
          <w:color w:val="auto"/>
        </w:rPr>
        <w:t>15</w:t>
      </w:r>
      <w:r>
        <w:rPr>
          <w:rFonts w:hint="eastAsia"/>
          <w:color w:val="auto"/>
        </w:rPr>
        <w:t>-</w:t>
      </w:r>
      <w:r>
        <w:rPr>
          <w:color w:val="auto"/>
        </w:rPr>
        <w:t>37</w:t>
      </w:r>
      <w:r>
        <w:rPr>
          <w:rFonts w:hint="eastAsia"/>
          <w:color w:val="auto"/>
        </w:rPr>
        <w:t>米，桩尖形式为开口型。桩基施工</w:t>
      </w:r>
      <w:r>
        <w:rPr>
          <w:rFonts w:hint="eastAsia" w:ascii="宋体" w:hAnsi="宋体"/>
          <w:color w:val="auto"/>
        </w:rPr>
        <w:t>管桩采用柴油锤施打及静压方式施工</w:t>
      </w:r>
      <w:r>
        <w:rPr>
          <w:rFonts w:hint="eastAsia"/>
          <w:color w:val="auto"/>
        </w:rPr>
        <w:t>。</w:t>
      </w:r>
    </w:p>
    <w:p w14:paraId="2F1EA5C9">
      <w:pPr>
        <w:pStyle w:val="5"/>
        <w:rPr>
          <w:color w:val="auto"/>
        </w:rPr>
      </w:pPr>
      <w:bookmarkStart w:id="156" w:name="_Toc22862"/>
      <w:r>
        <w:rPr>
          <w:rFonts w:hint="eastAsia"/>
          <w:color w:val="auto"/>
        </w:rPr>
        <w:t>总体施工流程</w:t>
      </w:r>
      <w:bookmarkEnd w:id="156"/>
    </w:p>
    <w:p w14:paraId="45CAD8C6">
      <w:pPr>
        <w:rPr>
          <w:color w:val="auto"/>
        </w:rPr>
      </w:pPr>
      <w:r>
        <w:rPr>
          <w:rFonts w:hint="eastAsia"/>
          <w:color w:val="auto"/>
        </w:rPr>
        <w:t>结合桩基平面总图以及本项目设计出图、交通组织等情况，本工程总体施工顺序为从北向南，逆时针方向施工。桩基施工顺序也为逆时针方向，从北向南施工。</w:t>
      </w:r>
    </w:p>
    <w:p w14:paraId="11EB0C15">
      <w:pPr>
        <w:pStyle w:val="5"/>
        <w:rPr>
          <w:color w:val="auto"/>
        </w:rPr>
      </w:pPr>
      <w:bookmarkStart w:id="157" w:name="_Toc11201"/>
      <w:r>
        <w:rPr>
          <w:rFonts w:hint="eastAsia"/>
          <w:color w:val="auto"/>
        </w:rPr>
        <w:t>施工工艺</w:t>
      </w:r>
      <w:bookmarkEnd w:id="157"/>
    </w:p>
    <w:p w14:paraId="013B478B">
      <w:pPr>
        <w:rPr>
          <w:color w:val="auto"/>
        </w:rPr>
      </w:pPr>
      <w:r>
        <w:rPr>
          <w:color w:val="auto"/>
        </w:rPr>
        <w:t>锤击桩施工工艺</w:t>
      </w:r>
      <w:r>
        <w:rPr>
          <w:rFonts w:hint="eastAsia"/>
          <w:color w:val="auto"/>
        </w:rPr>
        <w:t>：</w:t>
      </w:r>
    </w:p>
    <w:p w14:paraId="5A343EAA">
      <w:pPr>
        <w:rPr>
          <w:rFonts w:cs="Times New Roman"/>
          <w:color w:val="auto"/>
          <w:szCs w:val="24"/>
        </w:rPr>
      </w:pPr>
      <w:r>
        <w:rPr>
          <w:color w:val="auto"/>
        </w:rPr>
        <w:drawing>
          <wp:inline distT="0" distB="0" distL="0" distR="0">
            <wp:extent cx="4537710" cy="1361440"/>
            <wp:effectExtent l="0" t="0" r="0" b="0"/>
            <wp:docPr id="176" name="图片 176" descr="C:\Users\CGG\AppData\Local\Temp\ksohtml12824\wp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C:\Users\CGG\AppData\Local\Temp\ksohtml12824\wps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4538903" cy="1361671"/>
                    </a:xfrm>
                    <a:prstGeom prst="rect">
                      <a:avLst/>
                    </a:prstGeom>
                    <a:noFill/>
                    <a:ln>
                      <a:noFill/>
                    </a:ln>
                  </pic:spPr>
                </pic:pic>
              </a:graphicData>
            </a:graphic>
          </wp:inline>
        </w:drawing>
      </w:r>
    </w:p>
    <w:p w14:paraId="2154EF2E">
      <w:pPr>
        <w:rPr>
          <w:rFonts w:cs="Times New Roman"/>
          <w:color w:val="auto"/>
          <w:szCs w:val="24"/>
        </w:rPr>
      </w:pPr>
      <w:r>
        <w:rPr>
          <w:rFonts w:cs="Times New Roman"/>
          <w:color w:val="auto"/>
          <w:szCs w:val="24"/>
        </w:rPr>
        <w:t>静压施工工艺</w:t>
      </w:r>
      <w:r>
        <w:rPr>
          <w:rFonts w:hint="eastAsia" w:cs="Times New Roman"/>
          <w:color w:val="auto"/>
          <w:szCs w:val="24"/>
        </w:rPr>
        <w:t>：</w:t>
      </w:r>
    </w:p>
    <w:p w14:paraId="52687A79">
      <w:pPr>
        <w:rPr>
          <w:rFonts w:hint="eastAsia" w:ascii="宋体" w:hAnsi="宋体" w:cs="Times New Roman"/>
          <w:color w:val="auto"/>
          <w:szCs w:val="24"/>
        </w:rPr>
      </w:pPr>
      <w:r>
        <w:rPr>
          <w:rFonts w:hint="eastAsia" w:ascii="宋体" w:hAnsi="宋体"/>
          <w:color w:val="auto"/>
        </w:rPr>
        <w:t>施工流程：测量定位→桩机就位、对中→压桩→接桩→送桩或截桩→静压桩到设计高程</w:t>
      </w:r>
    </w:p>
    <w:p w14:paraId="0D2F47BB">
      <w:pPr>
        <w:pStyle w:val="6"/>
        <w:ind w:firstLine="480"/>
        <w:rPr>
          <w:color w:val="auto"/>
        </w:rPr>
      </w:pPr>
      <w:r>
        <w:rPr>
          <w:rFonts w:hint="eastAsia"/>
          <w:color w:val="auto"/>
        </w:rPr>
        <w:t>管桩吊运与堆放</w:t>
      </w:r>
    </w:p>
    <w:p w14:paraId="69DF8741">
      <w:pPr>
        <w:rPr>
          <w:color w:val="auto"/>
        </w:rPr>
      </w:pPr>
      <w:r>
        <w:rPr>
          <w:rFonts w:hint="eastAsia"/>
          <w:color w:val="auto"/>
        </w:rPr>
        <w:t>1、桩在吊运过程中应轻吊轻放，保持平稳，避免碰撞。</w:t>
      </w:r>
    </w:p>
    <w:p w14:paraId="3F54BCE7">
      <w:pPr>
        <w:rPr>
          <w:color w:val="auto"/>
        </w:rPr>
      </w:pPr>
      <w:r>
        <w:rPr>
          <w:rFonts w:hint="eastAsia"/>
          <w:color w:val="auto"/>
        </w:rPr>
        <w:t>2、单节管桩可用专用吊钩勾住管桩两端内壁直接进行水平起吊，吊绳与管桩夹角大于45°。</w:t>
      </w:r>
    </w:p>
    <w:p w14:paraId="30DFC029">
      <w:pPr>
        <w:rPr>
          <w:color w:val="auto"/>
        </w:rPr>
      </w:pPr>
      <w:r>
        <w:rPr>
          <w:rFonts w:hint="eastAsia"/>
          <w:color w:val="auto"/>
        </w:rPr>
        <w:t>3、当场地及供桩条件许可时，宜单层堆放，若需叠层堆放时不宜超过4层,应满足地基承载力要求。</w:t>
      </w:r>
    </w:p>
    <w:p w14:paraId="12DBC15C">
      <w:pPr>
        <w:rPr>
          <w:color w:val="auto"/>
        </w:rPr>
      </w:pPr>
      <w:r>
        <w:rPr>
          <w:rFonts w:hint="eastAsia"/>
          <w:color w:val="auto"/>
        </w:rPr>
        <w:t>4、叠层堆放时，应在垂直于桩长方向的地面上设置2道垫木，贴地垫木应有足够的宽度和高度，支点应分别位于离桩端头0.29倍桩长处；两支点间不得有突出地面的石块等硬物；底层最外缘的桩应在垫木处用木楔塞紧，管桩叠层堆放时，层与层之间可不设置小型垫木。</w:t>
      </w:r>
    </w:p>
    <w:p w14:paraId="13959F72">
      <w:pPr>
        <w:pStyle w:val="65"/>
        <w:spacing w:before="163" w:after="163"/>
        <w:rPr>
          <w:color w:val="auto"/>
        </w:rPr>
      </w:pPr>
      <w:r>
        <w:rPr>
          <w:color w:val="auto"/>
        </w:rPr>
        <w:object>
          <v:shape id="_x0000_i1030" o:spt="75" type="#_x0000_t75" style="height:133.95pt;width:319.9pt;" o:ole="t" filled="f" o:preferrelative="t" stroked="f" coordsize="21600,21600">
            <v:path/>
            <v:fill on="f" focussize="0,0"/>
            <v:stroke on="f" joinstyle="miter"/>
            <v:imagedata r:id="rId68" cropleft="13456f" croptop="30892f" cropright="20003f" cropbottom="10758f" o:title=""/>
            <o:lock v:ext="edit" aspectratio="t"/>
            <w10:wrap type="none"/>
            <w10:anchorlock/>
          </v:shape>
          <o:OLEObject Type="Embed" ProgID="AutoCAD.Drawing.16" ShapeID="_x0000_i1030" DrawAspect="Content" ObjectID="_1468075730" r:id="rId67">
            <o:LockedField>false</o:LockedField>
          </o:OLEObject>
        </w:object>
      </w:r>
    </w:p>
    <w:p w14:paraId="6E1294A7">
      <w:pPr>
        <w:pStyle w:val="53"/>
        <w:numPr>
          <w:ilvl w:val="8"/>
          <w:numId w:val="8"/>
        </w:numPr>
        <w:rPr>
          <w:color w:val="auto"/>
        </w:rPr>
      </w:pPr>
      <w:r>
        <w:rPr>
          <w:rFonts w:hint="eastAsia"/>
          <w:color w:val="auto"/>
        </w:rPr>
        <w:t>管桩吊点示意图</w:t>
      </w:r>
    </w:p>
    <w:p w14:paraId="59DDCC5E">
      <w:pPr>
        <w:pStyle w:val="6"/>
        <w:ind w:firstLine="480"/>
        <w:rPr>
          <w:color w:val="auto"/>
        </w:rPr>
      </w:pPr>
      <w:r>
        <w:rPr>
          <w:rFonts w:hint="eastAsia"/>
          <w:color w:val="auto"/>
        </w:rPr>
        <w:t>测量放线</w:t>
      </w:r>
    </w:p>
    <w:p w14:paraId="2CF61C2C">
      <w:pPr>
        <w:rPr>
          <w:color w:val="auto"/>
        </w:rPr>
      </w:pPr>
      <w:r>
        <w:rPr>
          <w:rFonts w:hint="eastAsia"/>
          <w:color w:val="auto"/>
        </w:rPr>
        <w:t>首先要根据设计图纸进行计算，对建设单位提供的水准点和控制点进行校对，在图纸上标明。根据坐标点控制网和水准基点，使用全站仪按坐标法进行桩位放样，施工中，由于沉桩等各种因素影响，桩位更容易移位，每天必须至少一次对护桩进行复核、纠正。每一桩位正式施打前，必须进行复核、纠正。</w:t>
      </w:r>
    </w:p>
    <w:p w14:paraId="78A39EA5">
      <w:pPr>
        <w:rPr>
          <w:color w:val="auto"/>
        </w:rPr>
      </w:pPr>
      <w:r>
        <w:rPr>
          <w:rFonts w:hint="eastAsia"/>
          <w:color w:val="auto"/>
        </w:rPr>
        <w:t>按照设计图纸计算放样数据，按放样数据进行桩位放样，桩位误差不得大于20mm，并插上竹片定出桩位中心。对所要施打前的桩位必须随时检查纠正，以防止沉桩挤土等因素造成的桩位偏移。插桩前用白灰沿桩位中心划一直径同桩靴相同的圆作插桩定位，并在所定出桩位的两侧定出控制点，施工过程中及时监控、调整。</w:t>
      </w:r>
    </w:p>
    <w:p w14:paraId="380A17E7">
      <w:pPr>
        <w:pStyle w:val="6"/>
        <w:ind w:firstLine="480"/>
        <w:rPr>
          <w:color w:val="auto"/>
        </w:rPr>
      </w:pPr>
      <w:r>
        <w:rPr>
          <w:rFonts w:hint="eastAsia"/>
          <w:color w:val="auto"/>
        </w:rPr>
        <w:t>桩机就位</w:t>
      </w:r>
    </w:p>
    <w:p w14:paraId="7643CB69">
      <w:pPr>
        <w:rPr>
          <w:color w:val="auto"/>
        </w:rPr>
      </w:pPr>
      <w:r>
        <w:rPr>
          <w:rFonts w:hint="eastAsia"/>
          <w:color w:val="auto"/>
        </w:rPr>
        <w:t>在对施工场地内的表层土质试压后，确保承载力满足静压机械及长螺旋钻机施工及移动过程中不至于出现沉陷，对局部软土层可采用事先换填处理或采用整块钢板铺垫作业。场地条件具备后，长螺旋钻机通过自身履带移动到施工工位，检查各部件及仪表是否灵敏有效，确保设备运转安全、正常后，按照打桩顺序，移动调整桩机对位、调平、调直。</w:t>
      </w:r>
    </w:p>
    <w:p w14:paraId="21DF7AD3">
      <w:pPr>
        <w:pStyle w:val="6"/>
        <w:ind w:firstLine="480"/>
        <w:rPr>
          <w:color w:val="auto"/>
        </w:rPr>
      </w:pPr>
      <w:r>
        <w:rPr>
          <w:rFonts w:hint="eastAsia"/>
          <w:color w:val="auto"/>
        </w:rPr>
        <w:t>长螺旋引孔</w:t>
      </w:r>
    </w:p>
    <w:p w14:paraId="1577B7E9">
      <w:pPr>
        <w:rPr>
          <w:color w:val="auto"/>
        </w:rPr>
      </w:pPr>
      <w:r>
        <w:rPr>
          <w:rFonts w:hint="eastAsia"/>
          <w:color w:val="auto"/>
        </w:rPr>
        <w:t>1、钻机就位后，进行桩位复检，钻头中心与桩位偏差小于20mm，然后调整钻机，用双垂球双向控制好钻杆垂直度，垂直度允许偏差为桩长的1%。合格后方可平稳钻进。钻头刚接触地面时，先先关闭钻头封口,下钻速度要慢。钻进过程中，不宜反转或提升钻杆。</w:t>
      </w:r>
    </w:p>
    <w:p w14:paraId="2CD73585">
      <w:pPr>
        <w:rPr>
          <w:color w:val="auto"/>
        </w:rPr>
      </w:pPr>
      <w:r>
        <w:rPr>
          <w:rFonts w:hint="eastAsia"/>
          <w:color w:val="auto"/>
        </w:rPr>
        <w:t>2、本工程PHC桩径为500m</w:t>
      </w:r>
      <w:r>
        <w:rPr>
          <w:color w:val="auto"/>
        </w:rPr>
        <w:t>m</w:t>
      </w:r>
      <w:r>
        <w:rPr>
          <w:rFonts w:hint="eastAsia"/>
          <w:color w:val="auto"/>
        </w:rPr>
        <w:t>、6</w:t>
      </w:r>
      <w:r>
        <w:rPr>
          <w:color w:val="auto"/>
        </w:rPr>
        <w:t>00mm</w:t>
      </w:r>
      <w:r>
        <w:rPr>
          <w:rFonts w:hint="eastAsia"/>
          <w:color w:val="auto"/>
        </w:rPr>
        <w:t>，长螺旋钻头选用直径380钻头。当需要穿越老黏土、厚层砂土、碎石土以及塑性指数大于25的黏土时，应进行试钻。</w:t>
      </w:r>
    </w:p>
    <w:p w14:paraId="572CFAEB">
      <w:pPr>
        <w:rPr>
          <w:color w:val="auto"/>
        </w:rPr>
      </w:pPr>
      <w:r>
        <w:rPr>
          <w:rFonts w:hint="eastAsia"/>
          <w:color w:val="auto"/>
        </w:rPr>
        <w:t>3、正常钻进速度控制在1～1.50m/min，钻进过程中，如遇到卡钻、钻机摇晃、偏移，应停钻查明原因，采取纠正措施后方可继续钻进。</w:t>
      </w:r>
    </w:p>
    <w:p w14:paraId="73A2EDC6">
      <w:pPr>
        <w:rPr>
          <w:color w:val="auto"/>
        </w:rPr>
      </w:pPr>
      <w:r>
        <w:rPr>
          <w:rFonts w:hint="eastAsia"/>
          <w:color w:val="auto"/>
        </w:rPr>
        <w:t>4、钻出的土方及时挖机清理转运至施工作业面以外，并统一用汽车外运到参建单位各方认定的弃土场倒弃。</w:t>
      </w:r>
    </w:p>
    <w:p w14:paraId="4C88AE0E">
      <w:pPr>
        <w:rPr>
          <w:color w:val="auto"/>
        </w:rPr>
      </w:pPr>
      <w:r>
        <w:rPr>
          <w:rFonts w:hint="eastAsia"/>
          <w:color w:val="auto"/>
        </w:rPr>
        <w:t>5、按上述成孔方法成孔施钻，用钻杆上的孔深标志控制钻孔深度，当钻头穿透粗砂层和粉砂层到达第⑥层中砂层时，经现场监理验收合格后停止钻孔，桩机换成静压桩机，立即开始静压施工。</w:t>
      </w:r>
    </w:p>
    <w:p w14:paraId="328A22EF">
      <w:pPr>
        <w:pStyle w:val="6"/>
        <w:ind w:firstLine="480"/>
        <w:rPr>
          <w:color w:val="auto"/>
        </w:rPr>
      </w:pPr>
      <w:r>
        <w:rPr>
          <w:rFonts w:hint="eastAsia"/>
          <w:color w:val="auto"/>
        </w:rPr>
        <w:t>压桩</w:t>
      </w:r>
    </w:p>
    <w:p w14:paraId="786AE81D">
      <w:pPr>
        <w:rPr>
          <w:color w:val="auto"/>
        </w:rPr>
      </w:pPr>
      <w:r>
        <w:rPr>
          <w:rFonts w:hint="eastAsia"/>
          <w:color w:val="auto"/>
        </w:rPr>
        <w:t>用钢丝绳绑住桩身单点起吊，单吊点位置应在距桩顶0.3倍桩长处，小心移入桩机，然后调平桩机，开动纵横向油缸移动桩机调整对中，同时利用相互垂直的两个方向的经纬仪检查垂直度（在距桩机约20m处，成90°设置经纬仪各一台），垂直度偏差控制在0.5%以内（第一节桩垂直度偏差不得大于0.3%），条件不具备也可采用两个线锤进行垂直度控制。通过桩机导架的旋转、滑动进行调整，确保管桩位置和垂直度符合要求后压桩，每根桩应一次性连续沉桩，最后一节有效长度不应小于5m。</w:t>
      </w:r>
    </w:p>
    <w:p w14:paraId="385790B4">
      <w:pPr>
        <w:rPr>
          <w:color w:val="auto"/>
        </w:rPr>
      </w:pPr>
      <w:r>
        <w:rPr>
          <w:rFonts w:hint="eastAsia"/>
          <w:color w:val="auto"/>
        </w:rPr>
        <w:t>通过夹持油缸将桩夹紧，然后使压桩油缸伸程，将压力施加到桩上，压入力由压力表反映。在压桩过程中要认真记录桩入土深度和压力表读数的关系，以判断桩的质量及承载力。当压力表读数突然上升或下降时，要停机对照地质资料进行分析，看是否遇到障碍物或产生断桩情况等。</w:t>
      </w:r>
    </w:p>
    <w:p w14:paraId="12572016">
      <w:pPr>
        <w:rPr>
          <w:color w:val="auto"/>
        </w:rPr>
      </w:pPr>
      <w:r>
        <w:rPr>
          <w:rFonts w:hint="eastAsia"/>
          <w:color w:val="auto"/>
        </w:rPr>
        <w:t>第一节桩入土30～50cm后检查和校整垂直度，垂直度控制在0.3%以内，开动压桩装置，严格记录压桩时间和各压力表读数，保持连续压桩并控制压桩速度在小于1m/min。</w:t>
      </w:r>
    </w:p>
    <w:p w14:paraId="3376A58A">
      <w:pPr>
        <w:rPr>
          <w:color w:val="auto"/>
        </w:rPr>
      </w:pPr>
      <w:r>
        <w:rPr>
          <w:rFonts w:hint="eastAsia"/>
          <w:color w:val="auto"/>
        </w:rPr>
        <w:t>注意事项：</w:t>
      </w:r>
    </w:p>
    <w:p w14:paraId="69B965CA">
      <w:pPr>
        <w:rPr>
          <w:color w:val="auto"/>
        </w:rPr>
      </w:pPr>
      <w:r>
        <w:rPr>
          <w:rFonts w:hint="eastAsia"/>
          <w:color w:val="auto"/>
        </w:rPr>
        <w:t>1、压桩过程中应经常注意观察桩身混凝土的完整性，一旦发现桩身裂缝或掉角，应立即停机，找出原因，采取改进措施；</w:t>
      </w:r>
    </w:p>
    <w:p w14:paraId="0882DB3D">
      <w:pPr>
        <w:rPr>
          <w:color w:val="auto"/>
        </w:rPr>
      </w:pPr>
      <w:r>
        <w:rPr>
          <w:rFonts w:hint="eastAsia"/>
          <w:color w:val="auto"/>
        </w:rPr>
        <w:t>2、每一根桩应一次连续压到底，接桩、送桩应连续进行，中间不得无故停歇，且尽可能避免在桩尖接近设计持力层时进行接桩；</w:t>
      </w:r>
    </w:p>
    <w:p w14:paraId="1F21795F">
      <w:pPr>
        <w:rPr>
          <w:color w:val="auto"/>
        </w:rPr>
      </w:pPr>
      <w:r>
        <w:rPr>
          <w:rFonts w:hint="eastAsia"/>
          <w:color w:val="auto"/>
        </w:rPr>
        <w:t>3、桩上浮量不得大于20mm，否则应进行复压。</w:t>
      </w:r>
    </w:p>
    <w:p w14:paraId="6239EC8E">
      <w:pPr>
        <w:pStyle w:val="6"/>
        <w:ind w:firstLine="480"/>
        <w:rPr>
          <w:color w:val="auto"/>
        </w:rPr>
      </w:pPr>
      <w:r>
        <w:rPr>
          <w:rFonts w:hint="eastAsia"/>
          <w:color w:val="auto"/>
        </w:rPr>
        <w:t>接桩</w:t>
      </w:r>
    </w:p>
    <w:p w14:paraId="6334E285">
      <w:pPr>
        <w:rPr>
          <w:color w:val="auto"/>
        </w:rPr>
      </w:pPr>
      <w:r>
        <w:rPr>
          <w:rFonts w:hint="eastAsia"/>
          <w:color w:val="auto"/>
        </w:rPr>
        <w:t>1、本工程接桩采用焊接接桩，接桩时宜将下节桩压至桩顶距离地面0.5～1.0m处，吊上节桩，使上、下桩对中，使之同心不发生偏移，同时调好垂直度，接桩上下节错位不宜大于2mm；</w:t>
      </w:r>
    </w:p>
    <w:p w14:paraId="7EE2E779">
      <w:pPr>
        <w:rPr>
          <w:color w:val="auto"/>
        </w:rPr>
      </w:pPr>
      <w:r>
        <w:rPr>
          <w:rFonts w:hint="eastAsia"/>
          <w:color w:val="auto"/>
        </w:rPr>
        <w:t>2、接桩采用焊接接桩法，采用二氧化碳气体保护焊，焊接时采用两台焊机对称进行，焊缝应连续饱满，施焊完毕后需冷却5分钟后方可继续施压，严禁用水冷却或焊好即压，当风雨天作业时，应做好遮风挡雨的保护措施，焊条应保持干燥、焊缝严禁沾水。</w:t>
      </w:r>
    </w:p>
    <w:p w14:paraId="61D70105">
      <w:pPr>
        <w:pStyle w:val="6"/>
        <w:ind w:firstLine="480"/>
        <w:rPr>
          <w:color w:val="auto"/>
        </w:rPr>
      </w:pPr>
      <w:r>
        <w:rPr>
          <w:rFonts w:hint="eastAsia"/>
          <w:color w:val="auto"/>
        </w:rPr>
        <w:t>送桩</w:t>
      </w:r>
    </w:p>
    <w:p w14:paraId="104F0498">
      <w:pPr>
        <w:rPr>
          <w:color w:val="auto"/>
        </w:rPr>
      </w:pPr>
      <w:r>
        <w:rPr>
          <w:rFonts w:hint="eastAsia"/>
          <w:color w:val="auto"/>
        </w:rPr>
        <w:t>送桩作业需采用专用钢制送桩器，当桩顶压至接近地面需要送桩时，应测出桩的垂直度并检查桩头质量，合格后立刻送桩。送桩深度不宜超过1.5m。</w:t>
      </w:r>
    </w:p>
    <w:p w14:paraId="427004A6">
      <w:pPr>
        <w:pStyle w:val="6"/>
        <w:ind w:firstLine="480"/>
        <w:rPr>
          <w:color w:val="auto"/>
        </w:rPr>
      </w:pPr>
      <w:r>
        <w:rPr>
          <w:rFonts w:hint="eastAsia"/>
          <w:color w:val="auto"/>
        </w:rPr>
        <w:t>终压</w:t>
      </w:r>
    </w:p>
    <w:p w14:paraId="5E6F2E71">
      <w:pPr>
        <w:rPr>
          <w:color w:val="auto"/>
        </w:rPr>
      </w:pPr>
      <w:r>
        <w:rPr>
          <w:rFonts w:hint="eastAsia"/>
          <w:color w:val="auto"/>
        </w:rPr>
        <w:t>1、终压连续复压次数根据桩长及地质条件等因素确定；</w:t>
      </w:r>
    </w:p>
    <w:p w14:paraId="6A559298">
      <w:pPr>
        <w:rPr>
          <w:color w:val="auto"/>
        </w:rPr>
      </w:pPr>
      <w:r>
        <w:rPr>
          <w:rFonts w:hint="eastAsia"/>
          <w:color w:val="auto"/>
        </w:rPr>
        <w:t>2、稳压压桩力不得小于终压力，稳定压桩的时间为不小于5秒。</w:t>
      </w:r>
    </w:p>
    <w:p w14:paraId="6FE5C07C">
      <w:pPr>
        <w:pStyle w:val="4"/>
        <w:ind w:firstLine="482"/>
        <w:rPr>
          <w:color w:val="auto"/>
        </w:rPr>
      </w:pPr>
      <w:bookmarkStart w:id="158" w:name="_Toc11957"/>
      <w:r>
        <w:rPr>
          <w:rFonts w:hint="eastAsia"/>
          <w:color w:val="auto"/>
        </w:rPr>
        <w:t>地下工程</w:t>
      </w:r>
      <w:bookmarkEnd w:id="158"/>
    </w:p>
    <w:p w14:paraId="5C164B22">
      <w:pPr>
        <w:pStyle w:val="5"/>
        <w:rPr>
          <w:color w:val="auto"/>
        </w:rPr>
      </w:pPr>
      <w:bookmarkStart w:id="159" w:name="_Toc31070"/>
      <w:r>
        <w:rPr>
          <w:rFonts w:hint="eastAsia"/>
          <w:color w:val="auto"/>
        </w:rPr>
        <w:t>基坑支护</w:t>
      </w:r>
      <w:bookmarkEnd w:id="159"/>
    </w:p>
    <w:p w14:paraId="5E4D3B61">
      <w:pPr>
        <w:pStyle w:val="6"/>
        <w:ind w:firstLine="480"/>
        <w:rPr>
          <w:color w:val="auto"/>
        </w:rPr>
      </w:pPr>
      <w:r>
        <w:rPr>
          <w:rFonts w:hint="eastAsia"/>
          <w:color w:val="auto"/>
        </w:rPr>
        <w:t>基坑设计概况</w:t>
      </w:r>
    </w:p>
    <w:p w14:paraId="53EBE4E2">
      <w:pPr>
        <w:rPr>
          <w:color w:val="auto"/>
        </w:rPr>
      </w:pPr>
      <w:r>
        <w:rPr>
          <w:rFonts w:hint="eastAsia"/>
          <w:color w:val="auto"/>
        </w:rPr>
        <w:t>1、本项目基坑总面积约28800m</w:t>
      </w:r>
      <w:r>
        <w:rPr>
          <w:rFonts w:hint="eastAsia"/>
          <w:color w:val="auto"/>
          <w:vertAlign w:val="superscript"/>
        </w:rPr>
        <w:t>2</w:t>
      </w:r>
      <w:r>
        <w:rPr>
          <w:rFonts w:hint="eastAsia"/>
          <w:color w:val="auto"/>
        </w:rPr>
        <w:t>，基坑周边总延长米约660m。</w:t>
      </w:r>
    </w:p>
    <w:p w14:paraId="1BB89A7B">
      <w:pPr>
        <w:rPr>
          <w:color w:val="auto"/>
        </w:rPr>
      </w:pPr>
      <w:r>
        <w:rPr>
          <w:rFonts w:hint="eastAsia"/>
          <w:color w:val="auto"/>
        </w:rPr>
        <w:t>2、本工程±0.000=</w:t>
      </w:r>
      <w:r>
        <w:rPr>
          <w:color w:val="auto"/>
        </w:rPr>
        <w:t>5.600</w:t>
      </w:r>
      <w:r>
        <w:rPr>
          <w:rFonts w:hint="eastAsia"/>
          <w:color w:val="auto"/>
        </w:rPr>
        <w:t>。本图所示标高为设计相对标高，标高以米计，尺寸以毫米为单位。</w:t>
      </w:r>
    </w:p>
    <w:p w14:paraId="140B1523">
      <w:pPr>
        <w:rPr>
          <w:color w:val="auto"/>
        </w:rPr>
      </w:pPr>
      <w:r>
        <w:rPr>
          <w:rFonts w:hint="eastAsia"/>
          <w:color w:val="auto"/>
        </w:rPr>
        <w:t>3、根据业主提供的场地基坑开挖边线周边各侧整平后自然地坪标高。各侧整平地面存在高差位置由施工方自行找坡处理。</w:t>
      </w:r>
    </w:p>
    <w:p w14:paraId="083698E4">
      <w:pPr>
        <w:rPr>
          <w:color w:val="auto"/>
        </w:rPr>
      </w:pPr>
      <w:r>
        <w:rPr>
          <w:color w:val="auto"/>
        </w:rPr>
        <w:t>4</w:t>
      </w:r>
      <w:r>
        <w:rPr>
          <w:rFonts w:hint="eastAsia"/>
          <w:color w:val="auto"/>
        </w:rPr>
        <w:t>、基坑支护安全等级均为二级。</w:t>
      </w:r>
    </w:p>
    <w:p w14:paraId="319406A5">
      <w:pPr>
        <w:rPr>
          <w:color w:val="auto"/>
        </w:rPr>
      </w:pPr>
      <w:r>
        <w:rPr>
          <w:color w:val="auto"/>
        </w:rPr>
        <w:t>5</w:t>
      </w:r>
      <w:r>
        <w:rPr>
          <w:rFonts w:hint="eastAsia"/>
          <w:color w:val="auto"/>
        </w:rPr>
        <w:t>、基坑支护结构为临时结构，设计使用年限按1年考虑。</w:t>
      </w:r>
    </w:p>
    <w:p w14:paraId="16CFBB0A">
      <w:pPr>
        <w:rPr>
          <w:rFonts w:cs="Times New Roman"/>
          <w:color w:val="auto"/>
          <w:szCs w:val="24"/>
        </w:rPr>
      </w:pPr>
      <w:r>
        <w:rPr>
          <w:color w:val="auto"/>
        </w:rPr>
        <w:t>6</w:t>
      </w:r>
      <w:r>
        <w:rPr>
          <w:rFonts w:hint="eastAsia"/>
          <w:color w:val="auto"/>
        </w:rPr>
        <w:t>、</w:t>
      </w:r>
      <w:r>
        <w:rPr>
          <w:rFonts w:hint="eastAsia" w:ascii="宋体" w:hAnsi="宋体"/>
          <w:color w:val="auto"/>
        </w:rPr>
        <w:t>基坑南侧1号路、北侧15号路先于本工程基坑实施，环境较为紧张，因此，基坑南侧、北侧支护安全等级为二级；基坑东侧研学大道、西侧9号路晚于本工程实施，环境较为宽松，因此，基坑西侧、东侧支护安全等级为三级。</w:t>
      </w:r>
    </w:p>
    <w:p w14:paraId="3A4732F8">
      <w:pPr>
        <w:rPr>
          <w:color w:val="auto"/>
        </w:rPr>
      </w:pPr>
      <w:r>
        <w:rPr>
          <w:color w:val="auto"/>
        </w:rPr>
        <w:t xml:space="preserve"> 7</w:t>
      </w:r>
      <w:r>
        <w:rPr>
          <w:rFonts w:hint="eastAsia"/>
          <w:color w:val="auto"/>
        </w:rPr>
        <w:t>、采用顺作法施工，基坑总体实施流程为：先开挖施工地下室区域基坑；待地下区域地下室结构回筑至±0.00后，开挖坡道区域基坑。</w:t>
      </w:r>
    </w:p>
    <w:p w14:paraId="587B20BF">
      <w:pPr>
        <w:rPr>
          <w:color w:val="auto"/>
        </w:rPr>
      </w:pPr>
      <w:r>
        <w:rPr>
          <w:color w:val="auto"/>
        </w:rPr>
        <w:t>8</w:t>
      </w:r>
      <w:r>
        <w:rPr>
          <w:rFonts w:hint="eastAsia"/>
          <w:color w:val="auto"/>
        </w:rPr>
        <w:t>、本工程基坑普遍区域与贴边集水井区域周边均采用FSP-IV型钢板桩+一道锚索支护。</w:t>
      </w:r>
    </w:p>
    <w:p w14:paraId="06A41243">
      <w:pPr>
        <w:rPr>
          <w:color w:val="auto"/>
        </w:rPr>
      </w:pPr>
      <w:r>
        <w:rPr>
          <w:color w:val="auto"/>
        </w:rPr>
        <w:t>9</w:t>
      </w:r>
      <w:r>
        <w:rPr>
          <w:rFonts w:hint="eastAsia"/>
          <w:color w:val="auto"/>
        </w:rPr>
        <w:t>、限载要求：基坑各侧坑外施工限载20kPa以内;各侧集水井区域坑外施工限载10kPa以内。</w:t>
      </w:r>
    </w:p>
    <w:p w14:paraId="5F5D43C5">
      <w:pPr>
        <w:pStyle w:val="6"/>
        <w:ind w:firstLine="480"/>
        <w:rPr>
          <w:color w:val="auto"/>
        </w:rPr>
      </w:pPr>
      <w:r>
        <w:rPr>
          <w:rFonts w:hint="eastAsia"/>
          <w:color w:val="auto"/>
        </w:rPr>
        <w:t>施工工艺</w:t>
      </w:r>
    </w:p>
    <w:p w14:paraId="17FDB596">
      <w:pPr>
        <w:rPr>
          <w:color w:val="auto"/>
        </w:rPr>
      </w:pPr>
      <w:r>
        <w:rPr>
          <w:rFonts w:hint="eastAsia"/>
          <w:color w:val="auto"/>
        </w:rPr>
        <w:t>1、测量放线</w:t>
      </w:r>
    </w:p>
    <w:p w14:paraId="7B2BE6DF">
      <w:pPr>
        <w:rPr>
          <w:color w:val="auto"/>
        </w:rPr>
      </w:pPr>
      <w:r>
        <w:rPr>
          <w:rFonts w:hint="eastAsia"/>
          <w:color w:val="auto"/>
        </w:rPr>
        <w:t>①平面控制</w:t>
      </w:r>
    </w:p>
    <w:p w14:paraId="5E44FFBB">
      <w:pPr>
        <w:rPr>
          <w:color w:val="auto"/>
        </w:rPr>
      </w:pPr>
      <w:r>
        <w:rPr>
          <w:rFonts w:hint="eastAsia"/>
          <w:color w:val="auto"/>
        </w:rPr>
        <w:t>平面控制包括围护桩轴线、内支撑轴线、旋喷桩、冠梁轴线、排水系统定位等控制。</w:t>
      </w:r>
    </w:p>
    <w:p w14:paraId="1813998E">
      <w:pPr>
        <w:rPr>
          <w:color w:val="auto"/>
        </w:rPr>
      </w:pPr>
      <w:r>
        <w:rPr>
          <w:rFonts w:hint="eastAsia"/>
          <w:color w:val="auto"/>
        </w:rPr>
        <w:t>根据前期测设的建筑基线控制点，采用全站仪，利用直角标法，根据各分项工程已计算的测量数据进行施测，测量时由测量员先测出控制轴线上的点位，另一测量组从相反方向进行反测，经复核无误后，办理相应的签证手续，然后把轴线引测到四周的控制点上，并用油漆作好相应的标志和标明各轴线的编号，然后以各轴线定出各分项工程的点位。</w:t>
      </w:r>
    </w:p>
    <w:p w14:paraId="42F69049">
      <w:pPr>
        <w:rPr>
          <w:color w:val="auto"/>
        </w:rPr>
      </w:pPr>
      <w:r>
        <w:rPr>
          <w:rFonts w:hint="eastAsia"/>
          <w:color w:val="auto"/>
        </w:rPr>
        <w:t>控制点必须符合埋设要求，埋设应选择在不受施工影响，不变形，不下沉坚固土层并便于观测的位置，埋设采用打入钢筋头，四周用砼保护。</w:t>
      </w:r>
    </w:p>
    <w:p w14:paraId="080A271A">
      <w:pPr>
        <w:pStyle w:val="65"/>
        <w:spacing w:before="163" w:after="163"/>
        <w:rPr>
          <w:color w:val="auto"/>
        </w:rPr>
      </w:pPr>
      <w:r>
        <w:rPr>
          <w:color w:val="auto"/>
        </w:rPr>
        <w:drawing>
          <wp:inline distT="0" distB="0" distL="0" distR="0">
            <wp:extent cx="2047240" cy="1668780"/>
            <wp:effectExtent l="0" t="0" r="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9"/>
                    <a:stretch>
                      <a:fillRect/>
                    </a:stretch>
                  </pic:blipFill>
                  <pic:spPr>
                    <a:xfrm>
                      <a:off x="0" y="0"/>
                      <a:ext cx="2056194" cy="1675601"/>
                    </a:xfrm>
                    <a:prstGeom prst="rect">
                      <a:avLst/>
                    </a:prstGeom>
                  </pic:spPr>
                </pic:pic>
              </a:graphicData>
            </a:graphic>
          </wp:inline>
        </w:drawing>
      </w:r>
    </w:p>
    <w:p w14:paraId="088AB71D">
      <w:pPr>
        <w:pStyle w:val="53"/>
        <w:rPr>
          <w:color w:val="auto"/>
        </w:rPr>
      </w:pPr>
      <w:r>
        <w:rPr>
          <w:rFonts w:hint="eastAsia"/>
          <w:color w:val="auto"/>
        </w:rPr>
        <w:t>控制点埋设示意图</w:t>
      </w:r>
    </w:p>
    <w:p w14:paraId="4C9F7C85">
      <w:pPr>
        <w:rPr>
          <w:color w:val="auto"/>
        </w:rPr>
      </w:pPr>
      <w:r>
        <w:rPr>
          <w:rFonts w:hint="eastAsia"/>
          <w:color w:val="auto"/>
        </w:rPr>
        <w:t>②高程控制</w:t>
      </w:r>
    </w:p>
    <w:p w14:paraId="1D78E1DF">
      <w:pPr>
        <w:rPr>
          <w:color w:val="auto"/>
        </w:rPr>
      </w:pPr>
      <w:r>
        <w:rPr>
          <w:rFonts w:hint="eastAsia"/>
          <w:color w:val="auto"/>
        </w:rPr>
        <w:t>基坑高程引测方法是以基坑外高程点为基点，在基坑边缘架设吊杆，吊杆顶上垂挂经检验合格的钢尺，钢尺下吊重锤，以保证钢尺能完全垂直，在基坑内和基坑外架设两台水准仪，由两人同时进行观测，分别读取参数a、b、C、d，根据公式HB=HA+a-(b-c)-d计算出B点高程，然后根据地下室各设计标高将高程引测到基坑边坡上作为施工标高依据。</w:t>
      </w:r>
    </w:p>
    <w:p w14:paraId="417DDC89">
      <w:pPr>
        <w:pStyle w:val="65"/>
        <w:spacing w:before="163" w:after="163"/>
        <w:rPr>
          <w:color w:val="auto"/>
        </w:rPr>
      </w:pPr>
      <w:r>
        <w:rPr>
          <w:color w:val="auto"/>
        </w:rPr>
        <w:drawing>
          <wp:inline distT="0" distB="0" distL="0" distR="0">
            <wp:extent cx="3360420" cy="1995170"/>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70"/>
                    <a:stretch>
                      <a:fillRect/>
                    </a:stretch>
                  </pic:blipFill>
                  <pic:spPr>
                    <a:xfrm>
                      <a:off x="0" y="0"/>
                      <a:ext cx="3381450" cy="2008071"/>
                    </a:xfrm>
                    <a:prstGeom prst="rect">
                      <a:avLst/>
                    </a:prstGeom>
                  </pic:spPr>
                </pic:pic>
              </a:graphicData>
            </a:graphic>
          </wp:inline>
        </w:drawing>
      </w:r>
    </w:p>
    <w:p w14:paraId="14825A46">
      <w:pPr>
        <w:pStyle w:val="53"/>
        <w:rPr>
          <w:color w:val="auto"/>
        </w:rPr>
      </w:pPr>
      <w:r>
        <w:rPr>
          <w:rFonts w:hint="eastAsia"/>
          <w:color w:val="auto"/>
        </w:rPr>
        <w:t>坑内高程引测示意图</w:t>
      </w:r>
    </w:p>
    <w:p w14:paraId="67CDF57C">
      <w:pPr>
        <w:rPr>
          <w:color w:val="auto"/>
        </w:rPr>
      </w:pPr>
    </w:p>
    <w:p w14:paraId="634F8FE1">
      <w:pPr>
        <w:rPr>
          <w:color w:val="auto"/>
        </w:rPr>
      </w:pPr>
      <w:r>
        <w:rPr>
          <w:rFonts w:hint="eastAsia"/>
          <w:color w:val="auto"/>
        </w:rPr>
        <w:t>2、钢板桩施工</w:t>
      </w:r>
    </w:p>
    <w:p w14:paraId="7E4F91E9">
      <w:pPr>
        <w:rPr>
          <w:color w:val="auto"/>
        </w:rPr>
      </w:pPr>
      <w:r>
        <w:rPr>
          <w:rFonts w:hint="eastAsia"/>
          <w:color w:val="auto"/>
        </w:rPr>
        <w:t>基坑周边普遍采用拉森钢板桩作为基坑围护结构，钢板桩型号为FSP-Ⅳ，围护钢板桩有效长度为12m和15m。拉森钢板桩与主体结构外墙间净距应不小于1000mm，且与底板或承台净距应不小于200mm。</w:t>
      </w:r>
    </w:p>
    <w:p w14:paraId="4D9D9C6B">
      <w:pPr>
        <w:rPr>
          <w:color w:val="auto"/>
        </w:rPr>
      </w:pPr>
      <w:r>
        <w:rPr>
          <w:rFonts w:hint="eastAsia"/>
          <w:color w:val="auto"/>
        </w:rPr>
        <w:t>①挖掘机停在离打桩点就近的施工便道上，侧向施工，便于测量人员观察。挂上振动锤、升高，理顺油管及电缆。</w:t>
      </w:r>
    </w:p>
    <w:p w14:paraId="3286899E">
      <w:pPr>
        <w:rPr>
          <w:color w:val="auto"/>
        </w:rPr>
      </w:pPr>
      <w:r>
        <w:rPr>
          <w:rFonts w:hint="eastAsia"/>
          <w:color w:val="auto"/>
        </w:rPr>
        <w:t>②锤下降，开液压口，拉一根钢板桩至打桩锤下，锤锁口抹上润滑油，振动锤夹紧钢桩吊起，然后升锤与钢板桩桩至打桩地点。</w:t>
      </w:r>
    </w:p>
    <w:p w14:paraId="6E5A3695">
      <w:pPr>
        <w:rPr>
          <w:color w:val="auto"/>
        </w:rPr>
      </w:pPr>
      <w:r>
        <w:rPr>
          <w:rFonts w:hint="eastAsia"/>
          <w:color w:val="auto"/>
        </w:rPr>
        <w:t>③对准桩与定位桩的锁口，锤下降，靠锤与桩自重压桩至地面以下一定深度不能下降为止。</w:t>
      </w:r>
    </w:p>
    <w:p w14:paraId="15ECD736">
      <w:pPr>
        <w:rPr>
          <w:color w:val="auto"/>
        </w:rPr>
      </w:pPr>
      <w:r>
        <w:rPr>
          <w:rFonts w:hint="eastAsia"/>
          <w:color w:val="auto"/>
        </w:rPr>
        <w:t>④试开打桩锤30秒左右，停止振动，利用锤惯性打桩至坚实土层，然后开动振动锤打桩下降，控制打桩锤下降的速度，尽可能的使桩保持竖直，以便锁口能顺利咬合，提高止水能力。</w:t>
      </w:r>
    </w:p>
    <w:p w14:paraId="3A08E771">
      <w:pPr>
        <w:rPr>
          <w:color w:val="auto"/>
        </w:rPr>
      </w:pPr>
      <w:r>
        <w:rPr>
          <w:rFonts w:hint="eastAsia"/>
          <w:color w:val="auto"/>
        </w:rPr>
        <w:t>⑤待桩稳定、位置正确并垂直后，将钢板桩夹紧，开动液压机，继续振动下沉。</w:t>
      </w:r>
    </w:p>
    <w:p w14:paraId="02A3B611">
      <w:pPr>
        <w:rPr>
          <w:color w:val="auto"/>
        </w:rPr>
      </w:pPr>
      <w:r>
        <w:rPr>
          <w:rFonts w:hint="eastAsia"/>
          <w:color w:val="auto"/>
        </w:rPr>
        <w:t>⑥钢桩每下沉1～2m左右，停振检测桩的垂直度，发现偏差，及时纠正。</w:t>
      </w:r>
    </w:p>
    <w:p w14:paraId="5D8C5FBF">
      <w:pPr>
        <w:rPr>
          <w:color w:val="auto"/>
        </w:rPr>
      </w:pPr>
      <w:r>
        <w:rPr>
          <w:rFonts w:hint="eastAsia"/>
          <w:color w:val="auto"/>
        </w:rPr>
        <w:t>⑦振动锤振动频率大于钢桩的自振频率。振桩前，振动锤的桩夹应紧钢桩上端，并使振动锤与钢桩重心在同一直线上。</w:t>
      </w:r>
    </w:p>
    <w:p w14:paraId="6D421DB8">
      <w:pPr>
        <w:rPr>
          <w:color w:val="auto"/>
        </w:rPr>
      </w:pPr>
      <w:r>
        <w:rPr>
          <w:rFonts w:hint="eastAsia"/>
          <w:color w:val="auto"/>
        </w:rPr>
        <w:t>⑧板桩至设计高度前40cm时，停止振动，振动锤因惯性继续转动一定时间，打桩至设计高度。</w:t>
      </w:r>
    </w:p>
    <w:p w14:paraId="1C7B0BF0">
      <w:pPr>
        <w:rPr>
          <w:color w:val="auto"/>
        </w:rPr>
      </w:pPr>
      <w:r>
        <w:rPr>
          <w:rFonts w:hint="eastAsia"/>
          <w:color w:val="auto"/>
        </w:rPr>
        <w:t>⑨松开液压夹口，锤上升，打第二根桩，依次类推至打完所有桩。</w:t>
      </w:r>
    </w:p>
    <w:p w14:paraId="3785C5D6">
      <w:pPr>
        <w:rPr>
          <w:color w:val="auto"/>
        </w:rPr>
      </w:pPr>
      <w:r>
        <w:rPr>
          <w:rFonts w:hint="eastAsia"/>
          <w:color w:val="auto"/>
        </w:rPr>
        <w:t>⑩在打钢板桩的过程中，应随即检查其平面位置是否正确，桩身是否垂直，如发现倾斜（不论是前后倾斜或左右倾斜）应立即纠正或拔起重打。</w:t>
      </w:r>
    </w:p>
    <w:p w14:paraId="22037FCE">
      <w:pPr>
        <w:rPr>
          <w:color w:val="auto"/>
        </w:rPr>
      </w:pPr>
      <w:r>
        <w:rPr>
          <w:rFonts w:hint="eastAsia"/>
          <w:color w:val="auto"/>
        </w:rPr>
        <w:t>打桩前一般应在锁口内涂以黄油、锯末等混合物，在打完钢板桩后，开始进行钢板桩围堰内的止水处理。</w:t>
      </w:r>
    </w:p>
    <w:p w14:paraId="7B4ACC3D">
      <w:pPr>
        <w:rPr>
          <w:color w:val="auto"/>
        </w:rPr>
      </w:pPr>
      <w:r>
        <w:rPr>
          <w:rFonts w:hint="eastAsia"/>
          <w:color w:val="auto"/>
        </w:rPr>
        <w:t>振动沉没钢板桩试桩数量不小于10根，试验段不少于50m。</w:t>
      </w:r>
    </w:p>
    <w:p w14:paraId="7F8A2828">
      <w:pPr>
        <w:rPr>
          <w:color w:val="auto"/>
        </w:rPr>
      </w:pPr>
      <w:r>
        <w:rPr>
          <w:rFonts w:hint="eastAsia"/>
          <w:color w:val="auto"/>
        </w:rPr>
        <w:t>3、土钉喷锚支护施工</w:t>
      </w:r>
    </w:p>
    <w:p w14:paraId="72338B3A">
      <w:pPr>
        <w:rPr>
          <w:color w:val="auto"/>
        </w:rPr>
      </w:pPr>
      <w:r>
        <w:rPr>
          <w:rFonts w:hint="eastAsia"/>
          <w:color w:val="auto"/>
        </w:rPr>
        <w:t>土钉墙分层分段施工主要流程如下：土方开挖→修坡与喷面清理→定位放线→击入土钉→焊接加强筋，挂设、固定钢筋网→喷射混凝土护面→重复上述流程，至下一层土方开挖与土钉墙施工，直至结束。</w:t>
      </w:r>
    </w:p>
    <w:p w14:paraId="3E712449">
      <w:pPr>
        <w:rPr>
          <w:color w:val="auto"/>
        </w:rPr>
      </w:pPr>
      <w:r>
        <w:rPr>
          <w:rFonts w:hint="eastAsia"/>
          <w:color w:val="auto"/>
        </w:rPr>
        <w:t>①定位放线：桩位放线，指定位置，对中，调整土钉插入角度，采用击入法施工土钉。</w:t>
      </w:r>
    </w:p>
    <w:p w14:paraId="1589D3DF">
      <w:pPr>
        <w:rPr>
          <w:color w:val="auto"/>
        </w:rPr>
      </w:pPr>
      <w:r>
        <w:rPr>
          <w:rFonts w:hint="eastAsia"/>
          <w:color w:val="auto"/>
        </w:rPr>
        <w:t>②土钉间距及插入深度允许偏差±100m，倾角允许偏差±3％。</w:t>
      </w:r>
    </w:p>
    <w:p w14:paraId="6391D333">
      <w:pPr>
        <w:rPr>
          <w:color w:val="auto"/>
        </w:rPr>
      </w:pPr>
      <w:r>
        <w:rPr>
          <w:rFonts w:hint="eastAsia"/>
          <w:color w:val="auto"/>
        </w:rPr>
        <w:t>4、旋喷锚索施工</w:t>
      </w:r>
    </w:p>
    <w:p w14:paraId="6C60266A">
      <w:pPr>
        <w:rPr>
          <w:color w:val="auto"/>
        </w:rPr>
      </w:pPr>
      <w:r>
        <w:rPr>
          <w:rFonts w:hint="eastAsia"/>
          <w:color w:val="auto"/>
        </w:rPr>
        <w:t>钻机就位→校正孔位调整角度（20和25度）→旋喷钻孔喷浆搅拌成孔→下插锚索结构一次完成至设计深度（用机械将钢绞线及特殊锚具带入）→钻杆退出钢绞线，特殊锚具自留孔底扩大头处→钢腰梁施工→养护→张拉锁定。</w:t>
      </w:r>
    </w:p>
    <w:p w14:paraId="3FAE9703">
      <w:pPr>
        <w:rPr>
          <w:color w:val="auto"/>
        </w:rPr>
      </w:pPr>
      <w:r>
        <w:rPr>
          <w:rFonts w:hint="eastAsia"/>
          <w:color w:val="auto"/>
        </w:rPr>
        <w:t>①施工旋喷锚索，其喷头大样图如下</w:t>
      </w:r>
    </w:p>
    <w:p w14:paraId="27E41426">
      <w:pPr>
        <w:pStyle w:val="65"/>
        <w:spacing w:before="163" w:after="163"/>
        <w:rPr>
          <w:color w:val="auto"/>
        </w:rPr>
      </w:pPr>
      <w:r>
        <w:rPr>
          <w:rFonts w:hint="eastAsia"/>
          <w:color w:val="auto"/>
        </w:rPr>
        <w:drawing>
          <wp:inline distT="0" distB="0" distL="0" distR="0">
            <wp:extent cx="3566160" cy="1790700"/>
            <wp:effectExtent l="0" t="0" r="0" b="0"/>
            <wp:docPr id="8" name="图片 8" descr="15935514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593551408(1)"/>
                    <pic:cNvPicPr>
                      <a:picLocks noChangeAspect="1" noChangeArrowheads="1"/>
                    </pic:cNvPicPr>
                  </pic:nvPicPr>
                  <pic:blipFill>
                    <a:blip r:embed="rId71">
                      <a:extLst>
                        <a:ext uri="{28A0092B-C50C-407E-A947-70E740481C1C}">
                          <a14:useLocalDpi xmlns:a14="http://schemas.microsoft.com/office/drawing/2010/main" val="0"/>
                        </a:ext>
                      </a:extLst>
                    </a:blip>
                    <a:srcRect l="5678" t="15250" b="16634"/>
                    <a:stretch>
                      <a:fillRect/>
                    </a:stretch>
                  </pic:blipFill>
                  <pic:spPr>
                    <a:xfrm>
                      <a:off x="0" y="0"/>
                      <a:ext cx="3566160" cy="1790700"/>
                    </a:xfrm>
                    <a:prstGeom prst="rect">
                      <a:avLst/>
                    </a:prstGeom>
                    <a:noFill/>
                    <a:ln>
                      <a:noFill/>
                    </a:ln>
                  </pic:spPr>
                </pic:pic>
              </a:graphicData>
            </a:graphic>
          </wp:inline>
        </w:drawing>
      </w:r>
    </w:p>
    <w:p w14:paraId="73E5C946">
      <w:pPr>
        <w:pStyle w:val="53"/>
        <w:rPr>
          <w:color w:val="auto"/>
        </w:rPr>
      </w:pPr>
      <w:r>
        <w:rPr>
          <w:rFonts w:hint="eastAsia"/>
          <w:color w:val="auto"/>
        </w:rPr>
        <w:t>旋喷锚头大样</w:t>
      </w:r>
    </w:p>
    <w:p w14:paraId="5167699B">
      <w:pPr>
        <w:rPr>
          <w:color w:val="auto"/>
        </w:rPr>
      </w:pPr>
      <w:r>
        <w:rPr>
          <w:rFonts w:hint="eastAsia"/>
          <w:color w:val="auto"/>
        </w:rPr>
        <w:t>②锚杆施工采用单管旋喷钻机施工</w:t>
      </w:r>
    </w:p>
    <w:p w14:paraId="074B3DCC">
      <w:pPr>
        <w:rPr>
          <w:color w:val="auto"/>
        </w:rPr>
      </w:pPr>
      <w:r>
        <w:rPr>
          <w:rFonts w:hint="eastAsia"/>
          <w:color w:val="auto"/>
        </w:rPr>
        <w:t>预应力锚索锚固体采用高压旋喷桩，高压旋喷桩钻孔前按施工图放线确定位置，做上标记；钻孔定位误差小于25mm，孔斜误差小于3°。</w:t>
      </w:r>
    </w:p>
    <w:p w14:paraId="6C8E7075">
      <w:pPr>
        <w:rPr>
          <w:color w:val="auto"/>
        </w:rPr>
      </w:pPr>
      <w:r>
        <w:rPr>
          <w:rFonts w:hint="eastAsia"/>
          <w:color w:val="auto"/>
        </w:rPr>
        <w:t>③高压旋喷桩桩径偏差不超过2cm，并严格按照设计桩长施工。</w:t>
      </w:r>
    </w:p>
    <w:p w14:paraId="2F7D1EEF">
      <w:pPr>
        <w:rPr>
          <w:color w:val="auto"/>
        </w:rPr>
      </w:pPr>
      <w:r>
        <w:rPr>
          <w:rFonts w:hint="eastAsia"/>
          <w:color w:val="auto"/>
        </w:rPr>
        <w:t>④按照设计要求制作锚杆体，保证杆体长度；注浆管与锚杆体绑扎牢固；锚索要顺直。垫板采用150X210X20钢板，锚具采用QVM系列锚具，锚具、夹具应符合《预应力筋用锚具、夹具和连接器应用技术规程》JGJ85-2010及《预应力筋用锚具、夹具和连接器》GB/T 14370-2015的有关规定。钢绞线插入定位误差不超过20mm，底部标高误差不大于20cm。</w:t>
      </w:r>
    </w:p>
    <w:p w14:paraId="6E1875FC">
      <w:pPr>
        <w:rPr>
          <w:color w:val="auto"/>
        </w:rPr>
      </w:pPr>
      <w:r>
        <w:rPr>
          <w:rFonts w:hint="eastAsia"/>
          <w:color w:val="auto"/>
        </w:rPr>
        <w:t>⑤锚索直径φ500，水平间距1.6m，有效桩长13.0～16.0m；采用普硅42.5级水泥，水泥掺入量20%，水灰比0.7:1；水泥浆应拌和均匀，随拌随用，一次拌合的水泥浆应在初凝前用完。旋喷搅拌的压力：设计要求不小于20Mpa，根据现场试验情况及企业标准，压力大于20MPa。</w:t>
      </w:r>
    </w:p>
    <w:p w14:paraId="3B734978">
      <w:pPr>
        <w:rPr>
          <w:color w:val="auto"/>
        </w:rPr>
      </w:pPr>
      <w:r>
        <w:rPr>
          <w:rFonts w:hint="eastAsia"/>
          <w:color w:val="auto"/>
        </w:rPr>
        <w:t>⑥锚杆张拉</w:t>
      </w:r>
    </w:p>
    <w:p w14:paraId="50D6636C">
      <w:pPr>
        <w:rPr>
          <w:color w:val="auto"/>
        </w:rPr>
      </w:pPr>
      <w:r>
        <w:rPr>
          <w:rFonts w:hint="eastAsia"/>
          <w:color w:val="auto"/>
        </w:rPr>
        <w:t>（1）采用穿心千斤顶进行张拉，张拉力以千斤顶油压表读数进行控制，千斤顶使用前需进行标定。</w:t>
      </w:r>
    </w:p>
    <w:p w14:paraId="4BB1167A">
      <w:pPr>
        <w:rPr>
          <w:color w:val="auto"/>
        </w:rPr>
      </w:pPr>
      <w:r>
        <w:rPr>
          <w:rFonts w:hint="eastAsia"/>
          <w:color w:val="auto"/>
        </w:rPr>
        <w:t>（2）加工异型支撑板，调整角度，使腰梁承压面在同一平面上，保证与锚杆作用力方向垂直。承压面应平整并与锚杆轴线方向垂直。</w:t>
      </w:r>
    </w:p>
    <w:p w14:paraId="63B823E7">
      <w:pPr>
        <w:rPr>
          <w:color w:val="auto"/>
        </w:rPr>
      </w:pPr>
      <w:r>
        <w:rPr>
          <w:rFonts w:hint="eastAsia"/>
          <w:color w:val="auto"/>
        </w:rPr>
        <w:t>（3）旋喷锚索的钢铰线在墙外留1m，以便张拉锁定，旋喷桩注浆强度及腰梁混凝土达到设计强度的80%后，可进行锁定。锚索张拉试验荷载为锚杆设计最大轴向拉力的110%，锚索张拉试验逐级加载进行，只有当本级荷载达到稳定后，方可进行下一级加载试验，张拉加荷分级及加荷速率按规范进行。</w:t>
      </w:r>
    </w:p>
    <w:p w14:paraId="2A46501A">
      <w:pPr>
        <w:rPr>
          <w:color w:val="auto"/>
        </w:rPr>
      </w:pPr>
      <w:r>
        <w:rPr>
          <w:rFonts w:hint="eastAsia"/>
          <w:color w:val="auto"/>
        </w:rPr>
        <w:t>（4）锚索张拉锁定。锚索张拉试验合格后即可进行锚杆张拉锁定，锚杆张拉预应力值一般为设计锚固力的75－80％，分级加载，当锚索预应力没有明显衰减时，可锁定锚杆，锚头用冷挤压法对锚盘进行固定。锁定后如有明显应力损失时，应进行补偿张拉。</w:t>
      </w:r>
    </w:p>
    <w:p w14:paraId="667BC099">
      <w:pPr>
        <w:rPr>
          <w:color w:val="auto"/>
        </w:rPr>
      </w:pPr>
      <w:r>
        <w:rPr>
          <w:rFonts w:hint="eastAsia"/>
          <w:color w:val="auto"/>
        </w:rPr>
        <w:t>5、锚索钢腰梁施工</w:t>
      </w:r>
    </w:p>
    <w:p w14:paraId="34988E8A">
      <w:pPr>
        <w:rPr>
          <w:color w:val="auto"/>
        </w:rPr>
      </w:pPr>
      <w:r>
        <w:rPr>
          <w:rFonts w:hint="eastAsia"/>
          <w:color w:val="auto"/>
        </w:rPr>
        <w:t>本工程部分预应力锚索腰梁采用28a双拼工字钢与厚250×250垫板、斜铁板、加劲板、钢托架现场焊接完成，如图8.4-3： 旋喷锚索大样图所示。</w:t>
      </w:r>
    </w:p>
    <w:p w14:paraId="5BA11F9E">
      <w:pPr>
        <w:rPr>
          <w:color w:val="auto"/>
        </w:rPr>
      </w:pPr>
      <w:r>
        <w:rPr>
          <w:rFonts w:hint="eastAsia"/>
          <w:color w:val="auto"/>
        </w:rPr>
        <w:t>①材料准备：工字钢必须具有出厂合格证及材质单，复试合格。钢板必须具有出厂合格证及材质单，复试合格。</w:t>
      </w:r>
    </w:p>
    <w:p w14:paraId="4F46E848">
      <w:pPr>
        <w:rPr>
          <w:color w:val="auto"/>
        </w:rPr>
      </w:pPr>
      <w:r>
        <w:rPr>
          <w:rFonts w:hint="eastAsia"/>
          <w:color w:val="auto"/>
        </w:rPr>
        <w:t>②下料：钢板切割各配件尺寸符合图纸设计要求。钢板边线顺直，无毛刺。</w:t>
      </w:r>
    </w:p>
    <w:p w14:paraId="6E4A03F8">
      <w:pPr>
        <w:rPr>
          <w:color w:val="auto"/>
        </w:rPr>
      </w:pPr>
      <w:r>
        <w:rPr>
          <w:rFonts w:hint="eastAsia"/>
          <w:color w:val="auto"/>
        </w:rPr>
        <w:t>③配件组装焊缝：焊缝外形应光滑、均匀、不得有漏焊、焊穿、裂纹等缺陷：并不宜产生咬肉、夹渣、气孔等缺陷。</w:t>
      </w:r>
    </w:p>
    <w:p w14:paraId="28873DED">
      <w:pPr>
        <w:rPr>
          <w:color w:val="auto"/>
        </w:rPr>
      </w:pPr>
      <w:r>
        <w:rPr>
          <w:rFonts w:hint="eastAsia"/>
          <w:color w:val="auto"/>
        </w:rPr>
        <w:t>6、钢支撑施工</w:t>
      </w:r>
    </w:p>
    <w:p w14:paraId="675F7840">
      <w:pPr>
        <w:rPr>
          <w:color w:val="auto"/>
        </w:rPr>
      </w:pPr>
      <w:r>
        <w:rPr>
          <w:rFonts w:hint="eastAsia"/>
          <w:color w:val="auto"/>
        </w:rPr>
        <w:t>土方靠近支护侧开挖到第一道钢支撑底标高下500mm处，中间部分土方作为钢管支撑的支承，开挖到支撑底标高处，施工第一道钢支撑；</w:t>
      </w:r>
    </w:p>
    <w:p w14:paraId="54951035">
      <w:pPr>
        <w:rPr>
          <w:color w:val="auto"/>
        </w:rPr>
      </w:pPr>
      <w:r>
        <w:rPr>
          <w:rFonts w:hint="eastAsia"/>
          <w:color w:val="auto"/>
        </w:rPr>
        <w:t>→土方开挖到基坑底；</w:t>
      </w:r>
    </w:p>
    <w:p w14:paraId="759B9CBD">
      <w:pPr>
        <w:rPr>
          <w:color w:val="auto"/>
        </w:rPr>
      </w:pPr>
      <w:r>
        <w:rPr>
          <w:rFonts w:hint="eastAsia"/>
          <w:color w:val="auto"/>
        </w:rPr>
        <w:t>→地下室底板、侧板、顶板施工，同步回填，直至可以拆除上述钢支撑；</w:t>
      </w:r>
    </w:p>
    <w:p w14:paraId="6DD8F68B">
      <w:pPr>
        <w:rPr>
          <w:color w:val="auto"/>
        </w:rPr>
      </w:pPr>
      <w:r>
        <w:rPr>
          <w:rFonts w:hint="eastAsia"/>
          <w:color w:val="auto"/>
        </w:rPr>
        <w:t>→地下室回填至地面，施工完成。</w:t>
      </w:r>
    </w:p>
    <w:p w14:paraId="37772450">
      <w:pPr>
        <w:pStyle w:val="65"/>
        <w:spacing w:before="163" w:after="163"/>
        <w:rPr>
          <w:color w:val="auto"/>
        </w:rPr>
      </w:pPr>
      <w:r>
        <w:rPr>
          <w:rFonts w:hint="eastAsia"/>
          <w:color w:val="auto"/>
        </w:rPr>
        <w:drawing>
          <wp:inline distT="0" distB="0" distL="0" distR="0">
            <wp:extent cx="4861560" cy="3591560"/>
            <wp:effectExtent l="0" t="0" r="0" b="8890"/>
            <wp:docPr id="9" name="图片 9" descr="1593577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593577587"/>
                    <pic:cNvPicPr>
                      <a:picLocks noChangeAspect="1" noChangeArrowheads="1"/>
                    </pic:cNvPicPr>
                  </pic:nvPicPr>
                  <pic:blipFill>
                    <a:blip r:embed="rId72" cstate="print">
                      <a:extLst>
                        <a:ext uri="{28A0092B-C50C-407E-A947-70E740481C1C}">
                          <a14:useLocalDpi xmlns:a14="http://schemas.microsoft.com/office/drawing/2010/main" val="0"/>
                        </a:ext>
                      </a:extLst>
                    </a:blip>
                    <a:srcRect b="1019"/>
                    <a:stretch>
                      <a:fillRect/>
                    </a:stretch>
                  </pic:blipFill>
                  <pic:spPr>
                    <a:xfrm>
                      <a:off x="0" y="0"/>
                      <a:ext cx="4863488" cy="3593576"/>
                    </a:xfrm>
                    <a:prstGeom prst="rect">
                      <a:avLst/>
                    </a:prstGeom>
                    <a:noFill/>
                    <a:ln>
                      <a:noFill/>
                    </a:ln>
                    <a:effectLst/>
                  </pic:spPr>
                </pic:pic>
              </a:graphicData>
            </a:graphic>
          </wp:inline>
        </w:drawing>
      </w:r>
    </w:p>
    <w:p w14:paraId="70B8E79A">
      <w:pPr>
        <w:pStyle w:val="53"/>
        <w:rPr>
          <w:color w:val="auto"/>
        </w:rPr>
      </w:pPr>
      <w:r>
        <w:rPr>
          <w:rFonts w:hint="eastAsia"/>
          <w:color w:val="auto"/>
        </w:rPr>
        <w:t>钢支撑施工工艺流程</w:t>
      </w:r>
    </w:p>
    <w:p w14:paraId="0099F749">
      <w:pPr>
        <w:rPr>
          <w:color w:val="auto"/>
        </w:rPr>
      </w:pPr>
      <w:r>
        <w:rPr>
          <w:rFonts w:hint="eastAsia"/>
          <w:color w:val="auto"/>
        </w:rPr>
        <w:t>安装方法</w:t>
      </w:r>
    </w:p>
    <w:p w14:paraId="2DB05435">
      <w:pPr>
        <w:rPr>
          <w:color w:val="auto"/>
        </w:rPr>
      </w:pPr>
      <w:r>
        <w:rPr>
          <w:rFonts w:hint="eastAsia"/>
          <w:color w:val="auto"/>
        </w:rPr>
        <w:t>支撑架设时间为：土方开挖完成（挖至钢支撑架设中心位置下50cm）并形成足够的操作平台，且坑底无积水时，要求8～16小时内完成支撑架设为宜。</w:t>
      </w:r>
    </w:p>
    <w:p w14:paraId="609B40EE">
      <w:pPr>
        <w:rPr>
          <w:color w:val="auto"/>
        </w:rPr>
      </w:pPr>
      <w:r>
        <w:rPr>
          <w:rFonts w:hint="eastAsia"/>
          <w:color w:val="auto"/>
        </w:rPr>
        <w:t>支撑架设的设置时间必须严格按设计情况掌握，土方开挖时应分段分层，按基坑开挖深度及开挖时间及时架设钢支撑。钢支撑吊装就位后，暂不松开吊钩，将钢管安装至托架上，按设计要求焊接牢固。稳固后解开起吊钢丝绳，即完成整根钢支撑的安装。所有支撑连接处，均应垫紧贴密，防止钢管支撑偏心受压。</w:t>
      </w:r>
    </w:p>
    <w:p w14:paraId="3F16E156">
      <w:pPr>
        <w:rPr>
          <w:color w:val="auto"/>
        </w:rPr>
      </w:pPr>
      <w:r>
        <w:rPr>
          <w:rFonts w:hint="eastAsia"/>
          <w:color w:val="auto"/>
        </w:rPr>
        <w:t>①支撑安装位置测量</w:t>
      </w:r>
    </w:p>
    <w:p w14:paraId="6BCF6D91">
      <w:pPr>
        <w:rPr>
          <w:color w:val="auto"/>
        </w:rPr>
      </w:pPr>
      <w:r>
        <w:rPr>
          <w:rFonts w:hint="eastAsia"/>
          <w:color w:val="auto"/>
        </w:rPr>
        <w:t>土方开挖至预埋钢板底部标高，挖深10cm以便于焊接支撑托架，土方外运清场，支撑安装放样员根据已计算出需安装的每根支撑中心标高及按冠梁顶面标高换算的垂深，测量出钢支撑安装中心。</w:t>
      </w:r>
    </w:p>
    <w:p w14:paraId="0FAB3EE7">
      <w:pPr>
        <w:rPr>
          <w:color w:val="auto"/>
        </w:rPr>
      </w:pPr>
      <w:r>
        <w:rPr>
          <w:rFonts w:hint="eastAsia"/>
          <w:color w:val="auto"/>
        </w:rPr>
        <w:t>在开挖过程中，当大概开挖出H型支撑连杆及钢支撑底标高位置时，用水准仪准确测量H型钢连杆、支撑安装底标高，焊接钢管以及型钢托架。</w:t>
      </w:r>
    </w:p>
    <w:p w14:paraId="3798D4B2">
      <w:pPr>
        <w:rPr>
          <w:color w:val="auto"/>
        </w:rPr>
      </w:pPr>
      <w:r>
        <w:rPr>
          <w:rFonts w:hint="eastAsia"/>
          <w:color w:val="auto"/>
        </w:rPr>
        <w:t>测量定位钢支撑架设水平位置，做好已架设钢围檩与钢支撑接触面的平整度，对于表面起伏较大的进行处理，保证有效接触。支撑平面保证平整，与钢腰梁连接处不能有缝隙，否则会因为受力不均影响压力计度数。</w:t>
      </w:r>
    </w:p>
    <w:p w14:paraId="7D249404">
      <w:pPr>
        <w:rPr>
          <w:color w:val="auto"/>
        </w:rPr>
      </w:pPr>
      <w:r>
        <w:rPr>
          <w:rFonts w:hint="eastAsia"/>
          <w:color w:val="auto"/>
        </w:rPr>
        <w:t>测量一定要进行签字复核工作，保证定位准确，防止错位。</w:t>
      </w:r>
    </w:p>
    <w:p w14:paraId="7F4F581B">
      <w:pPr>
        <w:rPr>
          <w:color w:val="auto"/>
        </w:rPr>
      </w:pPr>
      <w:r>
        <w:rPr>
          <w:rFonts w:hint="eastAsia"/>
          <w:color w:val="auto"/>
        </w:rPr>
        <w:t>②钢托架以及斜支座安装</w:t>
      </w:r>
    </w:p>
    <w:p w14:paraId="21F4115A">
      <w:pPr>
        <w:rPr>
          <w:color w:val="auto"/>
        </w:rPr>
      </w:pPr>
      <w:r>
        <w:rPr>
          <w:rFonts w:hint="eastAsia"/>
          <w:color w:val="auto"/>
        </w:rPr>
        <w:t>（1）本工程围护结构为钢板桩，托架满焊在钢板桩上。</w:t>
      </w:r>
    </w:p>
    <w:p w14:paraId="2B4A61D1">
      <w:pPr>
        <w:rPr>
          <w:color w:val="auto"/>
        </w:rPr>
      </w:pPr>
      <w:r>
        <w:rPr>
          <w:rFonts w:hint="eastAsia"/>
          <w:color w:val="auto"/>
        </w:rPr>
        <w:t>（2）钢围檩安放于钢托架上，与钢板桩满焊连接。钢围檩安装就位注意：</w:t>
      </w:r>
    </w:p>
    <w:p w14:paraId="5F976AA3">
      <w:pPr>
        <w:rPr>
          <w:color w:val="auto"/>
        </w:rPr>
      </w:pPr>
      <w:r>
        <w:rPr>
          <w:rFonts w:hint="eastAsia"/>
          <w:color w:val="auto"/>
        </w:rPr>
        <w:t>1）起吊时做到两点起吊，并系上防晃绳，安全平稳精确吊装。</w:t>
      </w:r>
    </w:p>
    <w:p w14:paraId="4EE2D5A4">
      <w:pPr>
        <w:rPr>
          <w:color w:val="auto"/>
        </w:rPr>
      </w:pPr>
      <w:r>
        <w:rPr>
          <w:rFonts w:hint="eastAsia"/>
          <w:color w:val="auto"/>
        </w:rPr>
        <w:t>2）将钢围檩与钢板桩单面满焊焊接固定。</w:t>
      </w:r>
    </w:p>
    <w:p w14:paraId="6F2ADA07">
      <w:pPr>
        <w:pStyle w:val="65"/>
        <w:spacing w:before="163" w:after="163"/>
        <w:rPr>
          <w:color w:val="auto"/>
        </w:rPr>
      </w:pPr>
      <w:r>
        <w:rPr>
          <w:color w:val="auto"/>
        </w:rPr>
        <w:drawing>
          <wp:inline distT="0" distB="0" distL="0" distR="0">
            <wp:extent cx="3618230" cy="2125345"/>
            <wp:effectExtent l="0" t="0" r="1270" b="8255"/>
            <wp:docPr id="10"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56"/>
                    <pic:cNvPicPr>
                      <a:picLocks noChangeAspect="1" noChangeArrowheads="1"/>
                    </pic:cNvPicPr>
                  </pic:nvPicPr>
                  <pic:blipFill>
                    <a:blip r:embed="rId73">
                      <a:extLst>
                        <a:ext uri="{28A0092B-C50C-407E-A947-70E740481C1C}">
                          <a14:useLocalDpi xmlns:a14="http://schemas.microsoft.com/office/drawing/2010/main" val="0"/>
                        </a:ext>
                      </a:extLst>
                    </a:blip>
                    <a:srcRect t="59224" r="19560" b="3903"/>
                    <a:stretch>
                      <a:fillRect/>
                    </a:stretch>
                  </pic:blipFill>
                  <pic:spPr>
                    <a:xfrm>
                      <a:off x="0" y="0"/>
                      <a:ext cx="3647124" cy="2142686"/>
                    </a:xfrm>
                    <a:prstGeom prst="rect">
                      <a:avLst/>
                    </a:prstGeom>
                    <a:noFill/>
                    <a:ln>
                      <a:noFill/>
                    </a:ln>
                    <a:effectLst/>
                  </pic:spPr>
                </pic:pic>
              </a:graphicData>
            </a:graphic>
          </wp:inline>
        </w:drawing>
      </w:r>
    </w:p>
    <w:p w14:paraId="59FB3C7F">
      <w:pPr>
        <w:pStyle w:val="53"/>
        <w:rPr>
          <w:color w:val="auto"/>
          <w:lang w:bidi="ar"/>
        </w:rPr>
      </w:pPr>
      <w:r>
        <w:rPr>
          <w:rFonts w:hint="eastAsia"/>
          <w:color w:val="auto"/>
          <w:lang w:bidi="ar"/>
        </w:rPr>
        <w:t>牛腿施工</w:t>
      </w:r>
    </w:p>
    <w:p w14:paraId="164CBB04">
      <w:pPr>
        <w:rPr>
          <w:color w:val="auto"/>
        </w:rPr>
      </w:pPr>
      <w:r>
        <w:rPr>
          <w:rFonts w:hint="eastAsia"/>
          <w:color w:val="auto"/>
        </w:rPr>
        <w:t>③钢支撑安装</w:t>
      </w:r>
    </w:p>
    <w:p w14:paraId="18AF4AFE">
      <w:pPr>
        <w:rPr>
          <w:color w:val="auto"/>
        </w:rPr>
      </w:pPr>
      <w:r>
        <w:rPr>
          <w:rFonts w:hint="eastAsia"/>
          <w:color w:val="auto"/>
        </w:rPr>
        <w:t>（1）拼装钢支撑组拼一般在靠近基坑较为广阔的区域进行，无条件的情况下可下到坑内进行。在地面上将钢支撑预拼到设计长度，每根钢支撑总长度比围护结构净距小10～30cm。坑内拼装时一般事先拼装约2/3长度进行下放，坑内进行区域节拼装。钢支撑两端中心线误差控制在20mm内。</w:t>
      </w:r>
    </w:p>
    <w:p w14:paraId="17DCB124">
      <w:pPr>
        <w:pStyle w:val="65"/>
        <w:spacing w:before="163" w:after="163"/>
        <w:rPr>
          <w:color w:val="auto"/>
        </w:rPr>
      </w:pPr>
      <w:r>
        <w:rPr>
          <w:color w:val="auto"/>
        </w:rPr>
        <w:drawing>
          <wp:inline distT="0" distB="0" distL="0" distR="0">
            <wp:extent cx="1586230" cy="1836420"/>
            <wp:effectExtent l="0" t="0" r="0" b="0"/>
            <wp:docPr id="11" name="图片 11" descr="DSC00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DSC00184"/>
                    <pic:cNvPicPr>
                      <a:picLocks noChangeAspect="1" noChangeArrowheads="1"/>
                    </pic:cNvPicPr>
                  </pic:nvPicPr>
                  <pic:blipFill>
                    <a:blip r:embed="rId74" cstate="print">
                      <a:extLst>
                        <a:ext uri="{28A0092B-C50C-407E-A947-70E740481C1C}">
                          <a14:useLocalDpi xmlns:a14="http://schemas.microsoft.com/office/drawing/2010/main" val="0"/>
                        </a:ext>
                      </a:extLst>
                    </a:blip>
                    <a:srcRect r="35077"/>
                    <a:stretch>
                      <a:fillRect/>
                    </a:stretch>
                  </pic:blipFill>
                  <pic:spPr>
                    <a:xfrm>
                      <a:off x="0" y="0"/>
                      <a:ext cx="1601204" cy="1853407"/>
                    </a:xfrm>
                    <a:prstGeom prst="rect">
                      <a:avLst/>
                    </a:prstGeom>
                    <a:noFill/>
                    <a:ln>
                      <a:noFill/>
                    </a:ln>
                    <a:effectLst/>
                  </pic:spPr>
                </pic:pic>
              </a:graphicData>
            </a:graphic>
          </wp:inline>
        </w:drawing>
      </w:r>
    </w:p>
    <w:p w14:paraId="088474C5">
      <w:pPr>
        <w:pStyle w:val="53"/>
        <w:rPr>
          <w:color w:val="auto"/>
        </w:rPr>
      </w:pPr>
      <w:r>
        <w:rPr>
          <w:rFonts w:hint="eastAsia"/>
          <w:color w:val="auto"/>
        </w:rPr>
        <w:t>钢支撑地面拼装</w:t>
      </w:r>
    </w:p>
    <w:p w14:paraId="5C805001">
      <w:pPr>
        <w:rPr>
          <w:color w:val="auto"/>
        </w:rPr>
      </w:pPr>
      <w:r>
        <w:rPr>
          <w:rFonts w:hint="eastAsia"/>
          <w:color w:val="auto"/>
        </w:rPr>
        <w:t>（2）当支撑工作面出来后准确丈量实际距离，及时调整已拼装好的支撑长度，经复验无误后再用吊车将支撑整体吊装至基坑内，整体起吊摆放在钢支撑托上，钢支撑起吊后两端由人工牵引，以维持钢支撑的基本稳定（见图8.5-8）。</w:t>
      </w:r>
    </w:p>
    <w:p w14:paraId="418A172C">
      <w:pPr>
        <w:rPr>
          <w:color w:val="auto"/>
        </w:rPr>
      </w:pPr>
      <w:r>
        <w:rPr>
          <w:rFonts w:hint="eastAsia"/>
          <w:color w:val="auto"/>
        </w:rPr>
        <w:t>考虑到大部分钢支撑长度超过15m，单根重量超过4T，可将该部分支撑分段吊装至基坑内拼装，用吊车或者挖机配合拼装。</w:t>
      </w:r>
    </w:p>
    <w:p w14:paraId="69A7C088">
      <w:pPr>
        <w:rPr>
          <w:color w:val="auto"/>
        </w:rPr>
      </w:pPr>
      <w:r>
        <w:rPr>
          <w:rFonts w:hint="eastAsia"/>
          <w:color w:val="auto"/>
        </w:rPr>
        <w:t>（3）钢支撑架设后，及时加焊H400×400×13×21mm的H型钢连接杆。</w:t>
      </w:r>
    </w:p>
    <w:p w14:paraId="63922188">
      <w:pPr>
        <w:rPr>
          <w:color w:val="auto"/>
        </w:rPr>
      </w:pPr>
      <w:r>
        <w:rPr>
          <w:rFonts w:hint="eastAsia"/>
          <w:color w:val="auto"/>
        </w:rPr>
        <w:t>（4）钢支撑安装流程根据土方开挖区域顺序进行组装，支撑十字交叉连接处应完全垂直，不能出现偏位现象使支撑受力不均匀，后续支撑依次按这样的顺序连着拼装。</w:t>
      </w:r>
    </w:p>
    <w:p w14:paraId="781D4F78">
      <w:pPr>
        <w:rPr>
          <w:color w:val="auto"/>
        </w:rPr>
      </w:pPr>
      <w:r>
        <w:rPr>
          <w:rFonts w:hint="eastAsia"/>
          <w:color w:val="auto"/>
        </w:rPr>
        <w:t>④由于现场水位较高，在安装支撑时必要时需进行降水，型钢支撑托架焊接时四周会有水渗漏，从而造成施工困难及对焊接质量的影响。故在焊接托架时需架设抽水泵，确保能正常施工从而保证焊接质量。</w:t>
      </w:r>
    </w:p>
    <w:p w14:paraId="177EB278">
      <w:pPr>
        <w:rPr>
          <w:color w:val="auto"/>
        </w:rPr>
      </w:pPr>
      <w:r>
        <w:rPr>
          <w:rFonts w:hint="eastAsia"/>
          <w:color w:val="auto"/>
        </w:rPr>
        <w:t>7、基坑降水</w:t>
      </w:r>
    </w:p>
    <w:p w14:paraId="72917371">
      <w:pPr>
        <w:rPr>
          <w:color w:val="auto"/>
        </w:rPr>
      </w:pPr>
      <w:r>
        <w:rPr>
          <w:rFonts w:hint="eastAsia"/>
          <w:color w:val="auto"/>
        </w:rPr>
        <w:t>①成井工艺流程</w:t>
      </w:r>
    </w:p>
    <w:p w14:paraId="5106ABB0">
      <w:pPr>
        <w:rPr>
          <w:color w:val="auto"/>
        </w:rPr>
      </w:pPr>
      <w:r>
        <w:rPr>
          <w:rFonts w:hint="eastAsia"/>
          <w:color w:val="auto"/>
        </w:rPr>
        <w:t>准备工作→钻机进场→定位安装→开孔→下护口管→钻进→终孔后冲孔换浆→下井管→稀释泥浆→孔壁回填→洗井→下泵试抽。</w:t>
      </w:r>
    </w:p>
    <w:p w14:paraId="07F55FAC">
      <w:pPr>
        <w:rPr>
          <w:color w:val="auto"/>
        </w:rPr>
      </w:pPr>
      <w:r>
        <w:rPr>
          <w:rFonts w:hint="eastAsia"/>
          <w:color w:val="auto"/>
        </w:rPr>
        <w:t>②成井设备选型</w:t>
      </w:r>
    </w:p>
    <w:p w14:paraId="6B641011">
      <w:pPr>
        <w:rPr>
          <w:color w:val="auto"/>
        </w:rPr>
      </w:pPr>
      <w:r>
        <w:rPr>
          <w:rFonts w:hint="eastAsia"/>
          <w:color w:val="auto"/>
        </w:rPr>
        <w:t>成孔采动力头钻机，泥浆护壁回转钻进成孔，钻头选用带保径圈的三翼钻头，钻头直径按设计及规范要求选用，根据施工经验，使用这些钻头施工稳定性好，能确保成孔质量，能有效控制成孔中的缩径现象，为确保工程质量奠定基础。</w:t>
      </w:r>
    </w:p>
    <w:p w14:paraId="78C93A0F">
      <w:pPr>
        <w:rPr>
          <w:color w:val="auto"/>
        </w:rPr>
      </w:pPr>
      <w:r>
        <w:rPr>
          <w:rFonts w:hint="eastAsia"/>
          <w:color w:val="auto"/>
        </w:rPr>
        <w:t>③成井施工技术要求</w:t>
      </w:r>
    </w:p>
    <w:p w14:paraId="5AC54237">
      <w:pPr>
        <w:pStyle w:val="65"/>
        <w:spacing w:before="163" w:after="163"/>
        <w:rPr>
          <w:color w:val="auto"/>
        </w:rPr>
      </w:pPr>
      <w:r>
        <w:rPr>
          <w:color w:val="auto"/>
        </w:rPr>
        <w:drawing>
          <wp:inline distT="0" distB="0" distL="0" distR="0">
            <wp:extent cx="3278505" cy="4602480"/>
            <wp:effectExtent l="0" t="0" r="0" b="7620"/>
            <wp:docPr id="12" name="图片 12" descr="成井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成井流程"/>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3279849" cy="4603978"/>
                    </a:xfrm>
                    <a:prstGeom prst="rect">
                      <a:avLst/>
                    </a:prstGeom>
                    <a:noFill/>
                    <a:ln>
                      <a:noFill/>
                    </a:ln>
                    <a:effectLst/>
                  </pic:spPr>
                </pic:pic>
              </a:graphicData>
            </a:graphic>
          </wp:inline>
        </w:drawing>
      </w:r>
    </w:p>
    <w:p w14:paraId="5C8A200E">
      <w:pPr>
        <w:pStyle w:val="53"/>
        <w:rPr>
          <w:color w:val="auto"/>
        </w:rPr>
      </w:pPr>
      <w:r>
        <w:rPr>
          <w:rFonts w:hint="eastAsia"/>
          <w:color w:val="auto"/>
        </w:rPr>
        <w:t>施工工艺流程</w:t>
      </w:r>
    </w:p>
    <w:p w14:paraId="39FC9E64">
      <w:pPr>
        <w:rPr>
          <w:color w:val="auto"/>
        </w:rPr>
      </w:pPr>
      <w:r>
        <w:rPr>
          <w:rFonts w:hint="eastAsia"/>
          <w:color w:val="auto"/>
        </w:rPr>
        <w:t>（1）准备工作</w:t>
      </w:r>
    </w:p>
    <w:p w14:paraId="2B552BFC">
      <w:pPr>
        <w:rPr>
          <w:color w:val="auto"/>
        </w:rPr>
      </w:pPr>
      <w:r>
        <w:rPr>
          <w:rFonts w:hint="eastAsia"/>
          <w:color w:val="auto"/>
        </w:rPr>
        <w:t>根据施工方案，落实材料和人员，合理安排人财物，与甲方及总包单位保持密切协作。</w:t>
      </w:r>
    </w:p>
    <w:p w14:paraId="7D852B39">
      <w:pPr>
        <w:rPr>
          <w:color w:val="auto"/>
        </w:rPr>
      </w:pPr>
      <w:r>
        <w:rPr>
          <w:rFonts w:hint="eastAsia"/>
          <w:color w:val="auto"/>
        </w:rPr>
        <w:t>（2）材料到位</w:t>
      </w:r>
    </w:p>
    <w:p w14:paraId="78D83140">
      <w:pPr>
        <w:rPr>
          <w:color w:val="auto"/>
        </w:rPr>
      </w:pPr>
      <w:r>
        <w:rPr>
          <w:rFonts w:hint="eastAsia"/>
          <w:color w:val="auto"/>
        </w:rPr>
        <w:t>专人负责进料，工程师核定，确保井壁管、过滤管、填砂、粘土等材料的质量。材料不到位，质量不符合要求不能开钻。</w:t>
      </w:r>
    </w:p>
    <w:p w14:paraId="18E654B8">
      <w:pPr>
        <w:rPr>
          <w:color w:val="auto"/>
        </w:rPr>
      </w:pPr>
      <w:r>
        <w:rPr>
          <w:rFonts w:hint="eastAsia"/>
          <w:color w:val="auto"/>
        </w:rPr>
        <w:t>（3）进出场、定位、埋设护孔管</w:t>
      </w:r>
    </w:p>
    <w:p w14:paraId="574CE30B">
      <w:pPr>
        <w:rPr>
          <w:color w:val="auto"/>
        </w:rPr>
      </w:pPr>
      <w:r>
        <w:rPr>
          <w:rFonts w:hint="eastAsia"/>
          <w:color w:val="auto"/>
        </w:rPr>
        <w:t>由甲方提供“三通一平”，钻机进场。钻井井位确定后应由甲方签字认可，基础牢固，应放在硬粘土或碎石道渣上。钻机安放稳固、水平、护孔管中心、磨盘中心、大钩应成一垂线。埋设护孔管要求垂直，并打入原状土中10-20cm，外围用粘土填实夯实，井管、砂料到位后才能开钻，钻孔孔斜不超过1％（对转盘采用水平尺校平），要求整个钻孔孔壁圆整光滑，钻进时不允许采用有弯曲的钻杆。</w:t>
      </w:r>
    </w:p>
    <w:p w14:paraId="3BAF12C9">
      <w:pPr>
        <w:rPr>
          <w:color w:val="auto"/>
        </w:rPr>
      </w:pPr>
      <w:r>
        <w:rPr>
          <w:rFonts w:hint="eastAsia"/>
          <w:color w:val="auto"/>
        </w:rPr>
        <w:t>（4）钻进清孔</w:t>
      </w:r>
    </w:p>
    <w:p w14:paraId="4670712D">
      <w:pPr>
        <w:rPr>
          <w:color w:val="auto"/>
        </w:rPr>
      </w:pPr>
      <w:r>
        <w:rPr>
          <w:rFonts w:hint="eastAsia"/>
          <w:color w:val="auto"/>
        </w:rPr>
        <w:t>钻进中保持泥浆比重在1.10～1.15，尽量采用地层自然造浆，整个钻进过程中要求大钩吊紧后徐徐给进（始终处于减压钻进），避免钻具产生一次弯曲，特别是开孔口不能让机上钻杆和水接头产生大幅摆动。每钻进一根钻杆应重复扫孔一次，并清理孔内泥块后再接新钻杆，终孔后应彻底清孔，直到返回泥浆内不含泥块，返出的泥浆含砂量&lt;12%后提钻。</w:t>
      </w:r>
    </w:p>
    <w:p w14:paraId="62B2A21D">
      <w:pPr>
        <w:rPr>
          <w:color w:val="auto"/>
        </w:rPr>
      </w:pPr>
      <w:r>
        <w:rPr>
          <w:rFonts w:hint="eastAsia"/>
          <w:color w:val="auto"/>
        </w:rPr>
        <w:t>（5）下井管及滤管</w:t>
      </w:r>
    </w:p>
    <w:p w14:paraId="7A021969">
      <w:pPr>
        <w:rPr>
          <w:color w:val="auto"/>
        </w:rPr>
      </w:pPr>
      <w:r>
        <w:rPr>
          <w:rFonts w:hint="eastAsia"/>
          <w:color w:val="auto"/>
        </w:rPr>
        <w:t>按设计井深事先将井管排列、组合，下管时所有深井的底部按标高严格控制，并且保持井口标高一致。井管应平稳入孔，每节井管的两埠要找平，其下端有45度坡角，焊接时二节井管应从方向找直，并对称焊接，确保焊接垂直，完整无隙，保证焊接强度，以免脱落。为了保证井管不靠在井壁上和保证填砂厚度，在滤水管上下部各加一组扶正器，保证环状填砂间隙厚度大于150mm，过滤器应刷洗干净。桥式过滤器缝隙（约1.5～2.0mm）均匀，圆孔过滤器孔径约10-15mm，外包一层60目滤网。下管要准确到位，自然落下，稍转动落到位，不可强力压下，以免损坏过滤器结构。</w:t>
      </w:r>
    </w:p>
    <w:p w14:paraId="3D95BA0B">
      <w:pPr>
        <w:rPr>
          <w:color w:val="auto"/>
        </w:rPr>
      </w:pPr>
      <w:r>
        <w:rPr>
          <w:rFonts w:hint="eastAsia"/>
          <w:color w:val="auto"/>
        </w:rPr>
        <w:t>（6）填砂</w:t>
      </w:r>
    </w:p>
    <w:p w14:paraId="340F1D3A">
      <w:pPr>
        <w:rPr>
          <w:color w:val="auto"/>
        </w:rPr>
      </w:pPr>
      <w:r>
        <w:rPr>
          <w:rFonts w:hint="eastAsia"/>
          <w:color w:val="auto"/>
        </w:rPr>
        <w:t>将填砂（中～粗砂）沿井壁四周均匀徐徐填入，并随填随测填砂顶面的高度，不得超高。水平向填砂厚度不小于150mm，垂向填砂高度严格按设计图纸进行。</w:t>
      </w:r>
    </w:p>
    <w:p w14:paraId="42E0FCC2">
      <w:pPr>
        <w:rPr>
          <w:color w:val="auto"/>
        </w:rPr>
      </w:pPr>
      <w:r>
        <w:rPr>
          <w:rFonts w:hint="eastAsia"/>
          <w:color w:val="auto"/>
        </w:rPr>
        <w:t>（7）洗井</w:t>
      </w:r>
    </w:p>
    <w:p w14:paraId="4C4D6B47">
      <w:pPr>
        <w:rPr>
          <w:color w:val="auto"/>
        </w:rPr>
      </w:pPr>
      <w:r>
        <w:rPr>
          <w:rFonts w:hint="eastAsia"/>
          <w:color w:val="auto"/>
        </w:rPr>
        <w:t>洗井是成井工艺中重要的一道工序。一口井能否发挥作用，取决于洗井的质量。在滤管四周填碎石后立即进行洗井，清除停留在孔内和透水层中的泥浆与孔壁的泥浆。疏通透水层，并在井周围形成良好的反滤层。采用泥浆泵冲清水的办法洗井，以便破坏孔壁泥皮，并把附近土层内遗留下来的泥浆吸出。洗井前后两次抽水涌水量相差小于15%，且洗井后井内沉渣不上升或基本不上升。洗井完毕后，可以下泵试抽，试抽成功，代表该井成井完毕，可以投入使用。</w:t>
      </w:r>
    </w:p>
    <w:p w14:paraId="51196399">
      <w:pPr>
        <w:rPr>
          <w:color w:val="auto"/>
        </w:rPr>
      </w:pPr>
      <w:r>
        <w:rPr>
          <w:rFonts w:hint="eastAsia"/>
          <w:color w:val="auto"/>
        </w:rPr>
        <w:t>（8）安装潜水泵及试抽：在安装水泵前应测量井深和井底沉淀物厚度，以及洗井等符合要求后用绳将潜水泵吊入井管底部，潜水电机、电缆和接头应有可靠绝缘，并配置保护开关控制。安装完毕应进行单井试验性抽水，以确保单井出水量的降深，并检查降水设备是否正常，满足要求后转入正常工作。</w:t>
      </w:r>
    </w:p>
    <w:p w14:paraId="560ED87F">
      <w:pPr>
        <w:rPr>
          <w:color w:val="auto"/>
        </w:rPr>
      </w:pPr>
      <w:r>
        <w:rPr>
          <w:rFonts w:hint="eastAsia"/>
          <w:color w:val="auto"/>
        </w:rPr>
        <w:t>（9）降水井施工质量及技术要求：严格按照有关规范及设计图纸进行施工，钻机安装要调正水平，保持钻孔垂直，以保证井管能顺利下入预定深度；下入井管时不能转动或上下串动，防止滤网破损，导致泥沙涌入降水井。井管外填滤料为瓜米石，应均匀下入，要充填密实；洗井要充分及时，一般每孔2台班左右；下入水泵时应用钢绳或铁丝拴牢，水管口应扎稳，水泵安装好后应包扎井口，防止异物掉入井内。</w:t>
      </w:r>
    </w:p>
    <w:p w14:paraId="129459E7">
      <w:pPr>
        <w:rPr>
          <w:color w:val="auto"/>
        </w:rPr>
      </w:pPr>
      <w:r>
        <w:rPr>
          <w:rFonts w:hint="eastAsia"/>
          <w:color w:val="auto"/>
        </w:rPr>
        <w:t>（10）试抽水</w:t>
      </w:r>
    </w:p>
    <w:p w14:paraId="6049BD9F">
      <w:pPr>
        <w:rPr>
          <w:color w:val="auto"/>
        </w:rPr>
      </w:pPr>
      <w:r>
        <w:rPr>
          <w:rFonts w:hint="eastAsia"/>
          <w:color w:val="auto"/>
        </w:rPr>
        <w:t>降水井：安装泵体要稳，连接好排水管及电源线路进行试抽水，测定井内水位及观测孔水位变化及流量。</w:t>
      </w:r>
    </w:p>
    <w:p w14:paraId="07FC5A47">
      <w:pPr>
        <w:rPr>
          <w:color w:val="auto"/>
        </w:rPr>
      </w:pPr>
      <w:r>
        <w:rPr>
          <w:rFonts w:hint="eastAsia"/>
          <w:color w:val="auto"/>
        </w:rPr>
        <w:t>（11）开始抽水后，抽出的水排入集水管，经沉淀池沉淀后进入现场临时排水管系统，排入指定的市政管线。</w:t>
      </w:r>
    </w:p>
    <w:p w14:paraId="771FFD47">
      <w:pPr>
        <w:rPr>
          <w:color w:val="auto"/>
        </w:rPr>
      </w:pPr>
      <w:r>
        <w:rPr>
          <w:rFonts w:hint="eastAsia"/>
          <w:color w:val="auto"/>
        </w:rPr>
        <w:t>（12）抽水时应做好抽水记录。每次在进行降水之前，要全面检查水管、水泵以及电缆质量，一旦有什么问题要及时进行更换和休整。在更换新水泵前先清洗滤井，冲除沉渣，检查各设备合乎要求后，才进行抽水。</w:t>
      </w:r>
    </w:p>
    <w:p w14:paraId="2144826F">
      <w:pPr>
        <w:pStyle w:val="5"/>
        <w:rPr>
          <w:color w:val="auto"/>
        </w:rPr>
      </w:pPr>
      <w:bookmarkStart w:id="160" w:name="_Toc6016"/>
      <w:r>
        <w:rPr>
          <w:rFonts w:hint="eastAsia"/>
          <w:color w:val="auto"/>
        </w:rPr>
        <w:t>土石方工程</w:t>
      </w:r>
      <w:bookmarkEnd w:id="160"/>
    </w:p>
    <w:p w14:paraId="5C4C96B1">
      <w:pPr>
        <w:pStyle w:val="6"/>
        <w:ind w:firstLine="480"/>
        <w:rPr>
          <w:color w:val="auto"/>
        </w:rPr>
      </w:pPr>
      <w:r>
        <w:rPr>
          <w:rFonts w:hint="eastAsia"/>
          <w:color w:val="auto"/>
        </w:rPr>
        <w:t>土石方概况</w:t>
      </w:r>
    </w:p>
    <w:p w14:paraId="013DF140">
      <w:pPr>
        <w:rPr>
          <w:color w:val="auto"/>
        </w:rPr>
      </w:pPr>
      <w:r>
        <w:rPr>
          <w:rFonts w:hint="eastAsia"/>
          <w:color w:val="auto"/>
        </w:rPr>
        <w:t>本工程所有进场施工机械设备由项目部下设的设备材料部统一调配，同时作好机械保养、调试、配件供应的工作计划。所有施工机械设备将按计划及时分批调配进场，保证本工程的顺利施工。进场前作出详细机械设备运输计划、时间表和责任人，保证机械按时进场，机械进场后及时进行调试或保养，保证机械正常使用。根据图纸数据本项目基坑开挖面积为28800m2，开挖总体深度平均为3.8米，则土方开挖总按110000m3考虑。按36天工期的施工进度计划，计划平均每天出土110000/36=3100m³左右（此数值为绝对值 未计入土的可松性系数0.8）。</w:t>
      </w:r>
    </w:p>
    <w:p w14:paraId="405CDBC6">
      <w:pPr>
        <w:pStyle w:val="6"/>
        <w:ind w:firstLine="480"/>
        <w:rPr>
          <w:color w:val="auto"/>
        </w:rPr>
      </w:pPr>
      <w:r>
        <w:rPr>
          <w:rFonts w:hint="eastAsia"/>
          <w:color w:val="auto"/>
        </w:rPr>
        <w:t>总体施工流程</w:t>
      </w:r>
    </w:p>
    <w:p w14:paraId="45680542">
      <w:pPr>
        <w:rPr>
          <w:color w:val="auto"/>
        </w:rPr>
      </w:pPr>
      <w:r>
        <w:rPr>
          <w:rFonts w:hint="eastAsia"/>
          <w:color w:val="auto"/>
        </w:rPr>
        <w:t>土方大致分为三个区域进行施工，其中北楼区域为A区，南楼区域为C</w:t>
      </w:r>
      <w:r>
        <w:rPr>
          <w:color w:val="auto"/>
        </w:rPr>
        <w:t xml:space="preserve"> 区</w:t>
      </w:r>
      <w:r>
        <w:rPr>
          <w:rFonts w:hint="eastAsia"/>
          <w:color w:val="auto"/>
        </w:rPr>
        <w:t>，</w:t>
      </w:r>
      <w:r>
        <w:rPr>
          <w:color w:val="auto"/>
        </w:rPr>
        <w:t>综合服务中心及会议中心为B区</w:t>
      </w:r>
      <w:r>
        <w:rPr>
          <w:rFonts w:hint="eastAsia"/>
          <w:color w:val="auto"/>
        </w:rPr>
        <w:t>，</w:t>
      </w:r>
      <w:r>
        <w:rPr>
          <w:color w:val="auto"/>
        </w:rPr>
        <w:t>根据项目策划</w:t>
      </w:r>
      <w:r>
        <w:rPr>
          <w:rFonts w:hint="eastAsia"/>
          <w:color w:val="auto"/>
        </w:rPr>
        <w:t>，</w:t>
      </w:r>
      <w:r>
        <w:rPr>
          <w:color w:val="auto"/>
        </w:rPr>
        <w:t>结合现场地下室施工阶段无环形道路</w:t>
      </w:r>
      <w:r>
        <w:rPr>
          <w:rFonts w:hint="eastAsia"/>
          <w:color w:val="auto"/>
        </w:rPr>
        <w:t>，</w:t>
      </w:r>
      <w:r>
        <w:rPr>
          <w:color w:val="auto"/>
        </w:rPr>
        <w:t>B区最后进行开挖及施工</w:t>
      </w:r>
      <w:r>
        <w:rPr>
          <w:rFonts w:hint="eastAsia"/>
          <w:color w:val="auto"/>
        </w:rPr>
        <w:t>。</w:t>
      </w:r>
    </w:p>
    <w:p w14:paraId="429EA179">
      <w:pPr>
        <w:pStyle w:val="6"/>
        <w:ind w:firstLine="480"/>
        <w:rPr>
          <w:color w:val="auto"/>
        </w:rPr>
      </w:pPr>
      <w:r>
        <w:rPr>
          <w:rFonts w:hint="eastAsia"/>
          <w:color w:val="auto"/>
        </w:rPr>
        <w:t>土方开挖原则</w:t>
      </w:r>
    </w:p>
    <w:p w14:paraId="5AA57965">
      <w:pPr>
        <w:rPr>
          <w:color w:val="auto"/>
        </w:rPr>
      </w:pPr>
      <w:r>
        <w:rPr>
          <w:rFonts w:hint="eastAsia"/>
          <w:color w:val="auto"/>
        </w:rPr>
        <w:t>1、土方开挖前，应充分了解周边各有关道路、管线等设施的保护要求，实际开挖过程中，应充分重视基坑监测数据，并及时根据监测数据调整施工流程或方案，进行信息化施工。</w:t>
      </w:r>
    </w:p>
    <w:p w14:paraId="192EFAC0">
      <w:pPr>
        <w:rPr>
          <w:color w:val="auto"/>
        </w:rPr>
      </w:pPr>
      <w:r>
        <w:rPr>
          <w:rFonts w:hint="eastAsia"/>
          <w:color w:val="auto"/>
        </w:rPr>
        <w:t>2、基坑开挖严格按照“时空效应”的理论，分段、分层、分块、对称、平衡开挖施工，并遵循“开槽支撑、随撑随挖、分层开挖、严禁超挖”的原则。</w:t>
      </w:r>
    </w:p>
    <w:p w14:paraId="3A56502C">
      <w:pPr>
        <w:rPr>
          <w:color w:val="auto"/>
        </w:rPr>
      </w:pPr>
      <w:r>
        <w:rPr>
          <w:rFonts w:hint="eastAsia"/>
          <w:color w:val="auto"/>
        </w:rPr>
        <w:t>3、土方开挖分段长度不大于20m，基坑内部临时边坡应尽量放缓，坡比不大于1：3，且土方开挖过程中挖土高差对一般土层不得大于2m、对软弱土层不得大于1m，严禁超深、超长开挖。</w:t>
      </w:r>
    </w:p>
    <w:p w14:paraId="1C4E7936">
      <w:pPr>
        <w:rPr>
          <w:color w:val="auto"/>
        </w:rPr>
      </w:pPr>
      <w:r>
        <w:rPr>
          <w:rFonts w:hint="eastAsia"/>
          <w:color w:val="auto"/>
        </w:rPr>
        <w:t>4、土方开挖必须在压顶圈梁、支护桩强度、支撑强度达到设计强度要求后方可进行。</w:t>
      </w:r>
    </w:p>
    <w:p w14:paraId="098CBC33">
      <w:pPr>
        <w:rPr>
          <w:color w:val="auto"/>
        </w:rPr>
      </w:pPr>
      <w:r>
        <w:rPr>
          <w:rFonts w:hint="eastAsia"/>
          <w:color w:val="auto"/>
        </w:rPr>
        <w:t>5、严禁挖土机械碰撞支撑、钢立柱等结构，应注意对支护体的保护。</w:t>
      </w:r>
    </w:p>
    <w:p w14:paraId="771CB11D">
      <w:pPr>
        <w:rPr>
          <w:color w:val="auto"/>
        </w:rPr>
      </w:pPr>
      <w:r>
        <w:rPr>
          <w:rFonts w:hint="eastAsia"/>
          <w:color w:val="auto"/>
        </w:rPr>
        <w:t>6、开挖时应保留200mm厚原状土层，待施工承台梁前人工挖至基底设计标高，施工中以不扰动原状土为原则。基坑开挖结束后，应尽快浇筑砼垫层，并应尽快施工地下室承台及地板，不得暴露过久，以免基底土体回弹引起建筑物附加沉降。</w:t>
      </w:r>
    </w:p>
    <w:p w14:paraId="22C39568">
      <w:pPr>
        <w:rPr>
          <w:color w:val="auto"/>
        </w:rPr>
      </w:pPr>
      <w:r>
        <w:rPr>
          <w:rFonts w:hint="eastAsia"/>
          <w:color w:val="auto"/>
        </w:rPr>
        <w:t>7、基坑周边严禁堆土，严禁超载。</w:t>
      </w:r>
    </w:p>
    <w:p w14:paraId="4447719A">
      <w:pPr>
        <w:rPr>
          <w:color w:val="auto"/>
        </w:rPr>
      </w:pPr>
      <w:r>
        <w:rPr>
          <w:rFonts w:hint="eastAsia"/>
          <w:color w:val="auto"/>
        </w:rPr>
        <w:t>8、土方开挖机械进出口通道所处的基坑边应铺设路基材料扩散压力，必要时应进行加固，不得直接碾压支护结构。</w:t>
      </w:r>
    </w:p>
    <w:p w14:paraId="03DDEAFA">
      <w:pPr>
        <w:pStyle w:val="6"/>
        <w:ind w:firstLine="480"/>
        <w:rPr>
          <w:color w:val="auto"/>
        </w:rPr>
      </w:pPr>
      <w:r>
        <w:rPr>
          <w:rFonts w:hint="eastAsia"/>
          <w:color w:val="auto"/>
        </w:rPr>
        <w:t>施工方法</w:t>
      </w:r>
    </w:p>
    <w:p w14:paraId="738C3DFA">
      <w:pPr>
        <w:rPr>
          <w:color w:val="auto"/>
        </w:rPr>
      </w:pPr>
      <w:r>
        <w:rPr>
          <w:rFonts w:hint="eastAsia"/>
          <w:color w:val="auto"/>
        </w:rPr>
        <w:t>1、土方开挖的施工安排</w:t>
      </w:r>
    </w:p>
    <w:p w14:paraId="663292C2">
      <w:pPr>
        <w:rPr>
          <w:color w:val="auto"/>
        </w:rPr>
      </w:pPr>
      <w:r>
        <w:rPr>
          <w:rFonts w:hint="eastAsia"/>
          <w:color w:val="auto"/>
        </w:rPr>
        <w:t>（1）基坑部分施工流程：根据场地基坑开挖深度、边界区域的地质条件以及周边环境情况，按照安全、经济、合理可行、效率的原则，1#综合楼地下室、8#体育馆地下室基坑支护周边大致分3个标高段进行施工，其余基坑中部大土方大致分作为1个工作面进行施工，预估主要如下：</w:t>
      </w:r>
    </w:p>
    <w:p w14:paraId="3D350EE4">
      <w:pPr>
        <w:rPr>
          <w:color w:val="auto"/>
        </w:rPr>
      </w:pPr>
      <w:r>
        <w:rPr>
          <w:rFonts w:hint="eastAsia"/>
          <w:color w:val="auto"/>
        </w:rPr>
        <w:t>1）地面部分支护结构施工完成后、降水井施工完成后，即可开始土方挖运施工。</w:t>
      </w:r>
    </w:p>
    <w:p w14:paraId="378928AE">
      <w:pPr>
        <w:rPr>
          <w:color w:val="auto"/>
        </w:rPr>
      </w:pPr>
      <w:r>
        <w:rPr>
          <w:rFonts w:hint="eastAsia"/>
          <w:color w:val="auto"/>
        </w:rPr>
        <w:t>2）按照基坑支护设计工况逐层开挖至基坑底，大基坑土方开挖完成。然后开挖桩基础承台、电梯井、集水井土方等。</w:t>
      </w:r>
    </w:p>
    <w:p w14:paraId="23EA6B9C">
      <w:pPr>
        <w:rPr>
          <w:color w:val="auto"/>
        </w:rPr>
      </w:pPr>
      <w:r>
        <w:rPr>
          <w:rFonts w:hint="eastAsia"/>
          <w:color w:val="auto"/>
        </w:rPr>
        <w:t>3）基坑土方最终收口至出土口位置。</w:t>
      </w:r>
    </w:p>
    <w:p w14:paraId="732F15B0">
      <w:pPr>
        <w:rPr>
          <w:color w:val="auto"/>
        </w:rPr>
      </w:pPr>
      <w:r>
        <w:rPr>
          <w:rFonts w:hint="eastAsia"/>
          <w:color w:val="auto"/>
        </w:rPr>
        <w:t>（2）清表部分施工流程：</w:t>
      </w:r>
    </w:p>
    <w:p w14:paraId="705FEEDB">
      <w:pPr>
        <w:rPr>
          <w:color w:val="auto"/>
        </w:rPr>
      </w:pPr>
      <w:r>
        <w:rPr>
          <w:rFonts w:hint="eastAsia"/>
          <w:color w:val="auto"/>
        </w:rPr>
        <w:t>按照设计图纸要求，直接开挖至设计标高。</w:t>
      </w:r>
    </w:p>
    <w:p w14:paraId="2B5B3362">
      <w:pPr>
        <w:pStyle w:val="65"/>
        <w:spacing w:before="163" w:after="163"/>
        <w:rPr>
          <w:color w:val="auto"/>
        </w:rPr>
      </w:pPr>
      <w:r>
        <w:rPr>
          <w:rFonts w:hint="eastAsia"/>
          <w:color w:val="auto"/>
        </w:rPr>
        <w:drawing>
          <wp:inline distT="0" distB="0" distL="0" distR="0">
            <wp:extent cx="5615940" cy="6092190"/>
            <wp:effectExtent l="0" t="0" r="3810" b="3810"/>
            <wp:docPr id="13" name="图片 13" descr="施工总平面图布置图--小土方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施工总平面图布置图--小土方 Model (1)"/>
                    <pic:cNvPicPr>
                      <a:picLocks noChangeAspect="1" noChangeArrowheads="1"/>
                    </pic:cNvPicPr>
                  </pic:nvPicPr>
                  <pic:blipFill>
                    <a:blip r:embed="rId76" cstate="print">
                      <a:extLst>
                        <a:ext uri="{28A0092B-C50C-407E-A947-70E740481C1C}">
                          <a14:useLocalDpi xmlns:a14="http://schemas.microsoft.com/office/drawing/2010/main" val="0"/>
                        </a:ext>
                      </a:extLst>
                    </a:blip>
                    <a:srcRect t="11493" b="11829"/>
                    <a:stretch>
                      <a:fillRect/>
                    </a:stretch>
                  </pic:blipFill>
                  <pic:spPr>
                    <a:xfrm>
                      <a:off x="0" y="0"/>
                      <a:ext cx="5615940" cy="6092190"/>
                    </a:xfrm>
                    <a:prstGeom prst="rect">
                      <a:avLst/>
                    </a:prstGeom>
                    <a:noFill/>
                    <a:ln>
                      <a:noFill/>
                    </a:ln>
                  </pic:spPr>
                </pic:pic>
              </a:graphicData>
            </a:graphic>
          </wp:inline>
        </w:drawing>
      </w:r>
    </w:p>
    <w:p w14:paraId="64CEF8C3">
      <w:pPr>
        <w:pStyle w:val="53"/>
        <w:rPr>
          <w:color w:val="auto"/>
        </w:rPr>
      </w:pPr>
      <w:r>
        <w:rPr>
          <w:rFonts w:hint="eastAsia"/>
          <w:color w:val="auto"/>
        </w:rPr>
        <w:t>土方开挖施工剖面示意图</w:t>
      </w:r>
    </w:p>
    <w:p w14:paraId="732A3996">
      <w:pPr>
        <w:rPr>
          <w:color w:val="auto"/>
        </w:rPr>
      </w:pPr>
      <w:bookmarkStart w:id="161" w:name="_Toc469337506"/>
      <w:r>
        <w:rPr>
          <w:color w:val="auto"/>
        </w:rPr>
        <w:t>2</w:t>
      </w:r>
      <w:r>
        <w:rPr>
          <w:rFonts w:hint="eastAsia"/>
          <w:color w:val="auto"/>
        </w:rPr>
        <w:t>、土方开挖</w:t>
      </w:r>
      <w:bookmarkEnd w:id="161"/>
      <w:r>
        <w:rPr>
          <w:rFonts w:hint="eastAsia"/>
          <w:color w:val="auto"/>
        </w:rPr>
        <w:t>施工</w:t>
      </w:r>
    </w:p>
    <w:p w14:paraId="35F02D26">
      <w:pPr>
        <w:rPr>
          <w:color w:val="auto"/>
        </w:rPr>
      </w:pPr>
      <w:r>
        <w:rPr>
          <w:rFonts w:hint="eastAsia"/>
          <w:color w:val="auto"/>
        </w:rPr>
        <w:t>①开挖边线确定</w:t>
      </w:r>
    </w:p>
    <w:p w14:paraId="5A00D5CF">
      <w:pPr>
        <w:rPr>
          <w:color w:val="auto"/>
        </w:rPr>
      </w:pPr>
      <w:r>
        <w:rPr>
          <w:rFonts w:hint="eastAsia"/>
          <w:color w:val="auto"/>
        </w:rPr>
        <w:t>测量人员根据业主提供的控制点，定出本工程基坑轴线；在具体基坑开挖过程中结合开挖实际深度定出开挖上口线，并撒灰线标记开挖边线及变坡位置。现场设置1个主出土口，辅助出土口按需布设。</w:t>
      </w:r>
    </w:p>
    <w:p w14:paraId="6D173938">
      <w:pPr>
        <w:rPr>
          <w:color w:val="auto"/>
        </w:rPr>
      </w:pPr>
      <w:r>
        <w:rPr>
          <w:rFonts w:hint="eastAsia"/>
          <w:color w:val="auto"/>
        </w:rPr>
        <w:t>②开挖方法</w:t>
      </w:r>
    </w:p>
    <w:p w14:paraId="2EFAFD13">
      <w:pPr>
        <w:rPr>
          <w:color w:val="auto"/>
        </w:rPr>
      </w:pPr>
      <w:r>
        <w:rPr>
          <w:rFonts w:hint="eastAsia"/>
          <w:color w:val="auto"/>
        </w:rPr>
        <w:t>（1）机械挖土</w:t>
      </w:r>
    </w:p>
    <w:p w14:paraId="6DCB92BF">
      <w:pPr>
        <w:rPr>
          <w:color w:val="auto"/>
        </w:rPr>
      </w:pPr>
      <w:r>
        <w:rPr>
          <w:rFonts w:hint="eastAsia"/>
          <w:color w:val="auto"/>
        </w:rPr>
        <w:t>边坡土方开挖：开挖时，随挖土随修整边坡。每挖完一层土，施工一层支护，每层土不宜超过2m，且需要按照支护工况进行开挖；直至放坡段开挖完成，放坡段留20cm人工修整坡面。</w:t>
      </w:r>
    </w:p>
    <w:p w14:paraId="35C9A937">
      <w:pPr>
        <w:rPr>
          <w:color w:val="auto"/>
        </w:rPr>
      </w:pPr>
      <w:r>
        <w:rPr>
          <w:rFonts w:hint="eastAsia"/>
          <w:color w:val="auto"/>
        </w:rPr>
        <w:t>垂直土方开挖：每层需要施工支护结构处需预留20cm厚土层人工修整平，其余部分可以直接挖到相应标高面。每挖至一个标高面，施工完相应标高面的分项工程且达到龄期要求后，方可继续下一层土方开挖，直至完成。</w:t>
      </w:r>
    </w:p>
    <w:p w14:paraId="146D7854">
      <w:pPr>
        <w:rPr>
          <w:color w:val="auto"/>
        </w:rPr>
      </w:pPr>
      <w:r>
        <w:rPr>
          <w:rFonts w:hint="eastAsia"/>
          <w:color w:val="auto"/>
        </w:rPr>
        <w:t>（2）坡道土方开挖</w:t>
      </w:r>
    </w:p>
    <w:p w14:paraId="46ADDDB8">
      <w:pPr>
        <w:rPr>
          <w:color w:val="auto"/>
        </w:rPr>
      </w:pPr>
      <w:r>
        <w:rPr>
          <w:rFonts w:hint="eastAsia"/>
          <w:color w:val="auto"/>
        </w:rPr>
        <w:t>现场设置1个主出土口，辅助出土口按需设置，最终只留1个主出土口。</w:t>
      </w:r>
    </w:p>
    <w:p w14:paraId="171FC652">
      <w:pPr>
        <w:rPr>
          <w:color w:val="auto"/>
        </w:rPr>
      </w:pPr>
      <w:r>
        <w:rPr>
          <w:rFonts w:hint="eastAsia"/>
          <w:color w:val="auto"/>
        </w:rPr>
        <w:t>（3）最后一层土方开挖</w:t>
      </w:r>
    </w:p>
    <w:p w14:paraId="3907EF89">
      <w:pPr>
        <w:rPr>
          <w:color w:val="auto"/>
        </w:rPr>
      </w:pPr>
      <w:r>
        <w:rPr>
          <w:rFonts w:hint="eastAsia"/>
          <w:color w:val="auto"/>
        </w:rPr>
        <w:t>机械开挖至最后一层200mm厚土方时，测量人员随即放出坑底线，由相关单位人工挖除200mm预留土层，并清理整平，及时进行垫层的浇筑，防止基底土扰动变形。</w:t>
      </w:r>
    </w:p>
    <w:p w14:paraId="007D3A02">
      <w:pPr>
        <w:pStyle w:val="4"/>
        <w:ind w:firstLine="482"/>
        <w:rPr>
          <w:color w:val="auto"/>
        </w:rPr>
      </w:pPr>
      <w:bookmarkStart w:id="162" w:name="_Toc6325"/>
      <w:r>
        <w:rPr>
          <w:rFonts w:hint="eastAsia"/>
          <w:color w:val="auto"/>
        </w:rPr>
        <w:t>结构工程</w:t>
      </w:r>
      <w:bookmarkEnd w:id="162"/>
    </w:p>
    <w:p w14:paraId="5F270D08">
      <w:pPr>
        <w:pStyle w:val="5"/>
        <w:rPr>
          <w:color w:val="auto"/>
        </w:rPr>
      </w:pPr>
      <w:bookmarkStart w:id="163" w:name="_Toc16505"/>
      <w:r>
        <w:rPr>
          <w:rFonts w:hint="eastAsia"/>
          <w:color w:val="auto"/>
        </w:rPr>
        <w:t>钢筋工程</w:t>
      </w:r>
      <w:bookmarkEnd w:id="163"/>
    </w:p>
    <w:p w14:paraId="782BCF7C">
      <w:pPr>
        <w:pStyle w:val="6"/>
        <w:ind w:firstLine="480"/>
        <w:rPr>
          <w:color w:val="auto"/>
        </w:rPr>
      </w:pPr>
      <w:r>
        <w:rPr>
          <w:rFonts w:hint="eastAsia"/>
          <w:color w:val="auto"/>
        </w:rPr>
        <w:t>钢筋进场</w:t>
      </w:r>
    </w:p>
    <w:p w14:paraId="43C3BCB6">
      <w:pPr>
        <w:rPr>
          <w:color w:val="auto"/>
        </w:rPr>
      </w:pPr>
      <w:r>
        <w:rPr>
          <w:rFonts w:hint="eastAsia"/>
          <w:color w:val="auto"/>
        </w:rPr>
        <w:t>钢筋进场必须附有出厂证明(试验报告)、钢筋标志，并根据标志批号及直径分批检验和做见证取样。</w:t>
      </w:r>
    </w:p>
    <w:p w14:paraId="472B64EA">
      <w:pPr>
        <w:rPr>
          <w:color w:val="auto"/>
        </w:rPr>
      </w:pPr>
      <w:r>
        <w:rPr>
          <w:rFonts w:hint="eastAsia"/>
          <w:color w:val="auto"/>
        </w:rPr>
        <w:t>钢筋进场后严格按分批同等级、牌号、直径、长度挂牌堆放，存放钢筋场地进行硬化，并设排水坡度。堆放时，钢筋下垫以垫木，离地面不少于20cm，以防钢筋锈蚀和污染。钢筋半成品标明分部、分层、分段和构件名称，同一部位或同一构件的钢筋要放在一起，并有明显标识，标识上注明构件名称、部位、尺寸、直径、根数。</w:t>
      </w:r>
    </w:p>
    <w:p w14:paraId="66CB33D5">
      <w:pPr>
        <w:pStyle w:val="6"/>
        <w:ind w:firstLine="480"/>
        <w:rPr>
          <w:color w:val="auto"/>
        </w:rPr>
      </w:pPr>
      <w:r>
        <w:rPr>
          <w:rFonts w:hint="eastAsia"/>
          <w:color w:val="auto"/>
        </w:rPr>
        <w:t>钢筋配料</w:t>
      </w:r>
    </w:p>
    <w:p w14:paraId="1C904F84">
      <w:pPr>
        <w:rPr>
          <w:color w:val="auto"/>
        </w:rPr>
      </w:pPr>
      <w:r>
        <w:rPr>
          <w:rFonts w:hint="eastAsia"/>
          <w:color w:val="auto"/>
        </w:rPr>
        <w:t>钢筋配料是根据构件配筋图，先绘出各种形状和规格的单根钢筋简图并加以编号然后分别计算钢筋下料长度和根数，填写配料单，申请加工。</w:t>
      </w:r>
    </w:p>
    <w:p w14:paraId="67474C53">
      <w:pPr>
        <w:pStyle w:val="49"/>
        <w:rPr>
          <w:rFonts w:hint="eastAsia"/>
          <w:color w:val="auto"/>
        </w:rPr>
      </w:pPr>
      <w:r>
        <w:rPr>
          <w:color w:val="auto"/>
        </w:rPr>
        <w:drawing>
          <wp:inline distT="0" distB="0" distL="0" distR="0">
            <wp:extent cx="4066540" cy="3109595"/>
            <wp:effectExtent l="9525" t="9525" r="19685" b="24130"/>
            <wp:docPr id="155" name="图片 155" descr="钢筋下料程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钢筋下料程序"/>
                    <pic:cNvPicPr>
                      <a:picLocks noChangeAspect="1" noChangeArrowheads="1"/>
                    </pic:cNvPicPr>
                  </pic:nvPicPr>
                  <pic:blipFill>
                    <a:blip r:embed="rId77">
                      <a:extLst>
                        <a:ext uri="{28A0092B-C50C-407E-A947-70E740481C1C}">
                          <a14:useLocalDpi xmlns:a14="http://schemas.microsoft.com/office/drawing/2010/main" val="0"/>
                        </a:ext>
                      </a:extLst>
                    </a:blip>
                    <a:srcRect l="1750" t="1416" r="2251" b="2550"/>
                    <a:stretch>
                      <a:fillRect/>
                    </a:stretch>
                  </pic:blipFill>
                  <pic:spPr>
                    <a:xfrm>
                      <a:off x="0" y="0"/>
                      <a:ext cx="4079737" cy="3119343"/>
                    </a:xfrm>
                    <a:prstGeom prst="rect">
                      <a:avLst/>
                    </a:prstGeom>
                    <a:noFill/>
                    <a:ln>
                      <a:solidFill>
                        <a:sysClr val="windowText" lastClr="000000"/>
                      </a:solidFill>
                    </a:ln>
                  </pic:spPr>
                </pic:pic>
              </a:graphicData>
            </a:graphic>
          </wp:inline>
        </w:drawing>
      </w:r>
    </w:p>
    <w:p w14:paraId="3547F008">
      <w:pPr>
        <w:pStyle w:val="53"/>
        <w:rPr>
          <w:color w:val="auto"/>
        </w:rPr>
      </w:pPr>
      <w:r>
        <w:rPr>
          <w:rFonts w:hint="eastAsia"/>
          <w:color w:val="auto"/>
        </w:rPr>
        <w:t>钢筋加工流水作业系统图</w:t>
      </w:r>
    </w:p>
    <w:p w14:paraId="23D0419E">
      <w:pPr>
        <w:pStyle w:val="6"/>
        <w:ind w:firstLine="480"/>
        <w:rPr>
          <w:color w:val="auto"/>
        </w:rPr>
      </w:pPr>
      <w:r>
        <w:rPr>
          <w:rFonts w:hint="eastAsia"/>
          <w:color w:val="auto"/>
        </w:rPr>
        <w:t>钢筋连接</w:t>
      </w:r>
    </w:p>
    <w:p w14:paraId="077214A8">
      <w:pPr>
        <w:rPr>
          <w:color w:val="auto"/>
        </w:rPr>
      </w:pPr>
      <w:r>
        <w:rPr>
          <w:rFonts w:hint="eastAsia"/>
          <w:color w:val="auto"/>
        </w:rPr>
        <w:t>本工程钢筋连接将采用机械连接、电渣压力焊连接、闪光对焊连接及绑扎连接多种方式，现分别叙述如下。</w:t>
      </w:r>
    </w:p>
    <w:p w14:paraId="3E8F24BB">
      <w:pPr>
        <w:rPr>
          <w:color w:val="auto"/>
        </w:rPr>
      </w:pPr>
      <w:r>
        <w:rPr>
          <w:color w:val="auto"/>
        </w:rPr>
        <w:t>1</w:t>
      </w:r>
      <w:r>
        <w:rPr>
          <w:rFonts w:hint="eastAsia"/>
          <w:color w:val="auto"/>
        </w:rPr>
        <w:t>、直螺纹连接</w:t>
      </w:r>
    </w:p>
    <w:p w14:paraId="14810083">
      <w:pPr>
        <w:rPr>
          <w:color w:val="auto"/>
        </w:rPr>
      </w:pPr>
      <w:r>
        <w:rPr>
          <w:rFonts w:hint="eastAsia"/>
          <w:color w:val="auto"/>
        </w:rPr>
        <w:t>钢筋直螺纹加工：将待加工钢筋夹在设备的台钳上，开动机器，扳动进给装置，动力头向前移动，开始辊压螺纹，等辊压到调定位置后，设备自动停机并反转，将钢筋端部退出动力头，扳动进给装置将设备更位，钢筋丝头即加工完成。钢筋下料时不宜用热加工方法切断；钢筋端面宜平整并与钢筋轴线垂直；不得有马蹄形或扭曲；钢筋端部不得有弯曲；出现弯曲时应调直。丝头有效螺纹长度应满足设计规定。丝头加工时应使用水性润滑液，不得使用油性润滑液。丝头中径、牙型角及丝头有效螺纹长度应符合设计规定。丝头螺纹尺寸宜按GB/T196有关规定确定；有效螺纹中径尺寸公差宜满足GB/T197中6f级精度规定的要求。丝头有效螺纹中径的圆柱度（每个螺纹的中径）误差不得超过0.20mm。标准型接头丝头有效螺纹长度应不小于1/2连接套筒长度，其他连接形式应符合产品设计要求。丝头加工完毕经检验合格后，应立即带上丝头保护帽或拧上连接套筒，防止装卸钢筋时损坏丝头。</w:t>
      </w:r>
    </w:p>
    <w:p w14:paraId="33FD6E9E">
      <w:pPr>
        <w:rPr>
          <w:color w:val="auto"/>
        </w:rPr>
      </w:pPr>
      <w:r>
        <w:rPr>
          <w:rFonts w:hint="eastAsia"/>
          <w:color w:val="auto"/>
        </w:rPr>
        <w:t>钢筋直螺纹连接：</w:t>
      </w:r>
    </w:p>
    <w:p w14:paraId="1C8972C0">
      <w:pPr>
        <w:rPr>
          <w:color w:val="auto"/>
        </w:rPr>
      </w:pPr>
      <w:r>
        <w:rPr>
          <w:rFonts w:hint="eastAsia"/>
          <w:color w:val="auto"/>
        </w:rPr>
        <w:t>连接钢筋前，将下层钢筋上端的塑料保护帽拧下来，露出丝扣，并将丝扣上的水泥浆等污物清理干净。连接钢筋时，将已拧套筒的上层钢筋拧到被连接的钢筋上，并用扭力扳手按下表规定的力矩值把钢筋接头拧紧，直至扭力扳手在调定的力矩值发出响声，并画上油漆标记，以防钢筋接头漏拧。力矩扳手每半年应标定一次。在进行钢筋连接时，钢筋规格应与连接套筒规格一致，并保证丝头和连接套筒内螺纹干净、完好无损。钢筋连接时应用工作扳手将丝头在套筒中央位置顶紧。当采用加锁母型套筒时应用锁母锁紧。钢筋接头拧紧后应用力矩扳手按不小于下表中的拧紧力矩值检查，并加以标记。</w:t>
      </w:r>
    </w:p>
    <w:p w14:paraId="6003F0F0">
      <w:pPr>
        <w:pStyle w:val="54"/>
        <w:rPr>
          <w:color w:val="auto"/>
        </w:rPr>
      </w:pPr>
      <w:r>
        <w:rPr>
          <w:rFonts w:hint="eastAsia"/>
          <w:color w:val="auto"/>
        </w:rPr>
        <w:t>钢筋直螺纹连接拧紧力矩值</w:t>
      </w:r>
    </w:p>
    <w:tbl>
      <w:tblPr>
        <w:tblStyle w:val="29"/>
        <w:tblW w:w="4998" w:type="pct"/>
        <w:jc w:val="center"/>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1"/>
        <w:gridCol w:w="1186"/>
        <w:gridCol w:w="1473"/>
        <w:gridCol w:w="1471"/>
        <w:gridCol w:w="1404"/>
        <w:gridCol w:w="1331"/>
      </w:tblGrid>
      <w:tr w14:paraId="7C955417">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PrEx>
        <w:trPr>
          <w:cantSplit/>
          <w:trHeight w:val="454" w:hRule="atLeast"/>
          <w:jc w:val="center"/>
        </w:trPr>
        <w:tc>
          <w:tcPr>
            <w:tcW w:w="1210" w:type="pct"/>
            <w:tcBorders>
              <w:top w:val="single" w:color="auto" w:sz="4" w:space="0"/>
            </w:tcBorders>
            <w:vAlign w:val="center"/>
          </w:tcPr>
          <w:p w14:paraId="123F0214">
            <w:pPr>
              <w:pStyle w:val="45"/>
              <w:rPr>
                <w:rFonts w:hint="eastAsia"/>
                <w:color w:val="auto"/>
              </w:rPr>
            </w:pPr>
            <w:r>
              <w:rPr>
                <w:rFonts w:hint="eastAsia"/>
                <w:color w:val="auto"/>
              </w:rPr>
              <w:t>钢筋直径（mm）</w:t>
            </w:r>
          </w:p>
        </w:tc>
        <w:tc>
          <w:tcPr>
            <w:tcW w:w="655" w:type="pct"/>
            <w:tcBorders>
              <w:top w:val="single" w:color="auto" w:sz="4" w:space="0"/>
            </w:tcBorders>
            <w:vAlign w:val="center"/>
          </w:tcPr>
          <w:p w14:paraId="163F7968">
            <w:pPr>
              <w:pStyle w:val="45"/>
              <w:rPr>
                <w:rFonts w:hint="eastAsia"/>
                <w:color w:val="auto"/>
              </w:rPr>
            </w:pPr>
            <w:r>
              <w:rPr>
                <w:rFonts w:hint="eastAsia"/>
                <w:color w:val="auto"/>
              </w:rPr>
              <w:t>≤16</w:t>
            </w:r>
          </w:p>
        </w:tc>
        <w:tc>
          <w:tcPr>
            <w:tcW w:w="813" w:type="pct"/>
            <w:tcBorders>
              <w:top w:val="single" w:color="auto" w:sz="4" w:space="0"/>
            </w:tcBorders>
            <w:vAlign w:val="center"/>
          </w:tcPr>
          <w:p w14:paraId="1C2150D7">
            <w:pPr>
              <w:pStyle w:val="45"/>
              <w:rPr>
                <w:rFonts w:hint="eastAsia"/>
                <w:color w:val="auto"/>
              </w:rPr>
            </w:pPr>
            <w:r>
              <w:rPr>
                <w:rFonts w:hint="eastAsia"/>
                <w:color w:val="auto"/>
              </w:rPr>
              <w:t>18～20</w:t>
            </w:r>
          </w:p>
        </w:tc>
        <w:tc>
          <w:tcPr>
            <w:tcW w:w="812" w:type="pct"/>
            <w:tcBorders>
              <w:top w:val="single" w:color="auto" w:sz="4" w:space="0"/>
            </w:tcBorders>
            <w:vAlign w:val="center"/>
          </w:tcPr>
          <w:p w14:paraId="45271B93">
            <w:pPr>
              <w:pStyle w:val="45"/>
              <w:rPr>
                <w:rFonts w:hint="eastAsia"/>
                <w:color w:val="auto"/>
              </w:rPr>
            </w:pPr>
            <w:r>
              <w:rPr>
                <w:rFonts w:hint="eastAsia"/>
                <w:color w:val="auto"/>
              </w:rPr>
              <w:t>22～25</w:t>
            </w:r>
          </w:p>
        </w:tc>
        <w:tc>
          <w:tcPr>
            <w:tcW w:w="775" w:type="pct"/>
            <w:tcBorders>
              <w:top w:val="single" w:color="auto" w:sz="4" w:space="0"/>
            </w:tcBorders>
            <w:vAlign w:val="center"/>
          </w:tcPr>
          <w:p w14:paraId="0859BD95">
            <w:pPr>
              <w:pStyle w:val="45"/>
              <w:rPr>
                <w:rFonts w:hint="eastAsia"/>
                <w:color w:val="auto"/>
              </w:rPr>
            </w:pPr>
            <w:r>
              <w:rPr>
                <w:rFonts w:hint="eastAsia"/>
                <w:color w:val="auto"/>
              </w:rPr>
              <w:t>28～32</w:t>
            </w:r>
          </w:p>
        </w:tc>
        <w:tc>
          <w:tcPr>
            <w:tcW w:w="731" w:type="pct"/>
            <w:tcBorders>
              <w:top w:val="single" w:color="auto" w:sz="4" w:space="0"/>
            </w:tcBorders>
            <w:vAlign w:val="center"/>
          </w:tcPr>
          <w:p w14:paraId="75CAB52C">
            <w:pPr>
              <w:pStyle w:val="45"/>
              <w:rPr>
                <w:rFonts w:hint="eastAsia"/>
                <w:color w:val="auto"/>
              </w:rPr>
            </w:pPr>
            <w:r>
              <w:rPr>
                <w:rFonts w:hint="eastAsia"/>
                <w:color w:val="auto"/>
              </w:rPr>
              <w:t>36～40</w:t>
            </w:r>
          </w:p>
        </w:tc>
      </w:tr>
      <w:tr w14:paraId="440762B5">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210" w:type="pct"/>
            <w:vAlign w:val="center"/>
          </w:tcPr>
          <w:p w14:paraId="07C7E0FB">
            <w:pPr>
              <w:pStyle w:val="45"/>
              <w:rPr>
                <w:rFonts w:hint="eastAsia"/>
                <w:color w:val="auto"/>
              </w:rPr>
            </w:pPr>
            <w:r>
              <w:rPr>
                <w:rFonts w:hint="eastAsia"/>
                <w:color w:val="auto"/>
              </w:rPr>
              <w:t>扭紧力矩（N·m）</w:t>
            </w:r>
          </w:p>
        </w:tc>
        <w:tc>
          <w:tcPr>
            <w:tcW w:w="655" w:type="pct"/>
            <w:vAlign w:val="center"/>
          </w:tcPr>
          <w:p w14:paraId="1A0EC2F2">
            <w:pPr>
              <w:pStyle w:val="45"/>
              <w:rPr>
                <w:rFonts w:hint="eastAsia"/>
                <w:color w:val="auto"/>
              </w:rPr>
            </w:pPr>
            <w:r>
              <w:rPr>
                <w:rFonts w:hint="eastAsia"/>
                <w:color w:val="auto"/>
              </w:rPr>
              <w:t>80</w:t>
            </w:r>
          </w:p>
        </w:tc>
        <w:tc>
          <w:tcPr>
            <w:tcW w:w="813" w:type="pct"/>
            <w:vAlign w:val="center"/>
          </w:tcPr>
          <w:p w14:paraId="43597583">
            <w:pPr>
              <w:pStyle w:val="45"/>
              <w:rPr>
                <w:rFonts w:hint="eastAsia"/>
                <w:color w:val="auto"/>
              </w:rPr>
            </w:pPr>
            <w:r>
              <w:rPr>
                <w:rFonts w:hint="eastAsia"/>
                <w:color w:val="auto"/>
              </w:rPr>
              <w:t>160</w:t>
            </w:r>
          </w:p>
        </w:tc>
        <w:tc>
          <w:tcPr>
            <w:tcW w:w="812" w:type="pct"/>
            <w:vAlign w:val="center"/>
          </w:tcPr>
          <w:p w14:paraId="59FDF3E3">
            <w:pPr>
              <w:pStyle w:val="45"/>
              <w:rPr>
                <w:rFonts w:hint="eastAsia"/>
                <w:color w:val="auto"/>
              </w:rPr>
            </w:pPr>
            <w:r>
              <w:rPr>
                <w:rFonts w:hint="eastAsia"/>
                <w:color w:val="auto"/>
              </w:rPr>
              <w:t>230</w:t>
            </w:r>
          </w:p>
        </w:tc>
        <w:tc>
          <w:tcPr>
            <w:tcW w:w="775" w:type="pct"/>
            <w:vAlign w:val="center"/>
          </w:tcPr>
          <w:p w14:paraId="7E82285F">
            <w:pPr>
              <w:pStyle w:val="45"/>
              <w:rPr>
                <w:rFonts w:hint="eastAsia"/>
                <w:color w:val="auto"/>
              </w:rPr>
            </w:pPr>
            <w:r>
              <w:rPr>
                <w:rFonts w:hint="eastAsia"/>
                <w:color w:val="auto"/>
              </w:rPr>
              <w:t>300</w:t>
            </w:r>
          </w:p>
        </w:tc>
        <w:tc>
          <w:tcPr>
            <w:tcW w:w="731" w:type="pct"/>
            <w:vAlign w:val="center"/>
          </w:tcPr>
          <w:p w14:paraId="6253CDB4">
            <w:pPr>
              <w:pStyle w:val="45"/>
              <w:rPr>
                <w:rFonts w:hint="eastAsia"/>
                <w:color w:val="auto"/>
              </w:rPr>
            </w:pPr>
            <w:r>
              <w:rPr>
                <w:rFonts w:hint="eastAsia"/>
                <w:color w:val="auto"/>
              </w:rPr>
              <w:t>360</w:t>
            </w:r>
          </w:p>
        </w:tc>
      </w:tr>
      <w:tr w14:paraId="64600D65">
        <w:tblPrEx>
          <w:tblBorders>
            <w:top w:val="single" w:color="auto" w:sz="8" w:space="0"/>
            <w:left w:val="single" w:color="auto" w:sz="4" w:space="0"/>
            <w:bottom w:val="single" w:color="auto" w:sz="8"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000" w:type="pct"/>
            <w:gridSpan w:val="6"/>
            <w:vAlign w:val="center"/>
          </w:tcPr>
          <w:p w14:paraId="6A629E4E">
            <w:pPr>
              <w:pStyle w:val="45"/>
              <w:rPr>
                <w:rFonts w:hint="eastAsia"/>
                <w:color w:val="auto"/>
              </w:rPr>
            </w:pPr>
            <w:r>
              <w:rPr>
                <w:rFonts w:hint="eastAsia"/>
                <w:color w:val="auto"/>
              </w:rPr>
              <w:t>注：当不同直径的钢筋连接时，拧紧力矩值按较小直径钢筋的相应值取用。</w:t>
            </w:r>
          </w:p>
        </w:tc>
      </w:tr>
    </w:tbl>
    <w:p w14:paraId="53EECD95">
      <w:pPr>
        <w:rPr>
          <w:color w:val="auto"/>
        </w:rPr>
      </w:pPr>
      <w:r>
        <w:rPr>
          <w:rFonts w:hint="eastAsia"/>
          <w:color w:val="auto"/>
        </w:rPr>
        <w:t>注：当不同直径的钢筋连接时，拧紧力矩值按较小直径钢筋的相应值取用。</w:t>
      </w:r>
    </w:p>
    <w:p w14:paraId="0B51AA91">
      <w:pPr>
        <w:rPr>
          <w:color w:val="auto"/>
        </w:rPr>
      </w:pPr>
      <w:r>
        <w:rPr>
          <w:rFonts w:hint="eastAsia"/>
          <w:color w:val="auto"/>
        </w:rPr>
        <w:t>机械连接形式如下图所示：</w:t>
      </w:r>
    </w:p>
    <w:tbl>
      <w:tblPr>
        <w:tblStyle w:val="29"/>
        <w:tblW w:w="89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6"/>
        <w:gridCol w:w="1728"/>
        <w:gridCol w:w="1728"/>
        <w:gridCol w:w="2076"/>
      </w:tblGrid>
      <w:tr w14:paraId="1153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709438F">
            <w:pPr>
              <w:pStyle w:val="45"/>
              <w:rPr>
                <w:rFonts w:hint="eastAsia"/>
                <w:color w:val="auto"/>
              </w:rPr>
            </w:pPr>
            <w:r>
              <w:rPr>
                <w:rFonts w:hint="eastAsia"/>
                <w:color w:val="auto"/>
              </w:rPr>
              <w:drawing>
                <wp:inline distT="0" distB="0" distL="0" distR="0">
                  <wp:extent cx="2033905" cy="1907540"/>
                  <wp:effectExtent l="0" t="0" r="4445" b="1651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78">
                            <a:extLst>
                              <a:ext uri="{28A0092B-C50C-407E-A947-70E740481C1C}">
                                <a14:useLocalDpi xmlns:a14="http://schemas.microsoft.com/office/drawing/2010/main" val="0"/>
                              </a:ext>
                            </a:extLst>
                          </a:blip>
                          <a:srcRect l="10381" r="-8"/>
                          <a:stretch>
                            <a:fillRect/>
                          </a:stretch>
                        </pic:blipFill>
                        <pic:spPr>
                          <a:xfrm>
                            <a:off x="0" y="0"/>
                            <a:ext cx="2033905" cy="1907540"/>
                          </a:xfrm>
                          <a:prstGeom prst="rect">
                            <a:avLst/>
                          </a:prstGeom>
                          <a:noFill/>
                          <a:ln>
                            <a:noFill/>
                          </a:ln>
                        </pic:spPr>
                      </pic:pic>
                    </a:graphicData>
                  </a:graphic>
                </wp:inline>
              </w:drawing>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9719859">
            <w:pPr>
              <w:pStyle w:val="45"/>
              <w:rPr>
                <w:rFonts w:hint="eastAsia"/>
                <w:color w:val="auto"/>
              </w:rPr>
            </w:pPr>
            <w:r>
              <w:rPr>
                <w:rFonts w:hint="eastAsia"/>
                <w:color w:val="auto"/>
              </w:rPr>
              <w:drawing>
                <wp:inline distT="0" distB="0" distL="0" distR="0">
                  <wp:extent cx="2049780" cy="2033905"/>
                  <wp:effectExtent l="0" t="0" r="7620" b="4445"/>
                  <wp:docPr id="157" name="图片 157" descr="z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descr="z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2049780" cy="2033905"/>
                          </a:xfrm>
                          <a:prstGeom prst="rect">
                            <a:avLst/>
                          </a:prstGeom>
                          <a:noFill/>
                          <a:ln>
                            <a:noFill/>
                          </a:ln>
                        </pic:spPr>
                      </pic:pic>
                    </a:graphicData>
                  </a:graphic>
                </wp:inline>
              </w:drawing>
            </w:r>
          </w:p>
        </w:tc>
        <w:tc>
          <w:tcPr>
            <w:tcW w:w="2053" w:type="dxa"/>
            <w:tcBorders>
              <w:top w:val="single" w:color="auto" w:sz="4" w:space="0"/>
              <w:left w:val="single" w:color="auto" w:sz="4" w:space="0"/>
              <w:bottom w:val="single" w:color="auto" w:sz="4" w:space="0"/>
              <w:right w:val="single" w:color="auto" w:sz="4" w:space="0"/>
            </w:tcBorders>
            <w:vAlign w:val="center"/>
          </w:tcPr>
          <w:p w14:paraId="35EE482D">
            <w:pPr>
              <w:pStyle w:val="45"/>
              <w:rPr>
                <w:rFonts w:hint="eastAsia"/>
                <w:color w:val="auto"/>
              </w:rPr>
            </w:pPr>
            <w:r>
              <w:rPr>
                <w:rFonts w:hint="eastAsia"/>
                <w:color w:val="auto"/>
              </w:rPr>
              <w:drawing>
                <wp:inline distT="0" distB="0" distL="0" distR="0">
                  <wp:extent cx="1166495" cy="2191385"/>
                  <wp:effectExtent l="0" t="0" r="14605" b="18415"/>
                  <wp:docPr id="158" name="图片 15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descr="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1166495" cy="2191385"/>
                          </a:xfrm>
                          <a:prstGeom prst="rect">
                            <a:avLst/>
                          </a:prstGeom>
                          <a:noFill/>
                          <a:ln>
                            <a:noFill/>
                          </a:ln>
                        </pic:spPr>
                      </pic:pic>
                    </a:graphicData>
                  </a:graphic>
                </wp:inline>
              </w:drawing>
            </w:r>
          </w:p>
        </w:tc>
      </w:tr>
      <w:tr w14:paraId="16E91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564E341B">
            <w:pPr>
              <w:pStyle w:val="45"/>
              <w:rPr>
                <w:rFonts w:hint="eastAsia"/>
                <w:color w:val="auto"/>
              </w:rPr>
            </w:pPr>
            <w:r>
              <w:rPr>
                <w:rFonts w:hint="eastAsia"/>
                <w:color w:val="auto"/>
              </w:rPr>
              <w:t>标准型</w:t>
            </w:r>
          </w:p>
        </w:tc>
        <w:tc>
          <w:tcPr>
            <w:tcW w:w="0" w:type="auto"/>
            <w:gridSpan w:val="2"/>
            <w:tcBorders>
              <w:top w:val="single" w:color="auto" w:sz="4" w:space="0"/>
              <w:left w:val="single" w:color="auto" w:sz="4" w:space="0"/>
              <w:bottom w:val="single" w:color="auto" w:sz="4" w:space="0"/>
              <w:right w:val="single" w:color="auto" w:sz="4" w:space="0"/>
            </w:tcBorders>
            <w:vAlign w:val="center"/>
          </w:tcPr>
          <w:p w14:paraId="1131DDE2">
            <w:pPr>
              <w:pStyle w:val="45"/>
              <w:rPr>
                <w:rFonts w:hint="eastAsia"/>
                <w:color w:val="auto"/>
              </w:rPr>
            </w:pPr>
            <w:r>
              <w:rPr>
                <w:rFonts w:hint="eastAsia"/>
                <w:color w:val="auto"/>
              </w:rPr>
              <w:t>正反丝扣型</w:t>
            </w:r>
          </w:p>
        </w:tc>
        <w:tc>
          <w:tcPr>
            <w:tcW w:w="2053" w:type="dxa"/>
            <w:tcBorders>
              <w:top w:val="single" w:color="auto" w:sz="4" w:space="0"/>
              <w:left w:val="single" w:color="auto" w:sz="4" w:space="0"/>
              <w:bottom w:val="single" w:color="auto" w:sz="4" w:space="0"/>
              <w:right w:val="single" w:color="auto" w:sz="4" w:space="0"/>
            </w:tcBorders>
            <w:vAlign w:val="center"/>
          </w:tcPr>
          <w:p w14:paraId="4119D40F">
            <w:pPr>
              <w:pStyle w:val="45"/>
              <w:rPr>
                <w:rFonts w:hint="eastAsia"/>
                <w:color w:val="auto"/>
              </w:rPr>
            </w:pPr>
            <w:r>
              <w:rPr>
                <w:rFonts w:hint="eastAsia"/>
                <w:color w:val="auto"/>
              </w:rPr>
              <w:t>扩口型</w:t>
            </w:r>
          </w:p>
        </w:tc>
      </w:tr>
      <w:tr w14:paraId="6938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54" w:type="dxa"/>
            <w:gridSpan w:val="2"/>
            <w:tcBorders>
              <w:top w:val="single" w:color="auto" w:sz="4" w:space="0"/>
              <w:left w:val="single" w:color="auto" w:sz="4" w:space="0"/>
              <w:bottom w:val="single" w:color="auto" w:sz="4" w:space="0"/>
              <w:right w:val="single" w:color="auto" w:sz="4" w:space="0"/>
            </w:tcBorders>
            <w:vAlign w:val="center"/>
          </w:tcPr>
          <w:p w14:paraId="07FE7298">
            <w:pPr>
              <w:pStyle w:val="45"/>
              <w:rPr>
                <w:rFonts w:hint="eastAsia"/>
                <w:color w:val="auto"/>
              </w:rPr>
            </w:pPr>
            <w:r>
              <w:rPr>
                <w:rFonts w:hint="eastAsia"/>
                <w:color w:val="auto"/>
              </w:rPr>
              <w:drawing>
                <wp:inline distT="0" distB="0" distL="0" distR="0">
                  <wp:extent cx="2396490" cy="2506980"/>
                  <wp:effectExtent l="0" t="0" r="3810" b="762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81">
                            <a:extLst>
                              <a:ext uri="{28A0092B-C50C-407E-A947-70E740481C1C}">
                                <a14:useLocalDpi xmlns:a14="http://schemas.microsoft.com/office/drawing/2010/main" val="0"/>
                              </a:ext>
                            </a:extLst>
                          </a:blip>
                          <a:srcRect r="8978"/>
                          <a:stretch>
                            <a:fillRect/>
                          </a:stretch>
                        </pic:blipFill>
                        <pic:spPr>
                          <a:xfrm>
                            <a:off x="0" y="0"/>
                            <a:ext cx="2396490" cy="2506980"/>
                          </a:xfrm>
                          <a:prstGeom prst="rect">
                            <a:avLst/>
                          </a:prstGeom>
                          <a:noFill/>
                          <a:ln>
                            <a:noFill/>
                          </a:ln>
                        </pic:spPr>
                      </pic:pic>
                    </a:graphicData>
                  </a:graphic>
                </wp:inline>
              </w:drawing>
            </w:r>
          </w:p>
        </w:tc>
        <w:tc>
          <w:tcPr>
            <w:tcW w:w="3781" w:type="dxa"/>
            <w:gridSpan w:val="2"/>
            <w:tcBorders>
              <w:top w:val="single" w:color="auto" w:sz="4" w:space="0"/>
              <w:left w:val="single" w:color="auto" w:sz="4" w:space="0"/>
              <w:bottom w:val="single" w:color="auto" w:sz="4" w:space="0"/>
              <w:right w:val="single" w:color="auto" w:sz="4" w:space="0"/>
            </w:tcBorders>
            <w:vAlign w:val="center"/>
          </w:tcPr>
          <w:p w14:paraId="477EDEDA">
            <w:pPr>
              <w:pStyle w:val="45"/>
              <w:rPr>
                <w:rFonts w:hint="eastAsia"/>
                <w:color w:val="auto"/>
              </w:rPr>
            </w:pPr>
            <w:r>
              <w:rPr>
                <w:rFonts w:hint="eastAsia"/>
                <w:color w:val="auto"/>
              </w:rPr>
              <w:drawing>
                <wp:inline distT="0" distB="0" distL="0" distR="0">
                  <wp:extent cx="2080895" cy="2364740"/>
                  <wp:effectExtent l="0" t="0" r="14605" b="1651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noChangeArrowheads="1"/>
                          </pic:cNvPicPr>
                        </pic:nvPicPr>
                        <pic:blipFill>
                          <a:blip r:embed="rId82">
                            <a:extLst>
                              <a:ext uri="{28A0092B-C50C-407E-A947-70E740481C1C}">
                                <a14:useLocalDpi xmlns:a14="http://schemas.microsoft.com/office/drawing/2010/main" val="0"/>
                              </a:ext>
                            </a:extLst>
                          </a:blip>
                          <a:srcRect l="10532" t="665"/>
                          <a:stretch>
                            <a:fillRect/>
                          </a:stretch>
                        </pic:blipFill>
                        <pic:spPr>
                          <a:xfrm>
                            <a:off x="0" y="0"/>
                            <a:ext cx="2080895" cy="2364740"/>
                          </a:xfrm>
                          <a:prstGeom prst="rect">
                            <a:avLst/>
                          </a:prstGeom>
                          <a:noFill/>
                          <a:ln>
                            <a:noFill/>
                          </a:ln>
                        </pic:spPr>
                      </pic:pic>
                    </a:graphicData>
                  </a:graphic>
                </wp:inline>
              </w:drawing>
            </w:r>
          </w:p>
        </w:tc>
      </w:tr>
      <w:tr w14:paraId="272F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5154" w:type="dxa"/>
            <w:gridSpan w:val="2"/>
            <w:tcBorders>
              <w:top w:val="single" w:color="auto" w:sz="4" w:space="0"/>
              <w:left w:val="single" w:color="auto" w:sz="4" w:space="0"/>
              <w:bottom w:val="single" w:color="auto" w:sz="4" w:space="0"/>
              <w:right w:val="single" w:color="auto" w:sz="4" w:space="0"/>
            </w:tcBorders>
            <w:vAlign w:val="center"/>
          </w:tcPr>
          <w:p w14:paraId="28A74329">
            <w:pPr>
              <w:pStyle w:val="45"/>
              <w:rPr>
                <w:rFonts w:hint="eastAsia"/>
                <w:color w:val="auto"/>
              </w:rPr>
            </w:pPr>
            <w:r>
              <w:rPr>
                <w:rFonts w:hint="eastAsia"/>
                <w:color w:val="auto"/>
              </w:rPr>
              <w:t>加锁母型</w:t>
            </w:r>
          </w:p>
        </w:tc>
        <w:tc>
          <w:tcPr>
            <w:tcW w:w="3781" w:type="dxa"/>
            <w:gridSpan w:val="2"/>
            <w:tcBorders>
              <w:top w:val="single" w:color="auto" w:sz="4" w:space="0"/>
              <w:left w:val="single" w:color="auto" w:sz="4" w:space="0"/>
              <w:bottom w:val="single" w:color="auto" w:sz="4" w:space="0"/>
              <w:right w:val="single" w:color="auto" w:sz="4" w:space="0"/>
            </w:tcBorders>
            <w:vAlign w:val="center"/>
          </w:tcPr>
          <w:p w14:paraId="33C85343">
            <w:pPr>
              <w:pStyle w:val="45"/>
              <w:rPr>
                <w:rFonts w:hint="eastAsia"/>
                <w:color w:val="auto"/>
              </w:rPr>
            </w:pPr>
            <w:r>
              <w:rPr>
                <w:rFonts w:hint="eastAsia"/>
                <w:color w:val="auto"/>
              </w:rPr>
              <w:t>异径型</w:t>
            </w:r>
          </w:p>
        </w:tc>
      </w:tr>
    </w:tbl>
    <w:p w14:paraId="519C0317">
      <w:pPr>
        <w:rPr>
          <w:color w:val="auto"/>
        </w:rPr>
      </w:pPr>
      <w:r>
        <w:rPr>
          <w:color w:val="auto"/>
        </w:rPr>
        <w:t>2</w:t>
      </w:r>
      <w:r>
        <w:rPr>
          <w:rFonts w:hint="eastAsia"/>
          <w:color w:val="auto"/>
        </w:rPr>
        <w:t>、电渣压力焊</w:t>
      </w:r>
    </w:p>
    <w:p w14:paraId="692F7194">
      <w:pPr>
        <w:rPr>
          <w:color w:val="auto"/>
        </w:rPr>
      </w:pPr>
      <w:r>
        <w:rPr>
          <w:rFonts w:hint="eastAsia"/>
          <w:color w:val="auto"/>
        </w:rPr>
        <w:t>电渣压力焊的焊接过程包括四个阶段：引弧过程、电弧过程、电渣过程和顶压过程。</w:t>
      </w:r>
    </w:p>
    <w:p w14:paraId="5C252E01">
      <w:pPr>
        <w:rPr>
          <w:color w:val="auto"/>
        </w:rPr>
      </w:pPr>
      <w:r>
        <w:rPr>
          <w:rFonts w:hint="eastAsia"/>
          <w:color w:val="auto"/>
        </w:rPr>
        <w:t>焊接开始时，首先在上、下两钢筋端面之间引燃电弧，使电弧周围焊剂熔化形成空穴；随之焊接电弧在两钢筋之间燃烧，电弧热将两钢筋端部熔化，熔化的金属形成熔池，熔融的焊剂形成熔渣（渣池），覆盖于熔池之上，此时，随着电弧的燃烧，上、下两钢筋羰部逐渐熔化，将上钢筋不断下送，以保持电弧的稳定，继续电弧过程；随电弧过程的延续，两钢筋端部熔化量增加，熔池和渣池加深，待达到一定深度时，加快上钢筋的下送速度，使其端部直接与渣池接触，这时，电弧熄灭而变电弧过程为电渣过程；待电渣过程产生的电阻热使上、下两钢筋的端部达到全截面均匀加热的时候，迅速将上钢筋向下顶压，挤出全部熔渣和液态金属，随即切断焊接电源，完成了焊接工作。</w:t>
      </w:r>
    </w:p>
    <w:p w14:paraId="1962C424">
      <w:pPr>
        <w:rPr>
          <w:color w:val="auto"/>
        </w:rPr>
      </w:pPr>
      <w:r>
        <w:rPr>
          <w:color w:val="auto"/>
        </w:rPr>
        <w:t>3</w:t>
      </w:r>
      <w:r>
        <w:rPr>
          <w:rFonts w:hint="eastAsia"/>
          <w:color w:val="auto"/>
        </w:rPr>
        <w:t>、闪光对焊连接</w:t>
      </w:r>
    </w:p>
    <w:p w14:paraId="7D0B6281">
      <w:pPr>
        <w:rPr>
          <w:color w:val="auto"/>
        </w:rPr>
      </w:pPr>
      <w:r>
        <w:rPr>
          <w:rFonts w:hint="eastAsia"/>
          <w:color w:val="auto"/>
        </w:rPr>
        <w:t>连续闪光焊的工艺方法：将钢筋夹紧在对焊机的钳口上，接通电源后，使两钢筋端面局部接触，此时钢筋端面的接触点在高电流密度作用下迅速熔化、蒸发、爆破，呈高温粒状金属从焊口内高速飞溅出来；当旧的接触点爆破后，又形成新的接触点，这就出现连续不断爆破过程，钢筋金属连续不断送进（以一定送进速度适应其焊接过程的烧化速度）。钢筋经过一定时间的烧化，使其焊口达到所需要的温度，并使热量扩散到焊口两边，形成一定宽度的温度区，这时，以相当压力予以顶锻，将液态金属排挤在焊口之外，使钢筋焊合，并在焊口周围形成大量毛刺。由于热影响区较窄，故在接合面周围形成较小的凸起，焊接过程结束。</w:t>
      </w:r>
    </w:p>
    <w:p w14:paraId="38CEEF5E">
      <w:pPr>
        <w:pStyle w:val="6"/>
        <w:ind w:firstLine="480"/>
        <w:rPr>
          <w:color w:val="auto"/>
        </w:rPr>
      </w:pPr>
      <w:r>
        <w:rPr>
          <w:rFonts w:hint="eastAsia"/>
          <w:color w:val="auto"/>
        </w:rPr>
        <w:t>钢筋绑扎</w:t>
      </w:r>
    </w:p>
    <w:p w14:paraId="75C1B067">
      <w:pPr>
        <w:rPr>
          <w:color w:val="auto"/>
        </w:rPr>
      </w:pPr>
      <w:r>
        <w:rPr>
          <w:rFonts w:hint="eastAsia"/>
          <w:color w:val="auto"/>
        </w:rPr>
        <w:t>钢筋绑扎前，要认真领会设计意图，充分熟悉图纸。绑扎过程中必须注意以下几点：</w:t>
      </w:r>
    </w:p>
    <w:p w14:paraId="229955A8">
      <w:pPr>
        <w:rPr>
          <w:color w:val="auto"/>
        </w:rPr>
      </w:pPr>
      <w:r>
        <w:rPr>
          <w:rFonts w:hint="eastAsia"/>
          <w:color w:val="auto"/>
        </w:rPr>
        <w:t>1、安装预埋、预留的适时穿插，包括防雷接地引上线，紧随竖向钢筋绑扎进行，在竖向模板封闭前施工完毕，与竖向钢筋要一起通过验收。</w:t>
      </w:r>
    </w:p>
    <w:p w14:paraId="6F77D9C8">
      <w:pPr>
        <w:rPr>
          <w:color w:val="auto"/>
        </w:rPr>
      </w:pPr>
      <w:r>
        <w:rPr>
          <w:rFonts w:hint="eastAsia"/>
          <w:color w:val="auto"/>
        </w:rPr>
        <w:t>2、梁柱接头部位因梁水平钢筋纵横交错，柱头部位加密箍筋绑扎难度较大，因此，必须加强该部位施工协调。柱头模板二次封闭钢筋前要将柱箍筋套好，梁水平钢筋分层穿入时，将柱箍筋就位前，从水平模板下进行柱箍筋绑扎。</w:t>
      </w:r>
    </w:p>
    <w:p w14:paraId="63EABFFF">
      <w:pPr>
        <w:rPr>
          <w:color w:val="auto"/>
        </w:rPr>
      </w:pPr>
      <w:r>
        <w:rPr>
          <w:rFonts w:hint="eastAsia"/>
          <w:color w:val="auto"/>
        </w:rPr>
        <w:t>1）偏中梁一侧与柱平齐时，梁箍筋从跨中向支座处逐渐缩小，使梁水平钢筋在柱主筋内侧通过，不至于造成柱主筋偏位。</w:t>
      </w:r>
    </w:p>
    <w:p w14:paraId="3FD47AAB">
      <w:pPr>
        <w:rPr>
          <w:color w:val="auto"/>
        </w:rPr>
      </w:pPr>
      <w:r>
        <w:rPr>
          <w:rFonts w:hint="eastAsia"/>
          <w:color w:val="auto"/>
        </w:rPr>
        <w:t>2）绑扎竖向钢筋时，先绑好暗柱、暗梁，再绑扎墙面钢筋。因竖向钢筋工程量较大，因此必须重点投入劳动力进行该部位施工，并且做好穿插协调，确保竖向钢筋进度满足网络计划要求。</w:t>
      </w:r>
    </w:p>
    <w:p w14:paraId="5572D493">
      <w:pPr>
        <w:rPr>
          <w:color w:val="auto"/>
        </w:rPr>
      </w:pPr>
      <w:r>
        <w:rPr>
          <w:rFonts w:hint="eastAsia"/>
          <w:color w:val="auto"/>
        </w:rPr>
        <w:t>3）柱主筋定位箍筋至少绑扎2个。</w:t>
      </w:r>
    </w:p>
    <w:p w14:paraId="3151FF2B">
      <w:pPr>
        <w:rPr>
          <w:color w:val="auto"/>
        </w:rPr>
      </w:pPr>
      <w:r>
        <w:rPr>
          <w:rFonts w:hint="eastAsia"/>
          <w:color w:val="auto"/>
        </w:rPr>
        <w:t>4）要对照图纸检查，要严格执行三检制，自检、互检后才能进行交接检，并认真做好每次检查记录，做到钢筋质量的可追溯性。</w:t>
      </w:r>
    </w:p>
    <w:p w14:paraId="31B6E073">
      <w:pPr>
        <w:rPr>
          <w:color w:val="auto"/>
        </w:rPr>
      </w:pPr>
      <w:r>
        <w:rPr>
          <w:rFonts w:hint="eastAsia"/>
          <w:color w:val="auto"/>
        </w:rPr>
        <w:t>主要施工流程如下：</w:t>
      </w:r>
    </w:p>
    <w:p w14:paraId="4FCD6EB9">
      <w:pPr>
        <w:pStyle w:val="49"/>
        <w:rPr>
          <w:rFonts w:hint="eastAsia"/>
          <w:color w:val="auto"/>
        </w:rPr>
      </w:pPr>
      <w:r>
        <w:rPr>
          <w:color w:val="auto"/>
        </w:rPr>
        <w:drawing>
          <wp:inline distT="0" distB="0" distL="0" distR="0">
            <wp:extent cx="5126355" cy="2160270"/>
            <wp:effectExtent l="9525" t="9525" r="26670" b="20955"/>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pic:cNvPicPr>
                  </pic:nvPicPr>
                  <pic:blipFill>
                    <a:blip r:embed="rId83"/>
                    <a:stretch>
                      <a:fillRect/>
                    </a:stretch>
                  </pic:blipFill>
                  <pic:spPr>
                    <a:xfrm>
                      <a:off x="0" y="0"/>
                      <a:ext cx="5126355" cy="2160270"/>
                    </a:xfrm>
                    <a:prstGeom prst="rect">
                      <a:avLst/>
                    </a:prstGeom>
                    <a:ln>
                      <a:solidFill>
                        <a:sysClr val="windowText" lastClr="000000"/>
                      </a:solidFill>
                    </a:ln>
                  </pic:spPr>
                </pic:pic>
              </a:graphicData>
            </a:graphic>
          </wp:inline>
        </w:drawing>
      </w:r>
    </w:p>
    <w:p w14:paraId="171D8BF9">
      <w:pPr>
        <w:pStyle w:val="53"/>
        <w:rPr>
          <w:color w:val="auto"/>
        </w:rPr>
      </w:pPr>
      <w:r>
        <w:rPr>
          <w:rFonts w:hint="eastAsia"/>
          <w:color w:val="auto"/>
        </w:rPr>
        <w:t>钢筋工程施工流程图</w:t>
      </w:r>
    </w:p>
    <w:p w14:paraId="638F7DFC">
      <w:pPr>
        <w:pStyle w:val="6"/>
        <w:ind w:firstLine="480"/>
        <w:rPr>
          <w:color w:val="auto"/>
        </w:rPr>
      </w:pPr>
      <w:r>
        <w:rPr>
          <w:rFonts w:hint="eastAsia"/>
          <w:color w:val="auto"/>
        </w:rPr>
        <w:t>质量控制要求</w:t>
      </w:r>
    </w:p>
    <w:p w14:paraId="12E12509">
      <w:pPr>
        <w:rPr>
          <w:color w:val="auto"/>
        </w:rPr>
      </w:pPr>
      <w:r>
        <w:rPr>
          <w:rFonts w:hint="eastAsia"/>
          <w:color w:val="auto"/>
        </w:rPr>
        <w:t>1、严格控制钢筋材质：凡进场的钢材必须具有出厂合格证，批量进场，验收时不但要核对数量，还必须核对成捆钢筋上的标牌确认物证相符。进场钢材在指定场地堆码。按规范要求取样检验合格后方可使用。不合格的钢材必须立即清退出场。</w:t>
      </w:r>
    </w:p>
    <w:p w14:paraId="625680BE">
      <w:pPr>
        <w:rPr>
          <w:color w:val="auto"/>
        </w:rPr>
      </w:pPr>
      <w:r>
        <w:rPr>
          <w:rFonts w:hint="eastAsia"/>
          <w:color w:val="auto"/>
        </w:rPr>
        <w:t>2、加工每种型号钢筋前必须先加工样品，由钢筋翻样员、钢筋工长、质检员和技术员共同检验，必要时请试验员送检，确认符合设计及规范要求后，方可成批量进行制作加工。</w:t>
      </w:r>
    </w:p>
    <w:p w14:paraId="2B95D4E3">
      <w:pPr>
        <w:rPr>
          <w:color w:val="auto"/>
        </w:rPr>
      </w:pPr>
      <w:r>
        <w:rPr>
          <w:rFonts w:hint="eastAsia"/>
          <w:color w:val="auto"/>
        </w:rPr>
        <w:t>3、严格控制直螺纹加工质量：先做试件，试件外观及物理力学性能检验合格确认工艺后，方可成批制作，制作的成品应逐个进行外观质量检查，不合格者不得使用。</w:t>
      </w:r>
    </w:p>
    <w:p w14:paraId="2E14D677">
      <w:pPr>
        <w:rPr>
          <w:color w:val="auto"/>
        </w:rPr>
      </w:pPr>
      <w:r>
        <w:rPr>
          <w:rFonts w:hint="eastAsia"/>
          <w:color w:val="auto"/>
        </w:rPr>
        <w:t>4、钢筋焊接前、必须根据施工条件进行试焊，试焊合格后方可施焊。</w:t>
      </w:r>
    </w:p>
    <w:p w14:paraId="70747070">
      <w:pPr>
        <w:rPr>
          <w:color w:val="auto"/>
        </w:rPr>
      </w:pPr>
      <w:r>
        <w:rPr>
          <w:rFonts w:hint="eastAsia"/>
          <w:color w:val="auto"/>
        </w:rPr>
        <w:t>5、焊工、直螺纹车丝操作工人必须持证上岗。</w:t>
      </w:r>
    </w:p>
    <w:p w14:paraId="3E0A7764">
      <w:pPr>
        <w:pStyle w:val="5"/>
        <w:rPr>
          <w:color w:val="auto"/>
        </w:rPr>
      </w:pPr>
      <w:bookmarkStart w:id="164" w:name="_Toc19573"/>
      <w:r>
        <w:rPr>
          <w:rFonts w:hint="eastAsia"/>
          <w:color w:val="auto"/>
        </w:rPr>
        <w:t>模板工程</w:t>
      </w:r>
      <w:bookmarkEnd w:id="164"/>
    </w:p>
    <w:p w14:paraId="3293172A">
      <w:pPr>
        <w:pStyle w:val="6"/>
        <w:ind w:firstLine="480"/>
        <w:rPr>
          <w:color w:val="auto"/>
        </w:rPr>
      </w:pPr>
      <w:r>
        <w:rPr>
          <w:rFonts w:hint="eastAsia"/>
          <w:color w:val="auto"/>
        </w:rPr>
        <w:t>概况</w:t>
      </w:r>
    </w:p>
    <w:p w14:paraId="4FEC65F2">
      <w:pPr>
        <w:rPr>
          <w:color w:val="auto"/>
        </w:rPr>
      </w:pPr>
      <w:r>
        <w:rPr>
          <w:rFonts w:hint="eastAsia"/>
          <w:color w:val="auto"/>
        </w:rPr>
        <w:t>根据本工程招标文件要求，本工程地下室选用木模板+木枋背楞加固体系，正负零以上选用木模体系。</w:t>
      </w:r>
    </w:p>
    <w:p w14:paraId="3B0FDDE4">
      <w:pPr>
        <w:pStyle w:val="6"/>
        <w:ind w:firstLine="480"/>
        <w:rPr>
          <w:color w:val="auto"/>
        </w:rPr>
      </w:pPr>
      <w:r>
        <w:rPr>
          <w:rFonts w:hint="eastAsia"/>
          <w:color w:val="auto"/>
        </w:rPr>
        <w:t>木模板工程</w:t>
      </w:r>
    </w:p>
    <w:p w14:paraId="6AC039A9">
      <w:pPr>
        <w:rPr>
          <w:color w:val="auto"/>
        </w:rPr>
      </w:pPr>
      <w:r>
        <w:rPr>
          <w:rFonts w:hint="eastAsia"/>
          <w:color w:val="auto"/>
        </w:rPr>
        <w:t>1、模板选型</w:t>
      </w:r>
    </w:p>
    <w:p w14:paraId="6B70ED52">
      <w:pPr>
        <w:rPr>
          <w:color w:val="auto"/>
        </w:rPr>
      </w:pPr>
      <w:r>
        <w:rPr>
          <w:rFonts w:hint="eastAsia"/>
          <w:color w:val="auto"/>
        </w:rPr>
        <w:t>结合本工程特点，本工程模板采用以下模板体系。</w:t>
      </w:r>
    </w:p>
    <w:p w14:paraId="664D5654">
      <w:pPr>
        <w:pStyle w:val="54"/>
        <w:rPr>
          <w:color w:val="auto"/>
        </w:rPr>
      </w:pPr>
      <w:r>
        <w:rPr>
          <w:rFonts w:hint="eastAsia"/>
          <w:color w:val="auto"/>
        </w:rPr>
        <w:t>模板选型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4"/>
        <w:gridCol w:w="897"/>
        <w:gridCol w:w="6828"/>
        <w:gridCol w:w="821"/>
      </w:tblGrid>
      <w:tr w14:paraId="7016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3FF5B1F4">
            <w:pPr>
              <w:pStyle w:val="45"/>
              <w:rPr>
                <w:rFonts w:hint="eastAsia"/>
                <w:color w:val="auto"/>
              </w:rPr>
            </w:pPr>
            <w:r>
              <w:rPr>
                <w:rFonts w:hint="eastAsia"/>
                <w:color w:val="auto"/>
              </w:rPr>
              <w:t>序号</w:t>
            </w:r>
          </w:p>
        </w:tc>
        <w:tc>
          <w:tcPr>
            <w:tcW w:w="495" w:type="pct"/>
            <w:vAlign w:val="center"/>
          </w:tcPr>
          <w:p w14:paraId="4FB8A486">
            <w:pPr>
              <w:pStyle w:val="45"/>
              <w:rPr>
                <w:rFonts w:hint="eastAsia"/>
                <w:color w:val="auto"/>
              </w:rPr>
            </w:pPr>
            <w:r>
              <w:rPr>
                <w:rFonts w:hint="eastAsia"/>
                <w:color w:val="auto"/>
              </w:rPr>
              <w:t>分项工程</w:t>
            </w:r>
          </w:p>
        </w:tc>
        <w:tc>
          <w:tcPr>
            <w:tcW w:w="3768" w:type="pct"/>
            <w:vAlign w:val="center"/>
          </w:tcPr>
          <w:p w14:paraId="798C7C12">
            <w:pPr>
              <w:pStyle w:val="45"/>
              <w:rPr>
                <w:rFonts w:hint="eastAsia"/>
                <w:color w:val="auto"/>
              </w:rPr>
            </w:pPr>
            <w:r>
              <w:rPr>
                <w:rFonts w:hint="eastAsia"/>
                <w:color w:val="auto"/>
              </w:rPr>
              <w:t>模板选型</w:t>
            </w:r>
          </w:p>
        </w:tc>
        <w:tc>
          <w:tcPr>
            <w:tcW w:w="453" w:type="pct"/>
            <w:vAlign w:val="center"/>
          </w:tcPr>
          <w:p w14:paraId="1D80C51D">
            <w:pPr>
              <w:pStyle w:val="45"/>
              <w:rPr>
                <w:rFonts w:hint="eastAsia"/>
                <w:color w:val="auto"/>
              </w:rPr>
            </w:pPr>
            <w:r>
              <w:rPr>
                <w:rFonts w:hint="eastAsia"/>
                <w:color w:val="auto"/>
              </w:rPr>
              <w:t>备注</w:t>
            </w:r>
          </w:p>
        </w:tc>
      </w:tr>
      <w:tr w14:paraId="0D92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2FDFBEC3">
            <w:pPr>
              <w:pStyle w:val="45"/>
              <w:rPr>
                <w:rFonts w:hint="eastAsia"/>
                <w:color w:val="auto"/>
              </w:rPr>
            </w:pPr>
            <w:r>
              <w:rPr>
                <w:rFonts w:hint="eastAsia"/>
                <w:color w:val="auto"/>
              </w:rPr>
              <w:t>1</w:t>
            </w:r>
          </w:p>
        </w:tc>
        <w:tc>
          <w:tcPr>
            <w:tcW w:w="495" w:type="pct"/>
            <w:vAlign w:val="center"/>
          </w:tcPr>
          <w:p w14:paraId="35A606B2">
            <w:pPr>
              <w:pStyle w:val="45"/>
              <w:rPr>
                <w:rFonts w:hint="eastAsia"/>
                <w:color w:val="auto"/>
              </w:rPr>
            </w:pPr>
            <w:r>
              <w:rPr>
                <w:rFonts w:hint="eastAsia"/>
                <w:color w:val="auto"/>
              </w:rPr>
              <w:t>地下室外墙模板</w:t>
            </w:r>
          </w:p>
        </w:tc>
        <w:tc>
          <w:tcPr>
            <w:tcW w:w="3768" w:type="pct"/>
            <w:vAlign w:val="center"/>
          </w:tcPr>
          <w:p w14:paraId="3D5BBBEC">
            <w:pPr>
              <w:pStyle w:val="45"/>
              <w:rPr>
                <w:rFonts w:hint="eastAsia"/>
                <w:color w:val="auto"/>
              </w:rPr>
            </w:pPr>
            <w:r>
              <w:rPr>
                <w:rFonts w:hint="eastAsia"/>
                <w:color w:val="auto"/>
              </w:rPr>
              <w:t>外模采用大模板，1</w:t>
            </w:r>
            <w:r>
              <w:rPr>
                <w:color w:val="auto"/>
              </w:rPr>
              <w:t>5</w:t>
            </w:r>
            <w:r>
              <w:rPr>
                <w:rFonts w:hint="eastAsia"/>
                <w:color w:val="auto"/>
              </w:rPr>
              <w:t>mm厚木胶合板面板</w:t>
            </w:r>
            <w:r>
              <w:rPr>
                <w:color w:val="auto"/>
              </w:rPr>
              <w:t>/4</w:t>
            </w:r>
            <w:r>
              <w:rPr>
                <w:rFonts w:hint="eastAsia"/>
                <w:color w:val="auto"/>
              </w:rPr>
              <w:t>0×</w:t>
            </w:r>
            <w:r>
              <w:rPr>
                <w:color w:val="auto"/>
              </w:rPr>
              <w:t>9</w:t>
            </w:r>
            <w:r>
              <w:rPr>
                <w:rFonts w:hint="eastAsia"/>
                <w:color w:val="auto"/>
              </w:rPr>
              <w:t>0木枋背楞</w:t>
            </w:r>
            <w:r>
              <w:rPr>
                <w:color w:val="auto"/>
              </w:rPr>
              <w:t>/</w:t>
            </w:r>
            <w:r>
              <w:rPr>
                <w:rFonts w:hint="eastAsia"/>
                <w:color w:val="auto"/>
              </w:rPr>
              <w:t>Φ48×3.</w:t>
            </w:r>
            <w:r>
              <w:rPr>
                <w:color w:val="auto"/>
              </w:rPr>
              <w:t>6</w:t>
            </w:r>
            <w:r>
              <w:rPr>
                <w:rFonts w:hint="eastAsia"/>
                <w:color w:val="auto"/>
              </w:rPr>
              <w:t>钢管背楞</w:t>
            </w:r>
          </w:p>
        </w:tc>
        <w:tc>
          <w:tcPr>
            <w:tcW w:w="453" w:type="pct"/>
            <w:vAlign w:val="center"/>
          </w:tcPr>
          <w:p w14:paraId="03451DBC">
            <w:pPr>
              <w:pStyle w:val="45"/>
              <w:rPr>
                <w:rFonts w:hint="eastAsia"/>
                <w:color w:val="auto"/>
              </w:rPr>
            </w:pPr>
            <w:r>
              <w:rPr>
                <w:rFonts w:hint="eastAsia"/>
                <w:color w:val="auto"/>
              </w:rPr>
              <w:t>防水对拉螺栓</w:t>
            </w:r>
          </w:p>
        </w:tc>
      </w:tr>
      <w:tr w14:paraId="143D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46D28E32">
            <w:pPr>
              <w:pStyle w:val="45"/>
              <w:rPr>
                <w:rFonts w:hint="eastAsia"/>
                <w:color w:val="auto"/>
              </w:rPr>
            </w:pPr>
            <w:r>
              <w:rPr>
                <w:rFonts w:hint="eastAsia"/>
                <w:color w:val="auto"/>
              </w:rPr>
              <w:t>2</w:t>
            </w:r>
          </w:p>
        </w:tc>
        <w:tc>
          <w:tcPr>
            <w:tcW w:w="495" w:type="pct"/>
            <w:vAlign w:val="center"/>
          </w:tcPr>
          <w:p w14:paraId="16A5F38D">
            <w:pPr>
              <w:pStyle w:val="45"/>
              <w:rPr>
                <w:rFonts w:hint="eastAsia"/>
                <w:color w:val="auto"/>
              </w:rPr>
            </w:pPr>
            <w:r>
              <w:rPr>
                <w:rFonts w:hint="eastAsia"/>
                <w:color w:val="auto"/>
              </w:rPr>
              <w:t>柱模板</w:t>
            </w:r>
          </w:p>
        </w:tc>
        <w:tc>
          <w:tcPr>
            <w:tcW w:w="3768" w:type="pct"/>
            <w:vAlign w:val="center"/>
          </w:tcPr>
          <w:p w14:paraId="777D2476">
            <w:pPr>
              <w:pStyle w:val="45"/>
              <w:rPr>
                <w:rFonts w:hint="eastAsia"/>
                <w:color w:val="auto"/>
              </w:rPr>
            </w:pPr>
            <w:r>
              <w:rPr>
                <w:rFonts w:hint="eastAsia"/>
                <w:color w:val="auto"/>
              </w:rPr>
              <w:t>1</w:t>
            </w:r>
            <w:r>
              <w:rPr>
                <w:color w:val="auto"/>
              </w:rPr>
              <w:t>5</w:t>
            </w:r>
            <w:r>
              <w:rPr>
                <w:rFonts w:hint="eastAsia"/>
                <w:color w:val="auto"/>
              </w:rPr>
              <w:t>mm厚木模板，柱≥800mm时采用14#槽钢背楞，≤800时采用双钢管背楞；高强对拉螺栓拉结加固，Φ48×3.</w:t>
            </w:r>
            <w:r>
              <w:rPr>
                <w:color w:val="auto"/>
              </w:rPr>
              <w:t>6</w:t>
            </w:r>
            <w:r>
              <w:rPr>
                <w:rFonts w:hint="eastAsia"/>
                <w:color w:val="auto"/>
              </w:rPr>
              <w:t>钢管支撑体系</w:t>
            </w:r>
          </w:p>
        </w:tc>
        <w:tc>
          <w:tcPr>
            <w:tcW w:w="453" w:type="pct"/>
            <w:vAlign w:val="center"/>
          </w:tcPr>
          <w:p w14:paraId="16ECC492">
            <w:pPr>
              <w:pStyle w:val="45"/>
              <w:rPr>
                <w:rFonts w:hint="eastAsia"/>
                <w:color w:val="auto"/>
              </w:rPr>
            </w:pPr>
          </w:p>
        </w:tc>
      </w:tr>
      <w:tr w14:paraId="5DCF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23AF25B1">
            <w:pPr>
              <w:pStyle w:val="45"/>
              <w:rPr>
                <w:rFonts w:hint="eastAsia"/>
                <w:color w:val="auto"/>
              </w:rPr>
            </w:pPr>
            <w:r>
              <w:rPr>
                <w:color w:val="auto"/>
              </w:rPr>
              <w:t>3</w:t>
            </w:r>
          </w:p>
        </w:tc>
        <w:tc>
          <w:tcPr>
            <w:tcW w:w="495" w:type="pct"/>
            <w:vAlign w:val="center"/>
          </w:tcPr>
          <w:p w14:paraId="1145C8E7">
            <w:pPr>
              <w:pStyle w:val="45"/>
              <w:rPr>
                <w:rFonts w:hint="eastAsia"/>
                <w:color w:val="auto"/>
              </w:rPr>
            </w:pPr>
            <w:r>
              <w:rPr>
                <w:rFonts w:hint="eastAsia"/>
                <w:color w:val="auto"/>
              </w:rPr>
              <w:t>剪力墙模板</w:t>
            </w:r>
          </w:p>
        </w:tc>
        <w:tc>
          <w:tcPr>
            <w:tcW w:w="3768" w:type="pct"/>
            <w:vAlign w:val="center"/>
          </w:tcPr>
          <w:p w14:paraId="3D38F1FA">
            <w:pPr>
              <w:pStyle w:val="45"/>
              <w:rPr>
                <w:rFonts w:hint="eastAsia"/>
                <w:color w:val="auto"/>
              </w:rPr>
            </w:pPr>
            <w:r>
              <w:rPr>
                <w:rFonts w:hint="eastAsia"/>
                <w:color w:val="auto"/>
              </w:rPr>
              <w:t>1</w:t>
            </w:r>
            <w:r>
              <w:rPr>
                <w:color w:val="auto"/>
              </w:rPr>
              <w:t>5</w:t>
            </w:r>
            <w:r>
              <w:rPr>
                <w:rFonts w:hint="eastAsia"/>
                <w:color w:val="auto"/>
              </w:rPr>
              <w:t>mm厚木胶合板面板</w:t>
            </w:r>
            <w:r>
              <w:rPr>
                <w:color w:val="auto"/>
              </w:rPr>
              <w:t>/</w:t>
            </w:r>
            <w:r>
              <w:rPr>
                <w:rFonts w:hint="eastAsia"/>
                <w:color w:val="auto"/>
              </w:rPr>
              <w:t>40×90木枋背楞</w:t>
            </w:r>
            <w:r>
              <w:rPr>
                <w:color w:val="auto"/>
              </w:rPr>
              <w:t>/</w:t>
            </w:r>
            <w:r>
              <w:rPr>
                <w:rFonts w:hint="eastAsia"/>
                <w:color w:val="auto"/>
              </w:rPr>
              <w:t>Φ48×3.</w:t>
            </w:r>
            <w:r>
              <w:rPr>
                <w:color w:val="auto"/>
              </w:rPr>
              <w:t>6</w:t>
            </w:r>
            <w:r>
              <w:rPr>
                <w:rFonts w:hint="eastAsia"/>
                <w:color w:val="auto"/>
              </w:rPr>
              <w:t>钢管背楞</w:t>
            </w:r>
          </w:p>
        </w:tc>
        <w:tc>
          <w:tcPr>
            <w:tcW w:w="453" w:type="pct"/>
            <w:vAlign w:val="center"/>
          </w:tcPr>
          <w:p w14:paraId="4CA7D62B">
            <w:pPr>
              <w:pStyle w:val="45"/>
              <w:rPr>
                <w:rFonts w:hint="eastAsia"/>
                <w:color w:val="auto"/>
              </w:rPr>
            </w:pPr>
            <w:r>
              <w:rPr>
                <w:rFonts w:hint="eastAsia"/>
                <w:color w:val="auto"/>
              </w:rPr>
              <w:t>对拉螺栓</w:t>
            </w:r>
          </w:p>
        </w:tc>
      </w:tr>
      <w:tr w14:paraId="4D02E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0EDCFE81">
            <w:pPr>
              <w:pStyle w:val="45"/>
              <w:rPr>
                <w:rFonts w:hint="eastAsia"/>
                <w:color w:val="auto"/>
              </w:rPr>
            </w:pPr>
            <w:r>
              <w:rPr>
                <w:color w:val="auto"/>
              </w:rPr>
              <w:t>4</w:t>
            </w:r>
          </w:p>
        </w:tc>
        <w:tc>
          <w:tcPr>
            <w:tcW w:w="495" w:type="pct"/>
            <w:vAlign w:val="center"/>
          </w:tcPr>
          <w:p w14:paraId="4F1C43A0">
            <w:pPr>
              <w:pStyle w:val="45"/>
              <w:rPr>
                <w:rFonts w:hint="eastAsia"/>
                <w:color w:val="auto"/>
              </w:rPr>
            </w:pPr>
            <w:r>
              <w:rPr>
                <w:rFonts w:hint="eastAsia"/>
                <w:color w:val="auto"/>
              </w:rPr>
              <w:t>梁模板</w:t>
            </w:r>
          </w:p>
        </w:tc>
        <w:tc>
          <w:tcPr>
            <w:tcW w:w="3768" w:type="pct"/>
            <w:vAlign w:val="center"/>
          </w:tcPr>
          <w:p w14:paraId="0A5B23C6">
            <w:pPr>
              <w:pStyle w:val="45"/>
              <w:rPr>
                <w:rFonts w:hint="eastAsia"/>
                <w:color w:val="auto"/>
              </w:rPr>
            </w:pPr>
            <w:r>
              <w:rPr>
                <w:rFonts w:hint="eastAsia"/>
                <w:color w:val="auto"/>
              </w:rPr>
              <w:t>1</w:t>
            </w:r>
            <w:r>
              <w:rPr>
                <w:color w:val="auto"/>
              </w:rPr>
              <w:t>5</w:t>
            </w:r>
            <w:r>
              <w:rPr>
                <w:rFonts w:hint="eastAsia"/>
                <w:color w:val="auto"/>
              </w:rPr>
              <w:t>mm厚木胶合板面板</w:t>
            </w:r>
            <w:r>
              <w:rPr>
                <w:color w:val="auto"/>
              </w:rPr>
              <w:t>/</w:t>
            </w:r>
            <w:r>
              <w:rPr>
                <w:rFonts w:hint="eastAsia"/>
                <w:color w:val="auto"/>
              </w:rPr>
              <w:t>40×90木枋背楞</w:t>
            </w:r>
            <w:r>
              <w:rPr>
                <w:color w:val="auto"/>
              </w:rPr>
              <w:t>/</w:t>
            </w:r>
            <w:r>
              <w:rPr>
                <w:rFonts w:hint="eastAsia"/>
                <w:color w:val="auto"/>
              </w:rPr>
              <w:t>Φ48×3.6钢管背楞，盘扣支撑体系。梁截面较高时，梁侧面采用高强对拉螺栓拉结加固，并在两侧加设Φ48×3.</w:t>
            </w:r>
            <w:r>
              <w:rPr>
                <w:color w:val="auto"/>
              </w:rPr>
              <w:t>6</w:t>
            </w:r>
            <w:r>
              <w:rPr>
                <w:rFonts w:hint="eastAsia"/>
                <w:color w:val="auto"/>
              </w:rPr>
              <w:t>钢管斜撑，梁底模下加顶撑杆</w:t>
            </w:r>
          </w:p>
        </w:tc>
        <w:tc>
          <w:tcPr>
            <w:tcW w:w="453" w:type="pct"/>
            <w:vAlign w:val="center"/>
          </w:tcPr>
          <w:p w14:paraId="657823D1">
            <w:pPr>
              <w:pStyle w:val="45"/>
              <w:rPr>
                <w:rFonts w:hint="eastAsia"/>
                <w:color w:val="auto"/>
              </w:rPr>
            </w:pPr>
          </w:p>
        </w:tc>
      </w:tr>
      <w:tr w14:paraId="3A4C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047CF6F6">
            <w:pPr>
              <w:pStyle w:val="45"/>
              <w:rPr>
                <w:rFonts w:hint="eastAsia"/>
                <w:color w:val="auto"/>
              </w:rPr>
            </w:pPr>
            <w:r>
              <w:rPr>
                <w:rFonts w:hint="eastAsia"/>
                <w:color w:val="auto"/>
              </w:rPr>
              <w:t>5</w:t>
            </w:r>
          </w:p>
        </w:tc>
        <w:tc>
          <w:tcPr>
            <w:tcW w:w="495" w:type="pct"/>
            <w:vAlign w:val="center"/>
          </w:tcPr>
          <w:p w14:paraId="491AFFED">
            <w:pPr>
              <w:pStyle w:val="45"/>
              <w:rPr>
                <w:rFonts w:hint="eastAsia"/>
                <w:color w:val="auto"/>
              </w:rPr>
            </w:pPr>
            <w:r>
              <w:rPr>
                <w:rFonts w:hint="eastAsia"/>
                <w:color w:val="auto"/>
              </w:rPr>
              <w:t>楼板模板</w:t>
            </w:r>
          </w:p>
        </w:tc>
        <w:tc>
          <w:tcPr>
            <w:tcW w:w="3768" w:type="pct"/>
            <w:vAlign w:val="center"/>
          </w:tcPr>
          <w:p w14:paraId="2BD908A8">
            <w:pPr>
              <w:pStyle w:val="45"/>
              <w:rPr>
                <w:rFonts w:hint="eastAsia"/>
                <w:color w:val="auto"/>
              </w:rPr>
            </w:pPr>
            <w:r>
              <w:rPr>
                <w:rFonts w:hint="eastAsia"/>
                <w:color w:val="auto"/>
              </w:rPr>
              <w:t>1</w:t>
            </w:r>
            <w:r>
              <w:rPr>
                <w:color w:val="auto"/>
              </w:rPr>
              <w:t>5</w:t>
            </w:r>
            <w:r>
              <w:rPr>
                <w:rFonts w:hint="eastAsia"/>
                <w:color w:val="auto"/>
              </w:rPr>
              <w:t>mm厚木胶合板面板</w:t>
            </w:r>
            <w:r>
              <w:rPr>
                <w:color w:val="auto"/>
              </w:rPr>
              <w:t>/</w:t>
            </w:r>
            <w:r>
              <w:rPr>
                <w:rFonts w:hint="eastAsia"/>
                <w:color w:val="auto"/>
              </w:rPr>
              <w:t>40×90木枋背楞</w:t>
            </w:r>
            <w:r>
              <w:rPr>
                <w:color w:val="auto"/>
              </w:rPr>
              <w:t>/</w:t>
            </w:r>
            <w:r>
              <w:rPr>
                <w:rFonts w:hint="eastAsia"/>
                <w:color w:val="auto"/>
              </w:rPr>
              <w:t>Φ48×3.6钢管背楞，Φ48×3.</w:t>
            </w:r>
            <w:r>
              <w:rPr>
                <w:color w:val="auto"/>
              </w:rPr>
              <w:t>2</w:t>
            </w:r>
            <w:r>
              <w:rPr>
                <w:rFonts w:hint="eastAsia"/>
                <w:color w:val="auto"/>
              </w:rPr>
              <w:t>钢管支撑体系、盘扣架支撑体系</w:t>
            </w:r>
          </w:p>
        </w:tc>
        <w:tc>
          <w:tcPr>
            <w:tcW w:w="453" w:type="pct"/>
            <w:vAlign w:val="center"/>
          </w:tcPr>
          <w:p w14:paraId="402DDB8A">
            <w:pPr>
              <w:pStyle w:val="45"/>
              <w:rPr>
                <w:rFonts w:hint="eastAsia"/>
                <w:color w:val="auto"/>
              </w:rPr>
            </w:pPr>
          </w:p>
        </w:tc>
      </w:tr>
      <w:tr w14:paraId="0558C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 w:type="pct"/>
            <w:vAlign w:val="center"/>
          </w:tcPr>
          <w:p w14:paraId="13AA052D">
            <w:pPr>
              <w:pStyle w:val="45"/>
              <w:rPr>
                <w:rFonts w:hint="eastAsia"/>
                <w:color w:val="auto"/>
              </w:rPr>
            </w:pPr>
            <w:r>
              <w:rPr>
                <w:rFonts w:hint="eastAsia"/>
                <w:color w:val="auto"/>
              </w:rPr>
              <w:t>6</w:t>
            </w:r>
          </w:p>
        </w:tc>
        <w:tc>
          <w:tcPr>
            <w:tcW w:w="495" w:type="pct"/>
            <w:vAlign w:val="center"/>
          </w:tcPr>
          <w:p w14:paraId="7C9549A3">
            <w:pPr>
              <w:pStyle w:val="45"/>
              <w:rPr>
                <w:rFonts w:hint="eastAsia"/>
                <w:color w:val="auto"/>
              </w:rPr>
            </w:pPr>
            <w:r>
              <w:rPr>
                <w:rFonts w:hint="eastAsia"/>
                <w:color w:val="auto"/>
              </w:rPr>
              <w:t>楼梯模板</w:t>
            </w:r>
          </w:p>
        </w:tc>
        <w:tc>
          <w:tcPr>
            <w:tcW w:w="3768" w:type="pct"/>
            <w:vAlign w:val="center"/>
          </w:tcPr>
          <w:p w14:paraId="0636FE8F">
            <w:pPr>
              <w:pStyle w:val="45"/>
              <w:rPr>
                <w:rFonts w:hint="eastAsia"/>
                <w:color w:val="auto"/>
              </w:rPr>
            </w:pPr>
            <w:r>
              <w:rPr>
                <w:rFonts w:hint="eastAsia"/>
                <w:color w:val="auto"/>
              </w:rPr>
              <w:t>同梁板模板</w:t>
            </w:r>
          </w:p>
        </w:tc>
        <w:tc>
          <w:tcPr>
            <w:tcW w:w="453" w:type="pct"/>
            <w:vAlign w:val="center"/>
          </w:tcPr>
          <w:p w14:paraId="06D06FAC">
            <w:pPr>
              <w:pStyle w:val="45"/>
              <w:rPr>
                <w:rFonts w:hint="eastAsia"/>
                <w:color w:val="auto"/>
              </w:rPr>
            </w:pPr>
          </w:p>
        </w:tc>
      </w:tr>
    </w:tbl>
    <w:p w14:paraId="3965BA6E">
      <w:pPr>
        <w:rPr>
          <w:color w:val="auto"/>
        </w:rPr>
      </w:pPr>
      <w:r>
        <w:rPr>
          <w:rFonts w:hint="eastAsia"/>
          <w:color w:val="auto"/>
        </w:rPr>
        <w:t>2、模板安装</w:t>
      </w:r>
    </w:p>
    <w:p w14:paraId="0EADDF09">
      <w:pPr>
        <w:pStyle w:val="49"/>
        <w:rPr>
          <w:rFonts w:hint="eastAsia"/>
          <w:color w:val="auto"/>
        </w:rPr>
      </w:pPr>
      <w:r>
        <w:rPr>
          <w:color w:val="auto"/>
        </w:rPr>
        <w:drawing>
          <wp:inline distT="0" distB="0" distL="0" distR="0">
            <wp:extent cx="2847975" cy="5039995"/>
            <wp:effectExtent l="0" t="0" r="9525" b="8255"/>
            <wp:docPr id="342" name="图片 342" descr="C:\Users\ADMINI~1\AppData\Local\Temp\ksohtml12048\wps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图片 342" descr="C:\Users\ADMINI~1\AppData\Local\Temp\ksohtml12048\wps17.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2847975" cy="5039995"/>
                    </a:xfrm>
                    <a:prstGeom prst="rect">
                      <a:avLst/>
                    </a:prstGeom>
                    <a:noFill/>
                    <a:ln>
                      <a:noFill/>
                    </a:ln>
                  </pic:spPr>
                </pic:pic>
              </a:graphicData>
            </a:graphic>
          </wp:inline>
        </w:drawing>
      </w:r>
    </w:p>
    <w:p w14:paraId="3F522447">
      <w:pPr>
        <w:pStyle w:val="53"/>
        <w:rPr>
          <w:color w:val="auto"/>
        </w:rPr>
      </w:pPr>
      <w:r>
        <w:rPr>
          <w:rFonts w:hint="eastAsia"/>
          <w:color w:val="auto"/>
        </w:rPr>
        <w:t>模板安装工艺流程</w:t>
      </w:r>
    </w:p>
    <w:p w14:paraId="4D46809F">
      <w:pPr>
        <w:rPr>
          <w:color w:val="auto"/>
        </w:rPr>
      </w:pPr>
      <w:r>
        <w:rPr>
          <w:rFonts w:hint="eastAsia"/>
          <w:color w:val="auto"/>
        </w:rPr>
        <w:t>3、满堂架搭设</w:t>
      </w:r>
    </w:p>
    <w:p w14:paraId="24C142E2">
      <w:pPr>
        <w:rPr>
          <w:color w:val="auto"/>
        </w:rPr>
      </w:pPr>
      <w:r>
        <w:rPr>
          <w:rFonts w:hint="eastAsia"/>
          <w:color w:val="auto"/>
        </w:rPr>
        <w:t>本工程地上主体竖向结构采用散拼模板施工，满堂架采用盘扣式脚手架。满堂架的立杆上设置横向支撑用于竖向结构模板垂直度调整，并在立杆端头设置支撑作为水平结构的支撑及调整板的水平度和垂直度。地下室负一层立杆纵横间距取0.9m，步距为1.5m。搭设时拉线定位，做到横平竖直。立杆、横杆均要求采用标准杆件。</w:t>
      </w:r>
    </w:p>
    <w:p w14:paraId="252F99E4">
      <w:pPr>
        <w:rPr>
          <w:color w:val="auto"/>
        </w:rPr>
      </w:pPr>
      <w:r>
        <w:rPr>
          <w:color w:val="auto"/>
        </w:rPr>
        <w:t>4</w:t>
      </w:r>
      <w:r>
        <w:rPr>
          <w:rFonts w:hint="eastAsia"/>
          <w:color w:val="auto"/>
        </w:rPr>
        <w:t>、柱模板施工</w:t>
      </w:r>
    </w:p>
    <w:p w14:paraId="2E2F85BD">
      <w:pPr>
        <w:rPr>
          <w:color w:val="auto"/>
        </w:rPr>
      </w:pPr>
      <w:r>
        <w:rPr>
          <w:rFonts w:hint="eastAsia"/>
          <w:color w:val="auto"/>
        </w:rPr>
        <w:t>放线→焊模板下口限位钢筋→安装柱模板→槽钢柱箍加固（钢管加固）→搭设柱模板支撑架→调整垂直度→复核模板上口尺寸→预检。</w:t>
      </w:r>
    </w:p>
    <w:p w14:paraId="702A6931">
      <w:pPr>
        <w:rPr>
          <w:color w:val="auto"/>
        </w:rPr>
      </w:pPr>
      <w:r>
        <w:rPr>
          <w:rFonts w:hint="eastAsia"/>
          <w:color w:val="auto"/>
        </w:rPr>
        <w:t>本工程各种矩形柱模板采用1</w:t>
      </w:r>
      <w:r>
        <w:rPr>
          <w:color w:val="auto"/>
        </w:rPr>
        <w:t>5</w:t>
      </w:r>
      <w:r>
        <w:rPr>
          <w:rFonts w:hint="eastAsia"/>
          <w:color w:val="auto"/>
        </w:rPr>
        <w:t>mm厚木胶合板拼接，柱尺寸≥800mm时，为保证框架柱支模质量及施工速度，柱箍全部采用14#槽钢进行加固；柱尺寸较小时（&lt;800mm），为施工操作便捷，柱箍采用普通双钢管进行加固。对于截面尺寸小于800mm的结构柱柱箍间距不得大于450mm，对于截面尺寸大于800mm的结构柱，中部采用@400M14对拉螺杆进行拉结，以防柱胀模，第一排柱箍距模板底部不得大于200mm,并且在柱子的下口留设高10cm的出渣口,模板支设示意图详见下图：</w:t>
      </w:r>
    </w:p>
    <w:p w14:paraId="26126C39">
      <w:pPr>
        <w:pStyle w:val="49"/>
        <w:rPr>
          <w:rFonts w:hint="eastAsia"/>
          <w:color w:val="auto"/>
        </w:rPr>
      </w:pPr>
      <w:r>
        <w:rPr>
          <w:color w:val="auto"/>
        </w:rPr>
        <w:drawing>
          <wp:inline distT="0" distB="0" distL="0" distR="0">
            <wp:extent cx="3840480" cy="2392680"/>
            <wp:effectExtent l="0" t="0" r="7620" b="762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3840480" cy="2392680"/>
                    </a:xfrm>
                    <a:prstGeom prst="rect">
                      <a:avLst/>
                    </a:prstGeom>
                    <a:noFill/>
                    <a:ln>
                      <a:noFill/>
                    </a:ln>
                  </pic:spPr>
                </pic:pic>
              </a:graphicData>
            </a:graphic>
          </wp:inline>
        </w:drawing>
      </w:r>
    </w:p>
    <w:p w14:paraId="2BCE7E15">
      <w:pPr>
        <w:pStyle w:val="53"/>
        <w:rPr>
          <w:color w:val="auto"/>
        </w:rPr>
      </w:pPr>
      <w:r>
        <w:rPr>
          <w:rFonts w:hint="eastAsia"/>
          <w:color w:val="auto"/>
        </w:rPr>
        <w:t>柱模板加固定位示意图</w:t>
      </w:r>
    </w:p>
    <w:p w14:paraId="2BC7A806">
      <w:pPr>
        <w:rPr>
          <w:color w:val="auto"/>
        </w:rPr>
      </w:pPr>
      <w:r>
        <w:rPr>
          <w:rFonts w:hint="eastAsia"/>
          <w:color w:val="auto"/>
        </w:rPr>
        <w:t>5、墙体模板施工</w:t>
      </w:r>
    </w:p>
    <w:p w14:paraId="2585B118">
      <w:pPr>
        <w:rPr>
          <w:color w:val="auto"/>
        </w:rPr>
      </w:pPr>
      <w:r>
        <w:rPr>
          <w:rFonts w:hint="eastAsia"/>
          <w:color w:val="auto"/>
        </w:rPr>
        <w:t>模板主次楞采用100×50木枋背楞，并在其后增设横向及竖向背楞，均为2Φ48钢管，对拉螺杆为Φ14@450mm。</w:t>
      </w:r>
    </w:p>
    <w:p w14:paraId="14E7A111">
      <w:pPr>
        <w:rPr>
          <w:color w:val="auto"/>
        </w:rPr>
      </w:pPr>
      <w:r>
        <w:rPr>
          <w:rFonts w:hint="eastAsia"/>
          <w:color w:val="auto"/>
        </w:rPr>
        <w:t>墙模板安装及加固注意事项如下：</w:t>
      </w:r>
    </w:p>
    <w:p w14:paraId="151AB742">
      <w:pPr>
        <w:rPr>
          <w:color w:val="auto"/>
        </w:rPr>
      </w:pPr>
      <w:r>
        <w:rPr>
          <w:rFonts w:hint="eastAsia"/>
          <w:color w:val="auto"/>
        </w:rPr>
        <w:t>1）墙模板安装前检查钢筋是否绑扎校正完毕,电线管、电线盒、预埋件、门窗洞口等预埋是否完毕,钢筋保护层垫块是否安装到位、是否完成钢筋隐蔽工程的验收。</w:t>
      </w:r>
    </w:p>
    <w:p w14:paraId="3CF52DA7">
      <w:pPr>
        <w:rPr>
          <w:color w:val="auto"/>
        </w:rPr>
      </w:pPr>
      <w:r>
        <w:rPr>
          <w:rFonts w:hint="eastAsia"/>
          <w:color w:val="auto"/>
        </w:rPr>
        <w:t>2）安装模板前，应把墙体内木屑等清理干净，同时将模板板面清理干净,认真涂刷好脱模剂。注意:</w:t>
      </w:r>
    </w:p>
    <w:p w14:paraId="24E52EDF">
      <w:pPr>
        <w:rPr>
          <w:color w:val="auto"/>
        </w:rPr>
      </w:pPr>
      <w:r>
        <w:rPr>
          <w:rFonts w:hint="eastAsia"/>
          <w:color w:val="auto"/>
        </w:rPr>
        <w:t>a.禁止使用废机油做脱模剂；</w:t>
      </w:r>
    </w:p>
    <w:p w14:paraId="0743D444">
      <w:pPr>
        <w:rPr>
          <w:color w:val="auto"/>
        </w:rPr>
      </w:pPr>
      <w:r>
        <w:rPr>
          <w:rFonts w:hint="eastAsia"/>
          <w:color w:val="auto"/>
        </w:rPr>
        <w:t>b.不许在模板就位后刷脱模剂,以防止污染钢筋和污染砼接触面；</w:t>
      </w:r>
    </w:p>
    <w:p w14:paraId="5032F178">
      <w:pPr>
        <w:rPr>
          <w:color w:val="auto"/>
        </w:rPr>
      </w:pPr>
      <w:r>
        <w:rPr>
          <w:rFonts w:hint="eastAsia"/>
          <w:color w:val="auto"/>
        </w:rPr>
        <w:t>c.脱模剂应涂刷均匀。</w:t>
      </w:r>
    </w:p>
    <w:p w14:paraId="4D666E59">
      <w:pPr>
        <w:rPr>
          <w:color w:val="auto"/>
        </w:rPr>
      </w:pPr>
      <w:r>
        <w:rPr>
          <w:rFonts w:hint="eastAsia"/>
          <w:color w:val="auto"/>
        </w:rPr>
        <w:t>3）安装墙模板前,检查中心线、边线和模板安装线是否准确，核对无误后方可安装墙模板。</w:t>
      </w:r>
    </w:p>
    <w:p w14:paraId="6DA4196E">
      <w:pPr>
        <w:rPr>
          <w:color w:val="auto"/>
        </w:rPr>
      </w:pPr>
      <w:r>
        <w:rPr>
          <w:rFonts w:hint="eastAsia"/>
          <w:color w:val="auto"/>
        </w:rPr>
        <w:t>4）内墙体模板内必须加设钢筋内撑，内撑长度同墙体厚度，内撑位置即为对拉螺杆位置，最底排内撑应吊线焊接。</w:t>
      </w:r>
    </w:p>
    <w:p w14:paraId="4B708DA4">
      <w:pPr>
        <w:rPr>
          <w:color w:val="auto"/>
        </w:rPr>
      </w:pPr>
      <w:r>
        <w:rPr>
          <w:rFonts w:hint="eastAsia"/>
          <w:color w:val="auto"/>
        </w:rPr>
        <w:t>5）墙模板立缝、角缝宜设于木枋和胶合板所形成的企口位置，以防漏浆和错台。墙模板的水平缝背面应加木枋拼接。模板底部的缝隙，要用海棉条堵严且需在墙体模板外围用砂浆敷设。</w:t>
      </w:r>
    </w:p>
    <w:p w14:paraId="37F6B002">
      <w:pPr>
        <w:rPr>
          <w:color w:val="auto"/>
        </w:rPr>
      </w:pPr>
      <w:r>
        <w:rPr>
          <w:rFonts w:hint="eastAsia"/>
          <w:color w:val="auto"/>
        </w:rPr>
        <w:t>6）墙模板上的对拉螺杆眼必须事先画线打孔完毕，不同墙厚采用不同长度的对拉螺杆、不同部位采用相应的对拉螺杆。</w:t>
      </w:r>
    </w:p>
    <w:p w14:paraId="0DCB17FE">
      <w:pPr>
        <w:rPr>
          <w:color w:val="auto"/>
        </w:rPr>
      </w:pPr>
      <w:r>
        <w:rPr>
          <w:rFonts w:hint="eastAsia"/>
          <w:color w:val="auto"/>
        </w:rPr>
        <w:t>7）测量放线时在墙柱边线外侧弹30cm控制线，便于模板就位准确；穿墙螺栓应按设计要求，全部上好、拧紧，以防墙体超厚。</w:t>
      </w:r>
    </w:p>
    <w:p w14:paraId="436427E4">
      <w:pPr>
        <w:rPr>
          <w:color w:val="auto"/>
        </w:rPr>
      </w:pPr>
      <w:r>
        <w:rPr>
          <w:rFonts w:hint="eastAsia"/>
          <w:color w:val="auto"/>
        </w:rPr>
        <w:t>8）模板校正必须进行轴线位置、底模上表面标高、截面尺寸、垂直度、梁顶标高等各项检查。</w:t>
      </w:r>
    </w:p>
    <w:p w14:paraId="745B2DA4">
      <w:pPr>
        <w:rPr>
          <w:color w:val="auto"/>
        </w:rPr>
      </w:pPr>
      <w:r>
        <w:rPr>
          <w:rFonts w:hint="eastAsia"/>
          <w:color w:val="auto"/>
        </w:rPr>
        <w:t>9）模板支装加固完毕后，必须进行模板校正，校正无误后将加固体系与整体满堂架相连不少于三道，以保证其整体稳定性。</w:t>
      </w:r>
    </w:p>
    <w:p w14:paraId="68F2E848">
      <w:pPr>
        <w:rPr>
          <w:color w:val="auto"/>
        </w:rPr>
      </w:pPr>
      <w:r>
        <w:rPr>
          <w:rFonts w:hint="eastAsia"/>
          <w:color w:val="auto"/>
        </w:rPr>
        <w:t>10）模板校正完毕后仔细检查加固钢管是否与木枋紧靠，特别是墙阴角处应仔细检查，空隙位置采用木楔楔入。</w:t>
      </w:r>
    </w:p>
    <w:p w14:paraId="49C60E2A">
      <w:pPr>
        <w:rPr>
          <w:color w:val="auto"/>
        </w:rPr>
      </w:pPr>
      <w:r>
        <w:rPr>
          <w:rFonts w:hint="eastAsia"/>
          <w:color w:val="auto"/>
        </w:rPr>
        <w:t>11）防止墙体混凝土厚薄不一致，墙体上口过大，混凝土墙体表面粘连，角膜与大模板缝隙过大跑浆，角膜入墙过深，门窗洞口变形，可采取如下预防措施：</w:t>
      </w:r>
    </w:p>
    <w:p w14:paraId="4E1A2C56">
      <w:pPr>
        <w:rPr>
          <w:color w:val="auto"/>
        </w:rPr>
      </w:pPr>
      <w:r>
        <w:rPr>
          <w:rFonts w:hint="eastAsia"/>
          <w:color w:val="auto"/>
        </w:rPr>
        <w:t>（1）墙身防线要准确，误差控制在允许范围内，模板就位调整应认真，穿墙螺栓要全部穿奇、拧紧。</w:t>
      </w:r>
    </w:p>
    <w:p w14:paraId="5D23B93B">
      <w:pPr>
        <w:rPr>
          <w:color w:val="auto"/>
        </w:rPr>
      </w:pPr>
      <w:r>
        <w:rPr>
          <w:rFonts w:hint="eastAsia"/>
          <w:color w:val="auto"/>
        </w:rPr>
        <w:t>（2）支模时上口卡具按设计要求尺寸卡紧。</w:t>
      </w:r>
    </w:p>
    <w:p w14:paraId="3E85EC0B">
      <w:pPr>
        <w:rPr>
          <w:color w:val="auto"/>
        </w:rPr>
      </w:pPr>
      <w:r>
        <w:rPr>
          <w:rFonts w:hint="eastAsia"/>
          <w:color w:val="auto"/>
        </w:rPr>
        <w:t>（3）模板清理干净，隔离剂涂刷均匀，拆模不能过早。</w:t>
      </w:r>
    </w:p>
    <w:p w14:paraId="32BD3325">
      <w:pPr>
        <w:rPr>
          <w:color w:val="auto"/>
        </w:rPr>
      </w:pPr>
      <w:r>
        <w:rPr>
          <w:rFonts w:hint="eastAsia"/>
          <w:color w:val="auto"/>
        </w:rPr>
        <w:t>（4）门窗洞口模板的组装及固定要牢固，必须认真进行洞口模板设计，能够保证尺寸，便于拆装。</w:t>
      </w:r>
    </w:p>
    <w:p w14:paraId="1F5FE16B">
      <w:pPr>
        <w:rPr>
          <w:color w:val="auto"/>
        </w:rPr>
      </w:pPr>
      <w:r>
        <w:rPr>
          <w:color w:val="auto"/>
        </w:rPr>
        <w:t>6</w:t>
      </w:r>
      <w:r>
        <w:rPr>
          <w:rFonts w:hint="eastAsia"/>
          <w:color w:val="auto"/>
        </w:rPr>
        <w:t>、梁板模板施工</w:t>
      </w:r>
    </w:p>
    <w:p w14:paraId="3C578A95">
      <w:pPr>
        <w:rPr>
          <w:color w:val="auto"/>
        </w:rPr>
      </w:pPr>
      <w:r>
        <w:rPr>
          <w:rFonts w:hint="eastAsia"/>
          <w:color w:val="auto"/>
        </w:rPr>
        <w:t>模板采1</w:t>
      </w:r>
      <w:r>
        <w:rPr>
          <w:color w:val="auto"/>
        </w:rPr>
        <w:t>5</w:t>
      </w:r>
      <w:r>
        <w:rPr>
          <w:rFonts w:hint="eastAsia"/>
          <w:color w:val="auto"/>
        </w:rPr>
        <w:t>厚木胶合板，采用梁侧模包底模，楼板模压梁侧模法施工。</w:t>
      </w:r>
    </w:p>
    <w:p w14:paraId="056C3F43">
      <w:pPr>
        <w:rPr>
          <w:color w:val="auto"/>
        </w:rPr>
      </w:pPr>
      <w:r>
        <w:rPr>
          <w:rFonts w:hint="eastAsia"/>
          <w:color w:val="auto"/>
        </w:rPr>
        <w:t>梁板底模下设</w:t>
      </w:r>
      <w:r>
        <w:rPr>
          <w:color w:val="auto"/>
        </w:rPr>
        <w:t>90</w:t>
      </w:r>
      <w:r>
        <w:rPr>
          <w:rFonts w:hint="eastAsia"/>
          <w:color w:val="auto"/>
        </w:rPr>
        <w:t>×</w:t>
      </w:r>
      <w:r>
        <w:rPr>
          <w:color w:val="auto"/>
        </w:rPr>
        <w:t>4</w:t>
      </w:r>
      <w:r>
        <w:rPr>
          <w:rFonts w:hint="eastAsia"/>
          <w:color w:val="auto"/>
        </w:rPr>
        <w:t>0木枋背楞作纵向小搁栅，间距为300mm，小搁栅放于Φ48×3.6钢管背楞上。</w:t>
      </w:r>
    </w:p>
    <w:p w14:paraId="24C3AB9B">
      <w:pPr>
        <w:rPr>
          <w:color w:val="auto"/>
        </w:rPr>
      </w:pPr>
      <w:r>
        <w:rPr>
          <w:rFonts w:hint="eastAsia"/>
          <w:color w:val="auto"/>
        </w:rPr>
        <w:t>梁侧模水平龙骨采用</w:t>
      </w:r>
      <w:r>
        <w:rPr>
          <w:color w:val="auto"/>
        </w:rPr>
        <w:t>90</w:t>
      </w:r>
      <w:r>
        <w:rPr>
          <w:rFonts w:hint="eastAsia"/>
          <w:color w:val="auto"/>
        </w:rPr>
        <w:t>×</w:t>
      </w:r>
      <w:r>
        <w:rPr>
          <w:color w:val="auto"/>
        </w:rPr>
        <w:t>4</w:t>
      </w:r>
      <w:r>
        <w:rPr>
          <w:rFonts w:hint="eastAsia"/>
          <w:color w:val="auto"/>
        </w:rPr>
        <w:t>0背楞木枋，间距为300mm；竖向钢管做背楞，间距为750mm。当梁高＞750mm时，梁中央设拉杆一道，拉杆间距为450mm。拉杆外加塑料套管，可以使拉杆拆卸后周转使用。梁侧向加斜撑，以确保梁模稳定，间距为900mm。梁底模铺在小搁栅上，间距根据梁宽尺寸在200～250mm之间。</w:t>
      </w:r>
    </w:p>
    <w:p w14:paraId="019B30FB">
      <w:pPr>
        <w:rPr>
          <w:color w:val="auto"/>
        </w:rPr>
      </w:pPr>
      <w:r>
        <w:rPr>
          <w:rFonts w:hint="eastAsia"/>
          <w:color w:val="auto"/>
        </w:rPr>
        <w:t>板混凝土浇筑24小后，在板上弹出主梁的中心线、轴线和位置线。</w:t>
      </w:r>
    </w:p>
    <w:p w14:paraId="39B2AE3A">
      <w:pPr>
        <w:rPr>
          <w:color w:val="auto"/>
        </w:rPr>
      </w:pPr>
      <w:r>
        <w:rPr>
          <w:rFonts w:hint="eastAsia"/>
          <w:color w:val="auto"/>
        </w:rPr>
        <w:t>搭设梁底和板底钢管脚手架。从边跨一侧开始安装，先安第一排立杆，上好连接横杆，再安第二排立杆，二者之间用横杆连接好，依次逐排安装。按设计标高调整梁底的标高，然后安装梁底模板，并要拉线找直，梁底板起拱，注意起拱应在支模开始时进行，而后将侧模和底模连成整体。在预留起拱量时，要综合地基下沉、支撑间隙闭合等因素，使梁在拆模后起拱量符合规范要求。</w:t>
      </w:r>
    </w:p>
    <w:p w14:paraId="16D2C4E2">
      <w:pPr>
        <w:pStyle w:val="49"/>
        <w:rPr>
          <w:rFonts w:hint="eastAsia"/>
          <w:color w:val="auto"/>
        </w:rPr>
      </w:pPr>
      <w:r>
        <w:rPr>
          <w:color w:val="auto"/>
        </w:rPr>
        <w:drawing>
          <wp:inline distT="0" distB="0" distL="0" distR="0">
            <wp:extent cx="5486400" cy="2509520"/>
            <wp:effectExtent l="9525" t="9525" r="9525" b="14605"/>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pic:cNvPicPr>
                  </pic:nvPicPr>
                  <pic:blipFill>
                    <a:blip r:embed="rId86"/>
                    <a:stretch>
                      <a:fillRect/>
                    </a:stretch>
                  </pic:blipFill>
                  <pic:spPr>
                    <a:xfrm>
                      <a:off x="0" y="0"/>
                      <a:ext cx="5486400" cy="2509520"/>
                    </a:xfrm>
                    <a:prstGeom prst="rect">
                      <a:avLst/>
                    </a:prstGeom>
                    <a:ln>
                      <a:solidFill>
                        <a:sysClr val="windowText" lastClr="000000"/>
                      </a:solidFill>
                    </a:ln>
                  </pic:spPr>
                </pic:pic>
              </a:graphicData>
            </a:graphic>
          </wp:inline>
        </w:drawing>
      </w:r>
    </w:p>
    <w:p w14:paraId="2ED7E0ED">
      <w:pPr>
        <w:pStyle w:val="53"/>
        <w:rPr>
          <w:color w:val="auto"/>
        </w:rPr>
      </w:pPr>
      <w:r>
        <w:rPr>
          <w:rFonts w:hint="eastAsia"/>
          <w:color w:val="auto"/>
        </w:rPr>
        <w:t>梁柱接头支模示意图</w:t>
      </w:r>
    </w:p>
    <w:p w14:paraId="2ADCC13C">
      <w:pPr>
        <w:pStyle w:val="49"/>
        <w:rPr>
          <w:rFonts w:hint="eastAsia"/>
          <w:color w:val="auto"/>
        </w:rPr>
      </w:pPr>
      <w:r>
        <w:rPr>
          <w:color w:val="auto"/>
        </w:rPr>
        <w:drawing>
          <wp:inline distT="0" distB="0" distL="0" distR="0">
            <wp:extent cx="3905885" cy="2816860"/>
            <wp:effectExtent l="9525" t="9525" r="27940" b="12065"/>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pic:cNvPicPr>
                  </pic:nvPicPr>
                  <pic:blipFill>
                    <a:blip r:embed="rId87"/>
                    <a:stretch>
                      <a:fillRect/>
                    </a:stretch>
                  </pic:blipFill>
                  <pic:spPr>
                    <a:xfrm>
                      <a:off x="0" y="0"/>
                      <a:ext cx="3905646" cy="2816937"/>
                    </a:xfrm>
                    <a:prstGeom prst="rect">
                      <a:avLst/>
                    </a:prstGeom>
                    <a:ln>
                      <a:solidFill>
                        <a:sysClr val="windowText" lastClr="000000"/>
                      </a:solidFill>
                    </a:ln>
                  </pic:spPr>
                </pic:pic>
              </a:graphicData>
            </a:graphic>
          </wp:inline>
        </w:drawing>
      </w:r>
    </w:p>
    <w:p w14:paraId="71EDEC2B">
      <w:pPr>
        <w:pStyle w:val="53"/>
        <w:rPr>
          <w:color w:val="auto"/>
        </w:rPr>
      </w:pPr>
      <w:r>
        <w:rPr>
          <w:rFonts w:hint="eastAsia"/>
          <w:color w:val="auto"/>
        </w:rPr>
        <w:t>框架梁支模示意图</w:t>
      </w:r>
    </w:p>
    <w:p w14:paraId="4F8A1180">
      <w:pPr>
        <w:rPr>
          <w:color w:val="auto"/>
        </w:rPr>
      </w:pPr>
      <w:r>
        <w:rPr>
          <w:rFonts w:hint="eastAsia"/>
          <w:color w:val="auto"/>
        </w:rPr>
        <w:t>对于梁高不大于600mm，梁宽不大于200mm的，梁底可不设立杆；对于梁高大于600mm或梁宽大于200mm的，梁底一排单立杆，增设对拉螺杆，梁模板采用1830×915mm，15mm厚木模板，梁侧、梁底模板龙骨采用40mm×90mm木枋沿梁长水平放置，在梁底两侧分别设置，间距200mm；背楞采用双钢管，间距为1200mm。</w:t>
      </w:r>
    </w:p>
    <w:p w14:paraId="7ECE3A48">
      <w:pPr>
        <w:pStyle w:val="65"/>
        <w:spacing w:before="163" w:after="163"/>
        <w:rPr>
          <w:color w:val="auto"/>
        </w:rPr>
      </w:pPr>
      <w:r>
        <w:rPr>
          <w:color w:val="auto"/>
        </w:rPr>
        <w:drawing>
          <wp:inline distT="0" distB="0" distL="0" distR="0">
            <wp:extent cx="4015740" cy="2766060"/>
            <wp:effectExtent l="0" t="0" r="381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4015740" cy="2766060"/>
                    </a:xfrm>
                    <a:prstGeom prst="rect">
                      <a:avLst/>
                    </a:prstGeom>
                    <a:noFill/>
                    <a:ln>
                      <a:noFill/>
                    </a:ln>
                  </pic:spPr>
                </pic:pic>
              </a:graphicData>
            </a:graphic>
          </wp:inline>
        </w:drawing>
      </w:r>
    </w:p>
    <w:p w14:paraId="489ED3BE">
      <w:pPr>
        <w:pStyle w:val="53"/>
        <w:rPr>
          <w:color w:val="auto"/>
        </w:rPr>
      </w:pPr>
      <w:r>
        <w:rPr>
          <w:rFonts w:hint="eastAsia"/>
          <w:color w:val="auto"/>
        </w:rPr>
        <w:t>梁宽≤200mm且梁高≤600mm模板支撑</w:t>
      </w:r>
    </w:p>
    <w:p w14:paraId="102DF5F8">
      <w:pPr>
        <w:pStyle w:val="65"/>
        <w:spacing w:before="163" w:after="163"/>
        <w:rPr>
          <w:color w:val="auto"/>
        </w:rPr>
      </w:pPr>
      <w:r>
        <w:rPr>
          <w:color w:val="auto"/>
        </w:rPr>
        <w:drawing>
          <wp:inline distT="0" distB="0" distL="0" distR="0">
            <wp:extent cx="4114800" cy="2773680"/>
            <wp:effectExtent l="0" t="0" r="0" b="762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4114800" cy="2773680"/>
                    </a:xfrm>
                    <a:prstGeom prst="rect">
                      <a:avLst/>
                    </a:prstGeom>
                    <a:noFill/>
                    <a:ln>
                      <a:noFill/>
                    </a:ln>
                  </pic:spPr>
                </pic:pic>
              </a:graphicData>
            </a:graphic>
          </wp:inline>
        </w:drawing>
      </w:r>
    </w:p>
    <w:p w14:paraId="4E41EBAE">
      <w:pPr>
        <w:pStyle w:val="53"/>
        <w:rPr>
          <w:color w:val="auto"/>
        </w:rPr>
      </w:pPr>
      <w:r>
        <w:rPr>
          <w:rFonts w:hint="eastAsia"/>
          <w:color w:val="auto"/>
        </w:rPr>
        <w:t>梁宽＞200mm、或梁高＞600mm模板支撑示意</w:t>
      </w:r>
    </w:p>
    <w:p w14:paraId="51FB6214">
      <w:pPr>
        <w:rPr>
          <w:color w:val="auto"/>
        </w:rPr>
      </w:pPr>
      <w:r>
        <w:rPr>
          <w:rFonts w:hint="eastAsia"/>
          <w:color w:val="auto"/>
        </w:rPr>
        <w:t>对于存在装配式的楼栋，其支模剖面节点如下。</w:t>
      </w:r>
    </w:p>
    <w:p w14:paraId="33EE7A60">
      <w:pPr>
        <w:pStyle w:val="65"/>
        <w:spacing w:before="163" w:after="163"/>
        <w:rPr>
          <w:color w:val="auto"/>
        </w:rPr>
      </w:pPr>
      <w:r>
        <w:rPr>
          <w:color w:val="auto"/>
        </w:rPr>
        <w:drawing>
          <wp:inline distT="0" distB="0" distL="0" distR="0">
            <wp:extent cx="4530725" cy="2644140"/>
            <wp:effectExtent l="0" t="0" r="3175" b="381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4537892" cy="2648140"/>
                    </a:xfrm>
                    <a:prstGeom prst="rect">
                      <a:avLst/>
                    </a:prstGeom>
                    <a:noFill/>
                    <a:ln>
                      <a:noFill/>
                    </a:ln>
                  </pic:spPr>
                </pic:pic>
              </a:graphicData>
            </a:graphic>
          </wp:inline>
        </w:drawing>
      </w:r>
    </w:p>
    <w:p w14:paraId="5ED977EF">
      <w:pPr>
        <w:pStyle w:val="53"/>
        <w:rPr>
          <w:color w:val="auto"/>
        </w:rPr>
      </w:pPr>
      <w:r>
        <w:rPr>
          <w:rFonts w:hint="eastAsia"/>
          <w:color w:val="auto"/>
        </w:rPr>
        <w:t>板拼缝处支撑横断面示意</w:t>
      </w:r>
    </w:p>
    <w:p w14:paraId="57DAFB77">
      <w:pPr>
        <w:pStyle w:val="65"/>
        <w:spacing w:before="163" w:after="163"/>
        <w:rPr>
          <w:color w:val="auto"/>
        </w:rPr>
      </w:pPr>
      <w:r>
        <w:rPr>
          <w:color w:val="auto"/>
        </w:rPr>
        <w:drawing>
          <wp:inline distT="0" distB="0" distL="0" distR="0">
            <wp:extent cx="4000500" cy="2757805"/>
            <wp:effectExtent l="0" t="0" r="0" b="4445"/>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4053455" cy="2794343"/>
                    </a:xfrm>
                    <a:prstGeom prst="rect">
                      <a:avLst/>
                    </a:prstGeom>
                    <a:noFill/>
                    <a:ln>
                      <a:noFill/>
                    </a:ln>
                  </pic:spPr>
                </pic:pic>
              </a:graphicData>
            </a:graphic>
          </wp:inline>
        </w:drawing>
      </w:r>
    </w:p>
    <w:p w14:paraId="06EDF6CD">
      <w:pPr>
        <w:pStyle w:val="53"/>
        <w:rPr>
          <w:color w:val="auto"/>
        </w:rPr>
      </w:pPr>
      <w:r>
        <w:rPr>
          <w:rFonts w:hint="eastAsia"/>
          <w:color w:val="auto"/>
        </w:rPr>
        <w:t>与梁结合处支撑横断面示意</w:t>
      </w:r>
    </w:p>
    <w:p w14:paraId="7221BF88">
      <w:pPr>
        <w:pStyle w:val="5"/>
        <w:rPr>
          <w:color w:val="auto"/>
        </w:rPr>
      </w:pPr>
      <w:bookmarkStart w:id="165" w:name="_Toc20056"/>
      <w:r>
        <w:rPr>
          <w:rFonts w:hint="eastAsia"/>
          <w:color w:val="auto"/>
        </w:rPr>
        <w:t>高大模板工程</w:t>
      </w:r>
      <w:bookmarkEnd w:id="165"/>
    </w:p>
    <w:p w14:paraId="13BDB2EE">
      <w:pPr>
        <w:pStyle w:val="6"/>
        <w:ind w:firstLine="480"/>
        <w:rPr>
          <w:color w:val="auto"/>
        </w:rPr>
      </w:pPr>
      <w:r>
        <w:rPr>
          <w:rFonts w:hint="eastAsia"/>
          <w:color w:val="auto"/>
        </w:rPr>
        <w:t>高大模板工程概况</w:t>
      </w:r>
    </w:p>
    <w:p w14:paraId="6F8604F0">
      <w:pPr>
        <w:rPr>
          <w:rFonts w:hint="eastAsia" w:ascii="宋体" w:hAnsi="宋体"/>
          <w:color w:val="auto"/>
        </w:rPr>
      </w:pPr>
      <w:r>
        <w:rPr>
          <w:rFonts w:hint="eastAsia" w:ascii="宋体" w:hAnsi="宋体"/>
          <w:color w:val="auto"/>
        </w:rPr>
        <w:t>根据建办质[2018]31号文的超过一定规模的危险性较大的分部分项工程范围中，混凝土模板支撑工程有以下四种情况需专家论证：①搭设高度8m及以上；②搭设跨度18m及以上；③施工总荷载15kN/m</w:t>
      </w:r>
      <w:r>
        <w:rPr>
          <w:rFonts w:hint="eastAsia" w:ascii="宋体" w:hAnsi="宋体"/>
          <w:color w:val="auto"/>
          <w:vertAlign w:val="superscript"/>
        </w:rPr>
        <w:t>2</w:t>
      </w:r>
      <w:r>
        <w:rPr>
          <w:rFonts w:hint="eastAsia" w:ascii="宋体" w:hAnsi="宋体"/>
          <w:color w:val="auto"/>
        </w:rPr>
        <w:t>及以上（楼板厚度≥350mm）；④集中线荷载20kN/m及以上（梁截面积≥0.54m</w:t>
      </w:r>
      <w:r>
        <w:rPr>
          <w:rFonts w:hint="eastAsia" w:ascii="宋体" w:hAnsi="宋体"/>
          <w:color w:val="auto"/>
          <w:vertAlign w:val="superscript"/>
        </w:rPr>
        <w:t>2</w:t>
      </w:r>
      <w:r>
        <w:rPr>
          <w:rFonts w:hint="eastAsia" w:ascii="宋体" w:hAnsi="宋体"/>
          <w:color w:val="auto"/>
        </w:rPr>
        <w:t>）。</w:t>
      </w:r>
    </w:p>
    <w:p w14:paraId="03785909">
      <w:pPr>
        <w:pStyle w:val="6"/>
        <w:ind w:firstLine="480"/>
        <w:rPr>
          <w:color w:val="auto"/>
        </w:rPr>
      </w:pPr>
      <w:r>
        <w:rPr>
          <w:rFonts w:hint="eastAsia"/>
          <w:color w:val="auto"/>
        </w:rPr>
        <w:t>高大模板工程支撑概况</w:t>
      </w:r>
    </w:p>
    <w:p w14:paraId="3AFC6CD6">
      <w:pPr>
        <w:rPr>
          <w:color w:val="auto"/>
        </w:rPr>
      </w:pPr>
      <w:r>
        <w:rPr>
          <w:rFonts w:hint="eastAsia"/>
          <w:color w:val="auto"/>
        </w:rPr>
        <w:t>1、搭设高度8m及以上模板支撑概况</w:t>
      </w:r>
    </w:p>
    <w:tbl>
      <w:tblPr>
        <w:tblStyle w:val="29"/>
        <w:tblW w:w="5000" w:type="pct"/>
        <w:jc w:val="center"/>
        <w:tblLayout w:type="autofit"/>
        <w:tblCellMar>
          <w:top w:w="0" w:type="dxa"/>
          <w:left w:w="108" w:type="dxa"/>
          <w:bottom w:w="0" w:type="dxa"/>
          <w:right w:w="108" w:type="dxa"/>
        </w:tblCellMar>
      </w:tblPr>
      <w:tblGrid>
        <w:gridCol w:w="910"/>
        <w:gridCol w:w="1637"/>
        <w:gridCol w:w="1233"/>
        <w:gridCol w:w="1026"/>
        <w:gridCol w:w="984"/>
        <w:gridCol w:w="984"/>
        <w:gridCol w:w="1214"/>
        <w:gridCol w:w="1072"/>
      </w:tblGrid>
      <w:tr w14:paraId="5F08A9FB">
        <w:tblPrEx>
          <w:tblCellMar>
            <w:top w:w="0" w:type="dxa"/>
            <w:left w:w="108" w:type="dxa"/>
            <w:bottom w:w="0" w:type="dxa"/>
            <w:right w:w="108" w:type="dxa"/>
          </w:tblCellMar>
        </w:tblPrEx>
        <w:trPr>
          <w:trHeight w:val="454" w:hRule="atLeast"/>
          <w:tblHeader/>
          <w:jc w:val="center"/>
        </w:trPr>
        <w:tc>
          <w:tcPr>
            <w:tcW w:w="2754" w:type="dxa"/>
            <w:tcBorders>
              <w:top w:val="single" w:color="auto" w:sz="4" w:space="0"/>
              <w:left w:val="single" w:color="auto" w:sz="4" w:space="0"/>
              <w:bottom w:val="single" w:color="auto" w:sz="4" w:space="0"/>
              <w:right w:val="single" w:color="auto" w:sz="4" w:space="0"/>
            </w:tcBorders>
            <w:vAlign w:val="center"/>
          </w:tcPr>
          <w:p w14:paraId="00E81A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区域</w:t>
            </w:r>
          </w:p>
        </w:tc>
        <w:tc>
          <w:tcPr>
            <w:tcW w:w="3850" w:type="dxa"/>
            <w:tcBorders>
              <w:top w:val="single" w:color="auto" w:sz="4" w:space="0"/>
              <w:left w:val="nil"/>
              <w:bottom w:val="single" w:color="auto" w:sz="4" w:space="0"/>
              <w:right w:val="single" w:color="auto" w:sz="4" w:space="0"/>
            </w:tcBorders>
            <w:vAlign w:val="center"/>
          </w:tcPr>
          <w:p w14:paraId="635D86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2"/>
              </w:rPr>
              <w:t>模板支撑基础</w:t>
            </w:r>
          </w:p>
        </w:tc>
        <w:tc>
          <w:tcPr>
            <w:tcW w:w="3907" w:type="dxa"/>
            <w:tcBorders>
              <w:top w:val="single" w:color="auto" w:sz="4" w:space="0"/>
              <w:left w:val="nil"/>
              <w:bottom w:val="single" w:color="auto" w:sz="4" w:space="0"/>
              <w:right w:val="single" w:color="auto" w:sz="4" w:space="0"/>
            </w:tcBorders>
            <w:vAlign w:val="center"/>
          </w:tcPr>
          <w:p w14:paraId="1603BA5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轴线位置</w:t>
            </w:r>
          </w:p>
        </w:tc>
        <w:tc>
          <w:tcPr>
            <w:tcW w:w="1911" w:type="dxa"/>
            <w:tcBorders>
              <w:top w:val="single" w:color="auto" w:sz="4" w:space="0"/>
              <w:left w:val="nil"/>
              <w:bottom w:val="single" w:color="auto" w:sz="4" w:space="0"/>
              <w:right w:val="single" w:color="auto" w:sz="4" w:space="0"/>
            </w:tcBorders>
            <w:vAlign w:val="center"/>
          </w:tcPr>
          <w:p w14:paraId="281082B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面积（m</w:t>
            </w:r>
            <w:r>
              <w:rPr>
                <w:rFonts w:hint="eastAsia" w:ascii="宋体" w:hAnsi="宋体" w:cs="宋体"/>
                <w:color w:val="auto"/>
                <w:kern w:val="0"/>
                <w:sz w:val="21"/>
                <w:vertAlign w:val="superscript"/>
              </w:rPr>
              <w:t>2</w:t>
            </w:r>
            <w:r>
              <w:rPr>
                <w:rFonts w:hint="eastAsia" w:ascii="宋体" w:hAnsi="宋体" w:cs="宋体"/>
                <w:color w:val="auto"/>
                <w:kern w:val="0"/>
                <w:sz w:val="21"/>
              </w:rPr>
              <w:t>）</w:t>
            </w:r>
          </w:p>
        </w:tc>
        <w:tc>
          <w:tcPr>
            <w:tcW w:w="1911" w:type="dxa"/>
            <w:tcBorders>
              <w:top w:val="single" w:color="auto" w:sz="4" w:space="0"/>
              <w:left w:val="nil"/>
              <w:bottom w:val="single" w:color="auto" w:sz="4" w:space="0"/>
              <w:right w:val="single" w:color="auto" w:sz="4" w:space="0"/>
            </w:tcBorders>
            <w:vAlign w:val="center"/>
          </w:tcPr>
          <w:p w14:paraId="1C73313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上标高（m）</w:t>
            </w:r>
          </w:p>
        </w:tc>
        <w:tc>
          <w:tcPr>
            <w:tcW w:w="1911" w:type="dxa"/>
            <w:tcBorders>
              <w:top w:val="single" w:color="auto" w:sz="4" w:space="0"/>
              <w:left w:val="nil"/>
              <w:bottom w:val="single" w:color="auto" w:sz="4" w:space="0"/>
              <w:right w:val="single" w:color="auto" w:sz="4" w:space="0"/>
            </w:tcBorders>
            <w:vAlign w:val="center"/>
          </w:tcPr>
          <w:p w14:paraId="0A3324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下标高（m）</w:t>
            </w:r>
          </w:p>
        </w:tc>
        <w:tc>
          <w:tcPr>
            <w:tcW w:w="2614" w:type="dxa"/>
            <w:tcBorders>
              <w:top w:val="single" w:color="auto" w:sz="4" w:space="0"/>
              <w:left w:val="nil"/>
              <w:bottom w:val="single" w:color="auto" w:sz="4" w:space="0"/>
              <w:right w:val="single" w:color="auto" w:sz="4" w:space="0"/>
            </w:tcBorders>
            <w:vAlign w:val="center"/>
          </w:tcPr>
          <w:p w14:paraId="66FA0AB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上部板厚（mm）</w:t>
            </w:r>
          </w:p>
        </w:tc>
        <w:tc>
          <w:tcPr>
            <w:tcW w:w="2333" w:type="dxa"/>
            <w:tcBorders>
              <w:top w:val="single" w:color="auto" w:sz="4" w:space="0"/>
              <w:left w:val="nil"/>
              <w:bottom w:val="single" w:color="auto" w:sz="4" w:space="0"/>
              <w:right w:val="single" w:color="auto" w:sz="8" w:space="0"/>
            </w:tcBorders>
            <w:vAlign w:val="center"/>
          </w:tcPr>
          <w:p w14:paraId="2179F71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搭设高度（m）</w:t>
            </w:r>
          </w:p>
        </w:tc>
      </w:tr>
      <w:tr w14:paraId="0EFDC00D">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6A6DFBB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三层</w:t>
            </w:r>
          </w:p>
        </w:tc>
        <w:tc>
          <w:tcPr>
            <w:tcW w:w="3850" w:type="dxa"/>
            <w:tcBorders>
              <w:top w:val="nil"/>
              <w:left w:val="nil"/>
              <w:bottom w:val="single" w:color="auto" w:sz="4" w:space="0"/>
              <w:right w:val="single" w:color="auto" w:sz="4" w:space="0"/>
            </w:tcBorders>
            <w:vAlign w:val="center"/>
          </w:tcPr>
          <w:p w14:paraId="185E8D2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7E59B35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10轴~18轴交V轴~W轴</w:t>
            </w:r>
          </w:p>
        </w:tc>
        <w:tc>
          <w:tcPr>
            <w:tcW w:w="1911" w:type="dxa"/>
            <w:tcBorders>
              <w:top w:val="nil"/>
              <w:left w:val="nil"/>
              <w:bottom w:val="single" w:color="auto" w:sz="4" w:space="0"/>
              <w:right w:val="single" w:color="auto" w:sz="4" w:space="0"/>
            </w:tcBorders>
            <w:vAlign w:val="center"/>
          </w:tcPr>
          <w:p w14:paraId="5241BD7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115</w:t>
            </w:r>
          </w:p>
        </w:tc>
        <w:tc>
          <w:tcPr>
            <w:tcW w:w="1911" w:type="dxa"/>
            <w:tcBorders>
              <w:top w:val="nil"/>
              <w:left w:val="nil"/>
              <w:bottom w:val="single" w:color="auto" w:sz="4" w:space="0"/>
              <w:right w:val="single" w:color="auto" w:sz="4" w:space="0"/>
            </w:tcBorders>
            <w:vAlign w:val="center"/>
          </w:tcPr>
          <w:p w14:paraId="3F0F36C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12.2</w:t>
            </w:r>
          </w:p>
        </w:tc>
        <w:tc>
          <w:tcPr>
            <w:tcW w:w="1911" w:type="dxa"/>
            <w:tcBorders>
              <w:top w:val="nil"/>
              <w:left w:val="nil"/>
              <w:bottom w:val="single" w:color="auto" w:sz="4" w:space="0"/>
              <w:right w:val="single" w:color="auto" w:sz="4" w:space="0"/>
            </w:tcBorders>
            <w:vAlign w:val="center"/>
          </w:tcPr>
          <w:p w14:paraId="45B47BD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-0.7</w:t>
            </w:r>
          </w:p>
        </w:tc>
        <w:tc>
          <w:tcPr>
            <w:tcW w:w="2614" w:type="dxa"/>
            <w:tcBorders>
              <w:top w:val="nil"/>
              <w:left w:val="nil"/>
              <w:bottom w:val="single" w:color="auto" w:sz="4" w:space="0"/>
              <w:right w:val="single" w:color="auto" w:sz="4" w:space="0"/>
            </w:tcBorders>
            <w:vAlign w:val="center"/>
          </w:tcPr>
          <w:p w14:paraId="380050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7F0C1E9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12.9</w:t>
            </w:r>
          </w:p>
        </w:tc>
      </w:tr>
      <w:tr w14:paraId="68D5E903">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7BD73B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A0BECE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368CE63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10轴~13轴交S轴~T轴</w:t>
            </w:r>
          </w:p>
        </w:tc>
        <w:tc>
          <w:tcPr>
            <w:tcW w:w="1911" w:type="dxa"/>
            <w:tcBorders>
              <w:top w:val="nil"/>
              <w:left w:val="nil"/>
              <w:bottom w:val="single" w:color="auto" w:sz="4" w:space="0"/>
              <w:right w:val="single" w:color="auto" w:sz="4" w:space="0"/>
            </w:tcBorders>
            <w:vAlign w:val="center"/>
          </w:tcPr>
          <w:p w14:paraId="5669772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218</w:t>
            </w:r>
          </w:p>
        </w:tc>
        <w:tc>
          <w:tcPr>
            <w:tcW w:w="1911" w:type="dxa"/>
            <w:tcBorders>
              <w:top w:val="nil"/>
              <w:left w:val="nil"/>
              <w:bottom w:val="single" w:color="auto" w:sz="4" w:space="0"/>
              <w:right w:val="single" w:color="auto" w:sz="4" w:space="0"/>
            </w:tcBorders>
            <w:vAlign w:val="center"/>
          </w:tcPr>
          <w:p w14:paraId="270D91A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12.2</w:t>
            </w:r>
          </w:p>
        </w:tc>
        <w:tc>
          <w:tcPr>
            <w:tcW w:w="1911" w:type="dxa"/>
            <w:tcBorders>
              <w:top w:val="nil"/>
              <w:left w:val="nil"/>
              <w:bottom w:val="single" w:color="auto" w:sz="4" w:space="0"/>
              <w:right w:val="single" w:color="auto" w:sz="4" w:space="0"/>
            </w:tcBorders>
            <w:vAlign w:val="center"/>
          </w:tcPr>
          <w:p w14:paraId="4E987B4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-0.7</w:t>
            </w:r>
          </w:p>
        </w:tc>
        <w:tc>
          <w:tcPr>
            <w:tcW w:w="2614" w:type="dxa"/>
            <w:tcBorders>
              <w:top w:val="nil"/>
              <w:left w:val="nil"/>
              <w:bottom w:val="single" w:color="auto" w:sz="4" w:space="0"/>
              <w:right w:val="single" w:color="auto" w:sz="4" w:space="0"/>
            </w:tcBorders>
            <w:vAlign w:val="center"/>
          </w:tcPr>
          <w:p w14:paraId="4ABDDF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7129BA1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12.9</w:t>
            </w:r>
          </w:p>
        </w:tc>
      </w:tr>
      <w:tr w14:paraId="20A18F52">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7159094E">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FC6E0C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地下室顶板250mmC35</w:t>
            </w:r>
          </w:p>
        </w:tc>
        <w:tc>
          <w:tcPr>
            <w:tcW w:w="3907" w:type="dxa"/>
            <w:tcBorders>
              <w:top w:val="nil"/>
              <w:left w:val="nil"/>
              <w:bottom w:val="single" w:color="auto" w:sz="4" w:space="0"/>
              <w:right w:val="single" w:color="auto" w:sz="4" w:space="0"/>
            </w:tcBorders>
            <w:vAlign w:val="center"/>
          </w:tcPr>
          <w:p w14:paraId="0BAA44C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11轴~14轴交M轴~S轴</w:t>
            </w:r>
          </w:p>
        </w:tc>
        <w:tc>
          <w:tcPr>
            <w:tcW w:w="1911" w:type="dxa"/>
            <w:tcBorders>
              <w:top w:val="nil"/>
              <w:left w:val="nil"/>
              <w:bottom w:val="single" w:color="auto" w:sz="4" w:space="0"/>
              <w:right w:val="single" w:color="auto" w:sz="4" w:space="0"/>
            </w:tcBorders>
            <w:vAlign w:val="center"/>
          </w:tcPr>
          <w:p w14:paraId="1E1D645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320</w:t>
            </w:r>
          </w:p>
        </w:tc>
        <w:tc>
          <w:tcPr>
            <w:tcW w:w="1911" w:type="dxa"/>
            <w:tcBorders>
              <w:top w:val="nil"/>
              <w:left w:val="nil"/>
              <w:bottom w:val="single" w:color="auto" w:sz="4" w:space="0"/>
              <w:right w:val="single" w:color="auto" w:sz="4" w:space="0"/>
            </w:tcBorders>
            <w:vAlign w:val="center"/>
          </w:tcPr>
          <w:p w14:paraId="689EC2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12.2</w:t>
            </w:r>
          </w:p>
        </w:tc>
        <w:tc>
          <w:tcPr>
            <w:tcW w:w="1911" w:type="dxa"/>
            <w:tcBorders>
              <w:top w:val="nil"/>
              <w:left w:val="nil"/>
              <w:bottom w:val="single" w:color="auto" w:sz="4" w:space="0"/>
              <w:right w:val="single" w:color="auto" w:sz="4" w:space="0"/>
            </w:tcBorders>
            <w:vAlign w:val="center"/>
          </w:tcPr>
          <w:p w14:paraId="2DA34B7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-0.7</w:t>
            </w:r>
          </w:p>
        </w:tc>
        <w:tc>
          <w:tcPr>
            <w:tcW w:w="2614" w:type="dxa"/>
            <w:tcBorders>
              <w:top w:val="nil"/>
              <w:left w:val="nil"/>
              <w:bottom w:val="single" w:color="auto" w:sz="4" w:space="0"/>
              <w:right w:val="single" w:color="auto" w:sz="4" w:space="0"/>
            </w:tcBorders>
            <w:vAlign w:val="center"/>
          </w:tcPr>
          <w:p w14:paraId="6C92379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406C951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12.9</w:t>
            </w:r>
          </w:p>
        </w:tc>
      </w:tr>
      <w:tr w14:paraId="70C5174F">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7103F415">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FB7CBC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09117EC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9轴~10轴交D轴~E轴</w:t>
            </w:r>
          </w:p>
        </w:tc>
        <w:tc>
          <w:tcPr>
            <w:tcW w:w="1911" w:type="dxa"/>
            <w:tcBorders>
              <w:top w:val="nil"/>
              <w:left w:val="nil"/>
              <w:bottom w:val="single" w:color="auto" w:sz="4" w:space="0"/>
              <w:right w:val="single" w:color="auto" w:sz="4" w:space="0"/>
            </w:tcBorders>
            <w:vAlign w:val="center"/>
          </w:tcPr>
          <w:p w14:paraId="7F38E7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89</w:t>
            </w:r>
          </w:p>
        </w:tc>
        <w:tc>
          <w:tcPr>
            <w:tcW w:w="1911" w:type="dxa"/>
            <w:tcBorders>
              <w:top w:val="nil"/>
              <w:left w:val="nil"/>
              <w:bottom w:val="single" w:color="auto" w:sz="4" w:space="0"/>
              <w:right w:val="single" w:color="auto" w:sz="4" w:space="0"/>
            </w:tcBorders>
            <w:vAlign w:val="center"/>
          </w:tcPr>
          <w:p w14:paraId="450823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8.85</w:t>
            </w:r>
          </w:p>
        </w:tc>
        <w:tc>
          <w:tcPr>
            <w:tcW w:w="1911" w:type="dxa"/>
            <w:tcBorders>
              <w:top w:val="nil"/>
              <w:left w:val="nil"/>
              <w:bottom w:val="single" w:color="auto" w:sz="4" w:space="0"/>
              <w:right w:val="single" w:color="auto" w:sz="4" w:space="0"/>
            </w:tcBorders>
            <w:vAlign w:val="center"/>
          </w:tcPr>
          <w:p w14:paraId="6456F87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-0.7</w:t>
            </w:r>
          </w:p>
        </w:tc>
        <w:tc>
          <w:tcPr>
            <w:tcW w:w="2614" w:type="dxa"/>
            <w:tcBorders>
              <w:top w:val="nil"/>
              <w:left w:val="nil"/>
              <w:bottom w:val="single" w:color="auto" w:sz="4" w:space="0"/>
              <w:right w:val="single" w:color="auto" w:sz="4" w:space="0"/>
            </w:tcBorders>
            <w:vAlign w:val="center"/>
          </w:tcPr>
          <w:p w14:paraId="7786BE0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0733FED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9.55</w:t>
            </w:r>
          </w:p>
        </w:tc>
      </w:tr>
      <w:tr w14:paraId="1E3755EE">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541C2649">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6F5B0A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2A86293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18轴~19轴交C轴~D轴</w:t>
            </w:r>
          </w:p>
        </w:tc>
        <w:tc>
          <w:tcPr>
            <w:tcW w:w="1911" w:type="dxa"/>
            <w:tcBorders>
              <w:top w:val="nil"/>
              <w:left w:val="nil"/>
              <w:bottom w:val="single" w:color="auto" w:sz="4" w:space="0"/>
              <w:right w:val="single" w:color="auto" w:sz="4" w:space="0"/>
            </w:tcBorders>
            <w:vAlign w:val="center"/>
          </w:tcPr>
          <w:p w14:paraId="77E71DA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w:t>
            </w:r>
          </w:p>
        </w:tc>
        <w:tc>
          <w:tcPr>
            <w:tcW w:w="1911" w:type="dxa"/>
            <w:tcBorders>
              <w:top w:val="nil"/>
              <w:left w:val="nil"/>
              <w:bottom w:val="single" w:color="auto" w:sz="4" w:space="0"/>
              <w:right w:val="single" w:color="auto" w:sz="4" w:space="0"/>
            </w:tcBorders>
            <w:vAlign w:val="center"/>
          </w:tcPr>
          <w:p w14:paraId="786A971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12.2</w:t>
            </w:r>
          </w:p>
        </w:tc>
        <w:tc>
          <w:tcPr>
            <w:tcW w:w="1911" w:type="dxa"/>
            <w:tcBorders>
              <w:top w:val="nil"/>
              <w:left w:val="nil"/>
              <w:bottom w:val="single" w:color="auto" w:sz="4" w:space="0"/>
              <w:right w:val="single" w:color="auto" w:sz="4" w:space="0"/>
            </w:tcBorders>
            <w:vAlign w:val="center"/>
          </w:tcPr>
          <w:p w14:paraId="2C3349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-0.7</w:t>
            </w:r>
          </w:p>
        </w:tc>
        <w:tc>
          <w:tcPr>
            <w:tcW w:w="2614" w:type="dxa"/>
            <w:tcBorders>
              <w:top w:val="nil"/>
              <w:left w:val="nil"/>
              <w:bottom w:val="single" w:color="auto" w:sz="4" w:space="0"/>
              <w:right w:val="single" w:color="auto" w:sz="4" w:space="0"/>
            </w:tcBorders>
            <w:vAlign w:val="center"/>
          </w:tcPr>
          <w:p w14:paraId="46923FF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73ABBB2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12.9</w:t>
            </w:r>
          </w:p>
        </w:tc>
      </w:tr>
      <w:tr w14:paraId="5385B417">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4BE85D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四层</w:t>
            </w:r>
          </w:p>
        </w:tc>
        <w:tc>
          <w:tcPr>
            <w:tcW w:w="3850" w:type="dxa"/>
            <w:tcBorders>
              <w:top w:val="nil"/>
              <w:left w:val="nil"/>
              <w:bottom w:val="single" w:color="auto" w:sz="4" w:space="0"/>
              <w:right w:val="single" w:color="auto" w:sz="4" w:space="0"/>
            </w:tcBorders>
            <w:vAlign w:val="center"/>
          </w:tcPr>
          <w:p w14:paraId="2C46DA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35476F5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5轴~10轴交V轴~X轴</w:t>
            </w:r>
          </w:p>
        </w:tc>
        <w:tc>
          <w:tcPr>
            <w:tcW w:w="1911" w:type="dxa"/>
            <w:tcBorders>
              <w:top w:val="nil"/>
              <w:left w:val="nil"/>
              <w:bottom w:val="single" w:color="auto" w:sz="4" w:space="0"/>
              <w:right w:val="single" w:color="auto" w:sz="4" w:space="0"/>
            </w:tcBorders>
            <w:vAlign w:val="center"/>
          </w:tcPr>
          <w:p w14:paraId="1087E7C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548</w:t>
            </w:r>
          </w:p>
        </w:tc>
        <w:tc>
          <w:tcPr>
            <w:tcW w:w="1911" w:type="dxa"/>
            <w:tcBorders>
              <w:top w:val="nil"/>
              <w:left w:val="nil"/>
              <w:bottom w:val="single" w:color="auto" w:sz="4" w:space="0"/>
              <w:right w:val="single" w:color="auto" w:sz="4" w:space="0"/>
            </w:tcBorders>
            <w:vAlign w:val="center"/>
          </w:tcPr>
          <w:p w14:paraId="48D472F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1911" w:type="dxa"/>
            <w:tcBorders>
              <w:top w:val="nil"/>
              <w:left w:val="nil"/>
              <w:bottom w:val="single" w:color="auto" w:sz="4" w:space="0"/>
              <w:right w:val="single" w:color="auto" w:sz="4" w:space="0"/>
            </w:tcBorders>
            <w:vAlign w:val="center"/>
          </w:tcPr>
          <w:p w14:paraId="194B899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-0.1</w:t>
            </w:r>
          </w:p>
        </w:tc>
        <w:tc>
          <w:tcPr>
            <w:tcW w:w="2614" w:type="dxa"/>
            <w:tcBorders>
              <w:top w:val="nil"/>
              <w:left w:val="nil"/>
              <w:bottom w:val="single" w:color="auto" w:sz="4" w:space="0"/>
              <w:right w:val="single" w:color="auto" w:sz="4" w:space="0"/>
            </w:tcBorders>
            <w:vAlign w:val="center"/>
          </w:tcPr>
          <w:p w14:paraId="01E9EB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0606F22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18.3</w:t>
            </w:r>
          </w:p>
        </w:tc>
      </w:tr>
      <w:tr w14:paraId="6219B401">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B5ABDF9">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336CC0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183E08D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7轴~10轴交S轴~T轴</w:t>
            </w:r>
          </w:p>
        </w:tc>
        <w:tc>
          <w:tcPr>
            <w:tcW w:w="1911" w:type="dxa"/>
            <w:tcBorders>
              <w:top w:val="nil"/>
              <w:left w:val="nil"/>
              <w:bottom w:val="single" w:color="auto" w:sz="4" w:space="0"/>
              <w:right w:val="single" w:color="auto" w:sz="4" w:space="0"/>
            </w:tcBorders>
            <w:vAlign w:val="center"/>
          </w:tcPr>
          <w:p w14:paraId="1EE570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161</w:t>
            </w:r>
          </w:p>
        </w:tc>
        <w:tc>
          <w:tcPr>
            <w:tcW w:w="1911" w:type="dxa"/>
            <w:tcBorders>
              <w:top w:val="nil"/>
              <w:left w:val="nil"/>
              <w:bottom w:val="single" w:color="auto" w:sz="4" w:space="0"/>
              <w:right w:val="single" w:color="auto" w:sz="4" w:space="0"/>
            </w:tcBorders>
            <w:vAlign w:val="center"/>
          </w:tcPr>
          <w:p w14:paraId="630F384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17.1</w:t>
            </w:r>
          </w:p>
        </w:tc>
        <w:tc>
          <w:tcPr>
            <w:tcW w:w="1911" w:type="dxa"/>
            <w:tcBorders>
              <w:top w:val="nil"/>
              <w:left w:val="nil"/>
              <w:bottom w:val="single" w:color="auto" w:sz="4" w:space="0"/>
              <w:right w:val="single" w:color="auto" w:sz="4" w:space="0"/>
            </w:tcBorders>
            <w:vAlign w:val="center"/>
          </w:tcPr>
          <w:p w14:paraId="59EF32D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-0.1</w:t>
            </w:r>
          </w:p>
        </w:tc>
        <w:tc>
          <w:tcPr>
            <w:tcW w:w="2614" w:type="dxa"/>
            <w:tcBorders>
              <w:top w:val="nil"/>
              <w:left w:val="nil"/>
              <w:bottom w:val="single" w:color="auto" w:sz="4" w:space="0"/>
              <w:right w:val="single" w:color="auto" w:sz="4" w:space="0"/>
            </w:tcBorders>
            <w:vAlign w:val="center"/>
          </w:tcPr>
          <w:p w14:paraId="487E58A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321B73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17.2</w:t>
            </w:r>
          </w:p>
        </w:tc>
      </w:tr>
      <w:tr w14:paraId="017A0C0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0F1B74FD">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2B63D39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2FB9453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12轴~18轴交S轴</w:t>
            </w:r>
          </w:p>
        </w:tc>
        <w:tc>
          <w:tcPr>
            <w:tcW w:w="1911" w:type="dxa"/>
            <w:tcBorders>
              <w:top w:val="nil"/>
              <w:left w:val="nil"/>
              <w:bottom w:val="single" w:color="auto" w:sz="4" w:space="0"/>
              <w:right w:val="single" w:color="auto" w:sz="4" w:space="0"/>
            </w:tcBorders>
            <w:vAlign w:val="center"/>
          </w:tcPr>
          <w:p w14:paraId="71A0FE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97</w:t>
            </w:r>
          </w:p>
        </w:tc>
        <w:tc>
          <w:tcPr>
            <w:tcW w:w="1911" w:type="dxa"/>
            <w:tcBorders>
              <w:top w:val="nil"/>
              <w:left w:val="nil"/>
              <w:bottom w:val="single" w:color="auto" w:sz="4" w:space="0"/>
              <w:right w:val="single" w:color="auto" w:sz="4" w:space="0"/>
            </w:tcBorders>
            <w:vAlign w:val="center"/>
          </w:tcPr>
          <w:p w14:paraId="483E7BC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1911" w:type="dxa"/>
            <w:tcBorders>
              <w:top w:val="nil"/>
              <w:left w:val="nil"/>
              <w:bottom w:val="single" w:color="auto" w:sz="4" w:space="0"/>
              <w:right w:val="single" w:color="auto" w:sz="4" w:space="0"/>
            </w:tcBorders>
            <w:vAlign w:val="center"/>
          </w:tcPr>
          <w:p w14:paraId="2020744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-0.1</w:t>
            </w:r>
          </w:p>
        </w:tc>
        <w:tc>
          <w:tcPr>
            <w:tcW w:w="2614" w:type="dxa"/>
            <w:tcBorders>
              <w:top w:val="nil"/>
              <w:left w:val="nil"/>
              <w:bottom w:val="single" w:color="auto" w:sz="4" w:space="0"/>
              <w:right w:val="single" w:color="auto" w:sz="4" w:space="0"/>
            </w:tcBorders>
            <w:vAlign w:val="center"/>
          </w:tcPr>
          <w:p w14:paraId="181913C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15192A5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18.3</w:t>
            </w:r>
          </w:p>
        </w:tc>
      </w:tr>
      <w:tr w14:paraId="13BB5FD0">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22CE3ED">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4F30E47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21B8DD8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6轴~13轴交F轴~G轴</w:t>
            </w:r>
          </w:p>
        </w:tc>
        <w:tc>
          <w:tcPr>
            <w:tcW w:w="1911" w:type="dxa"/>
            <w:tcBorders>
              <w:top w:val="nil"/>
              <w:left w:val="nil"/>
              <w:bottom w:val="single" w:color="auto" w:sz="4" w:space="0"/>
              <w:right w:val="single" w:color="auto" w:sz="4" w:space="0"/>
            </w:tcBorders>
            <w:vAlign w:val="center"/>
          </w:tcPr>
          <w:p w14:paraId="4C1858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349</w:t>
            </w:r>
          </w:p>
        </w:tc>
        <w:tc>
          <w:tcPr>
            <w:tcW w:w="1911" w:type="dxa"/>
            <w:tcBorders>
              <w:top w:val="nil"/>
              <w:left w:val="nil"/>
              <w:bottom w:val="single" w:color="auto" w:sz="4" w:space="0"/>
              <w:right w:val="single" w:color="auto" w:sz="4" w:space="0"/>
            </w:tcBorders>
            <w:vAlign w:val="center"/>
          </w:tcPr>
          <w:p w14:paraId="5D17078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1911" w:type="dxa"/>
            <w:tcBorders>
              <w:top w:val="nil"/>
              <w:left w:val="nil"/>
              <w:bottom w:val="single" w:color="auto" w:sz="4" w:space="0"/>
              <w:right w:val="single" w:color="auto" w:sz="4" w:space="0"/>
            </w:tcBorders>
            <w:vAlign w:val="center"/>
          </w:tcPr>
          <w:p w14:paraId="5788CB0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-0.1</w:t>
            </w:r>
          </w:p>
        </w:tc>
        <w:tc>
          <w:tcPr>
            <w:tcW w:w="2614" w:type="dxa"/>
            <w:tcBorders>
              <w:top w:val="nil"/>
              <w:left w:val="nil"/>
              <w:bottom w:val="single" w:color="auto" w:sz="4" w:space="0"/>
              <w:right w:val="single" w:color="auto" w:sz="4" w:space="0"/>
            </w:tcBorders>
            <w:vAlign w:val="center"/>
          </w:tcPr>
          <w:p w14:paraId="35E2284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4030305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18.3</w:t>
            </w:r>
          </w:p>
        </w:tc>
      </w:tr>
      <w:tr w14:paraId="34328DC9">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65758C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2FF47B5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地下室顶板180mmC35</w:t>
            </w:r>
          </w:p>
        </w:tc>
        <w:tc>
          <w:tcPr>
            <w:tcW w:w="3907" w:type="dxa"/>
            <w:tcBorders>
              <w:top w:val="nil"/>
              <w:left w:val="nil"/>
              <w:bottom w:val="single" w:color="auto" w:sz="4" w:space="0"/>
              <w:right w:val="single" w:color="auto" w:sz="4" w:space="0"/>
            </w:tcBorders>
            <w:vAlign w:val="center"/>
          </w:tcPr>
          <w:p w14:paraId="512C9E4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5轴~18轴交C轴~F轴</w:t>
            </w:r>
          </w:p>
        </w:tc>
        <w:tc>
          <w:tcPr>
            <w:tcW w:w="1911" w:type="dxa"/>
            <w:tcBorders>
              <w:top w:val="nil"/>
              <w:left w:val="nil"/>
              <w:bottom w:val="single" w:color="auto" w:sz="4" w:space="0"/>
              <w:right w:val="single" w:color="auto" w:sz="4" w:space="0"/>
            </w:tcBorders>
            <w:vAlign w:val="center"/>
          </w:tcPr>
          <w:p w14:paraId="37C11CA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808</w:t>
            </w:r>
          </w:p>
        </w:tc>
        <w:tc>
          <w:tcPr>
            <w:tcW w:w="1911" w:type="dxa"/>
            <w:tcBorders>
              <w:top w:val="nil"/>
              <w:left w:val="nil"/>
              <w:bottom w:val="single" w:color="auto" w:sz="4" w:space="0"/>
              <w:right w:val="single" w:color="auto" w:sz="4" w:space="0"/>
            </w:tcBorders>
            <w:vAlign w:val="center"/>
          </w:tcPr>
          <w:p w14:paraId="06750D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1911" w:type="dxa"/>
            <w:tcBorders>
              <w:top w:val="nil"/>
              <w:left w:val="nil"/>
              <w:bottom w:val="single" w:color="auto" w:sz="4" w:space="0"/>
              <w:right w:val="single" w:color="auto" w:sz="4" w:space="0"/>
            </w:tcBorders>
            <w:vAlign w:val="center"/>
          </w:tcPr>
          <w:p w14:paraId="5384A7D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-0.1</w:t>
            </w:r>
          </w:p>
        </w:tc>
        <w:tc>
          <w:tcPr>
            <w:tcW w:w="2614" w:type="dxa"/>
            <w:tcBorders>
              <w:top w:val="nil"/>
              <w:left w:val="nil"/>
              <w:bottom w:val="single" w:color="auto" w:sz="4" w:space="0"/>
              <w:right w:val="single" w:color="auto" w:sz="4" w:space="0"/>
            </w:tcBorders>
            <w:vAlign w:val="center"/>
          </w:tcPr>
          <w:p w14:paraId="2328A81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69C48BC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18.3</w:t>
            </w:r>
          </w:p>
        </w:tc>
      </w:tr>
      <w:tr w14:paraId="32441549">
        <w:tblPrEx>
          <w:tblCellMar>
            <w:top w:w="0" w:type="dxa"/>
            <w:left w:w="108" w:type="dxa"/>
            <w:bottom w:w="0" w:type="dxa"/>
            <w:right w:w="108" w:type="dxa"/>
          </w:tblCellMar>
        </w:tblPrEx>
        <w:trPr>
          <w:trHeight w:val="454" w:hRule="atLeast"/>
          <w:jc w:val="center"/>
        </w:trPr>
        <w:tc>
          <w:tcPr>
            <w:tcW w:w="2754" w:type="dxa"/>
            <w:tcBorders>
              <w:top w:val="nil"/>
              <w:left w:val="single" w:color="auto" w:sz="4" w:space="0"/>
              <w:bottom w:val="single" w:color="auto" w:sz="4" w:space="0"/>
              <w:right w:val="single" w:color="auto" w:sz="4" w:space="0"/>
            </w:tcBorders>
            <w:vAlign w:val="center"/>
          </w:tcPr>
          <w:p w14:paraId="1276189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五层</w:t>
            </w:r>
          </w:p>
        </w:tc>
        <w:tc>
          <w:tcPr>
            <w:tcW w:w="3850" w:type="dxa"/>
            <w:tcBorders>
              <w:top w:val="nil"/>
              <w:left w:val="nil"/>
              <w:bottom w:val="single" w:color="auto" w:sz="4" w:space="0"/>
              <w:right w:val="single" w:color="auto" w:sz="4" w:space="0"/>
            </w:tcBorders>
            <w:vAlign w:val="center"/>
          </w:tcPr>
          <w:p w14:paraId="579AE2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3层结构板150mmC30</w:t>
            </w:r>
          </w:p>
        </w:tc>
        <w:tc>
          <w:tcPr>
            <w:tcW w:w="3907" w:type="dxa"/>
            <w:tcBorders>
              <w:top w:val="nil"/>
              <w:left w:val="nil"/>
              <w:bottom w:val="single" w:color="auto" w:sz="4" w:space="0"/>
              <w:right w:val="single" w:color="auto" w:sz="4" w:space="0"/>
            </w:tcBorders>
            <w:vAlign w:val="center"/>
          </w:tcPr>
          <w:p w14:paraId="6BE3B97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3轴~5轴交G轴~S轴</w:t>
            </w:r>
          </w:p>
        </w:tc>
        <w:tc>
          <w:tcPr>
            <w:tcW w:w="1911" w:type="dxa"/>
            <w:tcBorders>
              <w:top w:val="nil"/>
              <w:left w:val="nil"/>
              <w:bottom w:val="single" w:color="auto" w:sz="4" w:space="0"/>
              <w:right w:val="single" w:color="auto" w:sz="4" w:space="0"/>
            </w:tcBorders>
            <w:vAlign w:val="center"/>
          </w:tcPr>
          <w:p w14:paraId="1A4E80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900</w:t>
            </w:r>
          </w:p>
        </w:tc>
        <w:tc>
          <w:tcPr>
            <w:tcW w:w="1911" w:type="dxa"/>
            <w:tcBorders>
              <w:top w:val="nil"/>
              <w:left w:val="nil"/>
              <w:bottom w:val="single" w:color="auto" w:sz="4" w:space="0"/>
              <w:right w:val="single" w:color="auto" w:sz="4" w:space="0"/>
            </w:tcBorders>
            <w:vAlign w:val="center"/>
          </w:tcPr>
          <w:p w14:paraId="50A704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22.6</w:t>
            </w:r>
          </w:p>
        </w:tc>
        <w:tc>
          <w:tcPr>
            <w:tcW w:w="1911" w:type="dxa"/>
            <w:tcBorders>
              <w:top w:val="nil"/>
              <w:left w:val="nil"/>
              <w:bottom w:val="single" w:color="auto" w:sz="4" w:space="0"/>
              <w:right w:val="single" w:color="auto" w:sz="4" w:space="0"/>
            </w:tcBorders>
            <w:vAlign w:val="center"/>
          </w:tcPr>
          <w:p w14:paraId="32527A1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11.5</w:t>
            </w:r>
          </w:p>
        </w:tc>
        <w:tc>
          <w:tcPr>
            <w:tcW w:w="2614" w:type="dxa"/>
            <w:tcBorders>
              <w:top w:val="nil"/>
              <w:left w:val="nil"/>
              <w:bottom w:val="single" w:color="auto" w:sz="4" w:space="0"/>
              <w:right w:val="single" w:color="auto" w:sz="4" w:space="0"/>
            </w:tcBorders>
            <w:vAlign w:val="center"/>
          </w:tcPr>
          <w:p w14:paraId="21221C9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150</w:t>
            </w:r>
          </w:p>
        </w:tc>
        <w:tc>
          <w:tcPr>
            <w:tcW w:w="2333" w:type="dxa"/>
            <w:tcBorders>
              <w:top w:val="nil"/>
              <w:left w:val="nil"/>
              <w:bottom w:val="single" w:color="auto" w:sz="4" w:space="0"/>
              <w:right w:val="single" w:color="auto" w:sz="8" w:space="0"/>
            </w:tcBorders>
            <w:vAlign w:val="center"/>
          </w:tcPr>
          <w:p w14:paraId="34AED59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11.1</w:t>
            </w:r>
          </w:p>
        </w:tc>
      </w:tr>
      <w:tr w14:paraId="05DEFFDC">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78F163C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六层</w:t>
            </w:r>
          </w:p>
        </w:tc>
        <w:tc>
          <w:tcPr>
            <w:tcW w:w="3850" w:type="dxa"/>
            <w:tcBorders>
              <w:top w:val="nil"/>
              <w:left w:val="nil"/>
              <w:bottom w:val="single" w:color="auto" w:sz="4" w:space="0"/>
              <w:right w:val="single" w:color="auto" w:sz="4" w:space="0"/>
            </w:tcBorders>
            <w:vAlign w:val="center"/>
          </w:tcPr>
          <w:p w14:paraId="5F8E272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6B80FD3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7轴~10轴交W轴</w:t>
            </w:r>
          </w:p>
        </w:tc>
        <w:tc>
          <w:tcPr>
            <w:tcW w:w="1911" w:type="dxa"/>
            <w:tcBorders>
              <w:top w:val="nil"/>
              <w:left w:val="nil"/>
              <w:bottom w:val="single" w:color="auto" w:sz="4" w:space="0"/>
              <w:right w:val="single" w:color="auto" w:sz="4" w:space="0"/>
            </w:tcBorders>
            <w:vAlign w:val="center"/>
          </w:tcPr>
          <w:p w14:paraId="4E7F6FC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50</w:t>
            </w:r>
          </w:p>
        </w:tc>
        <w:tc>
          <w:tcPr>
            <w:tcW w:w="1911" w:type="dxa"/>
            <w:tcBorders>
              <w:top w:val="nil"/>
              <w:left w:val="nil"/>
              <w:bottom w:val="single" w:color="auto" w:sz="4" w:space="0"/>
              <w:right w:val="single" w:color="auto" w:sz="4" w:space="0"/>
            </w:tcBorders>
            <w:vAlign w:val="center"/>
          </w:tcPr>
          <w:p w14:paraId="09F06A6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672FD3D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30DE4C0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5B1669A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2BF172E9">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570A6181">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444B6FC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1D0AE31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11轴~17轴交W轴</w:t>
            </w:r>
          </w:p>
        </w:tc>
        <w:tc>
          <w:tcPr>
            <w:tcW w:w="1911" w:type="dxa"/>
            <w:tcBorders>
              <w:top w:val="nil"/>
              <w:left w:val="nil"/>
              <w:bottom w:val="single" w:color="auto" w:sz="4" w:space="0"/>
              <w:right w:val="single" w:color="auto" w:sz="4" w:space="0"/>
            </w:tcBorders>
            <w:vAlign w:val="center"/>
          </w:tcPr>
          <w:p w14:paraId="45B6574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83</w:t>
            </w:r>
          </w:p>
        </w:tc>
        <w:tc>
          <w:tcPr>
            <w:tcW w:w="1911" w:type="dxa"/>
            <w:tcBorders>
              <w:top w:val="nil"/>
              <w:left w:val="nil"/>
              <w:bottom w:val="single" w:color="auto" w:sz="4" w:space="0"/>
              <w:right w:val="single" w:color="auto" w:sz="4" w:space="0"/>
            </w:tcBorders>
            <w:vAlign w:val="center"/>
          </w:tcPr>
          <w:p w14:paraId="7F3FE11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50AA169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2830F7A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799A350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2C1514BE">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68D229FC">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61A1A47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112FC6C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17轴~18轴交V轴~W轴</w:t>
            </w:r>
          </w:p>
        </w:tc>
        <w:tc>
          <w:tcPr>
            <w:tcW w:w="1911" w:type="dxa"/>
            <w:tcBorders>
              <w:top w:val="nil"/>
              <w:left w:val="nil"/>
              <w:bottom w:val="single" w:color="auto" w:sz="4" w:space="0"/>
              <w:right w:val="single" w:color="auto" w:sz="4" w:space="0"/>
            </w:tcBorders>
            <w:vAlign w:val="center"/>
          </w:tcPr>
          <w:p w14:paraId="70EA37D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65</w:t>
            </w:r>
          </w:p>
        </w:tc>
        <w:tc>
          <w:tcPr>
            <w:tcW w:w="1911" w:type="dxa"/>
            <w:tcBorders>
              <w:top w:val="nil"/>
              <w:left w:val="nil"/>
              <w:bottom w:val="single" w:color="auto" w:sz="4" w:space="0"/>
              <w:right w:val="single" w:color="auto" w:sz="4" w:space="0"/>
            </w:tcBorders>
            <w:vAlign w:val="center"/>
          </w:tcPr>
          <w:p w14:paraId="646DABC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1911" w:type="dxa"/>
            <w:tcBorders>
              <w:top w:val="nil"/>
              <w:left w:val="nil"/>
              <w:bottom w:val="single" w:color="auto" w:sz="4" w:space="0"/>
              <w:right w:val="single" w:color="auto" w:sz="4" w:space="0"/>
            </w:tcBorders>
            <w:vAlign w:val="center"/>
          </w:tcPr>
          <w:p w14:paraId="5E645F7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w:t>
            </w:r>
          </w:p>
        </w:tc>
        <w:tc>
          <w:tcPr>
            <w:tcW w:w="2614" w:type="dxa"/>
            <w:tcBorders>
              <w:top w:val="nil"/>
              <w:left w:val="nil"/>
              <w:bottom w:val="single" w:color="auto" w:sz="4" w:space="0"/>
              <w:right w:val="single" w:color="auto" w:sz="4" w:space="0"/>
            </w:tcBorders>
            <w:vAlign w:val="center"/>
          </w:tcPr>
          <w:p w14:paraId="4BB028F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4020241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10.5</w:t>
            </w:r>
          </w:p>
        </w:tc>
      </w:tr>
      <w:tr w14:paraId="4504FA8E">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FC99211">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2F5763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0DC5B06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13轴~15轴交T轴~V轴</w:t>
            </w:r>
          </w:p>
        </w:tc>
        <w:tc>
          <w:tcPr>
            <w:tcW w:w="1911" w:type="dxa"/>
            <w:tcBorders>
              <w:top w:val="nil"/>
              <w:left w:val="nil"/>
              <w:bottom w:val="single" w:color="auto" w:sz="4" w:space="0"/>
              <w:right w:val="single" w:color="auto" w:sz="4" w:space="0"/>
            </w:tcBorders>
            <w:vAlign w:val="center"/>
          </w:tcPr>
          <w:p w14:paraId="740CC8F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118</w:t>
            </w:r>
          </w:p>
        </w:tc>
        <w:tc>
          <w:tcPr>
            <w:tcW w:w="1911" w:type="dxa"/>
            <w:tcBorders>
              <w:top w:val="nil"/>
              <w:left w:val="nil"/>
              <w:bottom w:val="single" w:color="auto" w:sz="4" w:space="0"/>
              <w:right w:val="single" w:color="auto" w:sz="4" w:space="0"/>
            </w:tcBorders>
            <w:vAlign w:val="center"/>
          </w:tcPr>
          <w:p w14:paraId="29858C8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036C31A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17.2</w:t>
            </w:r>
          </w:p>
        </w:tc>
        <w:tc>
          <w:tcPr>
            <w:tcW w:w="2614" w:type="dxa"/>
            <w:tcBorders>
              <w:top w:val="nil"/>
              <w:left w:val="nil"/>
              <w:bottom w:val="single" w:color="auto" w:sz="4" w:space="0"/>
              <w:right w:val="single" w:color="auto" w:sz="4" w:space="0"/>
            </w:tcBorders>
            <w:vAlign w:val="center"/>
          </w:tcPr>
          <w:p w14:paraId="68BA29D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48E2EF5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10.4</w:t>
            </w:r>
          </w:p>
        </w:tc>
      </w:tr>
      <w:tr w14:paraId="05C686A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6B0CEF87">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6A4DF4F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4BBCA44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17轴~18轴交S轴~T轴</w:t>
            </w:r>
          </w:p>
        </w:tc>
        <w:tc>
          <w:tcPr>
            <w:tcW w:w="1911" w:type="dxa"/>
            <w:tcBorders>
              <w:top w:val="nil"/>
              <w:left w:val="nil"/>
              <w:bottom w:val="single" w:color="auto" w:sz="4" w:space="0"/>
              <w:right w:val="single" w:color="auto" w:sz="4" w:space="0"/>
            </w:tcBorders>
            <w:vAlign w:val="center"/>
          </w:tcPr>
          <w:p w14:paraId="1EF799E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45</w:t>
            </w:r>
          </w:p>
        </w:tc>
        <w:tc>
          <w:tcPr>
            <w:tcW w:w="1911" w:type="dxa"/>
            <w:tcBorders>
              <w:top w:val="nil"/>
              <w:left w:val="nil"/>
              <w:bottom w:val="single" w:color="auto" w:sz="4" w:space="0"/>
              <w:right w:val="single" w:color="auto" w:sz="4" w:space="0"/>
            </w:tcBorders>
            <w:vAlign w:val="center"/>
          </w:tcPr>
          <w:p w14:paraId="1BD8FA4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1911" w:type="dxa"/>
            <w:tcBorders>
              <w:top w:val="nil"/>
              <w:left w:val="nil"/>
              <w:bottom w:val="single" w:color="auto" w:sz="4" w:space="0"/>
              <w:right w:val="single" w:color="auto" w:sz="4" w:space="0"/>
            </w:tcBorders>
            <w:vAlign w:val="center"/>
          </w:tcPr>
          <w:p w14:paraId="6E06662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17.2</w:t>
            </w:r>
          </w:p>
        </w:tc>
        <w:tc>
          <w:tcPr>
            <w:tcW w:w="2614" w:type="dxa"/>
            <w:tcBorders>
              <w:top w:val="nil"/>
              <w:left w:val="nil"/>
              <w:bottom w:val="single" w:color="auto" w:sz="4" w:space="0"/>
              <w:right w:val="single" w:color="auto" w:sz="4" w:space="0"/>
            </w:tcBorders>
            <w:vAlign w:val="center"/>
          </w:tcPr>
          <w:p w14:paraId="068B049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1E3C2E3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10.3</w:t>
            </w:r>
          </w:p>
        </w:tc>
      </w:tr>
      <w:tr w14:paraId="7891FD0D">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C2923EA">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4153A10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405534E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12轴~18轴交S轴</w:t>
            </w:r>
          </w:p>
        </w:tc>
        <w:tc>
          <w:tcPr>
            <w:tcW w:w="1911" w:type="dxa"/>
            <w:tcBorders>
              <w:top w:val="nil"/>
              <w:left w:val="nil"/>
              <w:bottom w:val="single" w:color="auto" w:sz="4" w:space="0"/>
              <w:right w:val="single" w:color="auto" w:sz="4" w:space="0"/>
            </w:tcBorders>
            <w:vAlign w:val="center"/>
          </w:tcPr>
          <w:p w14:paraId="1FDC487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70</w:t>
            </w:r>
          </w:p>
        </w:tc>
        <w:tc>
          <w:tcPr>
            <w:tcW w:w="1911" w:type="dxa"/>
            <w:tcBorders>
              <w:top w:val="nil"/>
              <w:left w:val="nil"/>
              <w:bottom w:val="single" w:color="auto" w:sz="4" w:space="0"/>
              <w:right w:val="single" w:color="auto" w:sz="4" w:space="0"/>
            </w:tcBorders>
            <w:vAlign w:val="center"/>
          </w:tcPr>
          <w:p w14:paraId="60D47A9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52707EC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40BD46E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3856E4B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31B5D54F">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3A5C62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9AE6A6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1334D4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7轴~10轴交G轴</w:t>
            </w:r>
          </w:p>
        </w:tc>
        <w:tc>
          <w:tcPr>
            <w:tcW w:w="1911" w:type="dxa"/>
            <w:tcBorders>
              <w:top w:val="nil"/>
              <w:left w:val="nil"/>
              <w:bottom w:val="single" w:color="auto" w:sz="4" w:space="0"/>
              <w:right w:val="single" w:color="auto" w:sz="4" w:space="0"/>
            </w:tcBorders>
            <w:vAlign w:val="center"/>
          </w:tcPr>
          <w:p w14:paraId="6CD3843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50</w:t>
            </w:r>
          </w:p>
        </w:tc>
        <w:tc>
          <w:tcPr>
            <w:tcW w:w="1911" w:type="dxa"/>
            <w:tcBorders>
              <w:top w:val="nil"/>
              <w:left w:val="nil"/>
              <w:bottom w:val="single" w:color="auto" w:sz="4" w:space="0"/>
              <w:right w:val="single" w:color="auto" w:sz="4" w:space="0"/>
            </w:tcBorders>
            <w:vAlign w:val="center"/>
          </w:tcPr>
          <w:p w14:paraId="098465D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37428DA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0F40A57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3E17CA3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16EBC0B2">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7C5010E">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4BC6494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10F5344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13轴~15轴交D轴~F轴</w:t>
            </w:r>
          </w:p>
        </w:tc>
        <w:tc>
          <w:tcPr>
            <w:tcW w:w="1911" w:type="dxa"/>
            <w:tcBorders>
              <w:top w:val="nil"/>
              <w:left w:val="nil"/>
              <w:bottom w:val="single" w:color="auto" w:sz="4" w:space="0"/>
              <w:right w:val="single" w:color="auto" w:sz="4" w:space="0"/>
            </w:tcBorders>
            <w:vAlign w:val="center"/>
          </w:tcPr>
          <w:p w14:paraId="29E376B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156</w:t>
            </w:r>
          </w:p>
        </w:tc>
        <w:tc>
          <w:tcPr>
            <w:tcW w:w="1911" w:type="dxa"/>
            <w:tcBorders>
              <w:top w:val="nil"/>
              <w:left w:val="nil"/>
              <w:bottom w:val="single" w:color="auto" w:sz="4" w:space="0"/>
              <w:right w:val="single" w:color="auto" w:sz="4" w:space="0"/>
            </w:tcBorders>
            <w:vAlign w:val="center"/>
          </w:tcPr>
          <w:p w14:paraId="164D11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25990A5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17.2</w:t>
            </w:r>
          </w:p>
        </w:tc>
        <w:tc>
          <w:tcPr>
            <w:tcW w:w="2614" w:type="dxa"/>
            <w:tcBorders>
              <w:top w:val="nil"/>
              <w:left w:val="nil"/>
              <w:bottom w:val="single" w:color="auto" w:sz="4" w:space="0"/>
              <w:right w:val="single" w:color="auto" w:sz="4" w:space="0"/>
            </w:tcBorders>
            <w:vAlign w:val="center"/>
          </w:tcPr>
          <w:p w14:paraId="7B2EBCB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4B0B98A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10.4</w:t>
            </w:r>
          </w:p>
        </w:tc>
      </w:tr>
      <w:tr w14:paraId="43266F54">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6D4C1C77">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BECFD1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6DB6189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7轴~10轴交C轴</w:t>
            </w:r>
          </w:p>
        </w:tc>
        <w:tc>
          <w:tcPr>
            <w:tcW w:w="1911" w:type="dxa"/>
            <w:tcBorders>
              <w:top w:val="nil"/>
              <w:left w:val="nil"/>
              <w:bottom w:val="single" w:color="auto" w:sz="4" w:space="0"/>
              <w:right w:val="single" w:color="auto" w:sz="4" w:space="0"/>
            </w:tcBorders>
            <w:vAlign w:val="center"/>
          </w:tcPr>
          <w:p w14:paraId="7DD9823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50</w:t>
            </w:r>
          </w:p>
        </w:tc>
        <w:tc>
          <w:tcPr>
            <w:tcW w:w="1911" w:type="dxa"/>
            <w:tcBorders>
              <w:top w:val="nil"/>
              <w:left w:val="nil"/>
              <w:bottom w:val="single" w:color="auto" w:sz="4" w:space="0"/>
              <w:right w:val="single" w:color="auto" w:sz="4" w:space="0"/>
            </w:tcBorders>
            <w:vAlign w:val="center"/>
          </w:tcPr>
          <w:p w14:paraId="1C6638E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18A1A83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0CBE5B7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7DC67F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997D03D">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489C74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24ADC50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396BA0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11轴~17轴交C轴</w:t>
            </w:r>
          </w:p>
        </w:tc>
        <w:tc>
          <w:tcPr>
            <w:tcW w:w="1911" w:type="dxa"/>
            <w:tcBorders>
              <w:top w:val="nil"/>
              <w:left w:val="nil"/>
              <w:bottom w:val="single" w:color="auto" w:sz="4" w:space="0"/>
              <w:right w:val="single" w:color="auto" w:sz="4" w:space="0"/>
            </w:tcBorders>
            <w:vAlign w:val="center"/>
          </w:tcPr>
          <w:p w14:paraId="70FE6EE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88</w:t>
            </w:r>
          </w:p>
        </w:tc>
        <w:tc>
          <w:tcPr>
            <w:tcW w:w="1911" w:type="dxa"/>
            <w:tcBorders>
              <w:top w:val="nil"/>
              <w:left w:val="nil"/>
              <w:bottom w:val="single" w:color="auto" w:sz="4" w:space="0"/>
              <w:right w:val="single" w:color="auto" w:sz="4" w:space="0"/>
            </w:tcBorders>
            <w:vAlign w:val="center"/>
          </w:tcPr>
          <w:p w14:paraId="6BF228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1911" w:type="dxa"/>
            <w:tcBorders>
              <w:top w:val="nil"/>
              <w:left w:val="nil"/>
              <w:bottom w:val="single" w:color="auto" w:sz="4" w:space="0"/>
              <w:right w:val="single" w:color="auto" w:sz="4" w:space="0"/>
            </w:tcBorders>
            <w:vAlign w:val="center"/>
          </w:tcPr>
          <w:p w14:paraId="43FC3B7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3E81F4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1A7EB2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15E6DD77">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01C7068">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E10FAC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6C70A8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17轴~18轴交C轴~D轴</w:t>
            </w:r>
          </w:p>
        </w:tc>
        <w:tc>
          <w:tcPr>
            <w:tcW w:w="1911" w:type="dxa"/>
            <w:tcBorders>
              <w:top w:val="nil"/>
              <w:left w:val="nil"/>
              <w:bottom w:val="single" w:color="auto" w:sz="4" w:space="0"/>
              <w:right w:val="single" w:color="auto" w:sz="4" w:space="0"/>
            </w:tcBorders>
            <w:vAlign w:val="center"/>
          </w:tcPr>
          <w:p w14:paraId="38EC41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45</w:t>
            </w:r>
          </w:p>
        </w:tc>
        <w:tc>
          <w:tcPr>
            <w:tcW w:w="1911" w:type="dxa"/>
            <w:tcBorders>
              <w:top w:val="nil"/>
              <w:left w:val="nil"/>
              <w:bottom w:val="single" w:color="auto" w:sz="4" w:space="0"/>
              <w:right w:val="single" w:color="auto" w:sz="4" w:space="0"/>
            </w:tcBorders>
            <w:vAlign w:val="center"/>
          </w:tcPr>
          <w:p w14:paraId="5A9FADC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1911" w:type="dxa"/>
            <w:tcBorders>
              <w:top w:val="nil"/>
              <w:left w:val="nil"/>
              <w:bottom w:val="single" w:color="auto" w:sz="4" w:space="0"/>
              <w:right w:val="single" w:color="auto" w:sz="4" w:space="0"/>
            </w:tcBorders>
            <w:vAlign w:val="center"/>
          </w:tcPr>
          <w:p w14:paraId="3AD9E29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w:t>
            </w:r>
          </w:p>
        </w:tc>
        <w:tc>
          <w:tcPr>
            <w:tcW w:w="2614" w:type="dxa"/>
            <w:tcBorders>
              <w:top w:val="nil"/>
              <w:left w:val="nil"/>
              <w:bottom w:val="single" w:color="auto" w:sz="4" w:space="0"/>
              <w:right w:val="single" w:color="auto" w:sz="4" w:space="0"/>
            </w:tcBorders>
            <w:vAlign w:val="center"/>
          </w:tcPr>
          <w:p w14:paraId="53D7738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0B7801B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10.5</w:t>
            </w:r>
          </w:p>
        </w:tc>
      </w:tr>
      <w:tr w14:paraId="46FE94A2">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54CAEE1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七层</w:t>
            </w:r>
          </w:p>
        </w:tc>
        <w:tc>
          <w:tcPr>
            <w:tcW w:w="3850" w:type="dxa"/>
            <w:tcBorders>
              <w:top w:val="nil"/>
              <w:left w:val="nil"/>
              <w:bottom w:val="single" w:color="auto" w:sz="4" w:space="0"/>
              <w:right w:val="single" w:color="auto" w:sz="4" w:space="0"/>
            </w:tcBorders>
            <w:vAlign w:val="center"/>
          </w:tcPr>
          <w:p w14:paraId="081D4D6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5层结构板130mmC30</w:t>
            </w:r>
          </w:p>
        </w:tc>
        <w:tc>
          <w:tcPr>
            <w:tcW w:w="3907" w:type="dxa"/>
            <w:tcBorders>
              <w:top w:val="nil"/>
              <w:left w:val="nil"/>
              <w:bottom w:val="single" w:color="auto" w:sz="4" w:space="0"/>
              <w:right w:val="single" w:color="auto" w:sz="4" w:space="0"/>
            </w:tcBorders>
            <w:vAlign w:val="center"/>
          </w:tcPr>
          <w:p w14:paraId="672F99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9轴~10轴交T轴~V轴</w:t>
            </w:r>
          </w:p>
        </w:tc>
        <w:tc>
          <w:tcPr>
            <w:tcW w:w="1911" w:type="dxa"/>
            <w:tcBorders>
              <w:top w:val="nil"/>
              <w:left w:val="nil"/>
              <w:bottom w:val="single" w:color="auto" w:sz="4" w:space="0"/>
              <w:right w:val="single" w:color="auto" w:sz="4" w:space="0"/>
            </w:tcBorders>
            <w:vAlign w:val="center"/>
          </w:tcPr>
          <w:p w14:paraId="282278F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78</w:t>
            </w:r>
          </w:p>
        </w:tc>
        <w:tc>
          <w:tcPr>
            <w:tcW w:w="1911" w:type="dxa"/>
            <w:tcBorders>
              <w:top w:val="nil"/>
              <w:left w:val="nil"/>
              <w:bottom w:val="single" w:color="auto" w:sz="4" w:space="0"/>
              <w:right w:val="single" w:color="auto" w:sz="4" w:space="0"/>
            </w:tcBorders>
            <w:vAlign w:val="center"/>
          </w:tcPr>
          <w:p w14:paraId="4D882F5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32.3</w:t>
            </w:r>
          </w:p>
        </w:tc>
        <w:tc>
          <w:tcPr>
            <w:tcW w:w="1911" w:type="dxa"/>
            <w:tcBorders>
              <w:top w:val="nil"/>
              <w:left w:val="nil"/>
              <w:bottom w:val="single" w:color="auto" w:sz="4" w:space="0"/>
              <w:right w:val="single" w:color="auto" w:sz="4" w:space="0"/>
            </w:tcBorders>
            <w:vAlign w:val="center"/>
          </w:tcPr>
          <w:p w14:paraId="7C8C13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22.9</w:t>
            </w:r>
          </w:p>
        </w:tc>
        <w:tc>
          <w:tcPr>
            <w:tcW w:w="2614" w:type="dxa"/>
            <w:tcBorders>
              <w:top w:val="nil"/>
              <w:left w:val="nil"/>
              <w:bottom w:val="single" w:color="auto" w:sz="4" w:space="0"/>
              <w:right w:val="single" w:color="auto" w:sz="4" w:space="0"/>
            </w:tcBorders>
            <w:vAlign w:val="center"/>
          </w:tcPr>
          <w:p w14:paraId="24C60D7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5CFF3E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4B1E16E0">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F98EA3D">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85EE26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5层结构板130mmC30</w:t>
            </w:r>
          </w:p>
        </w:tc>
        <w:tc>
          <w:tcPr>
            <w:tcW w:w="3907" w:type="dxa"/>
            <w:tcBorders>
              <w:top w:val="nil"/>
              <w:left w:val="nil"/>
              <w:bottom w:val="single" w:color="auto" w:sz="4" w:space="0"/>
              <w:right w:val="single" w:color="auto" w:sz="4" w:space="0"/>
            </w:tcBorders>
            <w:vAlign w:val="center"/>
          </w:tcPr>
          <w:p w14:paraId="0B2064C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9轴~10轴交D轴~F轴</w:t>
            </w:r>
          </w:p>
        </w:tc>
        <w:tc>
          <w:tcPr>
            <w:tcW w:w="1911" w:type="dxa"/>
            <w:tcBorders>
              <w:top w:val="nil"/>
              <w:left w:val="nil"/>
              <w:bottom w:val="single" w:color="auto" w:sz="4" w:space="0"/>
              <w:right w:val="single" w:color="auto" w:sz="4" w:space="0"/>
            </w:tcBorders>
            <w:vAlign w:val="center"/>
          </w:tcPr>
          <w:p w14:paraId="74C62A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78</w:t>
            </w:r>
          </w:p>
        </w:tc>
        <w:tc>
          <w:tcPr>
            <w:tcW w:w="1911" w:type="dxa"/>
            <w:tcBorders>
              <w:top w:val="nil"/>
              <w:left w:val="nil"/>
              <w:bottom w:val="single" w:color="auto" w:sz="4" w:space="0"/>
              <w:right w:val="single" w:color="auto" w:sz="4" w:space="0"/>
            </w:tcBorders>
            <w:vAlign w:val="center"/>
          </w:tcPr>
          <w:p w14:paraId="71487B8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32.3</w:t>
            </w:r>
          </w:p>
        </w:tc>
        <w:tc>
          <w:tcPr>
            <w:tcW w:w="1911" w:type="dxa"/>
            <w:tcBorders>
              <w:top w:val="nil"/>
              <w:left w:val="nil"/>
              <w:bottom w:val="single" w:color="auto" w:sz="4" w:space="0"/>
              <w:right w:val="single" w:color="auto" w:sz="4" w:space="0"/>
            </w:tcBorders>
            <w:vAlign w:val="center"/>
          </w:tcPr>
          <w:p w14:paraId="04B7000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22.9</w:t>
            </w:r>
          </w:p>
        </w:tc>
        <w:tc>
          <w:tcPr>
            <w:tcW w:w="2614" w:type="dxa"/>
            <w:tcBorders>
              <w:top w:val="nil"/>
              <w:left w:val="nil"/>
              <w:bottom w:val="single" w:color="auto" w:sz="4" w:space="0"/>
              <w:right w:val="single" w:color="auto" w:sz="4" w:space="0"/>
            </w:tcBorders>
            <w:vAlign w:val="center"/>
          </w:tcPr>
          <w:p w14:paraId="7B8898E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425ED4F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874BD5B">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5C6059D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八层</w:t>
            </w:r>
          </w:p>
        </w:tc>
        <w:tc>
          <w:tcPr>
            <w:tcW w:w="3850" w:type="dxa"/>
            <w:tcBorders>
              <w:top w:val="nil"/>
              <w:left w:val="nil"/>
              <w:bottom w:val="single" w:color="auto" w:sz="4" w:space="0"/>
              <w:right w:val="single" w:color="auto" w:sz="4" w:space="0"/>
            </w:tcBorders>
            <w:vAlign w:val="center"/>
          </w:tcPr>
          <w:p w14:paraId="7763EF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4FDAF87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13轴~16轴交T轴~V轴</w:t>
            </w:r>
          </w:p>
        </w:tc>
        <w:tc>
          <w:tcPr>
            <w:tcW w:w="1911" w:type="dxa"/>
            <w:tcBorders>
              <w:top w:val="nil"/>
              <w:left w:val="nil"/>
              <w:bottom w:val="single" w:color="auto" w:sz="4" w:space="0"/>
              <w:right w:val="single" w:color="auto" w:sz="4" w:space="0"/>
            </w:tcBorders>
            <w:vAlign w:val="center"/>
          </w:tcPr>
          <w:p w14:paraId="1E7B08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211</w:t>
            </w:r>
          </w:p>
        </w:tc>
        <w:tc>
          <w:tcPr>
            <w:tcW w:w="1911" w:type="dxa"/>
            <w:tcBorders>
              <w:top w:val="nil"/>
              <w:left w:val="nil"/>
              <w:bottom w:val="single" w:color="auto" w:sz="4" w:space="0"/>
              <w:right w:val="single" w:color="auto" w:sz="4" w:space="0"/>
            </w:tcBorders>
            <w:vAlign w:val="center"/>
          </w:tcPr>
          <w:p w14:paraId="70F2DEF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37</w:t>
            </w:r>
          </w:p>
        </w:tc>
        <w:tc>
          <w:tcPr>
            <w:tcW w:w="1911" w:type="dxa"/>
            <w:tcBorders>
              <w:top w:val="nil"/>
              <w:left w:val="nil"/>
              <w:bottom w:val="single" w:color="auto" w:sz="4" w:space="0"/>
              <w:right w:val="single" w:color="auto" w:sz="4" w:space="0"/>
            </w:tcBorders>
            <w:vAlign w:val="center"/>
          </w:tcPr>
          <w:p w14:paraId="30602D1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2614" w:type="dxa"/>
            <w:tcBorders>
              <w:top w:val="nil"/>
              <w:left w:val="nil"/>
              <w:bottom w:val="single" w:color="auto" w:sz="4" w:space="0"/>
              <w:right w:val="single" w:color="auto" w:sz="4" w:space="0"/>
            </w:tcBorders>
            <w:vAlign w:val="center"/>
          </w:tcPr>
          <w:p w14:paraId="74AF1F0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7D462E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716DFB6">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0190EF5B">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03B186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6622FC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13轴~16轴交D轴~F轴</w:t>
            </w:r>
          </w:p>
        </w:tc>
        <w:tc>
          <w:tcPr>
            <w:tcW w:w="1911" w:type="dxa"/>
            <w:tcBorders>
              <w:top w:val="nil"/>
              <w:left w:val="nil"/>
              <w:bottom w:val="single" w:color="auto" w:sz="4" w:space="0"/>
              <w:right w:val="single" w:color="auto" w:sz="4" w:space="0"/>
            </w:tcBorders>
            <w:vAlign w:val="center"/>
          </w:tcPr>
          <w:p w14:paraId="672CA0F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211</w:t>
            </w:r>
          </w:p>
        </w:tc>
        <w:tc>
          <w:tcPr>
            <w:tcW w:w="1911" w:type="dxa"/>
            <w:tcBorders>
              <w:top w:val="nil"/>
              <w:left w:val="nil"/>
              <w:bottom w:val="single" w:color="auto" w:sz="4" w:space="0"/>
              <w:right w:val="single" w:color="auto" w:sz="4" w:space="0"/>
            </w:tcBorders>
            <w:vAlign w:val="center"/>
          </w:tcPr>
          <w:p w14:paraId="362890F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37</w:t>
            </w:r>
          </w:p>
        </w:tc>
        <w:tc>
          <w:tcPr>
            <w:tcW w:w="1911" w:type="dxa"/>
            <w:tcBorders>
              <w:top w:val="nil"/>
              <w:left w:val="nil"/>
              <w:bottom w:val="single" w:color="auto" w:sz="4" w:space="0"/>
              <w:right w:val="single" w:color="auto" w:sz="4" w:space="0"/>
            </w:tcBorders>
            <w:vAlign w:val="center"/>
          </w:tcPr>
          <w:p w14:paraId="4D4DBD5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27.6</w:t>
            </w:r>
          </w:p>
        </w:tc>
        <w:tc>
          <w:tcPr>
            <w:tcW w:w="2614" w:type="dxa"/>
            <w:tcBorders>
              <w:top w:val="nil"/>
              <w:left w:val="nil"/>
              <w:bottom w:val="single" w:color="auto" w:sz="4" w:space="0"/>
              <w:right w:val="single" w:color="auto" w:sz="4" w:space="0"/>
            </w:tcBorders>
            <w:vAlign w:val="center"/>
          </w:tcPr>
          <w:p w14:paraId="3A650D7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51C17E4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550C4D0E">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1391022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九层</w:t>
            </w:r>
          </w:p>
        </w:tc>
        <w:tc>
          <w:tcPr>
            <w:tcW w:w="3850" w:type="dxa"/>
            <w:tcBorders>
              <w:top w:val="nil"/>
              <w:left w:val="nil"/>
              <w:bottom w:val="single" w:color="auto" w:sz="4" w:space="0"/>
              <w:right w:val="single" w:color="auto" w:sz="4" w:space="0"/>
            </w:tcBorders>
            <w:vAlign w:val="center"/>
          </w:tcPr>
          <w:p w14:paraId="3D0BDB5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0AE9B42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6轴~7轴交V轴~W轴</w:t>
            </w:r>
          </w:p>
        </w:tc>
        <w:tc>
          <w:tcPr>
            <w:tcW w:w="1911" w:type="dxa"/>
            <w:tcBorders>
              <w:top w:val="nil"/>
              <w:left w:val="nil"/>
              <w:bottom w:val="single" w:color="auto" w:sz="4" w:space="0"/>
              <w:right w:val="single" w:color="auto" w:sz="4" w:space="0"/>
            </w:tcBorders>
            <w:vAlign w:val="center"/>
          </w:tcPr>
          <w:p w14:paraId="42B0199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64</w:t>
            </w:r>
          </w:p>
        </w:tc>
        <w:tc>
          <w:tcPr>
            <w:tcW w:w="1911" w:type="dxa"/>
            <w:tcBorders>
              <w:top w:val="nil"/>
              <w:left w:val="nil"/>
              <w:bottom w:val="single" w:color="auto" w:sz="4" w:space="0"/>
              <w:right w:val="single" w:color="auto" w:sz="4" w:space="0"/>
            </w:tcBorders>
            <w:vAlign w:val="center"/>
          </w:tcPr>
          <w:p w14:paraId="78D1F01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28F4C4C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32.2</w:t>
            </w:r>
          </w:p>
        </w:tc>
        <w:tc>
          <w:tcPr>
            <w:tcW w:w="2614" w:type="dxa"/>
            <w:tcBorders>
              <w:top w:val="nil"/>
              <w:left w:val="nil"/>
              <w:bottom w:val="single" w:color="auto" w:sz="4" w:space="0"/>
              <w:right w:val="single" w:color="auto" w:sz="4" w:space="0"/>
            </w:tcBorders>
            <w:vAlign w:val="center"/>
          </w:tcPr>
          <w:p w14:paraId="512EBE8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094FCA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5040539F">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53F50613">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9F6E7A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10211EC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6轴~7轴交S轴~T轴</w:t>
            </w:r>
          </w:p>
        </w:tc>
        <w:tc>
          <w:tcPr>
            <w:tcW w:w="1911" w:type="dxa"/>
            <w:tcBorders>
              <w:top w:val="nil"/>
              <w:left w:val="nil"/>
              <w:bottom w:val="single" w:color="auto" w:sz="4" w:space="0"/>
              <w:right w:val="single" w:color="auto" w:sz="4" w:space="0"/>
            </w:tcBorders>
            <w:vAlign w:val="center"/>
          </w:tcPr>
          <w:p w14:paraId="61A7562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42</w:t>
            </w:r>
          </w:p>
        </w:tc>
        <w:tc>
          <w:tcPr>
            <w:tcW w:w="1911" w:type="dxa"/>
            <w:tcBorders>
              <w:top w:val="nil"/>
              <w:left w:val="nil"/>
              <w:bottom w:val="single" w:color="auto" w:sz="4" w:space="0"/>
              <w:right w:val="single" w:color="auto" w:sz="4" w:space="0"/>
            </w:tcBorders>
            <w:vAlign w:val="center"/>
          </w:tcPr>
          <w:p w14:paraId="6BA0A1B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0C6875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32.2</w:t>
            </w:r>
          </w:p>
        </w:tc>
        <w:tc>
          <w:tcPr>
            <w:tcW w:w="2614" w:type="dxa"/>
            <w:tcBorders>
              <w:top w:val="nil"/>
              <w:left w:val="nil"/>
              <w:bottom w:val="single" w:color="auto" w:sz="4" w:space="0"/>
              <w:right w:val="single" w:color="auto" w:sz="4" w:space="0"/>
            </w:tcBorders>
            <w:vAlign w:val="center"/>
          </w:tcPr>
          <w:p w14:paraId="1E7238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1EF8F79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0DA99CA6">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ED4D1D4">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5828E6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0C9DDDD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9轴~10轴交T轴~V轴</w:t>
            </w:r>
          </w:p>
        </w:tc>
        <w:tc>
          <w:tcPr>
            <w:tcW w:w="1911" w:type="dxa"/>
            <w:tcBorders>
              <w:top w:val="nil"/>
              <w:left w:val="nil"/>
              <w:bottom w:val="single" w:color="auto" w:sz="4" w:space="0"/>
              <w:right w:val="single" w:color="auto" w:sz="4" w:space="0"/>
            </w:tcBorders>
            <w:vAlign w:val="center"/>
          </w:tcPr>
          <w:p w14:paraId="1F541B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80</w:t>
            </w:r>
          </w:p>
        </w:tc>
        <w:tc>
          <w:tcPr>
            <w:tcW w:w="1911" w:type="dxa"/>
            <w:tcBorders>
              <w:top w:val="nil"/>
              <w:left w:val="nil"/>
              <w:bottom w:val="single" w:color="auto" w:sz="4" w:space="0"/>
              <w:right w:val="single" w:color="auto" w:sz="4" w:space="0"/>
            </w:tcBorders>
            <w:vAlign w:val="center"/>
          </w:tcPr>
          <w:p w14:paraId="78A0B5C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486A340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32.2</w:t>
            </w:r>
          </w:p>
        </w:tc>
        <w:tc>
          <w:tcPr>
            <w:tcW w:w="2614" w:type="dxa"/>
            <w:tcBorders>
              <w:top w:val="nil"/>
              <w:left w:val="nil"/>
              <w:bottom w:val="single" w:color="auto" w:sz="4" w:space="0"/>
              <w:right w:val="single" w:color="auto" w:sz="4" w:space="0"/>
            </w:tcBorders>
            <w:vAlign w:val="center"/>
          </w:tcPr>
          <w:p w14:paraId="2D5B25A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1CC005C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3EEB7551">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EEB567C">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6561A62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6E2F9DC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12轴~13轴交V轴~W轴</w:t>
            </w:r>
          </w:p>
        </w:tc>
        <w:tc>
          <w:tcPr>
            <w:tcW w:w="1911" w:type="dxa"/>
            <w:tcBorders>
              <w:top w:val="nil"/>
              <w:left w:val="nil"/>
              <w:bottom w:val="single" w:color="auto" w:sz="4" w:space="0"/>
              <w:right w:val="single" w:color="auto" w:sz="4" w:space="0"/>
            </w:tcBorders>
            <w:vAlign w:val="center"/>
          </w:tcPr>
          <w:p w14:paraId="33C4A7F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64</w:t>
            </w:r>
          </w:p>
        </w:tc>
        <w:tc>
          <w:tcPr>
            <w:tcW w:w="1911" w:type="dxa"/>
            <w:tcBorders>
              <w:top w:val="nil"/>
              <w:left w:val="nil"/>
              <w:bottom w:val="single" w:color="auto" w:sz="4" w:space="0"/>
              <w:right w:val="single" w:color="auto" w:sz="4" w:space="0"/>
            </w:tcBorders>
            <w:vAlign w:val="center"/>
          </w:tcPr>
          <w:p w14:paraId="1A6BC1D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32F8F1A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27.4</w:t>
            </w:r>
          </w:p>
        </w:tc>
        <w:tc>
          <w:tcPr>
            <w:tcW w:w="2614" w:type="dxa"/>
            <w:tcBorders>
              <w:top w:val="nil"/>
              <w:left w:val="nil"/>
              <w:bottom w:val="single" w:color="auto" w:sz="4" w:space="0"/>
              <w:right w:val="single" w:color="auto" w:sz="4" w:space="0"/>
            </w:tcBorders>
            <w:vAlign w:val="center"/>
          </w:tcPr>
          <w:p w14:paraId="135C9B7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2C51CB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14.3</w:t>
            </w:r>
          </w:p>
        </w:tc>
      </w:tr>
      <w:tr w14:paraId="3653C9BB">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6A008049">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04664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17990F5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12轴~13轴交S轴~T轴</w:t>
            </w:r>
          </w:p>
        </w:tc>
        <w:tc>
          <w:tcPr>
            <w:tcW w:w="1911" w:type="dxa"/>
            <w:tcBorders>
              <w:top w:val="nil"/>
              <w:left w:val="nil"/>
              <w:bottom w:val="single" w:color="auto" w:sz="4" w:space="0"/>
              <w:right w:val="single" w:color="auto" w:sz="4" w:space="0"/>
            </w:tcBorders>
            <w:vAlign w:val="center"/>
          </w:tcPr>
          <w:p w14:paraId="65ED486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42</w:t>
            </w:r>
          </w:p>
        </w:tc>
        <w:tc>
          <w:tcPr>
            <w:tcW w:w="1911" w:type="dxa"/>
            <w:tcBorders>
              <w:top w:val="nil"/>
              <w:left w:val="nil"/>
              <w:bottom w:val="single" w:color="auto" w:sz="4" w:space="0"/>
              <w:right w:val="single" w:color="auto" w:sz="4" w:space="0"/>
            </w:tcBorders>
            <w:vAlign w:val="center"/>
          </w:tcPr>
          <w:p w14:paraId="5AFF77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158BD86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27.4</w:t>
            </w:r>
          </w:p>
        </w:tc>
        <w:tc>
          <w:tcPr>
            <w:tcW w:w="2614" w:type="dxa"/>
            <w:tcBorders>
              <w:top w:val="nil"/>
              <w:left w:val="nil"/>
              <w:bottom w:val="single" w:color="auto" w:sz="4" w:space="0"/>
              <w:right w:val="single" w:color="auto" w:sz="4" w:space="0"/>
            </w:tcBorders>
            <w:vAlign w:val="center"/>
          </w:tcPr>
          <w:p w14:paraId="30FAE10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2398C1E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14.3</w:t>
            </w:r>
          </w:p>
        </w:tc>
      </w:tr>
      <w:tr w14:paraId="79A109C3">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76EECB7">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057C03E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01AE32C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17轴~18轴交V轴~W轴</w:t>
            </w:r>
          </w:p>
        </w:tc>
        <w:tc>
          <w:tcPr>
            <w:tcW w:w="1911" w:type="dxa"/>
            <w:tcBorders>
              <w:top w:val="nil"/>
              <w:left w:val="nil"/>
              <w:bottom w:val="single" w:color="auto" w:sz="4" w:space="0"/>
              <w:right w:val="single" w:color="auto" w:sz="4" w:space="0"/>
            </w:tcBorders>
            <w:vAlign w:val="center"/>
          </w:tcPr>
          <w:p w14:paraId="12DD98F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96</w:t>
            </w:r>
          </w:p>
        </w:tc>
        <w:tc>
          <w:tcPr>
            <w:tcW w:w="1911" w:type="dxa"/>
            <w:tcBorders>
              <w:top w:val="nil"/>
              <w:left w:val="nil"/>
              <w:bottom w:val="single" w:color="auto" w:sz="4" w:space="0"/>
              <w:right w:val="single" w:color="auto" w:sz="4" w:space="0"/>
            </w:tcBorders>
            <w:vAlign w:val="center"/>
          </w:tcPr>
          <w:p w14:paraId="5A41EB7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1911" w:type="dxa"/>
            <w:tcBorders>
              <w:top w:val="nil"/>
              <w:left w:val="nil"/>
              <w:bottom w:val="single" w:color="auto" w:sz="4" w:space="0"/>
              <w:right w:val="single" w:color="auto" w:sz="4" w:space="0"/>
            </w:tcBorders>
            <w:vAlign w:val="center"/>
          </w:tcPr>
          <w:p w14:paraId="2DF2F36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2614" w:type="dxa"/>
            <w:tcBorders>
              <w:top w:val="nil"/>
              <w:left w:val="nil"/>
              <w:bottom w:val="single" w:color="auto" w:sz="4" w:space="0"/>
              <w:right w:val="single" w:color="auto" w:sz="4" w:space="0"/>
            </w:tcBorders>
            <w:vAlign w:val="center"/>
          </w:tcPr>
          <w:p w14:paraId="5C70484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5A90A1E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14.1</w:t>
            </w:r>
          </w:p>
        </w:tc>
      </w:tr>
      <w:tr w14:paraId="76A59DEA">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2008A08">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9BC290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227FB0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17轴~18轴交S轴~T轴</w:t>
            </w:r>
          </w:p>
        </w:tc>
        <w:tc>
          <w:tcPr>
            <w:tcW w:w="1911" w:type="dxa"/>
            <w:tcBorders>
              <w:top w:val="nil"/>
              <w:left w:val="nil"/>
              <w:bottom w:val="single" w:color="auto" w:sz="4" w:space="0"/>
              <w:right w:val="single" w:color="auto" w:sz="4" w:space="0"/>
            </w:tcBorders>
            <w:vAlign w:val="center"/>
          </w:tcPr>
          <w:p w14:paraId="17B1D42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67</w:t>
            </w:r>
          </w:p>
        </w:tc>
        <w:tc>
          <w:tcPr>
            <w:tcW w:w="1911" w:type="dxa"/>
            <w:tcBorders>
              <w:top w:val="nil"/>
              <w:left w:val="nil"/>
              <w:bottom w:val="single" w:color="auto" w:sz="4" w:space="0"/>
              <w:right w:val="single" w:color="auto" w:sz="4" w:space="0"/>
            </w:tcBorders>
            <w:vAlign w:val="center"/>
          </w:tcPr>
          <w:p w14:paraId="1C248D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1911" w:type="dxa"/>
            <w:tcBorders>
              <w:top w:val="nil"/>
              <w:left w:val="nil"/>
              <w:bottom w:val="single" w:color="auto" w:sz="4" w:space="0"/>
              <w:right w:val="single" w:color="auto" w:sz="4" w:space="0"/>
            </w:tcBorders>
            <w:vAlign w:val="center"/>
          </w:tcPr>
          <w:p w14:paraId="416561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2614" w:type="dxa"/>
            <w:tcBorders>
              <w:top w:val="nil"/>
              <w:left w:val="nil"/>
              <w:bottom w:val="single" w:color="auto" w:sz="4" w:space="0"/>
              <w:right w:val="single" w:color="auto" w:sz="4" w:space="0"/>
            </w:tcBorders>
            <w:vAlign w:val="center"/>
          </w:tcPr>
          <w:p w14:paraId="695DA2F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4840BD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14.1</w:t>
            </w:r>
          </w:p>
        </w:tc>
      </w:tr>
      <w:tr w14:paraId="4EE3BDA3">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AA819E9">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2DF6DB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725E379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6轴~7轴交F轴~G轴</w:t>
            </w:r>
          </w:p>
        </w:tc>
        <w:tc>
          <w:tcPr>
            <w:tcW w:w="1911" w:type="dxa"/>
            <w:tcBorders>
              <w:top w:val="nil"/>
              <w:left w:val="nil"/>
              <w:bottom w:val="single" w:color="auto" w:sz="4" w:space="0"/>
              <w:right w:val="single" w:color="auto" w:sz="4" w:space="0"/>
            </w:tcBorders>
            <w:vAlign w:val="center"/>
          </w:tcPr>
          <w:p w14:paraId="238717B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64</w:t>
            </w:r>
          </w:p>
        </w:tc>
        <w:tc>
          <w:tcPr>
            <w:tcW w:w="1911" w:type="dxa"/>
            <w:tcBorders>
              <w:top w:val="nil"/>
              <w:left w:val="nil"/>
              <w:bottom w:val="single" w:color="auto" w:sz="4" w:space="0"/>
              <w:right w:val="single" w:color="auto" w:sz="4" w:space="0"/>
            </w:tcBorders>
            <w:vAlign w:val="center"/>
          </w:tcPr>
          <w:p w14:paraId="10A661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59FA8C9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32.2</w:t>
            </w:r>
          </w:p>
        </w:tc>
        <w:tc>
          <w:tcPr>
            <w:tcW w:w="2614" w:type="dxa"/>
            <w:tcBorders>
              <w:top w:val="nil"/>
              <w:left w:val="nil"/>
              <w:bottom w:val="single" w:color="auto" w:sz="4" w:space="0"/>
              <w:right w:val="single" w:color="auto" w:sz="4" w:space="0"/>
            </w:tcBorders>
            <w:vAlign w:val="center"/>
          </w:tcPr>
          <w:p w14:paraId="7BF123B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CF35A7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516713D1">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1EEE7AA">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53A293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734D0A1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6轴~7轴交C轴~D轴</w:t>
            </w:r>
          </w:p>
        </w:tc>
        <w:tc>
          <w:tcPr>
            <w:tcW w:w="1911" w:type="dxa"/>
            <w:tcBorders>
              <w:top w:val="nil"/>
              <w:left w:val="nil"/>
              <w:bottom w:val="single" w:color="auto" w:sz="4" w:space="0"/>
              <w:right w:val="single" w:color="auto" w:sz="4" w:space="0"/>
            </w:tcBorders>
            <w:vAlign w:val="center"/>
          </w:tcPr>
          <w:p w14:paraId="6D89C5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42</w:t>
            </w:r>
          </w:p>
        </w:tc>
        <w:tc>
          <w:tcPr>
            <w:tcW w:w="1911" w:type="dxa"/>
            <w:tcBorders>
              <w:top w:val="nil"/>
              <w:left w:val="nil"/>
              <w:bottom w:val="single" w:color="auto" w:sz="4" w:space="0"/>
              <w:right w:val="single" w:color="auto" w:sz="4" w:space="0"/>
            </w:tcBorders>
            <w:vAlign w:val="center"/>
          </w:tcPr>
          <w:p w14:paraId="595DB2C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7AA1348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32.2</w:t>
            </w:r>
          </w:p>
        </w:tc>
        <w:tc>
          <w:tcPr>
            <w:tcW w:w="2614" w:type="dxa"/>
            <w:tcBorders>
              <w:top w:val="nil"/>
              <w:left w:val="nil"/>
              <w:bottom w:val="single" w:color="auto" w:sz="4" w:space="0"/>
              <w:right w:val="single" w:color="auto" w:sz="4" w:space="0"/>
            </w:tcBorders>
            <w:vAlign w:val="center"/>
          </w:tcPr>
          <w:p w14:paraId="1568A8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B08F33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30DB1562">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7A70119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85EBCF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25835EA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9轴~10轴交D轴~F轴</w:t>
            </w:r>
          </w:p>
        </w:tc>
        <w:tc>
          <w:tcPr>
            <w:tcW w:w="1911" w:type="dxa"/>
            <w:tcBorders>
              <w:top w:val="nil"/>
              <w:left w:val="nil"/>
              <w:bottom w:val="single" w:color="auto" w:sz="4" w:space="0"/>
              <w:right w:val="single" w:color="auto" w:sz="4" w:space="0"/>
            </w:tcBorders>
            <w:vAlign w:val="center"/>
          </w:tcPr>
          <w:p w14:paraId="3BD375E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80</w:t>
            </w:r>
          </w:p>
        </w:tc>
        <w:tc>
          <w:tcPr>
            <w:tcW w:w="1911" w:type="dxa"/>
            <w:tcBorders>
              <w:top w:val="nil"/>
              <w:left w:val="nil"/>
              <w:bottom w:val="single" w:color="auto" w:sz="4" w:space="0"/>
              <w:right w:val="single" w:color="auto" w:sz="4" w:space="0"/>
            </w:tcBorders>
            <w:vAlign w:val="center"/>
          </w:tcPr>
          <w:p w14:paraId="3A5FDA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0A51B6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32.2</w:t>
            </w:r>
          </w:p>
        </w:tc>
        <w:tc>
          <w:tcPr>
            <w:tcW w:w="2614" w:type="dxa"/>
            <w:tcBorders>
              <w:top w:val="nil"/>
              <w:left w:val="nil"/>
              <w:bottom w:val="single" w:color="auto" w:sz="4" w:space="0"/>
              <w:right w:val="single" w:color="auto" w:sz="4" w:space="0"/>
            </w:tcBorders>
            <w:vAlign w:val="center"/>
          </w:tcPr>
          <w:p w14:paraId="7BCDC9A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20BDEA8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48B8B785">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5FD0305C">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0DC188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26A4F9F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12轴~13轴交F轴~G轴</w:t>
            </w:r>
          </w:p>
        </w:tc>
        <w:tc>
          <w:tcPr>
            <w:tcW w:w="1911" w:type="dxa"/>
            <w:tcBorders>
              <w:top w:val="nil"/>
              <w:left w:val="nil"/>
              <w:bottom w:val="single" w:color="auto" w:sz="4" w:space="0"/>
              <w:right w:val="single" w:color="auto" w:sz="4" w:space="0"/>
            </w:tcBorders>
            <w:vAlign w:val="center"/>
          </w:tcPr>
          <w:p w14:paraId="221617D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64</w:t>
            </w:r>
          </w:p>
        </w:tc>
        <w:tc>
          <w:tcPr>
            <w:tcW w:w="1911" w:type="dxa"/>
            <w:tcBorders>
              <w:top w:val="nil"/>
              <w:left w:val="nil"/>
              <w:bottom w:val="single" w:color="auto" w:sz="4" w:space="0"/>
              <w:right w:val="single" w:color="auto" w:sz="4" w:space="0"/>
            </w:tcBorders>
            <w:vAlign w:val="center"/>
          </w:tcPr>
          <w:p w14:paraId="449CE21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519AE13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27.4</w:t>
            </w:r>
          </w:p>
        </w:tc>
        <w:tc>
          <w:tcPr>
            <w:tcW w:w="2614" w:type="dxa"/>
            <w:tcBorders>
              <w:top w:val="nil"/>
              <w:left w:val="nil"/>
              <w:bottom w:val="single" w:color="auto" w:sz="4" w:space="0"/>
              <w:right w:val="single" w:color="auto" w:sz="4" w:space="0"/>
            </w:tcBorders>
            <w:vAlign w:val="center"/>
          </w:tcPr>
          <w:p w14:paraId="3DBF497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E72E49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14.3</w:t>
            </w:r>
          </w:p>
        </w:tc>
      </w:tr>
      <w:tr w14:paraId="450D0A77">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71653F8E">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4442D6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568EF4A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12轴~13轴交C轴~D轴</w:t>
            </w:r>
          </w:p>
        </w:tc>
        <w:tc>
          <w:tcPr>
            <w:tcW w:w="1911" w:type="dxa"/>
            <w:tcBorders>
              <w:top w:val="nil"/>
              <w:left w:val="nil"/>
              <w:bottom w:val="single" w:color="auto" w:sz="4" w:space="0"/>
              <w:right w:val="single" w:color="auto" w:sz="4" w:space="0"/>
            </w:tcBorders>
            <w:vAlign w:val="center"/>
          </w:tcPr>
          <w:p w14:paraId="454D81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42</w:t>
            </w:r>
          </w:p>
        </w:tc>
        <w:tc>
          <w:tcPr>
            <w:tcW w:w="1911" w:type="dxa"/>
            <w:tcBorders>
              <w:top w:val="nil"/>
              <w:left w:val="nil"/>
              <w:bottom w:val="single" w:color="auto" w:sz="4" w:space="0"/>
              <w:right w:val="single" w:color="auto" w:sz="4" w:space="0"/>
            </w:tcBorders>
            <w:vAlign w:val="center"/>
          </w:tcPr>
          <w:p w14:paraId="4969AC6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41.7</w:t>
            </w:r>
          </w:p>
        </w:tc>
        <w:tc>
          <w:tcPr>
            <w:tcW w:w="1911" w:type="dxa"/>
            <w:tcBorders>
              <w:top w:val="nil"/>
              <w:left w:val="nil"/>
              <w:bottom w:val="single" w:color="auto" w:sz="4" w:space="0"/>
              <w:right w:val="single" w:color="auto" w:sz="4" w:space="0"/>
            </w:tcBorders>
            <w:vAlign w:val="center"/>
          </w:tcPr>
          <w:p w14:paraId="760895E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27.4</w:t>
            </w:r>
          </w:p>
        </w:tc>
        <w:tc>
          <w:tcPr>
            <w:tcW w:w="2614" w:type="dxa"/>
            <w:tcBorders>
              <w:top w:val="nil"/>
              <w:left w:val="nil"/>
              <w:bottom w:val="single" w:color="auto" w:sz="4" w:space="0"/>
              <w:right w:val="single" w:color="auto" w:sz="4" w:space="0"/>
            </w:tcBorders>
            <w:vAlign w:val="center"/>
          </w:tcPr>
          <w:p w14:paraId="426CBE7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0D4214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14.3</w:t>
            </w:r>
          </w:p>
        </w:tc>
      </w:tr>
      <w:tr w14:paraId="09F7024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0574C2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01039B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1984313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17轴~18轴交F轴~G轴</w:t>
            </w:r>
          </w:p>
        </w:tc>
        <w:tc>
          <w:tcPr>
            <w:tcW w:w="1911" w:type="dxa"/>
            <w:tcBorders>
              <w:top w:val="nil"/>
              <w:left w:val="nil"/>
              <w:bottom w:val="single" w:color="auto" w:sz="4" w:space="0"/>
              <w:right w:val="single" w:color="auto" w:sz="4" w:space="0"/>
            </w:tcBorders>
            <w:vAlign w:val="center"/>
          </w:tcPr>
          <w:p w14:paraId="7F61339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96</w:t>
            </w:r>
          </w:p>
        </w:tc>
        <w:tc>
          <w:tcPr>
            <w:tcW w:w="1911" w:type="dxa"/>
            <w:tcBorders>
              <w:top w:val="nil"/>
              <w:left w:val="nil"/>
              <w:bottom w:val="single" w:color="auto" w:sz="4" w:space="0"/>
              <w:right w:val="single" w:color="auto" w:sz="4" w:space="0"/>
            </w:tcBorders>
            <w:vAlign w:val="center"/>
          </w:tcPr>
          <w:p w14:paraId="4F04360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1911" w:type="dxa"/>
            <w:tcBorders>
              <w:top w:val="nil"/>
              <w:left w:val="nil"/>
              <w:bottom w:val="single" w:color="auto" w:sz="4" w:space="0"/>
              <w:right w:val="single" w:color="auto" w:sz="4" w:space="0"/>
            </w:tcBorders>
            <w:vAlign w:val="center"/>
          </w:tcPr>
          <w:p w14:paraId="6F99FAE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2614" w:type="dxa"/>
            <w:tcBorders>
              <w:top w:val="nil"/>
              <w:left w:val="nil"/>
              <w:bottom w:val="single" w:color="auto" w:sz="4" w:space="0"/>
              <w:right w:val="single" w:color="auto" w:sz="4" w:space="0"/>
            </w:tcBorders>
            <w:vAlign w:val="center"/>
          </w:tcPr>
          <w:p w14:paraId="013BE8A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725A36D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14.1</w:t>
            </w:r>
          </w:p>
        </w:tc>
      </w:tr>
      <w:tr w14:paraId="0368F930">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641FC5FE">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1FB9DC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6层结构板130mmC30</w:t>
            </w:r>
          </w:p>
        </w:tc>
        <w:tc>
          <w:tcPr>
            <w:tcW w:w="3907" w:type="dxa"/>
            <w:tcBorders>
              <w:top w:val="nil"/>
              <w:left w:val="nil"/>
              <w:bottom w:val="single" w:color="auto" w:sz="4" w:space="0"/>
              <w:right w:val="single" w:color="auto" w:sz="4" w:space="0"/>
            </w:tcBorders>
            <w:vAlign w:val="center"/>
          </w:tcPr>
          <w:p w14:paraId="1CE1BD5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17轴~18轴交C轴~D轴</w:t>
            </w:r>
          </w:p>
        </w:tc>
        <w:tc>
          <w:tcPr>
            <w:tcW w:w="1911" w:type="dxa"/>
            <w:tcBorders>
              <w:top w:val="nil"/>
              <w:left w:val="nil"/>
              <w:bottom w:val="single" w:color="auto" w:sz="4" w:space="0"/>
              <w:right w:val="single" w:color="auto" w:sz="4" w:space="0"/>
            </w:tcBorders>
            <w:vAlign w:val="center"/>
          </w:tcPr>
          <w:p w14:paraId="1B29230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67</w:t>
            </w:r>
          </w:p>
        </w:tc>
        <w:tc>
          <w:tcPr>
            <w:tcW w:w="1911" w:type="dxa"/>
            <w:tcBorders>
              <w:top w:val="nil"/>
              <w:left w:val="nil"/>
              <w:bottom w:val="single" w:color="auto" w:sz="4" w:space="0"/>
              <w:right w:val="single" w:color="auto" w:sz="4" w:space="0"/>
            </w:tcBorders>
            <w:vAlign w:val="center"/>
          </w:tcPr>
          <w:p w14:paraId="1431590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1911" w:type="dxa"/>
            <w:tcBorders>
              <w:top w:val="nil"/>
              <w:left w:val="nil"/>
              <w:bottom w:val="single" w:color="auto" w:sz="4" w:space="0"/>
              <w:right w:val="single" w:color="auto" w:sz="4" w:space="0"/>
            </w:tcBorders>
            <w:vAlign w:val="center"/>
          </w:tcPr>
          <w:p w14:paraId="4432003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27.5</w:t>
            </w:r>
          </w:p>
        </w:tc>
        <w:tc>
          <w:tcPr>
            <w:tcW w:w="2614" w:type="dxa"/>
            <w:tcBorders>
              <w:top w:val="nil"/>
              <w:left w:val="nil"/>
              <w:bottom w:val="single" w:color="auto" w:sz="4" w:space="0"/>
              <w:right w:val="single" w:color="auto" w:sz="4" w:space="0"/>
            </w:tcBorders>
            <w:vAlign w:val="center"/>
          </w:tcPr>
          <w:p w14:paraId="4D3F3C8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0E02259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14.1</w:t>
            </w:r>
          </w:p>
        </w:tc>
      </w:tr>
      <w:tr w14:paraId="5E11A051">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6D2C460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十层</w:t>
            </w:r>
          </w:p>
        </w:tc>
        <w:tc>
          <w:tcPr>
            <w:tcW w:w="3850" w:type="dxa"/>
            <w:tcBorders>
              <w:top w:val="nil"/>
              <w:left w:val="nil"/>
              <w:bottom w:val="single" w:color="auto" w:sz="4" w:space="0"/>
              <w:right w:val="single" w:color="auto" w:sz="4" w:space="0"/>
            </w:tcBorders>
            <w:vAlign w:val="center"/>
          </w:tcPr>
          <w:p w14:paraId="568879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4CBB4AA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7轴~8轴交T轴~V轴</w:t>
            </w:r>
          </w:p>
        </w:tc>
        <w:tc>
          <w:tcPr>
            <w:tcW w:w="1911" w:type="dxa"/>
            <w:tcBorders>
              <w:top w:val="nil"/>
              <w:left w:val="nil"/>
              <w:bottom w:val="single" w:color="auto" w:sz="4" w:space="0"/>
              <w:right w:val="single" w:color="auto" w:sz="4" w:space="0"/>
            </w:tcBorders>
            <w:vAlign w:val="center"/>
          </w:tcPr>
          <w:p w14:paraId="482BA74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31</w:t>
            </w:r>
          </w:p>
        </w:tc>
        <w:tc>
          <w:tcPr>
            <w:tcW w:w="1911" w:type="dxa"/>
            <w:tcBorders>
              <w:top w:val="nil"/>
              <w:left w:val="nil"/>
              <w:bottom w:val="single" w:color="auto" w:sz="4" w:space="0"/>
              <w:right w:val="single" w:color="auto" w:sz="4" w:space="0"/>
            </w:tcBorders>
            <w:vAlign w:val="center"/>
          </w:tcPr>
          <w:p w14:paraId="4DBE55D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1911" w:type="dxa"/>
            <w:tcBorders>
              <w:top w:val="nil"/>
              <w:left w:val="nil"/>
              <w:bottom w:val="single" w:color="auto" w:sz="4" w:space="0"/>
              <w:right w:val="single" w:color="auto" w:sz="4" w:space="0"/>
            </w:tcBorders>
            <w:vAlign w:val="center"/>
          </w:tcPr>
          <w:p w14:paraId="19F018A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2AEDDE8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027F05E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28.2</w:t>
            </w:r>
          </w:p>
        </w:tc>
      </w:tr>
      <w:tr w14:paraId="01122E48">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65402EE0">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6A5323F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8层结构板130mmC30</w:t>
            </w:r>
          </w:p>
        </w:tc>
        <w:tc>
          <w:tcPr>
            <w:tcW w:w="3907" w:type="dxa"/>
            <w:tcBorders>
              <w:top w:val="nil"/>
              <w:left w:val="nil"/>
              <w:bottom w:val="single" w:color="auto" w:sz="4" w:space="0"/>
              <w:right w:val="single" w:color="auto" w:sz="4" w:space="0"/>
            </w:tcBorders>
            <w:vAlign w:val="center"/>
          </w:tcPr>
          <w:p w14:paraId="129867D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13轴~16轴交T轴~V轴</w:t>
            </w:r>
          </w:p>
        </w:tc>
        <w:tc>
          <w:tcPr>
            <w:tcW w:w="1911" w:type="dxa"/>
            <w:tcBorders>
              <w:top w:val="nil"/>
              <w:left w:val="nil"/>
              <w:bottom w:val="single" w:color="auto" w:sz="4" w:space="0"/>
              <w:right w:val="single" w:color="auto" w:sz="4" w:space="0"/>
            </w:tcBorders>
            <w:vAlign w:val="center"/>
          </w:tcPr>
          <w:p w14:paraId="7BD58A0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211</w:t>
            </w:r>
          </w:p>
        </w:tc>
        <w:tc>
          <w:tcPr>
            <w:tcW w:w="1911" w:type="dxa"/>
            <w:tcBorders>
              <w:top w:val="nil"/>
              <w:left w:val="nil"/>
              <w:bottom w:val="single" w:color="auto" w:sz="4" w:space="0"/>
              <w:right w:val="single" w:color="auto" w:sz="4" w:space="0"/>
            </w:tcBorders>
            <w:vAlign w:val="center"/>
          </w:tcPr>
          <w:p w14:paraId="4A1C712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1911" w:type="dxa"/>
            <w:tcBorders>
              <w:top w:val="nil"/>
              <w:left w:val="nil"/>
              <w:bottom w:val="single" w:color="auto" w:sz="4" w:space="0"/>
              <w:right w:val="single" w:color="auto" w:sz="4" w:space="0"/>
            </w:tcBorders>
            <w:vAlign w:val="center"/>
          </w:tcPr>
          <w:p w14:paraId="402EAE5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37</w:t>
            </w:r>
          </w:p>
        </w:tc>
        <w:tc>
          <w:tcPr>
            <w:tcW w:w="2614" w:type="dxa"/>
            <w:tcBorders>
              <w:top w:val="nil"/>
              <w:left w:val="nil"/>
              <w:bottom w:val="single" w:color="auto" w:sz="4" w:space="0"/>
              <w:right w:val="single" w:color="auto" w:sz="4" w:space="0"/>
            </w:tcBorders>
            <w:vAlign w:val="center"/>
          </w:tcPr>
          <w:p w14:paraId="59E2A45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6C7263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D79F6CA">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1861DE7">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0136050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4层结构板150mmC30</w:t>
            </w:r>
          </w:p>
        </w:tc>
        <w:tc>
          <w:tcPr>
            <w:tcW w:w="3907" w:type="dxa"/>
            <w:tcBorders>
              <w:top w:val="nil"/>
              <w:left w:val="nil"/>
              <w:bottom w:val="single" w:color="auto" w:sz="4" w:space="0"/>
              <w:right w:val="single" w:color="auto" w:sz="4" w:space="0"/>
            </w:tcBorders>
            <w:vAlign w:val="center"/>
          </w:tcPr>
          <w:p w14:paraId="106BC84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7轴~8轴交D轴~F轴</w:t>
            </w:r>
          </w:p>
        </w:tc>
        <w:tc>
          <w:tcPr>
            <w:tcW w:w="1911" w:type="dxa"/>
            <w:tcBorders>
              <w:top w:val="nil"/>
              <w:left w:val="nil"/>
              <w:bottom w:val="single" w:color="auto" w:sz="4" w:space="0"/>
              <w:right w:val="single" w:color="auto" w:sz="4" w:space="0"/>
            </w:tcBorders>
            <w:vAlign w:val="center"/>
          </w:tcPr>
          <w:p w14:paraId="11EF2F1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31</w:t>
            </w:r>
          </w:p>
        </w:tc>
        <w:tc>
          <w:tcPr>
            <w:tcW w:w="1911" w:type="dxa"/>
            <w:tcBorders>
              <w:top w:val="nil"/>
              <w:left w:val="nil"/>
              <w:bottom w:val="single" w:color="auto" w:sz="4" w:space="0"/>
              <w:right w:val="single" w:color="auto" w:sz="4" w:space="0"/>
            </w:tcBorders>
            <w:vAlign w:val="center"/>
          </w:tcPr>
          <w:p w14:paraId="1FEF34A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1911" w:type="dxa"/>
            <w:tcBorders>
              <w:top w:val="nil"/>
              <w:left w:val="nil"/>
              <w:bottom w:val="single" w:color="auto" w:sz="4" w:space="0"/>
              <w:right w:val="single" w:color="auto" w:sz="4" w:space="0"/>
            </w:tcBorders>
            <w:vAlign w:val="center"/>
          </w:tcPr>
          <w:p w14:paraId="36C4426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18.2</w:t>
            </w:r>
          </w:p>
        </w:tc>
        <w:tc>
          <w:tcPr>
            <w:tcW w:w="2614" w:type="dxa"/>
            <w:tcBorders>
              <w:top w:val="nil"/>
              <w:left w:val="nil"/>
              <w:bottom w:val="single" w:color="auto" w:sz="4" w:space="0"/>
              <w:right w:val="single" w:color="auto" w:sz="4" w:space="0"/>
            </w:tcBorders>
            <w:vAlign w:val="center"/>
          </w:tcPr>
          <w:p w14:paraId="2233A7A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32B2B94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28.2</w:t>
            </w:r>
          </w:p>
        </w:tc>
      </w:tr>
      <w:tr w14:paraId="1DA50C06">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AFD66BF">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065B6C2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8层结构板130mmC30</w:t>
            </w:r>
          </w:p>
        </w:tc>
        <w:tc>
          <w:tcPr>
            <w:tcW w:w="3907" w:type="dxa"/>
            <w:tcBorders>
              <w:top w:val="nil"/>
              <w:left w:val="nil"/>
              <w:bottom w:val="single" w:color="auto" w:sz="4" w:space="0"/>
              <w:right w:val="single" w:color="auto" w:sz="4" w:space="0"/>
            </w:tcBorders>
            <w:vAlign w:val="center"/>
          </w:tcPr>
          <w:p w14:paraId="7C51DC6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13轴~16轴交D轴~F轴</w:t>
            </w:r>
          </w:p>
        </w:tc>
        <w:tc>
          <w:tcPr>
            <w:tcW w:w="1911" w:type="dxa"/>
            <w:tcBorders>
              <w:top w:val="nil"/>
              <w:left w:val="nil"/>
              <w:bottom w:val="single" w:color="auto" w:sz="4" w:space="0"/>
              <w:right w:val="single" w:color="auto" w:sz="4" w:space="0"/>
            </w:tcBorders>
            <w:vAlign w:val="center"/>
          </w:tcPr>
          <w:p w14:paraId="6B8238E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211</w:t>
            </w:r>
          </w:p>
        </w:tc>
        <w:tc>
          <w:tcPr>
            <w:tcW w:w="1911" w:type="dxa"/>
            <w:tcBorders>
              <w:top w:val="nil"/>
              <w:left w:val="nil"/>
              <w:bottom w:val="single" w:color="auto" w:sz="4" w:space="0"/>
              <w:right w:val="single" w:color="auto" w:sz="4" w:space="0"/>
            </w:tcBorders>
            <w:vAlign w:val="center"/>
          </w:tcPr>
          <w:p w14:paraId="7DCD168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1911" w:type="dxa"/>
            <w:tcBorders>
              <w:top w:val="nil"/>
              <w:left w:val="nil"/>
              <w:bottom w:val="single" w:color="auto" w:sz="4" w:space="0"/>
              <w:right w:val="single" w:color="auto" w:sz="4" w:space="0"/>
            </w:tcBorders>
            <w:vAlign w:val="center"/>
          </w:tcPr>
          <w:p w14:paraId="3FE656E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37</w:t>
            </w:r>
          </w:p>
        </w:tc>
        <w:tc>
          <w:tcPr>
            <w:tcW w:w="2614" w:type="dxa"/>
            <w:tcBorders>
              <w:top w:val="nil"/>
              <w:left w:val="nil"/>
              <w:bottom w:val="single" w:color="auto" w:sz="4" w:space="0"/>
              <w:right w:val="single" w:color="auto" w:sz="4" w:space="0"/>
            </w:tcBorders>
            <w:vAlign w:val="center"/>
          </w:tcPr>
          <w:p w14:paraId="02A1446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7FCAAEE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570ABE67">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5FCAF17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十一层</w:t>
            </w:r>
          </w:p>
        </w:tc>
        <w:tc>
          <w:tcPr>
            <w:tcW w:w="3850" w:type="dxa"/>
            <w:tcBorders>
              <w:top w:val="nil"/>
              <w:left w:val="nil"/>
              <w:bottom w:val="single" w:color="auto" w:sz="4" w:space="0"/>
              <w:right w:val="single" w:color="auto" w:sz="4" w:space="0"/>
            </w:tcBorders>
            <w:vAlign w:val="center"/>
          </w:tcPr>
          <w:p w14:paraId="079E06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547D4BE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9轴~10轴交V轴~W轴</w:t>
            </w:r>
          </w:p>
        </w:tc>
        <w:tc>
          <w:tcPr>
            <w:tcW w:w="1911" w:type="dxa"/>
            <w:tcBorders>
              <w:top w:val="nil"/>
              <w:left w:val="nil"/>
              <w:bottom w:val="single" w:color="auto" w:sz="4" w:space="0"/>
              <w:right w:val="single" w:color="auto" w:sz="4" w:space="0"/>
            </w:tcBorders>
            <w:vAlign w:val="center"/>
          </w:tcPr>
          <w:p w14:paraId="65D5BC8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64</w:t>
            </w:r>
          </w:p>
        </w:tc>
        <w:tc>
          <w:tcPr>
            <w:tcW w:w="1911" w:type="dxa"/>
            <w:tcBorders>
              <w:top w:val="nil"/>
              <w:left w:val="nil"/>
              <w:bottom w:val="single" w:color="auto" w:sz="4" w:space="0"/>
              <w:right w:val="single" w:color="auto" w:sz="4" w:space="0"/>
            </w:tcBorders>
            <w:vAlign w:val="center"/>
          </w:tcPr>
          <w:p w14:paraId="53AE583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627A1EC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41.5</w:t>
            </w:r>
          </w:p>
        </w:tc>
        <w:tc>
          <w:tcPr>
            <w:tcW w:w="2614" w:type="dxa"/>
            <w:tcBorders>
              <w:top w:val="nil"/>
              <w:left w:val="nil"/>
              <w:bottom w:val="single" w:color="auto" w:sz="4" w:space="0"/>
              <w:right w:val="single" w:color="auto" w:sz="4" w:space="0"/>
            </w:tcBorders>
            <w:vAlign w:val="center"/>
          </w:tcPr>
          <w:p w14:paraId="01FB7D0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27F7587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4E86D8BA">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52376416">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20784B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657A7F4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9轴~10轴交S轴~T轴</w:t>
            </w:r>
          </w:p>
        </w:tc>
        <w:tc>
          <w:tcPr>
            <w:tcW w:w="1911" w:type="dxa"/>
            <w:tcBorders>
              <w:top w:val="nil"/>
              <w:left w:val="nil"/>
              <w:bottom w:val="single" w:color="auto" w:sz="4" w:space="0"/>
              <w:right w:val="single" w:color="auto" w:sz="4" w:space="0"/>
            </w:tcBorders>
            <w:vAlign w:val="center"/>
          </w:tcPr>
          <w:p w14:paraId="2772704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43</w:t>
            </w:r>
          </w:p>
        </w:tc>
        <w:tc>
          <w:tcPr>
            <w:tcW w:w="1911" w:type="dxa"/>
            <w:tcBorders>
              <w:top w:val="nil"/>
              <w:left w:val="nil"/>
              <w:bottom w:val="single" w:color="auto" w:sz="4" w:space="0"/>
              <w:right w:val="single" w:color="auto" w:sz="4" w:space="0"/>
            </w:tcBorders>
            <w:vAlign w:val="center"/>
          </w:tcPr>
          <w:p w14:paraId="6C49722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58AD751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41.5</w:t>
            </w:r>
          </w:p>
        </w:tc>
        <w:tc>
          <w:tcPr>
            <w:tcW w:w="2614" w:type="dxa"/>
            <w:tcBorders>
              <w:top w:val="nil"/>
              <w:left w:val="nil"/>
              <w:bottom w:val="single" w:color="auto" w:sz="4" w:space="0"/>
              <w:right w:val="single" w:color="auto" w:sz="4" w:space="0"/>
            </w:tcBorders>
            <w:vAlign w:val="center"/>
          </w:tcPr>
          <w:p w14:paraId="117210A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5FF4D47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6E11B2D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6354412">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64811A9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47E6DC1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17轴~18轴交V轴~W轴</w:t>
            </w:r>
          </w:p>
        </w:tc>
        <w:tc>
          <w:tcPr>
            <w:tcW w:w="1911" w:type="dxa"/>
            <w:tcBorders>
              <w:top w:val="nil"/>
              <w:left w:val="nil"/>
              <w:bottom w:val="single" w:color="auto" w:sz="4" w:space="0"/>
              <w:right w:val="single" w:color="auto" w:sz="4" w:space="0"/>
            </w:tcBorders>
            <w:vAlign w:val="center"/>
          </w:tcPr>
          <w:p w14:paraId="7E963D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65</w:t>
            </w:r>
          </w:p>
        </w:tc>
        <w:tc>
          <w:tcPr>
            <w:tcW w:w="1911" w:type="dxa"/>
            <w:tcBorders>
              <w:top w:val="nil"/>
              <w:left w:val="nil"/>
              <w:bottom w:val="single" w:color="auto" w:sz="4" w:space="0"/>
              <w:right w:val="single" w:color="auto" w:sz="4" w:space="0"/>
            </w:tcBorders>
            <w:vAlign w:val="center"/>
          </w:tcPr>
          <w:p w14:paraId="64B45F4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76B8E2E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2614" w:type="dxa"/>
            <w:tcBorders>
              <w:top w:val="nil"/>
              <w:left w:val="nil"/>
              <w:bottom w:val="single" w:color="auto" w:sz="4" w:space="0"/>
              <w:right w:val="single" w:color="auto" w:sz="4" w:space="0"/>
            </w:tcBorders>
            <w:vAlign w:val="center"/>
          </w:tcPr>
          <w:p w14:paraId="2DE611F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6E4BD40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6E5092C4">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8078341">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3432CA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1314ECE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17轴~18轴交S轴~T轴</w:t>
            </w:r>
          </w:p>
        </w:tc>
        <w:tc>
          <w:tcPr>
            <w:tcW w:w="1911" w:type="dxa"/>
            <w:tcBorders>
              <w:top w:val="nil"/>
              <w:left w:val="nil"/>
              <w:bottom w:val="single" w:color="auto" w:sz="4" w:space="0"/>
              <w:right w:val="single" w:color="auto" w:sz="4" w:space="0"/>
            </w:tcBorders>
            <w:vAlign w:val="center"/>
          </w:tcPr>
          <w:p w14:paraId="24D1BC9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45</w:t>
            </w:r>
          </w:p>
        </w:tc>
        <w:tc>
          <w:tcPr>
            <w:tcW w:w="1911" w:type="dxa"/>
            <w:tcBorders>
              <w:top w:val="nil"/>
              <w:left w:val="nil"/>
              <w:bottom w:val="single" w:color="auto" w:sz="4" w:space="0"/>
              <w:right w:val="single" w:color="auto" w:sz="4" w:space="0"/>
            </w:tcBorders>
            <w:vAlign w:val="center"/>
          </w:tcPr>
          <w:p w14:paraId="1D3C3F0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2B49B68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2614" w:type="dxa"/>
            <w:tcBorders>
              <w:top w:val="nil"/>
              <w:left w:val="nil"/>
              <w:bottom w:val="single" w:color="auto" w:sz="4" w:space="0"/>
              <w:right w:val="single" w:color="auto" w:sz="4" w:space="0"/>
            </w:tcBorders>
            <w:vAlign w:val="center"/>
          </w:tcPr>
          <w:p w14:paraId="45ECE0A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2B72CDD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52879F6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241B503B">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46E1B7F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5C5BFC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9轴~10轴交F轴~G轴</w:t>
            </w:r>
          </w:p>
        </w:tc>
        <w:tc>
          <w:tcPr>
            <w:tcW w:w="1911" w:type="dxa"/>
            <w:tcBorders>
              <w:top w:val="nil"/>
              <w:left w:val="nil"/>
              <w:bottom w:val="single" w:color="auto" w:sz="4" w:space="0"/>
              <w:right w:val="single" w:color="auto" w:sz="4" w:space="0"/>
            </w:tcBorders>
            <w:vAlign w:val="center"/>
          </w:tcPr>
          <w:p w14:paraId="4FE4B0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64</w:t>
            </w:r>
          </w:p>
        </w:tc>
        <w:tc>
          <w:tcPr>
            <w:tcW w:w="1911" w:type="dxa"/>
            <w:tcBorders>
              <w:top w:val="nil"/>
              <w:left w:val="nil"/>
              <w:bottom w:val="single" w:color="auto" w:sz="4" w:space="0"/>
              <w:right w:val="single" w:color="auto" w:sz="4" w:space="0"/>
            </w:tcBorders>
            <w:vAlign w:val="center"/>
          </w:tcPr>
          <w:p w14:paraId="134FD8D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793DF11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41.5</w:t>
            </w:r>
          </w:p>
        </w:tc>
        <w:tc>
          <w:tcPr>
            <w:tcW w:w="2614" w:type="dxa"/>
            <w:tcBorders>
              <w:top w:val="nil"/>
              <w:left w:val="nil"/>
              <w:bottom w:val="single" w:color="auto" w:sz="4" w:space="0"/>
              <w:right w:val="single" w:color="auto" w:sz="4" w:space="0"/>
            </w:tcBorders>
            <w:vAlign w:val="center"/>
          </w:tcPr>
          <w:p w14:paraId="5856E26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1838B51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2633519E">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7FBE64D">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55BED94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15A3948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9轴~10轴交C轴~D轴</w:t>
            </w:r>
          </w:p>
        </w:tc>
        <w:tc>
          <w:tcPr>
            <w:tcW w:w="1911" w:type="dxa"/>
            <w:tcBorders>
              <w:top w:val="nil"/>
              <w:left w:val="nil"/>
              <w:bottom w:val="single" w:color="auto" w:sz="4" w:space="0"/>
              <w:right w:val="single" w:color="auto" w:sz="4" w:space="0"/>
            </w:tcBorders>
            <w:vAlign w:val="center"/>
          </w:tcPr>
          <w:p w14:paraId="3F85B6F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43</w:t>
            </w:r>
          </w:p>
        </w:tc>
        <w:tc>
          <w:tcPr>
            <w:tcW w:w="1911" w:type="dxa"/>
            <w:tcBorders>
              <w:top w:val="nil"/>
              <w:left w:val="nil"/>
              <w:bottom w:val="single" w:color="auto" w:sz="4" w:space="0"/>
              <w:right w:val="single" w:color="auto" w:sz="4" w:space="0"/>
            </w:tcBorders>
            <w:vAlign w:val="center"/>
          </w:tcPr>
          <w:p w14:paraId="07C8025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1F0F4FD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41.5</w:t>
            </w:r>
          </w:p>
        </w:tc>
        <w:tc>
          <w:tcPr>
            <w:tcW w:w="2614" w:type="dxa"/>
            <w:tcBorders>
              <w:top w:val="nil"/>
              <w:left w:val="nil"/>
              <w:bottom w:val="single" w:color="auto" w:sz="4" w:space="0"/>
              <w:right w:val="single" w:color="auto" w:sz="4" w:space="0"/>
            </w:tcBorders>
            <w:vAlign w:val="center"/>
          </w:tcPr>
          <w:p w14:paraId="29771C2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5980330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r>
      <w:tr w14:paraId="0449B527">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9CED059">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2E1BB7C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7866382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17轴~18轴交F轴~G轴</w:t>
            </w:r>
          </w:p>
        </w:tc>
        <w:tc>
          <w:tcPr>
            <w:tcW w:w="1911" w:type="dxa"/>
            <w:tcBorders>
              <w:top w:val="nil"/>
              <w:left w:val="nil"/>
              <w:bottom w:val="single" w:color="auto" w:sz="4" w:space="0"/>
              <w:right w:val="single" w:color="auto" w:sz="4" w:space="0"/>
            </w:tcBorders>
            <w:vAlign w:val="center"/>
          </w:tcPr>
          <w:p w14:paraId="048497A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65</w:t>
            </w:r>
          </w:p>
        </w:tc>
        <w:tc>
          <w:tcPr>
            <w:tcW w:w="1911" w:type="dxa"/>
            <w:tcBorders>
              <w:top w:val="nil"/>
              <w:left w:val="nil"/>
              <w:bottom w:val="single" w:color="auto" w:sz="4" w:space="0"/>
              <w:right w:val="single" w:color="auto" w:sz="4" w:space="0"/>
            </w:tcBorders>
            <w:vAlign w:val="center"/>
          </w:tcPr>
          <w:p w14:paraId="6DBB45D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44728D2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2614" w:type="dxa"/>
            <w:tcBorders>
              <w:top w:val="nil"/>
              <w:left w:val="nil"/>
              <w:bottom w:val="single" w:color="auto" w:sz="4" w:space="0"/>
              <w:right w:val="single" w:color="auto" w:sz="4" w:space="0"/>
            </w:tcBorders>
            <w:vAlign w:val="center"/>
          </w:tcPr>
          <w:p w14:paraId="799E521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49C0CB7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1F9C470">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AB73964">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022168D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7层结构板130mmC30</w:t>
            </w:r>
          </w:p>
        </w:tc>
        <w:tc>
          <w:tcPr>
            <w:tcW w:w="3907" w:type="dxa"/>
            <w:tcBorders>
              <w:top w:val="nil"/>
              <w:left w:val="nil"/>
              <w:bottom w:val="single" w:color="auto" w:sz="4" w:space="0"/>
              <w:right w:val="single" w:color="auto" w:sz="4" w:space="0"/>
            </w:tcBorders>
            <w:vAlign w:val="center"/>
          </w:tcPr>
          <w:p w14:paraId="56C03D8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17轴~18轴交C轴~D轴</w:t>
            </w:r>
          </w:p>
        </w:tc>
        <w:tc>
          <w:tcPr>
            <w:tcW w:w="1911" w:type="dxa"/>
            <w:tcBorders>
              <w:top w:val="nil"/>
              <w:left w:val="nil"/>
              <w:bottom w:val="single" w:color="auto" w:sz="4" w:space="0"/>
              <w:right w:val="single" w:color="auto" w:sz="4" w:space="0"/>
            </w:tcBorders>
            <w:vAlign w:val="center"/>
          </w:tcPr>
          <w:p w14:paraId="28051EB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45</w:t>
            </w:r>
          </w:p>
        </w:tc>
        <w:tc>
          <w:tcPr>
            <w:tcW w:w="1911" w:type="dxa"/>
            <w:tcBorders>
              <w:top w:val="nil"/>
              <w:left w:val="nil"/>
              <w:bottom w:val="single" w:color="auto" w:sz="4" w:space="0"/>
              <w:right w:val="single" w:color="auto" w:sz="4" w:space="0"/>
            </w:tcBorders>
            <w:vAlign w:val="center"/>
          </w:tcPr>
          <w:p w14:paraId="6778259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51</w:t>
            </w:r>
          </w:p>
        </w:tc>
        <w:tc>
          <w:tcPr>
            <w:tcW w:w="1911" w:type="dxa"/>
            <w:tcBorders>
              <w:top w:val="nil"/>
              <w:left w:val="nil"/>
              <w:bottom w:val="single" w:color="auto" w:sz="4" w:space="0"/>
              <w:right w:val="single" w:color="auto" w:sz="4" w:space="0"/>
            </w:tcBorders>
            <w:vAlign w:val="center"/>
          </w:tcPr>
          <w:p w14:paraId="0746631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41.6</w:t>
            </w:r>
          </w:p>
        </w:tc>
        <w:tc>
          <w:tcPr>
            <w:tcW w:w="2614" w:type="dxa"/>
            <w:tcBorders>
              <w:top w:val="nil"/>
              <w:left w:val="nil"/>
              <w:bottom w:val="single" w:color="auto" w:sz="4" w:space="0"/>
              <w:right w:val="single" w:color="auto" w:sz="4" w:space="0"/>
            </w:tcBorders>
            <w:vAlign w:val="center"/>
          </w:tcPr>
          <w:p w14:paraId="3254A91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130</w:t>
            </w:r>
          </w:p>
        </w:tc>
        <w:tc>
          <w:tcPr>
            <w:tcW w:w="2333" w:type="dxa"/>
            <w:tcBorders>
              <w:top w:val="nil"/>
              <w:left w:val="nil"/>
              <w:bottom w:val="single" w:color="auto" w:sz="4" w:space="0"/>
              <w:right w:val="single" w:color="auto" w:sz="8" w:space="0"/>
            </w:tcBorders>
            <w:vAlign w:val="center"/>
          </w:tcPr>
          <w:p w14:paraId="74E7F6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72897447">
        <w:tblPrEx>
          <w:tblCellMar>
            <w:top w:w="0" w:type="dxa"/>
            <w:left w:w="108" w:type="dxa"/>
            <w:bottom w:w="0" w:type="dxa"/>
            <w:right w:w="108" w:type="dxa"/>
          </w:tblCellMar>
        </w:tblPrEx>
        <w:trPr>
          <w:trHeight w:val="454" w:hRule="atLeast"/>
          <w:jc w:val="center"/>
        </w:trPr>
        <w:tc>
          <w:tcPr>
            <w:tcW w:w="2754" w:type="dxa"/>
            <w:vMerge w:val="restart"/>
            <w:tcBorders>
              <w:top w:val="nil"/>
              <w:left w:val="single" w:color="auto" w:sz="4" w:space="0"/>
              <w:bottom w:val="single" w:color="000000" w:sz="4" w:space="0"/>
              <w:right w:val="single" w:color="auto" w:sz="4" w:space="0"/>
            </w:tcBorders>
            <w:vAlign w:val="center"/>
          </w:tcPr>
          <w:p w14:paraId="65F1AF6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屋面层</w:t>
            </w:r>
          </w:p>
        </w:tc>
        <w:tc>
          <w:tcPr>
            <w:tcW w:w="3850" w:type="dxa"/>
            <w:tcBorders>
              <w:top w:val="nil"/>
              <w:left w:val="nil"/>
              <w:bottom w:val="single" w:color="auto" w:sz="4" w:space="0"/>
              <w:right w:val="single" w:color="auto" w:sz="4" w:space="0"/>
            </w:tcBorders>
            <w:vAlign w:val="center"/>
          </w:tcPr>
          <w:p w14:paraId="03E34E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423CD3F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6轴~9轴交W轴</w:t>
            </w:r>
          </w:p>
        </w:tc>
        <w:tc>
          <w:tcPr>
            <w:tcW w:w="1911" w:type="dxa"/>
            <w:tcBorders>
              <w:top w:val="nil"/>
              <w:left w:val="nil"/>
              <w:bottom w:val="single" w:color="auto" w:sz="4" w:space="0"/>
              <w:right w:val="single" w:color="auto" w:sz="4" w:space="0"/>
            </w:tcBorders>
            <w:vAlign w:val="center"/>
          </w:tcPr>
          <w:p w14:paraId="329BD2B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34</w:t>
            </w:r>
          </w:p>
        </w:tc>
        <w:tc>
          <w:tcPr>
            <w:tcW w:w="1911" w:type="dxa"/>
            <w:tcBorders>
              <w:top w:val="nil"/>
              <w:left w:val="nil"/>
              <w:bottom w:val="single" w:color="auto" w:sz="4" w:space="0"/>
              <w:right w:val="single" w:color="auto" w:sz="4" w:space="0"/>
            </w:tcBorders>
            <w:vAlign w:val="center"/>
          </w:tcPr>
          <w:p w14:paraId="1EEE99B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428C751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2174211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7F2611E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578ADCB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E3EABD3">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6552840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299F3012">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6轴~9轴交S轴</w:t>
            </w:r>
          </w:p>
        </w:tc>
        <w:tc>
          <w:tcPr>
            <w:tcW w:w="1911" w:type="dxa"/>
            <w:tcBorders>
              <w:top w:val="nil"/>
              <w:left w:val="nil"/>
              <w:bottom w:val="single" w:color="auto" w:sz="4" w:space="0"/>
              <w:right w:val="single" w:color="auto" w:sz="4" w:space="0"/>
            </w:tcBorders>
            <w:vAlign w:val="center"/>
          </w:tcPr>
          <w:p w14:paraId="5B03F9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33</w:t>
            </w:r>
          </w:p>
        </w:tc>
        <w:tc>
          <w:tcPr>
            <w:tcW w:w="1911" w:type="dxa"/>
            <w:tcBorders>
              <w:top w:val="nil"/>
              <w:left w:val="nil"/>
              <w:bottom w:val="single" w:color="auto" w:sz="4" w:space="0"/>
              <w:right w:val="single" w:color="auto" w:sz="4" w:space="0"/>
            </w:tcBorders>
            <w:vAlign w:val="center"/>
          </w:tcPr>
          <w:p w14:paraId="427D2C5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571AF2A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3FDAC8F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475D0B64">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65B0E1AB">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0542F73C">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513719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05F9A1E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10轴~18轴交W轴</w:t>
            </w:r>
          </w:p>
        </w:tc>
        <w:tc>
          <w:tcPr>
            <w:tcW w:w="1911" w:type="dxa"/>
            <w:tcBorders>
              <w:top w:val="nil"/>
              <w:left w:val="nil"/>
              <w:bottom w:val="single" w:color="auto" w:sz="4" w:space="0"/>
              <w:right w:val="single" w:color="auto" w:sz="4" w:space="0"/>
            </w:tcBorders>
            <w:vAlign w:val="center"/>
          </w:tcPr>
          <w:p w14:paraId="54C59C2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c>
          <w:tcPr>
            <w:tcW w:w="1911" w:type="dxa"/>
            <w:tcBorders>
              <w:top w:val="nil"/>
              <w:left w:val="nil"/>
              <w:bottom w:val="single" w:color="auto" w:sz="4" w:space="0"/>
              <w:right w:val="single" w:color="auto" w:sz="4" w:space="0"/>
            </w:tcBorders>
            <w:vAlign w:val="center"/>
          </w:tcPr>
          <w:p w14:paraId="3C04273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066202F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7917785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14719D6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ACD648C">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DCE481E">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DB18F6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1FD80AF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15轴~16轴交T轴~V轴</w:t>
            </w:r>
          </w:p>
        </w:tc>
        <w:tc>
          <w:tcPr>
            <w:tcW w:w="1911" w:type="dxa"/>
            <w:tcBorders>
              <w:top w:val="nil"/>
              <w:left w:val="nil"/>
              <w:bottom w:val="single" w:color="auto" w:sz="4" w:space="0"/>
              <w:right w:val="single" w:color="auto" w:sz="4" w:space="0"/>
            </w:tcBorders>
            <w:vAlign w:val="center"/>
          </w:tcPr>
          <w:p w14:paraId="3E2A3CF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91</w:t>
            </w:r>
          </w:p>
        </w:tc>
        <w:tc>
          <w:tcPr>
            <w:tcW w:w="1911" w:type="dxa"/>
            <w:tcBorders>
              <w:top w:val="nil"/>
              <w:left w:val="nil"/>
              <w:bottom w:val="single" w:color="auto" w:sz="4" w:space="0"/>
              <w:right w:val="single" w:color="auto" w:sz="4" w:space="0"/>
            </w:tcBorders>
            <w:vAlign w:val="center"/>
          </w:tcPr>
          <w:p w14:paraId="75728EC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46DC2C1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0794CA2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721AD79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13F55AB9">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0496F441">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2E25073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5D931CF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6轴~9轴交S轴</w:t>
            </w:r>
          </w:p>
        </w:tc>
        <w:tc>
          <w:tcPr>
            <w:tcW w:w="1911" w:type="dxa"/>
            <w:tcBorders>
              <w:top w:val="nil"/>
              <w:left w:val="nil"/>
              <w:bottom w:val="single" w:color="auto" w:sz="4" w:space="0"/>
              <w:right w:val="single" w:color="auto" w:sz="4" w:space="0"/>
            </w:tcBorders>
            <w:vAlign w:val="center"/>
          </w:tcPr>
          <w:p w14:paraId="6FCA912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98</w:t>
            </w:r>
          </w:p>
        </w:tc>
        <w:tc>
          <w:tcPr>
            <w:tcW w:w="1911" w:type="dxa"/>
            <w:tcBorders>
              <w:top w:val="nil"/>
              <w:left w:val="nil"/>
              <w:bottom w:val="single" w:color="auto" w:sz="4" w:space="0"/>
              <w:right w:val="single" w:color="auto" w:sz="4" w:space="0"/>
            </w:tcBorders>
            <w:vAlign w:val="center"/>
          </w:tcPr>
          <w:p w14:paraId="492FA78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443B244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2BEBE57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13CF54D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223992DD">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46A636A9">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718BC7D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1A7F344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6轴~9轴交G轴</w:t>
            </w:r>
          </w:p>
        </w:tc>
        <w:tc>
          <w:tcPr>
            <w:tcW w:w="1911" w:type="dxa"/>
            <w:tcBorders>
              <w:top w:val="nil"/>
              <w:left w:val="nil"/>
              <w:bottom w:val="single" w:color="auto" w:sz="4" w:space="0"/>
              <w:right w:val="single" w:color="auto" w:sz="4" w:space="0"/>
            </w:tcBorders>
            <w:vAlign w:val="center"/>
          </w:tcPr>
          <w:p w14:paraId="1D05CDF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34</w:t>
            </w:r>
          </w:p>
        </w:tc>
        <w:tc>
          <w:tcPr>
            <w:tcW w:w="1911" w:type="dxa"/>
            <w:tcBorders>
              <w:top w:val="nil"/>
              <w:left w:val="nil"/>
              <w:bottom w:val="single" w:color="auto" w:sz="4" w:space="0"/>
              <w:right w:val="single" w:color="auto" w:sz="4" w:space="0"/>
            </w:tcBorders>
            <w:vAlign w:val="center"/>
          </w:tcPr>
          <w:p w14:paraId="02BBDA8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7BBAECF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4D21B8F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21C1C89A">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2612A948">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15C3F6BD">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9DD6AF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5E5CF89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6轴~9轴交C轴</w:t>
            </w:r>
          </w:p>
        </w:tc>
        <w:tc>
          <w:tcPr>
            <w:tcW w:w="1911" w:type="dxa"/>
            <w:tcBorders>
              <w:top w:val="nil"/>
              <w:left w:val="nil"/>
              <w:bottom w:val="single" w:color="auto" w:sz="4" w:space="0"/>
              <w:right w:val="single" w:color="auto" w:sz="4" w:space="0"/>
            </w:tcBorders>
            <w:vAlign w:val="center"/>
          </w:tcPr>
          <w:p w14:paraId="2FBAA76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33</w:t>
            </w:r>
          </w:p>
        </w:tc>
        <w:tc>
          <w:tcPr>
            <w:tcW w:w="1911" w:type="dxa"/>
            <w:tcBorders>
              <w:top w:val="nil"/>
              <w:left w:val="nil"/>
              <w:bottom w:val="single" w:color="auto" w:sz="4" w:space="0"/>
              <w:right w:val="single" w:color="auto" w:sz="4" w:space="0"/>
            </w:tcBorders>
            <w:vAlign w:val="center"/>
          </w:tcPr>
          <w:p w14:paraId="26B50AB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0A69B2DB">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13FF25E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3E5D8DB8">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57DAE3D6">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34F4F60A">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348FB10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078739C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10轴~18轴交G轴</w:t>
            </w:r>
          </w:p>
        </w:tc>
        <w:tc>
          <w:tcPr>
            <w:tcW w:w="1911" w:type="dxa"/>
            <w:tcBorders>
              <w:top w:val="nil"/>
              <w:left w:val="nil"/>
              <w:bottom w:val="single" w:color="auto" w:sz="4" w:space="0"/>
              <w:right w:val="single" w:color="auto" w:sz="4" w:space="0"/>
            </w:tcBorders>
            <w:vAlign w:val="center"/>
          </w:tcPr>
          <w:p w14:paraId="69BF5D4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95</w:t>
            </w:r>
          </w:p>
        </w:tc>
        <w:tc>
          <w:tcPr>
            <w:tcW w:w="1911" w:type="dxa"/>
            <w:tcBorders>
              <w:top w:val="nil"/>
              <w:left w:val="nil"/>
              <w:bottom w:val="single" w:color="auto" w:sz="4" w:space="0"/>
              <w:right w:val="single" w:color="auto" w:sz="4" w:space="0"/>
            </w:tcBorders>
            <w:vAlign w:val="center"/>
          </w:tcPr>
          <w:p w14:paraId="6D6A678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26126DC0">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2C09322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77D595A5">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6168BA8E">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03635D31">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5FAC91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51022CBC">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15轴~16轴交D轴~F轴</w:t>
            </w:r>
          </w:p>
        </w:tc>
        <w:tc>
          <w:tcPr>
            <w:tcW w:w="1911" w:type="dxa"/>
            <w:tcBorders>
              <w:top w:val="nil"/>
              <w:left w:val="nil"/>
              <w:bottom w:val="single" w:color="auto" w:sz="4" w:space="0"/>
              <w:right w:val="single" w:color="auto" w:sz="4" w:space="0"/>
            </w:tcBorders>
            <w:vAlign w:val="center"/>
          </w:tcPr>
          <w:p w14:paraId="5B7B01E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91</w:t>
            </w:r>
          </w:p>
        </w:tc>
        <w:tc>
          <w:tcPr>
            <w:tcW w:w="1911" w:type="dxa"/>
            <w:tcBorders>
              <w:top w:val="nil"/>
              <w:left w:val="nil"/>
              <w:bottom w:val="single" w:color="auto" w:sz="4" w:space="0"/>
              <w:right w:val="single" w:color="auto" w:sz="4" w:space="0"/>
            </w:tcBorders>
            <w:vAlign w:val="center"/>
          </w:tcPr>
          <w:p w14:paraId="19052AC7">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7646D3A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1633ADAE">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579A9C3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r w14:paraId="0275AFAD">
        <w:tblPrEx>
          <w:tblCellMar>
            <w:top w:w="0" w:type="dxa"/>
            <w:left w:w="108" w:type="dxa"/>
            <w:bottom w:w="0" w:type="dxa"/>
            <w:right w:w="108" w:type="dxa"/>
          </w:tblCellMar>
        </w:tblPrEx>
        <w:trPr>
          <w:trHeight w:val="454" w:hRule="atLeast"/>
          <w:jc w:val="center"/>
        </w:trPr>
        <w:tc>
          <w:tcPr>
            <w:tcW w:w="2754" w:type="dxa"/>
            <w:vMerge w:val="continue"/>
            <w:tcBorders>
              <w:top w:val="nil"/>
              <w:left w:val="single" w:color="auto" w:sz="4" w:space="0"/>
              <w:bottom w:val="single" w:color="000000" w:sz="4" w:space="0"/>
              <w:right w:val="single" w:color="auto" w:sz="4" w:space="0"/>
            </w:tcBorders>
            <w:vAlign w:val="center"/>
          </w:tcPr>
          <w:p w14:paraId="09C9D718">
            <w:pPr>
              <w:widowControl/>
              <w:spacing w:line="240" w:lineRule="auto"/>
              <w:ind w:firstLine="0" w:firstLineChars="0"/>
              <w:rPr>
                <w:rFonts w:hint="eastAsia" w:ascii="宋体" w:hAnsi="宋体" w:cs="宋体"/>
                <w:color w:val="auto"/>
                <w:kern w:val="0"/>
                <w:sz w:val="21"/>
              </w:rPr>
            </w:pPr>
          </w:p>
        </w:tc>
        <w:tc>
          <w:tcPr>
            <w:tcW w:w="3850" w:type="dxa"/>
            <w:tcBorders>
              <w:top w:val="nil"/>
              <w:left w:val="nil"/>
              <w:bottom w:val="single" w:color="auto" w:sz="4" w:space="0"/>
              <w:right w:val="single" w:color="auto" w:sz="4" w:space="0"/>
            </w:tcBorders>
            <w:vAlign w:val="center"/>
          </w:tcPr>
          <w:p w14:paraId="1F4D70B6">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10层结构板130mmC30</w:t>
            </w:r>
          </w:p>
        </w:tc>
        <w:tc>
          <w:tcPr>
            <w:tcW w:w="3907" w:type="dxa"/>
            <w:tcBorders>
              <w:top w:val="nil"/>
              <w:left w:val="nil"/>
              <w:bottom w:val="single" w:color="auto" w:sz="4" w:space="0"/>
              <w:right w:val="single" w:color="auto" w:sz="4" w:space="0"/>
            </w:tcBorders>
            <w:vAlign w:val="center"/>
          </w:tcPr>
          <w:p w14:paraId="78E9CA69">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6轴~9轴交C轴</w:t>
            </w:r>
          </w:p>
        </w:tc>
        <w:tc>
          <w:tcPr>
            <w:tcW w:w="1911" w:type="dxa"/>
            <w:tcBorders>
              <w:top w:val="nil"/>
              <w:left w:val="nil"/>
              <w:bottom w:val="single" w:color="auto" w:sz="4" w:space="0"/>
              <w:right w:val="single" w:color="auto" w:sz="4" w:space="0"/>
            </w:tcBorders>
            <w:vAlign w:val="center"/>
          </w:tcPr>
          <w:p w14:paraId="3C07053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98</w:t>
            </w:r>
          </w:p>
        </w:tc>
        <w:tc>
          <w:tcPr>
            <w:tcW w:w="1911" w:type="dxa"/>
            <w:tcBorders>
              <w:top w:val="nil"/>
              <w:left w:val="nil"/>
              <w:bottom w:val="single" w:color="auto" w:sz="4" w:space="0"/>
              <w:right w:val="single" w:color="auto" w:sz="4" w:space="0"/>
            </w:tcBorders>
            <w:vAlign w:val="center"/>
          </w:tcPr>
          <w:p w14:paraId="74611953">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55.8</w:t>
            </w:r>
          </w:p>
        </w:tc>
        <w:tc>
          <w:tcPr>
            <w:tcW w:w="1911" w:type="dxa"/>
            <w:tcBorders>
              <w:top w:val="nil"/>
              <w:left w:val="nil"/>
              <w:bottom w:val="single" w:color="auto" w:sz="4" w:space="0"/>
              <w:right w:val="single" w:color="auto" w:sz="4" w:space="0"/>
            </w:tcBorders>
            <w:vAlign w:val="center"/>
          </w:tcPr>
          <w:p w14:paraId="4C158461">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46.4</w:t>
            </w:r>
          </w:p>
        </w:tc>
        <w:tc>
          <w:tcPr>
            <w:tcW w:w="2614" w:type="dxa"/>
            <w:tcBorders>
              <w:top w:val="nil"/>
              <w:left w:val="nil"/>
              <w:bottom w:val="single" w:color="auto" w:sz="4" w:space="0"/>
              <w:right w:val="single" w:color="auto" w:sz="4" w:space="0"/>
            </w:tcBorders>
            <w:vAlign w:val="center"/>
          </w:tcPr>
          <w:p w14:paraId="7084678F">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160</w:t>
            </w:r>
          </w:p>
        </w:tc>
        <w:tc>
          <w:tcPr>
            <w:tcW w:w="2333" w:type="dxa"/>
            <w:tcBorders>
              <w:top w:val="nil"/>
              <w:left w:val="nil"/>
              <w:bottom w:val="single" w:color="auto" w:sz="4" w:space="0"/>
              <w:right w:val="single" w:color="auto" w:sz="8" w:space="0"/>
            </w:tcBorders>
            <w:vAlign w:val="center"/>
          </w:tcPr>
          <w:p w14:paraId="2285CF7D">
            <w:pPr>
              <w:widowControl/>
              <w:spacing w:line="240" w:lineRule="auto"/>
              <w:ind w:firstLine="0" w:firstLineChars="0"/>
              <w:jc w:val="center"/>
              <w:rPr>
                <w:rFonts w:hint="eastAsia" w:ascii="宋体" w:hAnsi="宋体" w:cs="宋体"/>
                <w:color w:val="auto"/>
                <w:kern w:val="0"/>
                <w:sz w:val="21"/>
              </w:rPr>
            </w:pPr>
            <w:r>
              <w:rPr>
                <w:rFonts w:hint="eastAsia" w:ascii="宋体" w:hAnsi="宋体" w:cs="宋体"/>
                <w:color w:val="auto"/>
                <w:kern w:val="0"/>
                <w:sz w:val="21"/>
              </w:rPr>
              <w:t>9.4</w:t>
            </w:r>
          </w:p>
        </w:tc>
      </w:tr>
    </w:tbl>
    <w:p w14:paraId="77E13B56">
      <w:pPr>
        <w:rPr>
          <w:color w:val="auto"/>
        </w:rPr>
      </w:pPr>
      <w:r>
        <w:rPr>
          <w:rFonts w:hint="eastAsia"/>
          <w:color w:val="auto"/>
        </w:rPr>
        <w:t>2、施工荷载1</w:t>
      </w:r>
      <w:r>
        <w:rPr>
          <w:color w:val="auto"/>
        </w:rPr>
        <w:t>5KN/</w:t>
      </w:r>
      <w:r>
        <w:rPr>
          <w:rFonts w:hint="eastAsia"/>
          <w:color w:val="auto"/>
        </w:rPr>
        <w:t>㎡及以上模板支撑概况</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3"/>
        <w:gridCol w:w="625"/>
        <w:gridCol w:w="4406"/>
        <w:gridCol w:w="1343"/>
        <w:gridCol w:w="1343"/>
      </w:tblGrid>
      <w:tr w14:paraId="0D321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43" w:type="dxa"/>
            <w:noWrap/>
            <w:vAlign w:val="center"/>
          </w:tcPr>
          <w:p w14:paraId="16AE5AF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板厚</w:t>
            </w:r>
          </w:p>
        </w:tc>
        <w:tc>
          <w:tcPr>
            <w:tcW w:w="7381" w:type="dxa"/>
            <w:vAlign w:val="center"/>
          </w:tcPr>
          <w:p w14:paraId="39E57959">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模板支撑基础</w:t>
            </w:r>
          </w:p>
        </w:tc>
        <w:tc>
          <w:tcPr>
            <w:tcW w:w="7381" w:type="dxa"/>
            <w:noWrap/>
            <w:vAlign w:val="center"/>
          </w:tcPr>
          <w:p w14:paraId="336D123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位置</w:t>
            </w:r>
          </w:p>
        </w:tc>
        <w:tc>
          <w:tcPr>
            <w:tcW w:w="2143" w:type="dxa"/>
            <w:noWrap/>
            <w:vAlign w:val="center"/>
          </w:tcPr>
          <w:p w14:paraId="7A609B5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面积</w:t>
            </w:r>
          </w:p>
        </w:tc>
        <w:tc>
          <w:tcPr>
            <w:tcW w:w="2143" w:type="dxa"/>
            <w:noWrap/>
            <w:vAlign w:val="center"/>
          </w:tcPr>
          <w:p w14:paraId="6735921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总荷载</w:t>
            </w:r>
          </w:p>
        </w:tc>
      </w:tr>
      <w:tr w14:paraId="6E268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43" w:type="dxa"/>
            <w:noWrap/>
            <w:vAlign w:val="center"/>
          </w:tcPr>
          <w:p w14:paraId="54EF834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450</w:t>
            </w:r>
          </w:p>
        </w:tc>
        <w:tc>
          <w:tcPr>
            <w:tcW w:w="7381" w:type="dxa"/>
            <w:vMerge w:val="restart"/>
            <w:vAlign w:val="center"/>
          </w:tcPr>
          <w:p w14:paraId="038B8F6A">
            <w:pPr>
              <w:spacing w:line="240" w:lineRule="auto"/>
              <w:ind w:firstLine="440"/>
              <w:jc w:val="center"/>
              <w:rPr>
                <w:rFonts w:hint="eastAsia" w:ascii="等线" w:hAnsi="等线" w:eastAsia="等线" w:cs="宋体"/>
                <w:color w:val="auto"/>
                <w:kern w:val="0"/>
                <w:sz w:val="22"/>
              </w:rPr>
            </w:pPr>
            <w:r>
              <w:rPr>
                <w:rFonts w:hint="eastAsia" w:ascii="等线" w:hAnsi="等线" w:eastAsia="等线" w:cs="宋体"/>
                <w:color w:val="auto"/>
                <w:kern w:val="0"/>
                <w:sz w:val="22"/>
              </w:rPr>
              <w:t>底板C</w:t>
            </w:r>
            <w:r>
              <w:rPr>
                <w:rFonts w:ascii="等线" w:hAnsi="等线" w:eastAsia="等线" w:cs="宋体"/>
                <w:color w:val="auto"/>
                <w:kern w:val="0"/>
                <w:sz w:val="22"/>
              </w:rPr>
              <w:t>35</w:t>
            </w:r>
          </w:p>
        </w:tc>
        <w:tc>
          <w:tcPr>
            <w:tcW w:w="7381" w:type="dxa"/>
            <w:noWrap/>
            <w:vAlign w:val="center"/>
          </w:tcPr>
          <w:p w14:paraId="1C09827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地下室顶板10轴~12轴交V轴~W轴</w:t>
            </w:r>
          </w:p>
        </w:tc>
        <w:tc>
          <w:tcPr>
            <w:tcW w:w="2143" w:type="dxa"/>
            <w:noWrap/>
            <w:vAlign w:val="center"/>
          </w:tcPr>
          <w:p w14:paraId="33DEE879">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64</w:t>
            </w:r>
          </w:p>
        </w:tc>
        <w:tc>
          <w:tcPr>
            <w:tcW w:w="2143" w:type="dxa"/>
            <w:noWrap/>
            <w:vAlign w:val="center"/>
          </w:tcPr>
          <w:p w14:paraId="09892A4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18.06</w:t>
            </w:r>
          </w:p>
        </w:tc>
      </w:tr>
      <w:tr w14:paraId="143D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43" w:type="dxa"/>
            <w:noWrap/>
            <w:vAlign w:val="center"/>
          </w:tcPr>
          <w:p w14:paraId="5711575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400</w:t>
            </w:r>
          </w:p>
        </w:tc>
        <w:tc>
          <w:tcPr>
            <w:tcW w:w="7381" w:type="dxa"/>
            <w:vMerge w:val="continue"/>
            <w:vAlign w:val="center"/>
          </w:tcPr>
          <w:p w14:paraId="4F501971">
            <w:pPr>
              <w:widowControl/>
              <w:spacing w:line="240" w:lineRule="auto"/>
              <w:ind w:firstLine="0" w:firstLineChars="0"/>
              <w:jc w:val="center"/>
              <w:rPr>
                <w:rFonts w:hint="eastAsia" w:ascii="等线" w:hAnsi="等线" w:eastAsia="等线" w:cs="宋体"/>
                <w:color w:val="auto"/>
                <w:kern w:val="0"/>
                <w:sz w:val="22"/>
              </w:rPr>
            </w:pPr>
          </w:p>
        </w:tc>
        <w:tc>
          <w:tcPr>
            <w:tcW w:w="7381" w:type="dxa"/>
            <w:vAlign w:val="center"/>
          </w:tcPr>
          <w:p w14:paraId="4EECDB6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地下室顶板10轴~12轴交X轴~Y轴</w:t>
            </w:r>
            <w:r>
              <w:rPr>
                <w:rFonts w:hint="eastAsia" w:ascii="等线" w:hAnsi="等线" w:eastAsia="等线" w:cs="宋体"/>
                <w:color w:val="auto"/>
                <w:kern w:val="0"/>
                <w:sz w:val="22"/>
              </w:rPr>
              <w:br w:type="textWrapping"/>
            </w:r>
            <w:r>
              <w:rPr>
                <w:rFonts w:hint="eastAsia" w:ascii="等线" w:hAnsi="等线" w:eastAsia="等线" w:cs="宋体"/>
                <w:color w:val="auto"/>
                <w:kern w:val="0"/>
                <w:sz w:val="22"/>
              </w:rPr>
              <w:t>地下室顶板10轴~12轴交B轴~C轴</w:t>
            </w:r>
          </w:p>
        </w:tc>
        <w:tc>
          <w:tcPr>
            <w:tcW w:w="2143" w:type="dxa"/>
            <w:noWrap/>
            <w:vAlign w:val="center"/>
          </w:tcPr>
          <w:p w14:paraId="6FAA69C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96</w:t>
            </w:r>
          </w:p>
        </w:tc>
        <w:tc>
          <w:tcPr>
            <w:tcW w:w="2143" w:type="dxa"/>
            <w:noWrap/>
            <w:vAlign w:val="center"/>
          </w:tcPr>
          <w:p w14:paraId="77A8727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16.56</w:t>
            </w:r>
          </w:p>
        </w:tc>
      </w:tr>
    </w:tbl>
    <w:p w14:paraId="10C06EBD">
      <w:pPr>
        <w:rPr>
          <w:color w:val="auto"/>
        </w:rPr>
      </w:pPr>
      <w:r>
        <w:rPr>
          <w:rFonts w:hint="eastAsia"/>
          <w:color w:val="auto"/>
        </w:rPr>
        <w:t>3、线荷载2</w:t>
      </w:r>
      <w:r>
        <w:rPr>
          <w:color w:val="auto"/>
        </w:rPr>
        <w:t>0KN/m</w:t>
      </w:r>
      <w:r>
        <w:rPr>
          <w:rFonts w:hint="eastAsia"/>
          <w:color w:val="auto"/>
        </w:rPr>
        <w:t>以上模板支撑概况</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1"/>
        <w:gridCol w:w="1211"/>
        <w:gridCol w:w="1996"/>
        <w:gridCol w:w="1996"/>
        <w:gridCol w:w="2646"/>
      </w:tblGrid>
      <w:tr w14:paraId="3B40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080" w:type="dxa"/>
            <w:noWrap/>
            <w:vAlign w:val="center"/>
          </w:tcPr>
          <w:p w14:paraId="4165110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梁宽</w:t>
            </w:r>
          </w:p>
        </w:tc>
        <w:tc>
          <w:tcPr>
            <w:tcW w:w="1080" w:type="dxa"/>
            <w:noWrap/>
            <w:vAlign w:val="center"/>
          </w:tcPr>
          <w:p w14:paraId="5D4B984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梁高</w:t>
            </w:r>
          </w:p>
        </w:tc>
        <w:tc>
          <w:tcPr>
            <w:tcW w:w="1780" w:type="dxa"/>
            <w:vAlign w:val="center"/>
          </w:tcPr>
          <w:p w14:paraId="381EC2D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位置</w:t>
            </w:r>
          </w:p>
        </w:tc>
        <w:tc>
          <w:tcPr>
            <w:tcW w:w="1780" w:type="dxa"/>
            <w:noWrap/>
            <w:vAlign w:val="center"/>
          </w:tcPr>
          <w:p w14:paraId="0F25E8DC">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集中荷载值</w:t>
            </w:r>
          </w:p>
        </w:tc>
        <w:tc>
          <w:tcPr>
            <w:tcW w:w="2360" w:type="dxa"/>
            <w:noWrap/>
            <w:vAlign w:val="center"/>
          </w:tcPr>
          <w:p w14:paraId="3C62F439">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梁截面面积（㎡）</w:t>
            </w:r>
          </w:p>
        </w:tc>
      </w:tr>
      <w:tr w14:paraId="19D7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215882C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5B9D1ED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3400</w:t>
            </w:r>
          </w:p>
        </w:tc>
        <w:tc>
          <w:tcPr>
            <w:tcW w:w="1780" w:type="dxa"/>
            <w:vMerge w:val="restart"/>
            <w:vAlign w:val="center"/>
          </w:tcPr>
          <w:p w14:paraId="35B4500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具体详分布图</w:t>
            </w:r>
          </w:p>
        </w:tc>
        <w:tc>
          <w:tcPr>
            <w:tcW w:w="1780" w:type="dxa"/>
            <w:noWrap/>
            <w:vAlign w:val="center"/>
          </w:tcPr>
          <w:p w14:paraId="616F126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68.2</w:t>
            </w:r>
          </w:p>
        </w:tc>
        <w:tc>
          <w:tcPr>
            <w:tcW w:w="2360" w:type="dxa"/>
            <w:noWrap/>
            <w:vAlign w:val="center"/>
          </w:tcPr>
          <w:p w14:paraId="7D21EEE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2.04</w:t>
            </w:r>
          </w:p>
        </w:tc>
      </w:tr>
      <w:tr w14:paraId="3AE66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6A17C76C">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850</w:t>
            </w:r>
          </w:p>
        </w:tc>
        <w:tc>
          <w:tcPr>
            <w:tcW w:w="1080" w:type="dxa"/>
            <w:noWrap/>
            <w:vAlign w:val="center"/>
          </w:tcPr>
          <w:p w14:paraId="2D4A669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2200</w:t>
            </w:r>
          </w:p>
        </w:tc>
        <w:tc>
          <w:tcPr>
            <w:tcW w:w="1780" w:type="dxa"/>
            <w:vMerge w:val="continue"/>
            <w:vAlign w:val="center"/>
          </w:tcPr>
          <w:p w14:paraId="1A4E2EA2">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445FC1C9">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62.8</w:t>
            </w:r>
          </w:p>
        </w:tc>
        <w:tc>
          <w:tcPr>
            <w:tcW w:w="2360" w:type="dxa"/>
            <w:noWrap/>
            <w:vAlign w:val="center"/>
          </w:tcPr>
          <w:p w14:paraId="289A1A0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1.87</w:t>
            </w:r>
          </w:p>
        </w:tc>
      </w:tr>
      <w:tr w14:paraId="50C0B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37E4C7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800</w:t>
            </w:r>
          </w:p>
        </w:tc>
        <w:tc>
          <w:tcPr>
            <w:tcW w:w="1080" w:type="dxa"/>
            <w:noWrap/>
            <w:vAlign w:val="center"/>
          </w:tcPr>
          <w:p w14:paraId="0F491441">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2200</w:t>
            </w:r>
          </w:p>
        </w:tc>
        <w:tc>
          <w:tcPr>
            <w:tcW w:w="1780" w:type="dxa"/>
            <w:vMerge w:val="continue"/>
            <w:vAlign w:val="center"/>
          </w:tcPr>
          <w:p w14:paraId="019AC7FA">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29F6647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59.3</w:t>
            </w:r>
          </w:p>
        </w:tc>
        <w:tc>
          <w:tcPr>
            <w:tcW w:w="2360" w:type="dxa"/>
            <w:noWrap/>
            <w:vAlign w:val="center"/>
          </w:tcPr>
          <w:p w14:paraId="6C77F361">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1.76</w:t>
            </w:r>
          </w:p>
        </w:tc>
      </w:tr>
      <w:tr w14:paraId="47ED0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0CEBA4A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471849D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2800</w:t>
            </w:r>
          </w:p>
        </w:tc>
        <w:tc>
          <w:tcPr>
            <w:tcW w:w="1780" w:type="dxa"/>
            <w:vMerge w:val="continue"/>
            <w:vAlign w:val="center"/>
          </w:tcPr>
          <w:p w14:paraId="09D6DA7D">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1288A529">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56.6</w:t>
            </w:r>
          </w:p>
        </w:tc>
        <w:tc>
          <w:tcPr>
            <w:tcW w:w="2360" w:type="dxa"/>
            <w:noWrap/>
            <w:vAlign w:val="center"/>
          </w:tcPr>
          <w:p w14:paraId="1F34CEC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1.68</w:t>
            </w:r>
          </w:p>
        </w:tc>
      </w:tr>
      <w:tr w14:paraId="36576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6BA0939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0A4AF10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2000</w:t>
            </w:r>
          </w:p>
        </w:tc>
        <w:tc>
          <w:tcPr>
            <w:tcW w:w="1780" w:type="dxa"/>
            <w:vMerge w:val="continue"/>
            <w:vAlign w:val="center"/>
          </w:tcPr>
          <w:p w14:paraId="780E80D2">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5F70F73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41.3</w:t>
            </w:r>
          </w:p>
        </w:tc>
        <w:tc>
          <w:tcPr>
            <w:tcW w:w="2360" w:type="dxa"/>
            <w:noWrap/>
            <w:vAlign w:val="center"/>
          </w:tcPr>
          <w:p w14:paraId="0BC8EDCC">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1.2</w:t>
            </w:r>
          </w:p>
        </w:tc>
      </w:tr>
      <w:tr w14:paraId="63837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51DA066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400</w:t>
            </w:r>
          </w:p>
        </w:tc>
        <w:tc>
          <w:tcPr>
            <w:tcW w:w="1080" w:type="dxa"/>
            <w:noWrap/>
            <w:vAlign w:val="center"/>
          </w:tcPr>
          <w:p w14:paraId="343432B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2900</w:t>
            </w:r>
          </w:p>
        </w:tc>
        <w:tc>
          <w:tcPr>
            <w:tcW w:w="1780" w:type="dxa"/>
            <w:vMerge w:val="continue"/>
            <w:vAlign w:val="center"/>
          </w:tcPr>
          <w:p w14:paraId="5189C6FB">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2DA36FB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40.2</w:t>
            </w:r>
          </w:p>
        </w:tc>
        <w:tc>
          <w:tcPr>
            <w:tcW w:w="2360" w:type="dxa"/>
            <w:noWrap/>
            <w:vAlign w:val="center"/>
          </w:tcPr>
          <w:p w14:paraId="7202765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1.16</w:t>
            </w:r>
          </w:p>
        </w:tc>
      </w:tr>
      <w:tr w14:paraId="7404B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44DDB1B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500</w:t>
            </w:r>
          </w:p>
        </w:tc>
        <w:tc>
          <w:tcPr>
            <w:tcW w:w="1080" w:type="dxa"/>
            <w:noWrap/>
            <w:vAlign w:val="center"/>
          </w:tcPr>
          <w:p w14:paraId="07F7805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2250</w:t>
            </w:r>
          </w:p>
        </w:tc>
        <w:tc>
          <w:tcPr>
            <w:tcW w:w="1780" w:type="dxa"/>
            <w:vMerge w:val="continue"/>
            <w:vAlign w:val="center"/>
          </w:tcPr>
          <w:p w14:paraId="3D04432E">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67921BE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38.9</w:t>
            </w:r>
          </w:p>
        </w:tc>
        <w:tc>
          <w:tcPr>
            <w:tcW w:w="2360" w:type="dxa"/>
            <w:noWrap/>
            <w:vAlign w:val="center"/>
          </w:tcPr>
          <w:p w14:paraId="6B45E8E6">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1.125</w:t>
            </w:r>
          </w:p>
        </w:tc>
      </w:tr>
      <w:tr w14:paraId="15B04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746B70BC">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58D0E3F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1850</w:t>
            </w:r>
          </w:p>
        </w:tc>
        <w:tc>
          <w:tcPr>
            <w:tcW w:w="1780" w:type="dxa"/>
            <w:vMerge w:val="continue"/>
            <w:vAlign w:val="center"/>
          </w:tcPr>
          <w:p w14:paraId="60C75F50">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5BA06A4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38.4</w:t>
            </w:r>
          </w:p>
        </w:tc>
        <w:tc>
          <w:tcPr>
            <w:tcW w:w="2360" w:type="dxa"/>
            <w:noWrap/>
            <w:vAlign w:val="center"/>
          </w:tcPr>
          <w:p w14:paraId="341B484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1.11</w:t>
            </w:r>
          </w:p>
        </w:tc>
      </w:tr>
      <w:tr w14:paraId="59CC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2639118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7661E31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1800</w:t>
            </w:r>
          </w:p>
        </w:tc>
        <w:tc>
          <w:tcPr>
            <w:tcW w:w="1780" w:type="dxa"/>
            <w:vMerge w:val="continue"/>
            <w:vAlign w:val="center"/>
          </w:tcPr>
          <w:p w14:paraId="2452105F">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7B4AE1B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37.4</w:t>
            </w:r>
          </w:p>
        </w:tc>
        <w:tc>
          <w:tcPr>
            <w:tcW w:w="2360" w:type="dxa"/>
            <w:noWrap/>
            <w:vAlign w:val="center"/>
          </w:tcPr>
          <w:p w14:paraId="02C1A46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1.08</w:t>
            </w:r>
          </w:p>
        </w:tc>
      </w:tr>
      <w:tr w14:paraId="322E3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0A4C9EC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500</w:t>
            </w:r>
          </w:p>
        </w:tc>
        <w:tc>
          <w:tcPr>
            <w:tcW w:w="1080" w:type="dxa"/>
            <w:noWrap/>
            <w:vAlign w:val="center"/>
          </w:tcPr>
          <w:p w14:paraId="3874824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1850</w:t>
            </w:r>
          </w:p>
        </w:tc>
        <w:tc>
          <w:tcPr>
            <w:tcW w:w="1780" w:type="dxa"/>
            <w:vMerge w:val="continue"/>
            <w:vAlign w:val="center"/>
          </w:tcPr>
          <w:p w14:paraId="68B7926C">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657919E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32.4</w:t>
            </w:r>
          </w:p>
        </w:tc>
        <w:tc>
          <w:tcPr>
            <w:tcW w:w="2360" w:type="dxa"/>
            <w:noWrap/>
            <w:vAlign w:val="center"/>
          </w:tcPr>
          <w:p w14:paraId="71E325C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0.925</w:t>
            </w:r>
          </w:p>
        </w:tc>
      </w:tr>
      <w:tr w14:paraId="7EE8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13AF56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700</w:t>
            </w:r>
          </w:p>
        </w:tc>
        <w:tc>
          <w:tcPr>
            <w:tcW w:w="1080" w:type="dxa"/>
            <w:noWrap/>
            <w:vAlign w:val="center"/>
          </w:tcPr>
          <w:p w14:paraId="3DE614C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1300</w:t>
            </w:r>
          </w:p>
        </w:tc>
        <w:tc>
          <w:tcPr>
            <w:tcW w:w="1780" w:type="dxa"/>
            <w:vMerge w:val="continue"/>
            <w:vAlign w:val="center"/>
          </w:tcPr>
          <w:p w14:paraId="3EB85A15">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4164A32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32.2</w:t>
            </w:r>
          </w:p>
        </w:tc>
        <w:tc>
          <w:tcPr>
            <w:tcW w:w="2360" w:type="dxa"/>
            <w:noWrap/>
            <w:vAlign w:val="center"/>
          </w:tcPr>
          <w:p w14:paraId="4CD412F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0.91</w:t>
            </w:r>
          </w:p>
        </w:tc>
      </w:tr>
      <w:tr w14:paraId="1827E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7C29C3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3FEFCA4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1500</w:t>
            </w:r>
          </w:p>
        </w:tc>
        <w:tc>
          <w:tcPr>
            <w:tcW w:w="1780" w:type="dxa"/>
            <w:vMerge w:val="continue"/>
            <w:vAlign w:val="center"/>
          </w:tcPr>
          <w:p w14:paraId="6D2F55D6">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4BFCE95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31.7</w:t>
            </w:r>
          </w:p>
        </w:tc>
        <w:tc>
          <w:tcPr>
            <w:tcW w:w="2360" w:type="dxa"/>
            <w:noWrap/>
            <w:vAlign w:val="center"/>
          </w:tcPr>
          <w:p w14:paraId="4091103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0.9</w:t>
            </w:r>
          </w:p>
        </w:tc>
      </w:tr>
      <w:tr w14:paraId="05DA8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4D7F5A4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800</w:t>
            </w:r>
          </w:p>
        </w:tc>
        <w:tc>
          <w:tcPr>
            <w:tcW w:w="1080" w:type="dxa"/>
            <w:noWrap/>
            <w:vAlign w:val="center"/>
          </w:tcPr>
          <w:p w14:paraId="29B6A53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1100</w:t>
            </w:r>
          </w:p>
        </w:tc>
        <w:tc>
          <w:tcPr>
            <w:tcW w:w="1780" w:type="dxa"/>
            <w:vMerge w:val="continue"/>
            <w:vAlign w:val="center"/>
          </w:tcPr>
          <w:p w14:paraId="5EEDFA63">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6AAB910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31.6</w:t>
            </w:r>
          </w:p>
        </w:tc>
        <w:tc>
          <w:tcPr>
            <w:tcW w:w="2360" w:type="dxa"/>
            <w:noWrap/>
            <w:vAlign w:val="center"/>
          </w:tcPr>
          <w:p w14:paraId="52E71341">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0.88</w:t>
            </w:r>
          </w:p>
        </w:tc>
      </w:tr>
      <w:tr w14:paraId="1DB58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2B3D4DC9">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400</w:t>
            </w:r>
          </w:p>
        </w:tc>
        <w:tc>
          <w:tcPr>
            <w:tcW w:w="1080" w:type="dxa"/>
            <w:noWrap/>
            <w:vAlign w:val="center"/>
          </w:tcPr>
          <w:p w14:paraId="69DDF1C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2200</w:t>
            </w:r>
          </w:p>
        </w:tc>
        <w:tc>
          <w:tcPr>
            <w:tcW w:w="1780" w:type="dxa"/>
            <w:vMerge w:val="continue"/>
            <w:vAlign w:val="center"/>
          </w:tcPr>
          <w:p w14:paraId="029176BA">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218474B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31</w:t>
            </w:r>
          </w:p>
        </w:tc>
        <w:tc>
          <w:tcPr>
            <w:tcW w:w="2360" w:type="dxa"/>
            <w:noWrap/>
            <w:vAlign w:val="center"/>
          </w:tcPr>
          <w:p w14:paraId="717E84B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0.88</w:t>
            </w:r>
          </w:p>
        </w:tc>
      </w:tr>
      <w:tr w14:paraId="0EF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5806A32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11AD82E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1400</w:t>
            </w:r>
          </w:p>
        </w:tc>
        <w:tc>
          <w:tcPr>
            <w:tcW w:w="1780" w:type="dxa"/>
            <w:vMerge w:val="continue"/>
            <w:vAlign w:val="center"/>
          </w:tcPr>
          <w:p w14:paraId="4882D3AB">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5DFF307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29.8</w:t>
            </w:r>
          </w:p>
        </w:tc>
        <w:tc>
          <w:tcPr>
            <w:tcW w:w="2360" w:type="dxa"/>
            <w:noWrap/>
            <w:vAlign w:val="center"/>
          </w:tcPr>
          <w:p w14:paraId="21F3544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0.84</w:t>
            </w:r>
          </w:p>
        </w:tc>
      </w:tr>
      <w:tr w14:paraId="41F1D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5B5FEA6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800</w:t>
            </w:r>
          </w:p>
        </w:tc>
        <w:tc>
          <w:tcPr>
            <w:tcW w:w="1080" w:type="dxa"/>
            <w:noWrap/>
            <w:vAlign w:val="center"/>
          </w:tcPr>
          <w:p w14:paraId="09AF56E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1000</w:t>
            </w:r>
          </w:p>
        </w:tc>
        <w:tc>
          <w:tcPr>
            <w:tcW w:w="1780" w:type="dxa"/>
            <w:vMerge w:val="continue"/>
            <w:vAlign w:val="center"/>
          </w:tcPr>
          <w:p w14:paraId="26A63A62">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521A803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29</w:t>
            </w:r>
          </w:p>
        </w:tc>
        <w:tc>
          <w:tcPr>
            <w:tcW w:w="2360" w:type="dxa"/>
            <w:noWrap/>
            <w:vAlign w:val="center"/>
          </w:tcPr>
          <w:p w14:paraId="5DB69EA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0.8</w:t>
            </w:r>
          </w:p>
        </w:tc>
      </w:tr>
      <w:tr w14:paraId="317D0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770FD33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800</w:t>
            </w:r>
          </w:p>
        </w:tc>
        <w:tc>
          <w:tcPr>
            <w:tcW w:w="1080" w:type="dxa"/>
            <w:noWrap/>
            <w:vAlign w:val="center"/>
          </w:tcPr>
          <w:p w14:paraId="35264A0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1000</w:t>
            </w:r>
          </w:p>
        </w:tc>
        <w:tc>
          <w:tcPr>
            <w:tcW w:w="1780" w:type="dxa"/>
            <w:vMerge w:val="continue"/>
            <w:vAlign w:val="center"/>
          </w:tcPr>
          <w:p w14:paraId="18F1F995">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16008E3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29</w:t>
            </w:r>
          </w:p>
        </w:tc>
        <w:tc>
          <w:tcPr>
            <w:tcW w:w="2360" w:type="dxa"/>
            <w:noWrap/>
            <w:vAlign w:val="center"/>
          </w:tcPr>
          <w:p w14:paraId="2E5C999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0.8</w:t>
            </w:r>
          </w:p>
        </w:tc>
      </w:tr>
      <w:tr w14:paraId="21A5DC79">
        <w:tblPrEx>
          <w:tblCellMar>
            <w:top w:w="0" w:type="dxa"/>
            <w:left w:w="108" w:type="dxa"/>
            <w:bottom w:w="0" w:type="dxa"/>
            <w:right w:w="108" w:type="dxa"/>
          </w:tblCellMar>
        </w:tblPrEx>
        <w:trPr>
          <w:trHeight w:val="454" w:hRule="atLeast"/>
          <w:jc w:val="center"/>
        </w:trPr>
        <w:tc>
          <w:tcPr>
            <w:tcW w:w="1080" w:type="dxa"/>
            <w:noWrap/>
            <w:vAlign w:val="center"/>
          </w:tcPr>
          <w:p w14:paraId="2457624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476219F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1300</w:t>
            </w:r>
          </w:p>
        </w:tc>
        <w:tc>
          <w:tcPr>
            <w:tcW w:w="1780" w:type="dxa"/>
            <w:vMerge w:val="continue"/>
            <w:vAlign w:val="center"/>
          </w:tcPr>
          <w:p w14:paraId="198A8F84">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73B087A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27.8</w:t>
            </w:r>
          </w:p>
        </w:tc>
        <w:tc>
          <w:tcPr>
            <w:tcW w:w="2360" w:type="dxa"/>
            <w:noWrap/>
            <w:vAlign w:val="center"/>
          </w:tcPr>
          <w:p w14:paraId="5651F80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0.78</w:t>
            </w:r>
          </w:p>
        </w:tc>
      </w:tr>
      <w:tr w14:paraId="54169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7307C7F3">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400</w:t>
            </w:r>
          </w:p>
        </w:tc>
        <w:tc>
          <w:tcPr>
            <w:tcW w:w="1080" w:type="dxa"/>
            <w:noWrap/>
            <w:vAlign w:val="center"/>
          </w:tcPr>
          <w:p w14:paraId="0C8EA5C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1850</w:t>
            </w:r>
          </w:p>
        </w:tc>
        <w:tc>
          <w:tcPr>
            <w:tcW w:w="1780" w:type="dxa"/>
            <w:vMerge w:val="continue"/>
            <w:vAlign w:val="center"/>
          </w:tcPr>
          <w:p w14:paraId="57795C96">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65E1DC4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26.3</w:t>
            </w:r>
          </w:p>
        </w:tc>
        <w:tc>
          <w:tcPr>
            <w:tcW w:w="2360" w:type="dxa"/>
            <w:noWrap/>
            <w:vAlign w:val="center"/>
          </w:tcPr>
          <w:p w14:paraId="24CC7E5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0.74</w:t>
            </w:r>
          </w:p>
        </w:tc>
      </w:tr>
      <w:tr w14:paraId="61A5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021840E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500</w:t>
            </w:r>
          </w:p>
        </w:tc>
        <w:tc>
          <w:tcPr>
            <w:tcW w:w="1080" w:type="dxa"/>
            <w:noWrap/>
            <w:vAlign w:val="center"/>
          </w:tcPr>
          <w:p w14:paraId="777E53B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1450</w:t>
            </w:r>
          </w:p>
        </w:tc>
        <w:tc>
          <w:tcPr>
            <w:tcW w:w="1780" w:type="dxa"/>
            <w:vMerge w:val="continue"/>
            <w:vAlign w:val="center"/>
          </w:tcPr>
          <w:p w14:paraId="445EEBCD">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0888F12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25.9</w:t>
            </w:r>
          </w:p>
        </w:tc>
        <w:tc>
          <w:tcPr>
            <w:tcW w:w="2360" w:type="dxa"/>
            <w:noWrap/>
            <w:vAlign w:val="center"/>
          </w:tcPr>
          <w:p w14:paraId="08989BF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0.725</w:t>
            </w:r>
          </w:p>
        </w:tc>
      </w:tr>
      <w:tr w14:paraId="3BDC3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1BB7D1C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75F6D24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1200</w:t>
            </w:r>
          </w:p>
        </w:tc>
        <w:tc>
          <w:tcPr>
            <w:tcW w:w="1780" w:type="dxa"/>
            <w:vMerge w:val="continue"/>
            <w:vAlign w:val="center"/>
          </w:tcPr>
          <w:p w14:paraId="18ED9642">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6DAA18B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25.9</w:t>
            </w:r>
          </w:p>
        </w:tc>
        <w:tc>
          <w:tcPr>
            <w:tcW w:w="2360" w:type="dxa"/>
            <w:noWrap/>
            <w:vAlign w:val="center"/>
          </w:tcPr>
          <w:p w14:paraId="31844F2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0.72</w:t>
            </w:r>
          </w:p>
        </w:tc>
      </w:tr>
      <w:tr w14:paraId="0F91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0B01CF8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700</w:t>
            </w:r>
          </w:p>
        </w:tc>
        <w:tc>
          <w:tcPr>
            <w:tcW w:w="1080" w:type="dxa"/>
            <w:noWrap/>
            <w:vAlign w:val="center"/>
          </w:tcPr>
          <w:p w14:paraId="5F83566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1000</w:t>
            </w:r>
          </w:p>
        </w:tc>
        <w:tc>
          <w:tcPr>
            <w:tcW w:w="1780" w:type="dxa"/>
            <w:vMerge w:val="continue"/>
            <w:vAlign w:val="center"/>
          </w:tcPr>
          <w:p w14:paraId="4C9721AF">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5CF4161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25.6</w:t>
            </w:r>
          </w:p>
        </w:tc>
        <w:tc>
          <w:tcPr>
            <w:tcW w:w="2360" w:type="dxa"/>
            <w:noWrap/>
            <w:vAlign w:val="center"/>
          </w:tcPr>
          <w:p w14:paraId="1B00FA5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0.7</w:t>
            </w:r>
          </w:p>
        </w:tc>
      </w:tr>
      <w:tr w14:paraId="17D0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4DCA2D1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500</w:t>
            </w:r>
          </w:p>
        </w:tc>
        <w:tc>
          <w:tcPr>
            <w:tcW w:w="1080" w:type="dxa"/>
            <w:noWrap/>
            <w:vAlign w:val="center"/>
          </w:tcPr>
          <w:p w14:paraId="60304B4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1400</w:t>
            </w:r>
          </w:p>
        </w:tc>
        <w:tc>
          <w:tcPr>
            <w:tcW w:w="1780" w:type="dxa"/>
            <w:vMerge w:val="continue"/>
            <w:vAlign w:val="center"/>
          </w:tcPr>
          <w:p w14:paraId="37C4DC07">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1639CE5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25.1</w:t>
            </w:r>
          </w:p>
        </w:tc>
        <w:tc>
          <w:tcPr>
            <w:tcW w:w="2360" w:type="dxa"/>
            <w:noWrap/>
            <w:vAlign w:val="center"/>
          </w:tcPr>
          <w:p w14:paraId="42AD924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0.7</w:t>
            </w:r>
          </w:p>
        </w:tc>
      </w:tr>
      <w:tr w14:paraId="10646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E57FC91">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400</w:t>
            </w:r>
          </w:p>
        </w:tc>
        <w:tc>
          <w:tcPr>
            <w:tcW w:w="1080" w:type="dxa"/>
            <w:noWrap/>
            <w:vAlign w:val="center"/>
          </w:tcPr>
          <w:p w14:paraId="508110C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1700</w:t>
            </w:r>
          </w:p>
        </w:tc>
        <w:tc>
          <w:tcPr>
            <w:tcW w:w="1780" w:type="dxa"/>
            <w:vMerge w:val="continue"/>
            <w:vAlign w:val="center"/>
          </w:tcPr>
          <w:p w14:paraId="026D94CA">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40F1AB7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24.4</w:t>
            </w:r>
          </w:p>
        </w:tc>
        <w:tc>
          <w:tcPr>
            <w:tcW w:w="2360" w:type="dxa"/>
            <w:noWrap/>
            <w:vAlign w:val="center"/>
          </w:tcPr>
          <w:p w14:paraId="124C339A">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0.68</w:t>
            </w:r>
          </w:p>
        </w:tc>
      </w:tr>
      <w:tr w14:paraId="1632F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760F9526">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4ED9D12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1100</w:t>
            </w:r>
          </w:p>
        </w:tc>
        <w:tc>
          <w:tcPr>
            <w:tcW w:w="1780" w:type="dxa"/>
            <w:vMerge w:val="continue"/>
            <w:vAlign w:val="center"/>
          </w:tcPr>
          <w:p w14:paraId="1538E8C9">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43471BE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24</w:t>
            </w:r>
          </w:p>
        </w:tc>
        <w:tc>
          <w:tcPr>
            <w:tcW w:w="2360" w:type="dxa"/>
            <w:noWrap/>
            <w:vAlign w:val="center"/>
          </w:tcPr>
          <w:p w14:paraId="1A06E95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0.66</w:t>
            </w:r>
          </w:p>
        </w:tc>
      </w:tr>
      <w:tr w14:paraId="2229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C9AEBE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500</w:t>
            </w:r>
          </w:p>
        </w:tc>
        <w:tc>
          <w:tcPr>
            <w:tcW w:w="1080" w:type="dxa"/>
            <w:noWrap/>
            <w:vAlign w:val="center"/>
          </w:tcPr>
          <w:p w14:paraId="1E5A056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1300</w:t>
            </w:r>
          </w:p>
        </w:tc>
        <w:tc>
          <w:tcPr>
            <w:tcW w:w="1780" w:type="dxa"/>
            <w:vMerge w:val="continue"/>
            <w:vAlign w:val="center"/>
          </w:tcPr>
          <w:p w14:paraId="7E8DB7CC">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1DD11196">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23.5</w:t>
            </w:r>
          </w:p>
        </w:tc>
        <w:tc>
          <w:tcPr>
            <w:tcW w:w="2360" w:type="dxa"/>
            <w:noWrap/>
            <w:vAlign w:val="center"/>
          </w:tcPr>
          <w:p w14:paraId="789C605C">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0.65</w:t>
            </w:r>
          </w:p>
        </w:tc>
      </w:tr>
      <w:tr w14:paraId="600B5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296D9DF">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700</w:t>
            </w:r>
          </w:p>
        </w:tc>
        <w:tc>
          <w:tcPr>
            <w:tcW w:w="1080" w:type="dxa"/>
            <w:noWrap/>
            <w:vAlign w:val="center"/>
          </w:tcPr>
          <w:p w14:paraId="603110C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900</w:t>
            </w:r>
          </w:p>
        </w:tc>
        <w:tc>
          <w:tcPr>
            <w:tcW w:w="1780" w:type="dxa"/>
            <w:vMerge w:val="continue"/>
            <w:vAlign w:val="center"/>
          </w:tcPr>
          <w:p w14:paraId="555DC184">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08D5BE4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23.3</w:t>
            </w:r>
          </w:p>
        </w:tc>
        <w:tc>
          <w:tcPr>
            <w:tcW w:w="2360" w:type="dxa"/>
            <w:noWrap/>
            <w:vAlign w:val="center"/>
          </w:tcPr>
          <w:p w14:paraId="0AF12454">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0.63</w:t>
            </w:r>
          </w:p>
        </w:tc>
      </w:tr>
      <w:tr w14:paraId="02C22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2DA35C26">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6F12DBD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1000</w:t>
            </w:r>
          </w:p>
        </w:tc>
        <w:tc>
          <w:tcPr>
            <w:tcW w:w="1780" w:type="dxa"/>
            <w:vMerge w:val="continue"/>
            <w:vAlign w:val="center"/>
          </w:tcPr>
          <w:p w14:paraId="4188D698">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399D591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22.1</w:t>
            </w:r>
          </w:p>
        </w:tc>
        <w:tc>
          <w:tcPr>
            <w:tcW w:w="2360" w:type="dxa"/>
            <w:noWrap/>
            <w:vAlign w:val="center"/>
          </w:tcPr>
          <w:p w14:paraId="646E9E7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0.6</w:t>
            </w:r>
          </w:p>
        </w:tc>
      </w:tr>
      <w:tr w14:paraId="26EB9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6E07BEAB">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500</w:t>
            </w:r>
          </w:p>
        </w:tc>
        <w:tc>
          <w:tcPr>
            <w:tcW w:w="1080" w:type="dxa"/>
            <w:noWrap/>
            <w:vAlign w:val="center"/>
          </w:tcPr>
          <w:p w14:paraId="3A2AA56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1200</w:t>
            </w:r>
          </w:p>
        </w:tc>
        <w:tc>
          <w:tcPr>
            <w:tcW w:w="1780" w:type="dxa"/>
            <w:vMerge w:val="continue"/>
            <w:vAlign w:val="center"/>
          </w:tcPr>
          <w:p w14:paraId="11192862">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0D2EECA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21.8</w:t>
            </w:r>
          </w:p>
        </w:tc>
        <w:tc>
          <w:tcPr>
            <w:tcW w:w="2360" w:type="dxa"/>
            <w:noWrap/>
            <w:vAlign w:val="center"/>
          </w:tcPr>
          <w:p w14:paraId="5C398D38">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0.6</w:t>
            </w:r>
          </w:p>
        </w:tc>
      </w:tr>
      <w:tr w14:paraId="74785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367E074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400</w:t>
            </w:r>
          </w:p>
        </w:tc>
        <w:tc>
          <w:tcPr>
            <w:tcW w:w="1080" w:type="dxa"/>
            <w:noWrap/>
            <w:vAlign w:val="center"/>
          </w:tcPr>
          <w:p w14:paraId="1BE8F0C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1450</w:t>
            </w:r>
          </w:p>
        </w:tc>
        <w:tc>
          <w:tcPr>
            <w:tcW w:w="1780" w:type="dxa"/>
            <w:vMerge w:val="continue"/>
            <w:vAlign w:val="center"/>
          </w:tcPr>
          <w:p w14:paraId="5269C38E">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3E800071">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21.1</w:t>
            </w:r>
          </w:p>
        </w:tc>
        <w:tc>
          <w:tcPr>
            <w:tcW w:w="2360" w:type="dxa"/>
            <w:noWrap/>
            <w:vAlign w:val="center"/>
          </w:tcPr>
          <w:p w14:paraId="4F9DD16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0.58</w:t>
            </w:r>
          </w:p>
        </w:tc>
      </w:tr>
      <w:tr w14:paraId="7C7EB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477EC36D">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300</w:t>
            </w:r>
          </w:p>
        </w:tc>
        <w:tc>
          <w:tcPr>
            <w:tcW w:w="1080" w:type="dxa"/>
            <w:noWrap/>
            <w:vAlign w:val="center"/>
          </w:tcPr>
          <w:p w14:paraId="651BFF3E">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1850</w:t>
            </w:r>
          </w:p>
        </w:tc>
        <w:tc>
          <w:tcPr>
            <w:tcW w:w="1780" w:type="dxa"/>
            <w:vMerge w:val="continue"/>
            <w:vAlign w:val="center"/>
          </w:tcPr>
          <w:p w14:paraId="7E1BD4C5">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0CBE9550">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20.3</w:t>
            </w:r>
          </w:p>
        </w:tc>
        <w:tc>
          <w:tcPr>
            <w:tcW w:w="2360" w:type="dxa"/>
            <w:noWrap/>
            <w:vAlign w:val="center"/>
          </w:tcPr>
          <w:p w14:paraId="0672C867">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0.555</w:t>
            </w:r>
          </w:p>
        </w:tc>
      </w:tr>
      <w:tr w14:paraId="702D6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80" w:type="dxa"/>
            <w:noWrap/>
            <w:vAlign w:val="center"/>
          </w:tcPr>
          <w:p w14:paraId="25157D91">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600</w:t>
            </w:r>
          </w:p>
        </w:tc>
        <w:tc>
          <w:tcPr>
            <w:tcW w:w="1080" w:type="dxa"/>
            <w:noWrap/>
            <w:vAlign w:val="center"/>
          </w:tcPr>
          <w:p w14:paraId="447EEAA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900</w:t>
            </w:r>
          </w:p>
        </w:tc>
        <w:tc>
          <w:tcPr>
            <w:tcW w:w="1780" w:type="dxa"/>
            <w:vMerge w:val="continue"/>
            <w:vAlign w:val="center"/>
          </w:tcPr>
          <w:p w14:paraId="53FC2337">
            <w:pPr>
              <w:widowControl/>
              <w:spacing w:line="240" w:lineRule="auto"/>
              <w:ind w:firstLine="0" w:firstLineChars="0"/>
              <w:jc w:val="center"/>
              <w:rPr>
                <w:rFonts w:hint="eastAsia" w:ascii="等线" w:hAnsi="等线" w:eastAsia="等线" w:cs="宋体"/>
                <w:color w:val="auto"/>
                <w:kern w:val="0"/>
                <w:sz w:val="22"/>
              </w:rPr>
            </w:pPr>
          </w:p>
        </w:tc>
        <w:tc>
          <w:tcPr>
            <w:tcW w:w="1780" w:type="dxa"/>
            <w:noWrap/>
            <w:vAlign w:val="center"/>
          </w:tcPr>
          <w:p w14:paraId="0ADFD112">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20.2</w:t>
            </w:r>
          </w:p>
        </w:tc>
        <w:tc>
          <w:tcPr>
            <w:tcW w:w="2360" w:type="dxa"/>
            <w:noWrap/>
            <w:vAlign w:val="center"/>
          </w:tcPr>
          <w:p w14:paraId="47645C15">
            <w:pPr>
              <w:widowControl/>
              <w:spacing w:line="240" w:lineRule="auto"/>
              <w:ind w:firstLine="0" w:firstLineChars="0"/>
              <w:jc w:val="center"/>
              <w:rPr>
                <w:rFonts w:hint="eastAsia" w:ascii="等线" w:hAnsi="等线" w:eastAsia="等线" w:cs="宋体"/>
                <w:color w:val="auto"/>
                <w:kern w:val="0"/>
                <w:sz w:val="22"/>
              </w:rPr>
            </w:pPr>
            <w:r>
              <w:rPr>
                <w:rFonts w:hint="eastAsia" w:ascii="等线" w:hAnsi="等线" w:eastAsia="等线" w:cs="宋体"/>
                <w:color w:val="auto"/>
                <w:kern w:val="0"/>
                <w:sz w:val="22"/>
              </w:rPr>
              <w:t>0.54</w:t>
            </w:r>
          </w:p>
        </w:tc>
      </w:tr>
    </w:tbl>
    <w:p w14:paraId="1827BBCA">
      <w:pPr>
        <w:rPr>
          <w:color w:val="auto"/>
        </w:rPr>
      </w:pPr>
    </w:p>
    <w:p w14:paraId="475BE35D">
      <w:pPr>
        <w:rPr>
          <w:color w:val="auto"/>
        </w:rPr>
        <w:sectPr>
          <w:headerReference r:id="rId30" w:type="default"/>
          <w:pgSz w:w="11906" w:h="16838"/>
          <w:pgMar w:top="1440" w:right="1361" w:bottom="1440" w:left="1701" w:header="851" w:footer="992" w:gutter="0"/>
          <w:cols w:space="425" w:num="1"/>
          <w:docGrid w:type="lines" w:linePitch="326" w:charSpace="0"/>
        </w:sectPr>
      </w:pPr>
    </w:p>
    <w:p w14:paraId="2B2E3C5B">
      <w:pPr>
        <w:pStyle w:val="6"/>
        <w:ind w:firstLine="480"/>
        <w:rPr>
          <w:color w:val="auto"/>
        </w:rPr>
      </w:pPr>
      <w:r>
        <w:rPr>
          <w:rFonts w:hint="eastAsia"/>
          <w:color w:val="auto"/>
        </w:rPr>
        <w:t>高大模板分布概况</w:t>
      </w:r>
    </w:p>
    <w:p w14:paraId="27CE332C">
      <w:pPr>
        <w:rPr>
          <w:color w:val="auto"/>
        </w:rPr>
      </w:pPr>
      <w:r>
        <w:rPr>
          <w:rFonts w:hint="eastAsia"/>
          <w:color w:val="auto"/>
        </w:rPr>
        <w:t>1、搭设高度8m及以上模板分布概况</w:t>
      </w:r>
    </w:p>
    <w:p w14:paraId="2C8DD6BC">
      <w:pPr>
        <w:jc w:val="center"/>
        <w:rPr>
          <w:color w:val="auto"/>
        </w:rPr>
      </w:pPr>
      <w:r>
        <w:rPr>
          <w:rFonts w:hint="eastAsia"/>
          <w:color w:val="auto"/>
        </w:rPr>
        <w:drawing>
          <wp:inline distT="0" distB="0" distL="0" distR="0">
            <wp:extent cx="11641455" cy="7725410"/>
            <wp:effectExtent l="0" t="0" r="0" b="889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2" cstate="print">
                      <a:extLst>
                        <a:ext uri="{28A0092B-C50C-407E-A947-70E740481C1C}">
                          <a14:useLocalDpi xmlns:a14="http://schemas.microsoft.com/office/drawing/2010/main" val="0"/>
                        </a:ext>
                      </a:extLst>
                    </a:blip>
                    <a:srcRect t="4146" b="1866"/>
                    <a:stretch>
                      <a:fillRect/>
                    </a:stretch>
                  </pic:blipFill>
                  <pic:spPr>
                    <a:xfrm>
                      <a:off x="0" y="0"/>
                      <a:ext cx="11669977" cy="7744358"/>
                    </a:xfrm>
                    <a:prstGeom prst="rect">
                      <a:avLst/>
                    </a:prstGeom>
                    <a:noFill/>
                    <a:ln>
                      <a:noFill/>
                    </a:ln>
                  </pic:spPr>
                </pic:pic>
              </a:graphicData>
            </a:graphic>
          </wp:inline>
        </w:drawing>
      </w:r>
    </w:p>
    <w:p w14:paraId="5873A32B">
      <w:pPr>
        <w:pStyle w:val="53"/>
        <w:rPr>
          <w:color w:val="auto"/>
        </w:rPr>
      </w:pPr>
      <w:r>
        <w:rPr>
          <w:rFonts w:hint="eastAsia"/>
          <w:color w:val="auto"/>
        </w:rPr>
        <w:t>搭设高度8</w:t>
      </w:r>
      <w:r>
        <w:rPr>
          <w:color w:val="auto"/>
        </w:rPr>
        <w:t>m</w:t>
      </w:r>
      <w:r>
        <w:rPr>
          <w:rFonts w:hint="eastAsia"/>
          <w:color w:val="auto"/>
        </w:rPr>
        <w:t>及以上模板分布-</w:t>
      </w:r>
      <w:r>
        <w:rPr>
          <w:color w:val="auto"/>
        </w:rPr>
        <w:t>3</w:t>
      </w:r>
      <w:r>
        <w:rPr>
          <w:rFonts w:hint="eastAsia"/>
          <w:color w:val="auto"/>
        </w:rPr>
        <w:t>层结构平面</w:t>
      </w:r>
    </w:p>
    <w:p w14:paraId="67477D4A">
      <w:pPr>
        <w:jc w:val="center"/>
        <w:rPr>
          <w:color w:val="auto"/>
        </w:rPr>
      </w:pPr>
      <w:r>
        <w:rPr>
          <w:rFonts w:hint="eastAsia"/>
          <w:color w:val="auto"/>
        </w:rPr>
        <w:drawing>
          <wp:inline distT="0" distB="0" distL="0" distR="0">
            <wp:extent cx="11982450" cy="8093075"/>
            <wp:effectExtent l="0" t="0" r="0" b="317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3" cstate="print">
                      <a:extLst>
                        <a:ext uri="{28A0092B-C50C-407E-A947-70E740481C1C}">
                          <a14:useLocalDpi xmlns:a14="http://schemas.microsoft.com/office/drawing/2010/main" val="0"/>
                        </a:ext>
                      </a:extLst>
                    </a:blip>
                    <a:srcRect t="2440" b="1872"/>
                    <a:stretch>
                      <a:fillRect/>
                    </a:stretch>
                  </pic:blipFill>
                  <pic:spPr>
                    <a:xfrm>
                      <a:off x="0" y="0"/>
                      <a:ext cx="11982450" cy="8093075"/>
                    </a:xfrm>
                    <a:prstGeom prst="rect">
                      <a:avLst/>
                    </a:prstGeom>
                    <a:noFill/>
                    <a:ln>
                      <a:noFill/>
                    </a:ln>
                  </pic:spPr>
                </pic:pic>
              </a:graphicData>
            </a:graphic>
          </wp:inline>
        </w:drawing>
      </w:r>
    </w:p>
    <w:p w14:paraId="3C9E6377">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4</w:t>
      </w:r>
      <w:r>
        <w:rPr>
          <w:rFonts w:hint="eastAsia"/>
          <w:color w:val="auto"/>
        </w:rPr>
        <w:t>层结构平面</w:t>
      </w:r>
    </w:p>
    <w:p w14:paraId="235A8F12">
      <w:pPr>
        <w:jc w:val="center"/>
        <w:rPr>
          <w:color w:val="auto"/>
        </w:rPr>
      </w:pPr>
      <w:r>
        <w:rPr>
          <w:rFonts w:hint="eastAsia"/>
          <w:color w:val="auto"/>
        </w:rPr>
        <w:drawing>
          <wp:inline distT="0" distB="0" distL="0" distR="0">
            <wp:extent cx="11464290" cy="8093075"/>
            <wp:effectExtent l="0" t="0" r="3810" b="317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1464290" cy="8093075"/>
                    </a:xfrm>
                    <a:prstGeom prst="rect">
                      <a:avLst/>
                    </a:prstGeom>
                    <a:noFill/>
                    <a:ln>
                      <a:noFill/>
                    </a:ln>
                  </pic:spPr>
                </pic:pic>
              </a:graphicData>
            </a:graphic>
          </wp:inline>
        </w:drawing>
      </w:r>
    </w:p>
    <w:p w14:paraId="642F59E9">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5</w:t>
      </w:r>
      <w:r>
        <w:rPr>
          <w:rFonts w:hint="eastAsia"/>
          <w:color w:val="auto"/>
        </w:rPr>
        <w:t>层结构平面</w:t>
      </w:r>
    </w:p>
    <w:p w14:paraId="07993E94">
      <w:pPr>
        <w:jc w:val="center"/>
        <w:rPr>
          <w:color w:val="auto"/>
        </w:rPr>
      </w:pPr>
      <w:r>
        <w:rPr>
          <w:color w:val="auto"/>
        </w:rPr>
        <w:drawing>
          <wp:inline distT="0" distB="0" distL="0" distR="0">
            <wp:extent cx="11900535" cy="8093075"/>
            <wp:effectExtent l="0" t="0" r="5715"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95" cstate="print">
                      <a:extLst>
                        <a:ext uri="{28A0092B-C50C-407E-A947-70E740481C1C}">
                          <a14:useLocalDpi xmlns:a14="http://schemas.microsoft.com/office/drawing/2010/main" val="0"/>
                        </a:ext>
                      </a:extLst>
                    </a:blip>
                    <a:srcRect t="2008" b="1736"/>
                    <a:stretch>
                      <a:fillRect/>
                    </a:stretch>
                  </pic:blipFill>
                  <pic:spPr>
                    <a:xfrm>
                      <a:off x="0" y="0"/>
                      <a:ext cx="11900535" cy="8093075"/>
                    </a:xfrm>
                    <a:prstGeom prst="rect">
                      <a:avLst/>
                    </a:prstGeom>
                    <a:noFill/>
                    <a:ln>
                      <a:noFill/>
                    </a:ln>
                  </pic:spPr>
                </pic:pic>
              </a:graphicData>
            </a:graphic>
          </wp:inline>
        </w:drawing>
      </w:r>
    </w:p>
    <w:p w14:paraId="1D025BB4">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6</w:t>
      </w:r>
      <w:r>
        <w:rPr>
          <w:rFonts w:hint="eastAsia"/>
          <w:color w:val="auto"/>
        </w:rPr>
        <w:t>层结构平面</w:t>
      </w:r>
    </w:p>
    <w:p w14:paraId="7E84DB1C">
      <w:pPr>
        <w:jc w:val="center"/>
        <w:rPr>
          <w:color w:val="auto"/>
        </w:rPr>
      </w:pPr>
      <w:r>
        <w:rPr>
          <w:color w:val="auto"/>
        </w:rPr>
        <w:drawing>
          <wp:inline distT="0" distB="0" distL="0" distR="0">
            <wp:extent cx="7738110" cy="8093075"/>
            <wp:effectExtent l="0" t="0" r="0" b="317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96" cstate="print">
                      <a:extLst>
                        <a:ext uri="{28A0092B-C50C-407E-A947-70E740481C1C}">
                          <a14:useLocalDpi xmlns:a14="http://schemas.microsoft.com/office/drawing/2010/main" val="0"/>
                        </a:ext>
                      </a:extLst>
                    </a:blip>
                    <a:srcRect t="12695" b="13348"/>
                    <a:stretch>
                      <a:fillRect/>
                    </a:stretch>
                  </pic:blipFill>
                  <pic:spPr>
                    <a:xfrm>
                      <a:off x="0" y="0"/>
                      <a:ext cx="7738110" cy="8093075"/>
                    </a:xfrm>
                    <a:prstGeom prst="rect">
                      <a:avLst/>
                    </a:prstGeom>
                    <a:noFill/>
                    <a:ln>
                      <a:noFill/>
                    </a:ln>
                  </pic:spPr>
                </pic:pic>
              </a:graphicData>
            </a:graphic>
          </wp:inline>
        </w:drawing>
      </w:r>
    </w:p>
    <w:p w14:paraId="49D6AF64">
      <w:pPr>
        <w:pStyle w:val="53"/>
        <w:rPr>
          <w:color w:val="auto"/>
        </w:rPr>
      </w:pPr>
      <w:r>
        <w:rPr>
          <w:rFonts w:hint="eastAsia"/>
          <w:color w:val="auto"/>
        </w:rPr>
        <w:t>搭设高度8</w:t>
      </w:r>
      <w:r>
        <w:rPr>
          <w:color w:val="auto"/>
        </w:rPr>
        <w:t>m</w:t>
      </w:r>
      <w:r>
        <w:rPr>
          <w:rFonts w:hint="eastAsia"/>
          <w:color w:val="auto"/>
        </w:rPr>
        <w:t>及以上模板分布-</w:t>
      </w:r>
      <w:r>
        <w:rPr>
          <w:color w:val="auto"/>
        </w:rPr>
        <w:t>7</w:t>
      </w:r>
      <w:r>
        <w:rPr>
          <w:rFonts w:hint="eastAsia"/>
          <w:color w:val="auto"/>
        </w:rPr>
        <w:t>层结构平面</w:t>
      </w:r>
    </w:p>
    <w:p w14:paraId="4C1370A9">
      <w:pPr>
        <w:jc w:val="center"/>
        <w:rPr>
          <w:color w:val="auto"/>
        </w:rPr>
      </w:pPr>
      <w:r>
        <w:rPr>
          <w:color w:val="auto"/>
        </w:rPr>
        <w:drawing>
          <wp:inline distT="0" distB="0" distL="0" distR="0">
            <wp:extent cx="7820025" cy="8093075"/>
            <wp:effectExtent l="0" t="0" r="9525" b="317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97" cstate="print">
                      <a:extLst>
                        <a:ext uri="{28A0092B-C50C-407E-A947-70E740481C1C}">
                          <a14:useLocalDpi xmlns:a14="http://schemas.microsoft.com/office/drawing/2010/main" val="0"/>
                        </a:ext>
                      </a:extLst>
                    </a:blip>
                    <a:srcRect t="12831" b="13898"/>
                    <a:stretch>
                      <a:fillRect/>
                    </a:stretch>
                  </pic:blipFill>
                  <pic:spPr>
                    <a:xfrm>
                      <a:off x="0" y="0"/>
                      <a:ext cx="7820025" cy="8093075"/>
                    </a:xfrm>
                    <a:prstGeom prst="rect">
                      <a:avLst/>
                    </a:prstGeom>
                    <a:noFill/>
                    <a:ln>
                      <a:noFill/>
                    </a:ln>
                  </pic:spPr>
                </pic:pic>
              </a:graphicData>
            </a:graphic>
          </wp:inline>
        </w:drawing>
      </w:r>
    </w:p>
    <w:p w14:paraId="20D5DB5D">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8</w:t>
      </w:r>
      <w:r>
        <w:rPr>
          <w:rFonts w:hint="eastAsia"/>
          <w:color w:val="auto"/>
        </w:rPr>
        <w:t>层结构平面</w:t>
      </w:r>
    </w:p>
    <w:p w14:paraId="474D3BB4">
      <w:pPr>
        <w:jc w:val="center"/>
        <w:rPr>
          <w:color w:val="auto"/>
        </w:rPr>
      </w:pPr>
      <w:r>
        <w:rPr>
          <w:color w:val="auto"/>
        </w:rPr>
        <w:drawing>
          <wp:inline distT="0" distB="0" distL="0" distR="0">
            <wp:extent cx="7833995" cy="8093075"/>
            <wp:effectExtent l="0" t="0" r="0" b="317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98" cstate="print">
                      <a:extLst>
                        <a:ext uri="{28A0092B-C50C-407E-A947-70E740481C1C}">
                          <a14:useLocalDpi xmlns:a14="http://schemas.microsoft.com/office/drawing/2010/main" val="0"/>
                        </a:ext>
                      </a:extLst>
                    </a:blip>
                    <a:srcRect t="13083" b="13904"/>
                    <a:stretch>
                      <a:fillRect/>
                    </a:stretch>
                  </pic:blipFill>
                  <pic:spPr>
                    <a:xfrm>
                      <a:off x="0" y="0"/>
                      <a:ext cx="7833995" cy="8093075"/>
                    </a:xfrm>
                    <a:prstGeom prst="rect">
                      <a:avLst/>
                    </a:prstGeom>
                    <a:noFill/>
                    <a:ln>
                      <a:noFill/>
                    </a:ln>
                  </pic:spPr>
                </pic:pic>
              </a:graphicData>
            </a:graphic>
          </wp:inline>
        </w:drawing>
      </w:r>
    </w:p>
    <w:p w14:paraId="78F835B7">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9</w:t>
      </w:r>
      <w:r>
        <w:rPr>
          <w:rFonts w:hint="eastAsia"/>
          <w:color w:val="auto"/>
        </w:rPr>
        <w:t>层结构平面</w:t>
      </w:r>
    </w:p>
    <w:p w14:paraId="653198B3">
      <w:pPr>
        <w:jc w:val="center"/>
        <w:rPr>
          <w:color w:val="auto"/>
        </w:rPr>
      </w:pPr>
      <w:r>
        <w:rPr>
          <w:color w:val="auto"/>
        </w:rPr>
        <w:drawing>
          <wp:inline distT="0" distB="0" distL="0" distR="0">
            <wp:extent cx="7929245" cy="8093075"/>
            <wp:effectExtent l="0" t="0" r="0" b="317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99" cstate="print">
                      <a:extLst>
                        <a:ext uri="{28A0092B-C50C-407E-A947-70E740481C1C}">
                          <a14:useLocalDpi xmlns:a14="http://schemas.microsoft.com/office/drawing/2010/main" val="0"/>
                        </a:ext>
                      </a:extLst>
                    </a:blip>
                    <a:srcRect t="13103" b="14439"/>
                    <a:stretch>
                      <a:fillRect/>
                    </a:stretch>
                  </pic:blipFill>
                  <pic:spPr>
                    <a:xfrm>
                      <a:off x="0" y="0"/>
                      <a:ext cx="7929245" cy="8093075"/>
                    </a:xfrm>
                    <a:prstGeom prst="rect">
                      <a:avLst/>
                    </a:prstGeom>
                    <a:noFill/>
                    <a:ln>
                      <a:noFill/>
                    </a:ln>
                  </pic:spPr>
                </pic:pic>
              </a:graphicData>
            </a:graphic>
          </wp:inline>
        </w:drawing>
      </w:r>
    </w:p>
    <w:p w14:paraId="3ABC0888">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10</w:t>
      </w:r>
      <w:r>
        <w:rPr>
          <w:rFonts w:hint="eastAsia"/>
          <w:color w:val="auto"/>
        </w:rPr>
        <w:t>层结构平面</w:t>
      </w:r>
    </w:p>
    <w:p w14:paraId="5AA02CC3">
      <w:pPr>
        <w:jc w:val="center"/>
        <w:rPr>
          <w:color w:val="auto"/>
        </w:rPr>
      </w:pPr>
      <w:r>
        <w:rPr>
          <w:color w:val="auto"/>
        </w:rPr>
        <w:drawing>
          <wp:inline distT="0" distB="0" distL="0" distR="0">
            <wp:extent cx="7792720" cy="8093075"/>
            <wp:effectExtent l="0" t="0" r="0" b="3175"/>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100" cstate="print">
                      <a:extLst>
                        <a:ext uri="{28A0092B-C50C-407E-A947-70E740481C1C}">
                          <a14:useLocalDpi xmlns:a14="http://schemas.microsoft.com/office/drawing/2010/main" val="0"/>
                        </a:ext>
                      </a:extLst>
                    </a:blip>
                    <a:srcRect t="13097" b="13368"/>
                    <a:stretch>
                      <a:fillRect/>
                    </a:stretch>
                  </pic:blipFill>
                  <pic:spPr>
                    <a:xfrm>
                      <a:off x="0" y="0"/>
                      <a:ext cx="7792720" cy="8093075"/>
                    </a:xfrm>
                    <a:prstGeom prst="rect">
                      <a:avLst/>
                    </a:prstGeom>
                    <a:noFill/>
                    <a:ln>
                      <a:noFill/>
                    </a:ln>
                  </pic:spPr>
                </pic:pic>
              </a:graphicData>
            </a:graphic>
          </wp:inline>
        </w:drawing>
      </w:r>
    </w:p>
    <w:p w14:paraId="4DE20922">
      <w:pPr>
        <w:pStyle w:val="53"/>
        <w:numPr>
          <w:ilvl w:val="8"/>
          <w:numId w:val="8"/>
        </w:numPr>
        <w:rPr>
          <w:color w:val="auto"/>
        </w:rPr>
      </w:pPr>
      <w:r>
        <w:rPr>
          <w:rFonts w:hint="eastAsia"/>
          <w:color w:val="auto"/>
        </w:rPr>
        <w:t>搭设高度8</w:t>
      </w:r>
      <w:r>
        <w:rPr>
          <w:color w:val="auto"/>
        </w:rPr>
        <w:t>m</w:t>
      </w:r>
      <w:r>
        <w:rPr>
          <w:rFonts w:hint="eastAsia"/>
          <w:color w:val="auto"/>
        </w:rPr>
        <w:t>及以上模板分布-</w:t>
      </w:r>
      <w:r>
        <w:rPr>
          <w:color w:val="auto"/>
        </w:rPr>
        <w:t>11</w:t>
      </w:r>
      <w:r>
        <w:rPr>
          <w:rFonts w:hint="eastAsia"/>
          <w:color w:val="auto"/>
        </w:rPr>
        <w:t>层结构平面</w:t>
      </w:r>
    </w:p>
    <w:p w14:paraId="73854473">
      <w:pPr>
        <w:jc w:val="center"/>
        <w:rPr>
          <w:color w:val="auto"/>
        </w:rPr>
      </w:pPr>
      <w:r>
        <w:rPr>
          <w:color w:val="auto"/>
        </w:rPr>
        <w:drawing>
          <wp:inline distT="0" distB="0" distL="0" distR="0">
            <wp:extent cx="7724775" cy="8093075"/>
            <wp:effectExtent l="0" t="0" r="9525" b="317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101" cstate="print">
                      <a:extLst>
                        <a:ext uri="{28A0092B-C50C-407E-A947-70E740481C1C}">
                          <a14:useLocalDpi xmlns:a14="http://schemas.microsoft.com/office/drawing/2010/main" val="0"/>
                        </a:ext>
                      </a:extLst>
                    </a:blip>
                    <a:srcRect t="12567" b="13232"/>
                    <a:stretch>
                      <a:fillRect/>
                    </a:stretch>
                  </pic:blipFill>
                  <pic:spPr>
                    <a:xfrm>
                      <a:off x="0" y="0"/>
                      <a:ext cx="7724775" cy="8093075"/>
                    </a:xfrm>
                    <a:prstGeom prst="rect">
                      <a:avLst/>
                    </a:prstGeom>
                    <a:noFill/>
                    <a:ln>
                      <a:noFill/>
                    </a:ln>
                  </pic:spPr>
                </pic:pic>
              </a:graphicData>
            </a:graphic>
          </wp:inline>
        </w:drawing>
      </w:r>
    </w:p>
    <w:p w14:paraId="5A9FED95">
      <w:pPr>
        <w:pStyle w:val="53"/>
        <w:numPr>
          <w:ilvl w:val="8"/>
          <w:numId w:val="8"/>
        </w:numPr>
        <w:rPr>
          <w:color w:val="auto"/>
        </w:rPr>
      </w:pPr>
      <w:r>
        <w:rPr>
          <w:rFonts w:hint="eastAsia"/>
          <w:color w:val="auto"/>
        </w:rPr>
        <w:t>搭设高度8</w:t>
      </w:r>
      <w:r>
        <w:rPr>
          <w:color w:val="auto"/>
        </w:rPr>
        <w:t>m</w:t>
      </w:r>
      <w:r>
        <w:rPr>
          <w:rFonts w:hint="eastAsia"/>
          <w:color w:val="auto"/>
        </w:rPr>
        <w:t>及以上模板分布-屋面层结构平面</w:t>
      </w:r>
    </w:p>
    <w:p w14:paraId="446A4612">
      <w:pPr>
        <w:jc w:val="left"/>
        <w:rPr>
          <w:color w:val="auto"/>
        </w:rPr>
      </w:pPr>
      <w:r>
        <w:rPr>
          <w:rFonts w:hint="eastAsia"/>
          <w:color w:val="auto"/>
        </w:rPr>
        <w:t>2、施工荷载在1</w:t>
      </w:r>
      <w:r>
        <w:rPr>
          <w:color w:val="auto"/>
        </w:rPr>
        <w:t>5KN</w:t>
      </w:r>
      <w:r>
        <w:rPr>
          <w:rFonts w:hint="eastAsia"/>
          <w:color w:val="auto"/>
        </w:rPr>
        <w:t>/m及以上模板分布情况</w:t>
      </w:r>
    </w:p>
    <w:p w14:paraId="3C0EEB51">
      <w:pPr>
        <w:rPr>
          <w:color w:val="auto"/>
        </w:rPr>
      </w:pPr>
    </w:p>
    <w:p w14:paraId="236666E8">
      <w:pPr>
        <w:rPr>
          <w:color w:val="auto"/>
        </w:rPr>
      </w:pPr>
      <w:r>
        <w:rPr>
          <w:color w:val="auto"/>
        </w:rPr>
        <w:drawing>
          <wp:inline distT="0" distB="0" distL="0" distR="0">
            <wp:extent cx="5882005" cy="6127750"/>
            <wp:effectExtent l="0" t="0" r="4445" b="635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102" cstate="print">
                      <a:extLst>
                        <a:ext uri="{28A0092B-C50C-407E-A947-70E740481C1C}">
                          <a14:useLocalDpi xmlns:a14="http://schemas.microsoft.com/office/drawing/2010/main" val="0"/>
                        </a:ext>
                      </a:extLst>
                    </a:blip>
                    <a:srcRect t="12967" b="13239"/>
                    <a:stretch>
                      <a:fillRect/>
                    </a:stretch>
                  </pic:blipFill>
                  <pic:spPr>
                    <a:xfrm>
                      <a:off x="0" y="0"/>
                      <a:ext cx="5882005" cy="6127750"/>
                    </a:xfrm>
                    <a:prstGeom prst="rect">
                      <a:avLst/>
                    </a:prstGeom>
                    <a:noFill/>
                    <a:ln>
                      <a:noFill/>
                    </a:ln>
                  </pic:spPr>
                </pic:pic>
              </a:graphicData>
            </a:graphic>
          </wp:inline>
        </w:drawing>
      </w:r>
      <w:r>
        <w:rPr>
          <w:color w:val="auto"/>
        </w:rPr>
        <w:drawing>
          <wp:inline distT="0" distB="0" distL="0" distR="0">
            <wp:extent cx="6278245" cy="5663565"/>
            <wp:effectExtent l="0" t="0" r="8255"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03" cstate="print">
                      <a:extLst>
                        <a:ext uri="{28A0092B-C50C-407E-A947-70E740481C1C}">
                          <a14:useLocalDpi xmlns:a14="http://schemas.microsoft.com/office/drawing/2010/main" val="0"/>
                        </a:ext>
                      </a:extLst>
                    </a:blip>
                    <a:srcRect t="15504" b="20854"/>
                    <a:stretch>
                      <a:fillRect/>
                    </a:stretch>
                  </pic:blipFill>
                  <pic:spPr>
                    <a:xfrm>
                      <a:off x="0" y="0"/>
                      <a:ext cx="6278245" cy="5663565"/>
                    </a:xfrm>
                    <a:prstGeom prst="rect">
                      <a:avLst/>
                    </a:prstGeom>
                    <a:noFill/>
                    <a:ln>
                      <a:noFill/>
                    </a:ln>
                  </pic:spPr>
                </pic:pic>
              </a:graphicData>
            </a:graphic>
          </wp:inline>
        </w:drawing>
      </w:r>
    </w:p>
    <w:p w14:paraId="2A869C03">
      <w:pPr>
        <w:pStyle w:val="53"/>
        <w:rPr>
          <w:color w:val="auto"/>
        </w:rPr>
      </w:pPr>
      <w:r>
        <w:rPr>
          <w:rFonts w:hint="eastAsia"/>
          <w:bCs/>
          <w:color w:val="auto"/>
        </w:rPr>
        <w:t>施工荷载</w:t>
      </w:r>
      <w:r>
        <w:rPr>
          <w:rFonts w:hint="eastAsia"/>
          <w:color w:val="auto"/>
        </w:rPr>
        <w:t>1</w:t>
      </w:r>
      <w:r>
        <w:rPr>
          <w:color w:val="auto"/>
        </w:rPr>
        <w:t>5</w:t>
      </w:r>
      <w:r>
        <w:rPr>
          <w:bCs/>
          <w:color w:val="auto"/>
        </w:rPr>
        <w:t>/m</w:t>
      </w:r>
      <w:r>
        <w:rPr>
          <w:bCs/>
          <w:color w:val="auto"/>
          <w:vertAlign w:val="superscript"/>
        </w:rPr>
        <w:t>2</w:t>
      </w:r>
      <w:r>
        <w:rPr>
          <w:rFonts w:hint="eastAsia"/>
          <w:bCs/>
          <w:color w:val="auto"/>
        </w:rPr>
        <w:t>及以上模板</w:t>
      </w:r>
      <w:r>
        <w:rPr>
          <w:rFonts w:hint="eastAsia"/>
          <w:color w:val="auto"/>
        </w:rPr>
        <w:t>分布-地下室顶板结构平面图</w:t>
      </w:r>
    </w:p>
    <w:p w14:paraId="091BEEBE">
      <w:pPr>
        <w:rPr>
          <w:color w:val="auto"/>
        </w:rPr>
      </w:pPr>
    </w:p>
    <w:p w14:paraId="0FA2A5B9">
      <w:pPr>
        <w:rPr>
          <w:color w:val="auto"/>
        </w:rPr>
      </w:pPr>
    </w:p>
    <w:p w14:paraId="6DBC749C">
      <w:pPr>
        <w:rPr>
          <w:color w:val="auto"/>
        </w:rPr>
      </w:pPr>
    </w:p>
    <w:p w14:paraId="71D26CAB">
      <w:pPr>
        <w:rPr>
          <w:color w:val="auto"/>
        </w:rPr>
      </w:pPr>
    </w:p>
    <w:p w14:paraId="309FE0D2">
      <w:pPr>
        <w:rPr>
          <w:color w:val="auto"/>
        </w:rPr>
      </w:pPr>
    </w:p>
    <w:p w14:paraId="0080A625">
      <w:pPr>
        <w:pStyle w:val="66"/>
        <w:numPr>
          <w:ilvl w:val="0"/>
          <w:numId w:val="6"/>
        </w:numPr>
        <w:ind w:firstLineChars="0"/>
        <w:rPr>
          <w:color w:val="auto"/>
        </w:rPr>
      </w:pPr>
      <w:r>
        <w:rPr>
          <w:rFonts w:hint="eastAsia"/>
          <w:color w:val="auto"/>
        </w:rPr>
        <w:t>线荷载2</w:t>
      </w:r>
      <w:r>
        <w:rPr>
          <w:color w:val="auto"/>
        </w:rPr>
        <w:t>0KN</w:t>
      </w:r>
      <w:r>
        <w:rPr>
          <w:rFonts w:hint="eastAsia"/>
          <w:color w:val="auto"/>
        </w:rPr>
        <w:t>/m及以上分布情况</w:t>
      </w:r>
    </w:p>
    <w:p w14:paraId="6272825A">
      <w:pPr>
        <w:ind w:left="480" w:firstLine="0" w:firstLineChars="0"/>
        <w:jc w:val="center"/>
        <w:rPr>
          <w:color w:val="auto"/>
        </w:rPr>
      </w:pPr>
      <w:r>
        <w:rPr>
          <w:color w:val="auto"/>
        </w:rPr>
        <w:drawing>
          <wp:inline distT="0" distB="0" distL="0" distR="0">
            <wp:extent cx="12597130" cy="6496050"/>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104">
                      <a:extLst>
                        <a:ext uri="{28A0092B-C50C-407E-A947-70E740481C1C}">
                          <a14:useLocalDpi xmlns:a14="http://schemas.microsoft.com/office/drawing/2010/main" val="0"/>
                        </a:ext>
                      </a:extLst>
                    </a:blip>
                    <a:srcRect l="5099" t="17650" r="5003" b="16713"/>
                    <a:stretch>
                      <a:fillRect/>
                    </a:stretch>
                  </pic:blipFill>
                  <pic:spPr>
                    <a:xfrm>
                      <a:off x="0" y="0"/>
                      <a:ext cx="12597130" cy="6496050"/>
                    </a:xfrm>
                    <a:prstGeom prst="rect">
                      <a:avLst/>
                    </a:prstGeom>
                    <a:noFill/>
                    <a:ln>
                      <a:noFill/>
                    </a:ln>
                  </pic:spPr>
                </pic:pic>
              </a:graphicData>
            </a:graphic>
          </wp:inline>
        </w:drawing>
      </w:r>
    </w:p>
    <w:p w14:paraId="5DFF9747">
      <w:pPr>
        <w:rPr>
          <w:color w:val="auto"/>
        </w:rPr>
      </w:pPr>
    </w:p>
    <w:p w14:paraId="315B6944">
      <w:pPr>
        <w:rPr>
          <w:color w:val="auto"/>
        </w:rPr>
        <w:sectPr>
          <w:pgSz w:w="23811" w:h="16838" w:orient="landscape"/>
          <w:pgMar w:top="1701" w:right="1440" w:bottom="1361" w:left="1440" w:header="851" w:footer="992" w:gutter="0"/>
          <w:cols w:space="425" w:num="1"/>
          <w:docGrid w:type="lines" w:linePitch="326" w:charSpace="0"/>
        </w:sectPr>
      </w:pPr>
    </w:p>
    <w:p w14:paraId="1AE233D1">
      <w:pPr>
        <w:pStyle w:val="6"/>
        <w:ind w:firstLine="480"/>
        <w:rPr>
          <w:color w:val="auto"/>
        </w:rPr>
      </w:pPr>
      <w:r>
        <w:rPr>
          <w:rFonts w:hint="eastAsia"/>
          <w:color w:val="auto"/>
        </w:rPr>
        <w:t>施工技术要求</w:t>
      </w:r>
    </w:p>
    <w:p w14:paraId="72EA91CB">
      <w:pPr>
        <w:rPr>
          <w:color w:val="auto"/>
        </w:rPr>
      </w:pPr>
      <w:bookmarkStart w:id="166" w:name="_Toc58439997"/>
      <w:r>
        <w:rPr>
          <w:rFonts w:hint="eastAsia"/>
          <w:color w:val="auto"/>
        </w:rPr>
        <w:t>1、现场施工要求</w:t>
      </w:r>
      <w:bookmarkEnd w:id="166"/>
    </w:p>
    <w:p w14:paraId="2BE813C8">
      <w:pPr>
        <w:rPr>
          <w:rFonts w:hint="eastAsia" w:ascii="宋体" w:hAnsi="宋体"/>
          <w:color w:val="auto"/>
        </w:rPr>
      </w:pPr>
      <w:r>
        <w:rPr>
          <w:rFonts w:hint="eastAsia" w:ascii="宋体" w:hAnsi="宋体"/>
          <w:color w:val="auto"/>
        </w:rPr>
        <w:t>（</w:t>
      </w:r>
      <w:r>
        <w:rPr>
          <w:rFonts w:ascii="宋体" w:hAnsi="宋体"/>
          <w:color w:val="auto"/>
        </w:rPr>
        <w:t>1</w:t>
      </w:r>
      <w:r>
        <w:rPr>
          <w:rFonts w:hint="eastAsia" w:ascii="宋体" w:hAnsi="宋体"/>
          <w:color w:val="auto"/>
        </w:rPr>
        <w:t>）现场材料进场，经过安监部、质检部、物资部会同验收。</w:t>
      </w:r>
    </w:p>
    <w:p w14:paraId="014B9D07">
      <w:pPr>
        <w:rPr>
          <w:rFonts w:hint="eastAsia" w:ascii="宋体" w:hAnsi="宋体"/>
          <w:color w:val="auto"/>
        </w:rPr>
      </w:pPr>
      <w:r>
        <w:rPr>
          <w:rFonts w:hint="eastAsia" w:ascii="宋体" w:hAnsi="宋体"/>
          <w:color w:val="auto"/>
        </w:rPr>
        <w:t>（2）按照计划组织加工设备和劳务人员进场。</w:t>
      </w:r>
    </w:p>
    <w:p w14:paraId="4CD3BFF4">
      <w:pPr>
        <w:rPr>
          <w:rFonts w:hint="eastAsia" w:ascii="宋体" w:hAnsi="宋体"/>
          <w:color w:val="auto"/>
        </w:rPr>
      </w:pPr>
      <w:r>
        <w:rPr>
          <w:rFonts w:hint="eastAsia" w:ascii="宋体" w:hAnsi="宋体"/>
          <w:color w:val="auto"/>
        </w:rPr>
        <w:t>（3）现场按照总平面布置已经完成各类堆场及加工车间的施工。</w:t>
      </w:r>
    </w:p>
    <w:p w14:paraId="7277C623">
      <w:pPr>
        <w:rPr>
          <w:rFonts w:hint="eastAsia" w:ascii="宋体" w:hAnsi="宋体"/>
          <w:color w:val="auto"/>
        </w:rPr>
      </w:pPr>
      <w:r>
        <w:rPr>
          <w:rFonts w:hint="eastAsia" w:ascii="宋体" w:hAnsi="宋体"/>
          <w:color w:val="auto"/>
        </w:rPr>
        <w:t>（4）对建设单位坐标控制点进行复核，无误后按照总平面图，布设现场平面控制网和高程控制网，做半永久性坐标桩和标高桩。</w:t>
      </w:r>
    </w:p>
    <w:p w14:paraId="77F9117E">
      <w:pPr>
        <w:rPr>
          <w:color w:val="auto"/>
        </w:rPr>
      </w:pPr>
      <w:bookmarkStart w:id="167" w:name="_Toc58439998"/>
      <w:r>
        <w:rPr>
          <w:rFonts w:hint="eastAsia"/>
          <w:color w:val="auto"/>
        </w:rPr>
        <w:t>2、材料选择要求</w:t>
      </w:r>
      <w:bookmarkEnd w:id="167"/>
    </w:p>
    <w:p w14:paraId="2920F474">
      <w:pPr>
        <w:rPr>
          <w:rFonts w:hint="eastAsia" w:ascii="宋体" w:hAnsi="宋体"/>
          <w:color w:val="auto"/>
        </w:rPr>
      </w:pPr>
      <w:r>
        <w:rPr>
          <w:rFonts w:hint="eastAsia" w:ascii="宋体" w:hAnsi="宋体"/>
          <w:color w:val="auto"/>
        </w:rPr>
        <w:t>（</w:t>
      </w:r>
      <w:r>
        <w:rPr>
          <w:rFonts w:ascii="宋体" w:hAnsi="宋体"/>
          <w:color w:val="auto"/>
        </w:rPr>
        <w:t>1）</w:t>
      </w:r>
      <w:r>
        <w:rPr>
          <w:rFonts w:hint="eastAsia" w:ascii="宋体" w:hAnsi="宋体"/>
          <w:color w:val="auto"/>
        </w:rPr>
        <w:t>木胶合模板</w:t>
      </w:r>
    </w:p>
    <w:p w14:paraId="704ECC59">
      <w:pPr>
        <w:rPr>
          <w:rFonts w:hint="eastAsia" w:ascii="宋体" w:hAnsi="宋体"/>
          <w:color w:val="auto"/>
        </w:rPr>
      </w:pPr>
      <w:r>
        <w:rPr>
          <w:rFonts w:hint="eastAsia" w:ascii="宋体" w:hAnsi="宋体"/>
          <w:color w:val="auto"/>
        </w:rPr>
        <w:t>表面平整光滑，有防水、耐磨、耐酸碱的保护膜，有易脱模和可两面使用等特点，板材厚度不应小于15mm，并符合现行国家标准《混凝土模板用胶合板》（</w:t>
      </w:r>
      <w:r>
        <w:rPr>
          <w:rFonts w:ascii="宋体" w:hAnsi="宋体"/>
          <w:color w:val="auto"/>
        </w:rPr>
        <w:t>GB/T17656-2018</w:t>
      </w:r>
      <w:r>
        <w:rPr>
          <w:rFonts w:hint="eastAsia" w:ascii="宋体" w:hAnsi="宋体"/>
          <w:color w:val="auto"/>
        </w:rPr>
        <w:t>）的规定。</w:t>
      </w:r>
    </w:p>
    <w:p w14:paraId="1A0253BE">
      <w:pPr>
        <w:rPr>
          <w:rFonts w:hint="eastAsia" w:ascii="宋体" w:hAnsi="宋体"/>
          <w:color w:val="auto"/>
        </w:rPr>
      </w:pPr>
      <w:r>
        <w:rPr>
          <w:rFonts w:hint="eastAsia" w:ascii="宋体" w:hAnsi="宋体"/>
          <w:color w:val="auto"/>
        </w:rPr>
        <w:t>（2）木枋</w:t>
      </w:r>
    </w:p>
    <w:p w14:paraId="66535898">
      <w:pPr>
        <w:rPr>
          <w:rFonts w:hint="eastAsia" w:ascii="宋体" w:hAnsi="宋体"/>
          <w:color w:val="auto"/>
        </w:rPr>
      </w:pPr>
      <w:r>
        <w:rPr>
          <w:rFonts w:hint="eastAsia" w:ascii="宋体" w:hAnsi="宋体"/>
          <w:color w:val="auto"/>
        </w:rPr>
        <w:t>木枋规格为</w:t>
      </w:r>
      <w:r>
        <w:rPr>
          <w:rFonts w:ascii="宋体" w:hAnsi="宋体"/>
          <w:color w:val="auto"/>
        </w:rPr>
        <w:t>4</w:t>
      </w:r>
      <w:r>
        <w:rPr>
          <w:rFonts w:hint="eastAsia" w:ascii="宋体" w:hAnsi="宋体"/>
          <w:color w:val="auto"/>
        </w:rPr>
        <w:t>0×</w:t>
      </w:r>
      <w:r>
        <w:rPr>
          <w:rFonts w:ascii="宋体" w:hAnsi="宋体"/>
          <w:color w:val="auto"/>
        </w:rPr>
        <w:t>9</w:t>
      </w:r>
      <w:r>
        <w:rPr>
          <w:rFonts w:hint="eastAsia" w:ascii="宋体" w:hAnsi="宋体"/>
          <w:color w:val="auto"/>
        </w:rPr>
        <w:t>0mm，材质标准应符合现行国家标准《木结构设计规范》（GB50005-2017）的规定。</w:t>
      </w:r>
    </w:p>
    <w:p w14:paraId="267A9E61">
      <w:pPr>
        <w:rPr>
          <w:rFonts w:hint="eastAsia" w:ascii="宋体" w:hAnsi="宋体"/>
          <w:color w:val="auto"/>
        </w:rPr>
      </w:pPr>
      <w:r>
        <w:rPr>
          <w:rFonts w:hint="eastAsia" w:ascii="宋体" w:hAnsi="宋体"/>
          <w:color w:val="auto"/>
        </w:rPr>
        <w:t>（3）盘扣式脚手架</w:t>
      </w:r>
    </w:p>
    <w:p w14:paraId="491ABCF0">
      <w:pPr>
        <w:rPr>
          <w:rFonts w:hint="eastAsia" w:ascii="宋体" w:hAnsi="宋体"/>
          <w:color w:val="auto"/>
        </w:rPr>
      </w:pPr>
      <w:r>
        <w:rPr>
          <w:rFonts w:hint="eastAsia" w:ascii="宋体" w:hAnsi="宋体"/>
          <w:color w:val="auto"/>
        </w:rPr>
        <w:t>本工程采用盘扣式脚手架，是由盘扣式脚手架衍生出来的一种新型建筑支撑系统，是一种具有自锁功能的直插式新型钢管脚手架。</w:t>
      </w:r>
    </w:p>
    <w:p w14:paraId="21CF2AE4">
      <w:pPr>
        <w:rPr>
          <w:rFonts w:hint="eastAsia" w:ascii="宋体" w:hAnsi="宋体"/>
          <w:color w:val="auto"/>
        </w:rPr>
      </w:pPr>
      <w:r>
        <w:rPr>
          <w:rFonts w:hint="eastAsia" w:ascii="宋体" w:hAnsi="宋体"/>
          <w:color w:val="auto"/>
        </w:rPr>
        <w:t>盘扣节点由焊接于立杆上的连接盘、水平杆杆端扣接头和斜杆杆端扣接头组成。</w:t>
      </w:r>
    </w:p>
    <w:p w14:paraId="23AD2F4B">
      <w:pPr>
        <w:rPr>
          <w:rFonts w:hint="eastAsia" w:ascii="宋体" w:hAnsi="宋体"/>
          <w:color w:val="auto"/>
        </w:rPr>
      </w:pPr>
      <w:r>
        <w:rPr>
          <w:rFonts w:hint="eastAsia" w:ascii="宋体" w:hAnsi="宋体"/>
          <w:color w:val="auto"/>
        </w:rPr>
        <w:t>插头外表面应与横杆内表面吻合，插头连接应保证锤击自锁后不拔脱，抗拔力不得小于3KN；插头外表面应与立杆钢管外表面成圆弧接面，接触面积不得小于500mm</w:t>
      </w:r>
      <w:r>
        <w:rPr>
          <w:rFonts w:hint="eastAsia" w:ascii="宋体" w:hAnsi="宋体"/>
          <w:color w:val="auto"/>
          <w:vertAlign w:val="superscript"/>
        </w:rPr>
        <w:t>2</w:t>
      </w:r>
      <w:r>
        <w:rPr>
          <w:rFonts w:hint="eastAsia" w:ascii="宋体" w:hAnsi="宋体"/>
          <w:color w:val="auto"/>
        </w:rPr>
        <w:t>。</w:t>
      </w:r>
    </w:p>
    <w:p w14:paraId="45FC0824">
      <w:pPr>
        <w:rPr>
          <w:rFonts w:hint="eastAsia" w:ascii="宋体" w:hAnsi="宋体"/>
          <w:color w:val="auto"/>
        </w:rPr>
      </w:pPr>
      <w:r>
        <w:rPr>
          <w:rFonts w:hint="eastAsia" w:ascii="宋体" w:hAnsi="宋体"/>
          <w:color w:val="auto"/>
        </w:rPr>
        <w:t>承插型轮扣式钢管支架的构配件除有特殊要求外，其材质应符合现行国家标准《低合金高强度结构钢》（</w:t>
      </w:r>
      <w:r>
        <w:rPr>
          <w:rFonts w:ascii="宋体" w:hAnsi="宋体"/>
          <w:color w:val="auto"/>
        </w:rPr>
        <w:t>GB/T1591-2018</w:t>
      </w:r>
      <w:r>
        <w:rPr>
          <w:rFonts w:hint="eastAsia" w:ascii="宋体" w:hAnsi="宋体"/>
          <w:color w:val="auto"/>
        </w:rPr>
        <w:t>）、《碳素结构钢》（</w:t>
      </w:r>
      <w:r>
        <w:rPr>
          <w:rFonts w:ascii="宋体" w:hAnsi="宋体"/>
          <w:color w:val="auto"/>
        </w:rPr>
        <w:t>GB/T700-2006</w:t>
      </w:r>
      <w:r>
        <w:rPr>
          <w:rFonts w:hint="eastAsia" w:ascii="宋体" w:hAnsi="宋体"/>
          <w:color w:val="auto"/>
        </w:rPr>
        <w:t>）以及《一般工程用铸造碳钢件》（</w:t>
      </w:r>
      <w:r>
        <w:rPr>
          <w:rFonts w:ascii="宋体" w:hAnsi="宋体"/>
          <w:color w:val="auto"/>
        </w:rPr>
        <w:t>GB/T11352-2009</w:t>
      </w:r>
      <w:r>
        <w:rPr>
          <w:rFonts w:hint="eastAsia" w:ascii="宋体" w:hAnsi="宋体"/>
          <w:color w:val="auto"/>
        </w:rPr>
        <w:t>）的规定，外径偏差-0.1～0.2mm，壁厚偏差±0.1mm。</w:t>
      </w:r>
    </w:p>
    <w:p w14:paraId="70D13A3F">
      <w:pPr>
        <w:rPr>
          <w:rFonts w:hint="eastAsia" w:ascii="宋体" w:hAnsi="宋体"/>
          <w:color w:val="auto"/>
        </w:rPr>
      </w:pPr>
      <w:r>
        <w:rPr>
          <w:rFonts w:hint="eastAsia" w:ascii="宋体" w:hAnsi="宋体"/>
          <w:color w:val="auto"/>
        </w:rPr>
        <w:t>（4）钢管</w:t>
      </w:r>
    </w:p>
    <w:p w14:paraId="25B475AE">
      <w:pPr>
        <w:rPr>
          <w:rFonts w:hint="eastAsia" w:ascii="宋体" w:hAnsi="宋体"/>
          <w:color w:val="auto"/>
        </w:rPr>
      </w:pPr>
      <w:r>
        <w:rPr>
          <w:rFonts w:hint="eastAsia" w:ascii="宋体" w:hAnsi="宋体"/>
          <w:color w:val="auto"/>
        </w:rPr>
        <w:t>钢管的截面尺寸宜为外径φ48.3mm，壁厚不小于2.7mm，宜为3.6mm，每根钢管的最大质量不超过25.8kg。用于立杆、纵向水平杆、剪刀撑和斜杆的钢管长度为4～6m。钢管应无裂纹，两端面应平整，严禁打孔。</w:t>
      </w:r>
    </w:p>
    <w:p w14:paraId="1713522E">
      <w:pPr>
        <w:rPr>
          <w:rFonts w:hint="eastAsia" w:ascii="宋体" w:hAnsi="宋体"/>
          <w:color w:val="auto"/>
        </w:rPr>
      </w:pPr>
      <w:r>
        <w:rPr>
          <w:rFonts w:hint="eastAsia" w:ascii="宋体" w:hAnsi="宋体"/>
          <w:color w:val="auto"/>
        </w:rPr>
        <w:t>（5）扣件</w:t>
      </w:r>
    </w:p>
    <w:p w14:paraId="5B446A81">
      <w:pPr>
        <w:rPr>
          <w:rFonts w:hint="eastAsia" w:ascii="宋体" w:hAnsi="宋体"/>
          <w:color w:val="auto"/>
        </w:rPr>
      </w:pPr>
      <w:r>
        <w:rPr>
          <w:rFonts w:hint="eastAsia" w:ascii="宋体" w:hAnsi="宋体"/>
          <w:color w:val="auto"/>
        </w:rPr>
        <w:t>扣件应符合现行国家有关技术规范要求，不能有裂纹、气孔、疏松、砂眼等铸造缺陷。扣件与钢管的贴合面要接触良好，扣件夹紧钢管。扣件在螺丝紧固力矩达65N•m时，不得发生破坏。</w:t>
      </w:r>
    </w:p>
    <w:p w14:paraId="6AB6AEC0">
      <w:pPr>
        <w:rPr>
          <w:rFonts w:hint="eastAsia" w:ascii="宋体" w:hAnsi="宋体"/>
          <w:color w:val="auto"/>
        </w:rPr>
      </w:pPr>
      <w:r>
        <w:rPr>
          <w:rFonts w:hint="eastAsia" w:ascii="宋体" w:hAnsi="宋体"/>
          <w:color w:val="auto"/>
        </w:rPr>
        <w:t>（6）可调托撑</w:t>
      </w:r>
    </w:p>
    <w:p w14:paraId="7D5AFE6C">
      <w:pPr>
        <w:rPr>
          <w:rFonts w:hint="eastAsia" w:ascii="宋体" w:hAnsi="宋体"/>
          <w:color w:val="auto"/>
        </w:rPr>
      </w:pPr>
      <w:r>
        <w:rPr>
          <w:rFonts w:hint="eastAsia" w:ascii="宋体" w:hAnsi="宋体"/>
          <w:color w:val="auto"/>
        </w:rPr>
        <w:t>可调托撑螺杆外径不得小于36mm，螺杆与支托板焊接要牢固，焊缝高度不小于6mm，可调托撑螺杆与螺母旋合长度不得少于5扣，螺母厚度不小于30mm。承载力设计值不小于40KN，支托板厚不小于5mm，变形不大于1mm。</w:t>
      </w:r>
    </w:p>
    <w:p w14:paraId="26DF6D0C">
      <w:pPr>
        <w:rPr>
          <w:color w:val="auto"/>
        </w:rPr>
      </w:pPr>
      <w:bookmarkStart w:id="168" w:name="_Toc58439999"/>
      <w:r>
        <w:rPr>
          <w:rFonts w:hint="eastAsia"/>
          <w:color w:val="auto"/>
        </w:rPr>
        <w:t>3、技术保证条件</w:t>
      </w:r>
      <w:bookmarkEnd w:id="168"/>
    </w:p>
    <w:p w14:paraId="646729EB">
      <w:pPr>
        <w:rPr>
          <w:rFonts w:hint="eastAsia" w:ascii="宋体" w:hAnsi="宋体"/>
          <w:color w:val="auto"/>
        </w:rPr>
      </w:pPr>
      <w:r>
        <w:rPr>
          <w:rFonts w:hint="eastAsia" w:ascii="宋体" w:hAnsi="宋体"/>
          <w:color w:val="auto"/>
        </w:rPr>
        <w:t>（1）提前与设计院、业主、监理等协商解决图纸中遗留的各种问题，形成图纸会审纪要。</w:t>
      </w:r>
    </w:p>
    <w:p w14:paraId="64BFFDED">
      <w:pPr>
        <w:rPr>
          <w:rFonts w:hint="eastAsia" w:ascii="宋体" w:hAnsi="宋体"/>
          <w:color w:val="auto"/>
        </w:rPr>
      </w:pPr>
      <w:r>
        <w:rPr>
          <w:rFonts w:hint="eastAsia" w:ascii="宋体" w:hAnsi="宋体"/>
          <w:color w:val="auto"/>
        </w:rPr>
        <w:t>（2）确定各部分模板施工方法及整体施工部署。</w:t>
      </w:r>
    </w:p>
    <w:p w14:paraId="347D59F8">
      <w:pPr>
        <w:rPr>
          <w:rFonts w:hint="eastAsia" w:ascii="宋体" w:hAnsi="宋体"/>
          <w:color w:val="auto"/>
        </w:rPr>
      </w:pPr>
      <w:r>
        <w:rPr>
          <w:rFonts w:hint="eastAsia" w:ascii="宋体" w:hAnsi="宋体"/>
          <w:color w:val="auto"/>
        </w:rPr>
        <w:t>（3）结合本工程设计特点、施工进度安排、模板体系选择和现场施工部署等情况，项目技术负责人负责编制模板工程专项施工方案并报审报批。</w:t>
      </w:r>
    </w:p>
    <w:p w14:paraId="47F15603">
      <w:pPr>
        <w:rPr>
          <w:rFonts w:hint="eastAsia" w:ascii="宋体" w:hAnsi="宋体"/>
          <w:color w:val="auto"/>
        </w:rPr>
      </w:pPr>
      <w:r>
        <w:rPr>
          <w:rFonts w:hint="eastAsia" w:ascii="宋体" w:hAnsi="宋体"/>
          <w:color w:val="auto"/>
        </w:rPr>
        <w:t>（4）方案报审完成后，组织三级技术交底，项目部在正式施工前内部进行逐级技术交底，即技术负责人→管理人员→施工班组长→操作工人，交底内容及要求包括进度质量目标、施工部署、技术操作要领及注意事项、质量要求、安全防护、成品保护等。</w:t>
      </w:r>
    </w:p>
    <w:p w14:paraId="107D7F8B">
      <w:pPr>
        <w:rPr>
          <w:rFonts w:hint="eastAsia" w:ascii="宋体" w:hAnsi="宋体"/>
          <w:color w:val="auto"/>
        </w:rPr>
      </w:pPr>
      <w:r>
        <w:rPr>
          <w:rFonts w:hint="eastAsia" w:ascii="宋体" w:hAnsi="宋体"/>
          <w:color w:val="auto"/>
        </w:rPr>
        <w:t>（5）搭设前，工长应根据施工图纸、施工规范及施工方案针对外墙、内墙、柱、梁、板、楼梯等不同部位进行有针对性的技术交底，技术交底重点突出施工工艺及操作方法。</w:t>
      </w:r>
    </w:p>
    <w:p w14:paraId="3992B1CB">
      <w:pPr>
        <w:rPr>
          <w:rFonts w:hint="eastAsia" w:ascii="宋体" w:hAnsi="宋体"/>
          <w:color w:val="auto"/>
        </w:rPr>
      </w:pPr>
      <w:r>
        <w:rPr>
          <w:rFonts w:hint="eastAsia" w:ascii="宋体" w:hAnsi="宋体"/>
          <w:color w:val="auto"/>
        </w:rPr>
        <w:t>（6）会同安装施工单位协调施工过程中应注意的有关事项，特别是对安装埋件、人防埋件等部位的保护问题，提出并落实保证措施。</w:t>
      </w:r>
    </w:p>
    <w:p w14:paraId="4BBB785C">
      <w:pPr>
        <w:pStyle w:val="5"/>
        <w:rPr>
          <w:color w:val="auto"/>
        </w:rPr>
      </w:pPr>
      <w:bookmarkStart w:id="169" w:name="_Toc2073"/>
      <w:r>
        <w:rPr>
          <w:rFonts w:hint="eastAsia"/>
          <w:color w:val="auto"/>
        </w:rPr>
        <w:t>混凝土工程</w:t>
      </w:r>
      <w:bookmarkEnd w:id="169"/>
    </w:p>
    <w:p w14:paraId="7A291D7B">
      <w:pPr>
        <w:pStyle w:val="6"/>
        <w:ind w:firstLine="480"/>
        <w:rPr>
          <w:rFonts w:hint="eastAsia"/>
          <w:color w:val="auto"/>
        </w:rPr>
      </w:pPr>
      <w:r>
        <w:rPr>
          <w:rFonts w:hint="eastAsia"/>
          <w:color w:val="auto"/>
        </w:rPr>
        <w:t>基本要求</w:t>
      </w:r>
    </w:p>
    <w:p w14:paraId="1FF68A89">
      <w:pPr>
        <w:rPr>
          <w:rFonts w:hint="eastAsia" w:eastAsia="宋体"/>
          <w:color w:val="auto"/>
          <w:lang w:val="en-US" w:eastAsia="zh-CN"/>
        </w:rPr>
      </w:pPr>
      <w:r>
        <w:rPr>
          <w:rFonts w:hint="eastAsia"/>
          <w:color w:val="auto"/>
          <w:lang w:val="en-US" w:eastAsia="zh-CN"/>
        </w:rPr>
        <w:t>1)</w:t>
      </w:r>
      <w:r>
        <w:rPr>
          <w:rFonts w:hint="eastAsia"/>
          <w:color w:val="auto"/>
        </w:rPr>
        <w:t>对预拌混凝土站的要求</w:t>
      </w:r>
      <w:r>
        <w:rPr>
          <w:rFonts w:hint="eastAsia"/>
          <w:color w:val="auto"/>
          <w:lang w:val="en-US" w:eastAsia="zh-CN"/>
        </w:rPr>
        <w:t>:</w:t>
      </w:r>
    </w:p>
    <w:p w14:paraId="1AB651C5">
      <w:pPr>
        <w:rPr>
          <w:rFonts w:hint="eastAsia"/>
          <w:color w:val="auto"/>
        </w:rPr>
      </w:pPr>
      <w:r>
        <w:rPr>
          <w:rFonts w:hint="eastAsia"/>
          <w:color w:val="auto"/>
        </w:rPr>
        <w:t>与预拌混凝土搅拌站签订供应合同，对原材、外加剂、混凝土坍落度、初凝时间、混凝土罐车在路上运输等作出严格要求。</w:t>
      </w:r>
    </w:p>
    <w:p w14:paraId="7BEC930A">
      <w:pPr>
        <w:rPr>
          <w:rFonts w:hint="eastAsia"/>
          <w:color w:val="auto"/>
        </w:rPr>
      </w:pPr>
      <w:r>
        <w:rPr>
          <w:rFonts w:hint="eastAsia"/>
          <w:color w:val="auto"/>
          <w:lang w:val="en-US" w:eastAsia="zh-CN"/>
        </w:rPr>
        <w:t>2)</w:t>
      </w:r>
      <w:r>
        <w:rPr>
          <w:rFonts w:hint="eastAsia"/>
          <w:color w:val="auto"/>
        </w:rPr>
        <w:t>对预拌混凝土坍落度的要求</w:t>
      </w:r>
    </w:p>
    <w:p w14:paraId="44BEA72A">
      <w:pPr>
        <w:rPr>
          <w:rFonts w:hint="eastAsia"/>
          <w:color w:val="auto"/>
        </w:rPr>
      </w:pPr>
      <w:r>
        <w:rPr>
          <w:rFonts w:hint="eastAsia"/>
          <w:color w:val="auto"/>
        </w:rPr>
        <w:t>1、混凝土搅拌站根据气温条件、运输时间、运输道路的距离、混凝土原材料（水泥品种、外加剂品种等）变化、混凝土坍落度损失等情况来适当地调整原配合比，确保混凝土浇筑时的坍落度能够满足施工生产需要，确保混凝土供应质量。</w:t>
      </w:r>
    </w:p>
    <w:p w14:paraId="67B7CA23">
      <w:pPr>
        <w:rPr>
          <w:rFonts w:hint="eastAsia"/>
          <w:color w:val="auto"/>
        </w:rPr>
      </w:pPr>
      <w:r>
        <w:rPr>
          <w:rFonts w:hint="eastAsia"/>
          <w:color w:val="auto"/>
        </w:rPr>
        <w:t>2、当气候有变化时，要求混凝土搅拌站提供不同温度下、单位时间内的坍落度损失值，以便现场能够掌握混凝土罐车在现场的停置时间。并且可以根据混凝土浇筑情况随时调整混凝土罐车的频率。浇筑混凝土时，搅拌站派一名调度现场调配车辆。同时鉴于现场所处的特殊地理位置，项目安排人员协调现场内外的交通问题。</w:t>
      </w:r>
    </w:p>
    <w:p w14:paraId="575C2BDD">
      <w:pPr>
        <w:rPr>
          <w:rFonts w:hint="eastAsia"/>
          <w:color w:val="auto"/>
        </w:rPr>
      </w:pPr>
      <w:r>
        <w:rPr>
          <w:rFonts w:hint="eastAsia"/>
          <w:color w:val="auto"/>
        </w:rPr>
        <w:t>3、对到场的混凝土实行每车必测坍落度，试验员负责对当天施工的混凝土坍落度实行抽测，混凝土工长组织人员对每车坍落度进行测试，负责检查每车的坍落度是否符合预定预拌混凝土坍落度的要求，并做好坍落度测试记录。如遇不符合要求的，退回搅拌站，严禁使用。</w:t>
      </w:r>
    </w:p>
    <w:p w14:paraId="138BD335">
      <w:pPr>
        <w:rPr>
          <w:rFonts w:hint="eastAsia"/>
          <w:color w:val="auto"/>
        </w:rPr>
      </w:pPr>
      <w:r>
        <w:rPr>
          <w:rFonts w:hint="eastAsia"/>
          <w:color w:val="auto"/>
          <w:lang w:val="en-US" w:eastAsia="zh-CN"/>
        </w:rPr>
        <w:t>3)</w:t>
      </w:r>
      <w:r>
        <w:rPr>
          <w:rFonts w:hint="eastAsia"/>
          <w:color w:val="auto"/>
        </w:rPr>
        <w:t>对混凝土初凝时间的要求</w:t>
      </w:r>
    </w:p>
    <w:p w14:paraId="65C101E6">
      <w:pPr>
        <w:rPr>
          <w:rFonts w:hint="eastAsia"/>
          <w:color w:val="auto"/>
        </w:rPr>
      </w:pPr>
      <w:r>
        <w:rPr>
          <w:rFonts w:hint="eastAsia"/>
          <w:color w:val="auto"/>
        </w:rPr>
        <w:t>为了保证混凝土浇筑不出现冷缝，施工过程中根据现场实际情况和环境温度对预拌混凝土搅拌站提出具体的初凝时间要求。</w:t>
      </w:r>
    </w:p>
    <w:p w14:paraId="16CDDFA5">
      <w:pPr>
        <w:rPr>
          <w:rFonts w:hint="eastAsia"/>
          <w:color w:val="auto"/>
        </w:rPr>
      </w:pPr>
      <w:r>
        <w:rPr>
          <w:rFonts w:hint="eastAsia"/>
          <w:color w:val="auto"/>
          <w:lang w:val="en-US" w:eastAsia="zh-CN"/>
        </w:rPr>
        <w:t>4)</w:t>
      </w:r>
      <w:r>
        <w:rPr>
          <w:rFonts w:hint="eastAsia"/>
          <w:color w:val="auto"/>
        </w:rPr>
        <w:t>与搅拌站的协调</w:t>
      </w:r>
    </w:p>
    <w:p w14:paraId="29320256">
      <w:pPr>
        <w:rPr>
          <w:rFonts w:hint="eastAsia"/>
          <w:color w:val="auto"/>
        </w:rPr>
      </w:pPr>
      <w:r>
        <w:rPr>
          <w:rFonts w:hint="eastAsia"/>
          <w:color w:val="auto"/>
        </w:rPr>
        <w:t>为确保预拌混凝土供应及时，现场混凝土工程连续施工，项目部指定专人到混凝土搅拌站进行协调。</w:t>
      </w:r>
    </w:p>
    <w:p w14:paraId="7982F94F">
      <w:pPr>
        <w:rPr>
          <w:rFonts w:hint="eastAsia"/>
          <w:color w:val="auto"/>
        </w:rPr>
      </w:pPr>
      <w:r>
        <w:rPr>
          <w:rFonts w:hint="eastAsia"/>
          <w:color w:val="auto"/>
          <w:lang w:val="en-US" w:eastAsia="zh-CN"/>
        </w:rPr>
        <w:t>5)</w:t>
      </w:r>
      <w:r>
        <w:rPr>
          <w:rFonts w:hint="eastAsia"/>
          <w:color w:val="auto"/>
        </w:rPr>
        <w:t>对现场的要求</w:t>
      </w:r>
    </w:p>
    <w:p w14:paraId="10FCE5FA">
      <w:pPr>
        <w:rPr>
          <w:rFonts w:hint="eastAsia"/>
          <w:color w:val="auto"/>
        </w:rPr>
      </w:pPr>
      <w:r>
        <w:rPr>
          <w:rFonts w:hint="eastAsia"/>
          <w:color w:val="auto"/>
        </w:rPr>
        <w:t>1、现场收料人员认真填写预拌混凝土小票，详细记录每车混凝土进场时间、开卸时间、浇完时间，以便分析混凝土在供应过程中其质量是否能得到有效保障。</w:t>
      </w:r>
    </w:p>
    <w:p w14:paraId="32AE70F9">
      <w:pPr>
        <w:rPr>
          <w:rFonts w:hint="eastAsia"/>
          <w:color w:val="auto"/>
        </w:rPr>
      </w:pPr>
      <w:r>
        <w:rPr>
          <w:rFonts w:hint="eastAsia"/>
          <w:color w:val="auto"/>
        </w:rPr>
        <w:t>2、混凝土浇筑前采用项目自己设计的混凝土申请小票和混凝土各专业会签单制度，作为混凝土浇筑前各分项质量进行验收和向混凝土搅拌站传递混凝土浇筑技术指标的凭证。</w:t>
      </w:r>
    </w:p>
    <w:p w14:paraId="1F3C1B13">
      <w:pPr>
        <w:rPr>
          <w:rFonts w:hint="eastAsia"/>
          <w:color w:val="auto"/>
        </w:rPr>
      </w:pPr>
      <w:r>
        <w:rPr>
          <w:rFonts w:hint="eastAsia"/>
          <w:color w:val="auto"/>
          <w:lang w:val="en-US" w:eastAsia="zh-CN"/>
        </w:rPr>
        <w:t>6)</w:t>
      </w:r>
      <w:r>
        <w:rPr>
          <w:rFonts w:hint="eastAsia"/>
          <w:color w:val="auto"/>
        </w:rPr>
        <w:t>混凝土的试验管理</w:t>
      </w:r>
    </w:p>
    <w:p w14:paraId="67B14976">
      <w:pPr>
        <w:rPr>
          <w:rFonts w:hint="eastAsia"/>
          <w:color w:val="auto"/>
        </w:rPr>
      </w:pPr>
      <w:r>
        <w:rPr>
          <w:rFonts w:hint="eastAsia"/>
          <w:color w:val="auto"/>
        </w:rPr>
        <w:t>1、试验工具：相应数量的混凝土抗压、抗渗试模，小型振动台和坍落度试验设备、标准养护箱等。</w:t>
      </w:r>
    </w:p>
    <w:p w14:paraId="190AC52F">
      <w:pPr>
        <w:rPr>
          <w:rFonts w:hint="eastAsia"/>
          <w:color w:val="auto"/>
        </w:rPr>
      </w:pPr>
      <w:r>
        <w:rPr>
          <w:rFonts w:hint="eastAsia"/>
          <w:color w:val="auto"/>
        </w:rPr>
        <w:t>2、坍落度试验：测试坍落度前，要先将试验桶用水湿润，放在不吸水的刚性平板上，分层装入混凝土，每层用标准棒插捣数次，刮平顶层混凝土，按规定方法提桶、测量、记录。</w:t>
      </w:r>
    </w:p>
    <w:p w14:paraId="127180B4">
      <w:pPr>
        <w:rPr>
          <w:rFonts w:hint="eastAsia"/>
          <w:color w:val="auto"/>
        </w:rPr>
      </w:pPr>
      <w:r>
        <w:rPr>
          <w:rFonts w:hint="eastAsia"/>
          <w:color w:val="auto"/>
        </w:rPr>
        <w:t>3、混凝土试块制作：结构施工中按照每一施工段，同一浇筑日期的同一配合比混凝土制作试块，三块为一组，同条件养护试块两组。试块振捣采用小型振捣台振实，抹平并应及时在试块表面临时写明工程部位、制作日期、强度等级标识，并及时填写试块试验表格，试块制作在浇筑地点进行。</w:t>
      </w:r>
    </w:p>
    <w:p w14:paraId="1FCF92A5">
      <w:pPr>
        <w:rPr>
          <w:color w:val="auto"/>
        </w:rPr>
      </w:pPr>
      <w:r>
        <w:rPr>
          <w:rFonts w:hint="eastAsia"/>
          <w:color w:val="auto"/>
        </w:rPr>
        <w:t>4、试块养护：标养试块在拆模后及时放入标养箱，同条件试块拆模后，注明标识，放置在与其代表结构部位的同样环境处，存放时放置在钢筋焊接的笼子内，并加锁保护，防止碰撞和丢失。采用与结构同条件养护并防止暴晒、风吹脱水。</w:t>
      </w:r>
    </w:p>
    <w:p w14:paraId="7205436D">
      <w:pPr>
        <w:pStyle w:val="6"/>
        <w:ind w:firstLine="480"/>
        <w:rPr>
          <w:color w:val="auto"/>
        </w:rPr>
      </w:pPr>
      <w:r>
        <w:rPr>
          <w:rFonts w:hint="eastAsia"/>
          <w:color w:val="auto"/>
        </w:rPr>
        <w:t>混凝土配比要求</w:t>
      </w:r>
    </w:p>
    <w:p w14:paraId="4EF89CEA">
      <w:pPr>
        <w:rPr>
          <w:color w:val="auto"/>
        </w:rPr>
      </w:pPr>
      <w:r>
        <w:rPr>
          <w:rFonts w:hint="eastAsia"/>
          <w:color w:val="auto"/>
        </w:rPr>
        <w:t>经考察及试验，采用合格搅拌站供应的商品混凝土。</w:t>
      </w:r>
    </w:p>
    <w:p w14:paraId="32A8A1A3">
      <w:pPr>
        <w:rPr>
          <w:color w:val="auto"/>
        </w:rPr>
      </w:pPr>
      <w:r>
        <w:rPr>
          <w:rFonts w:hint="eastAsia"/>
          <w:color w:val="auto"/>
        </w:rPr>
        <w:t>1、对水泥的要求：水泥的选用为整个混凝土工程生产施工的基础，选用的水泥应具有活性好、标准稠度用水量小、水泥与外加剂间的适应性良好、并且原材料色泽均匀一致的特性，拟选用普通硅酸盐低缄水泥，要求采用同一批熟料。</w:t>
      </w:r>
    </w:p>
    <w:p w14:paraId="0A4DC1E2">
      <w:pPr>
        <w:rPr>
          <w:color w:val="auto"/>
        </w:rPr>
      </w:pPr>
      <w:r>
        <w:rPr>
          <w:rFonts w:hint="eastAsia"/>
          <w:color w:val="auto"/>
        </w:rPr>
        <w:t>2、骨料的要求：粗骨料选用的原则是强度高，连续级配好，低缄活性，并且同一颜色的碎石，产地、规格、必须一致，而且含泥量小于2%，，大于5mm的纯泥含量要小于0.5%，骨料不得带杂物。细骨料选用中粗砂，必须细度模数在2.3以上，颜色一致，其含泥量要控制在3%以内，大于5mm的纯泥含量要小于1%。石子选用碎石，最大粒径为25mm，砂选用中砂，细度模数为2.7。</w:t>
      </w:r>
    </w:p>
    <w:p w14:paraId="6413C282">
      <w:pPr>
        <w:rPr>
          <w:color w:val="auto"/>
        </w:rPr>
      </w:pPr>
      <w:r>
        <w:rPr>
          <w:rFonts w:hint="eastAsia"/>
          <w:color w:val="auto"/>
        </w:rPr>
        <w:t>3、外加剂的要求：选用的外加剂必须减水效果明显，能够满足混凝土的各项工作性能，外加剂选用高效泵送剂。</w:t>
      </w:r>
    </w:p>
    <w:p w14:paraId="6519D309">
      <w:pPr>
        <w:rPr>
          <w:color w:val="auto"/>
        </w:rPr>
      </w:pPr>
      <w:r>
        <w:rPr>
          <w:rFonts w:hint="eastAsia"/>
          <w:color w:val="auto"/>
        </w:rPr>
        <w:t>4、超细掺合料：掺和料应能增强混凝土的和易性，并且部分替代水泥，改善混凝土的施工性能，减少水泥石中的毛细孔数量和分布状态，且有助于对碱-集料活性的抑制，有利于提高混凝土的耐久性。粉煤灰选用磨细Ⅱ粉煤灰，其主要性能应符合国家标准《粉煤灰混凝土应用技术规程》。</w:t>
      </w:r>
    </w:p>
    <w:p w14:paraId="2AC1E9FF">
      <w:pPr>
        <w:rPr>
          <w:color w:val="auto"/>
        </w:rPr>
      </w:pPr>
      <w:r>
        <w:rPr>
          <w:rFonts w:hint="eastAsia"/>
          <w:color w:val="auto"/>
        </w:rPr>
        <w:t>5、商品混凝土塌落度的要求：混凝土浇筑以汽车泵为主方式浇筑，为了保证泵送能顺利进行，要求入泵时坍落度严格控制在18cm到13cm。混凝土搅拌站根据气温条件、运输时间（白天或夜天）、运输道路的距离、砂石含水率变化、混凝土坍落度损失等情况,及时适当地对原配合比（水胶比）进行微调，以确保混凝土浇筑时的坍落度能够满足施工生产需要，混凝土不泌水、不离析，色泽保持一致，确保混凝土供应质量。</w:t>
      </w:r>
    </w:p>
    <w:p w14:paraId="6C3A9A6D">
      <w:pPr>
        <w:rPr>
          <w:color w:val="auto"/>
        </w:rPr>
      </w:pPr>
      <w:r>
        <w:rPr>
          <w:rFonts w:hint="eastAsia"/>
          <w:color w:val="auto"/>
        </w:rPr>
        <w:t>6、混凝土和易性的要求：为了保证混凝土在浇筑过程中不离析，要求混凝土要有足够的粘聚性，在泵送过程中不泌水、不离析。《混凝土泵送施工技术规程》规定泵送混凝土10s时的相对压力泌水率不得超过40%，因此要求搅拌站供应的混凝土泌水速度要慢，以保证混凝土的稳定性和可泵性。</w:t>
      </w:r>
    </w:p>
    <w:p w14:paraId="1F4329AE">
      <w:pPr>
        <w:rPr>
          <w:color w:val="auto"/>
        </w:rPr>
      </w:pPr>
      <w:r>
        <w:rPr>
          <w:rFonts w:hint="eastAsia"/>
          <w:color w:val="auto"/>
        </w:rPr>
        <w:t>7、混凝土初凝时间的要求：为了保证混凝土浇筑不出现冷缝，根据当前气候，要求商品混凝土在结构施工期间的初凝时间保证在6-8h。当气候有变化时，要求混凝土搅拌站提供不同温度下、单位时间内的塌落度损失值，以便现场能够掌握混凝土罐车在现场的停置时间，浇筑混凝土时，搅拌站要派一名调度现场调配车辆，以便根据混凝土浇筑情况随时调整混凝土罐车的频率。</w:t>
      </w:r>
    </w:p>
    <w:p w14:paraId="6EA2C935">
      <w:pPr>
        <w:rPr>
          <w:color w:val="auto"/>
        </w:rPr>
      </w:pPr>
      <w:r>
        <w:rPr>
          <w:rFonts w:hint="eastAsia"/>
          <w:color w:val="auto"/>
        </w:rPr>
        <w:t>8、混凝土的进场检验：严格执行混凝土进场交货检验制度。由商品混凝土搅拌站人员向现场混凝土工长指派的人员逐车交验，交验的内容有目测混凝土外观色泽、有无泌水离析，实验员对每车的坍落度进行取样实验，是否符合商品混凝土小票规定的技术要求，并作好记录。如遇坍落度大于18和小于13cm的混凝土必须退回搅拌站，严禁使用。</w:t>
      </w:r>
    </w:p>
    <w:p w14:paraId="760DDDA7">
      <w:pPr>
        <w:rPr>
          <w:color w:val="auto"/>
        </w:rPr>
      </w:pPr>
      <w:r>
        <w:rPr>
          <w:rFonts w:hint="eastAsia"/>
          <w:color w:val="auto"/>
        </w:rPr>
        <w:t>9、配合比优化设计：混凝土配合比设计应在满足对混凝土强度和抗渗等级控制碱-集料反应的前提下必须具有良好的施工性能、良好的耐久性和满足原状混凝土的特殊要求。为优选出强度、抗渗等级符合要求，施工性能优良（坍落度及经时坍落度损失、凝结时间符合要求，不泌水、离析，可泵性好），拌合物色泽均匀，符合混凝土总碱含量控制在规定范围的配合比，经试配，我们将采用以下配合比，并在施工中严格按此配比，不得随意更改。配合比在天气变化时，在进行试配后，优化调整，以确保颜色无明显变化。</w:t>
      </w:r>
    </w:p>
    <w:p w14:paraId="0CFD42FC">
      <w:pPr>
        <w:pStyle w:val="6"/>
        <w:ind w:firstLine="480"/>
        <w:rPr>
          <w:color w:val="auto"/>
        </w:rPr>
      </w:pPr>
      <w:r>
        <w:rPr>
          <w:rFonts w:hint="eastAsia"/>
          <w:color w:val="auto"/>
        </w:rPr>
        <w:t>混凝土输送</w:t>
      </w:r>
    </w:p>
    <w:p w14:paraId="6AFF8600">
      <w:pPr>
        <w:rPr>
          <w:color w:val="auto"/>
        </w:rPr>
      </w:pPr>
      <w:r>
        <w:rPr>
          <w:rFonts w:hint="eastAsia"/>
          <w:color w:val="auto"/>
        </w:rPr>
        <w:t>场外混凝土运输：</w:t>
      </w:r>
    </w:p>
    <w:p w14:paraId="67C4A0A3">
      <w:pPr>
        <w:rPr>
          <w:color w:val="auto"/>
        </w:rPr>
      </w:pPr>
      <w:r>
        <w:rPr>
          <w:rFonts w:hint="eastAsia"/>
          <w:color w:val="auto"/>
        </w:rPr>
        <w:t>1、砼运输车要统一进行编号，运输车出站时由搅拌站发放出站牌，现场由专人在出站牌上签字，出站牌上应注明混凝土标号、运送地点及砼方量；</w:t>
      </w:r>
    </w:p>
    <w:p w14:paraId="7D538A1E">
      <w:pPr>
        <w:rPr>
          <w:color w:val="auto"/>
        </w:rPr>
      </w:pPr>
      <w:r>
        <w:rPr>
          <w:rFonts w:hint="eastAsia"/>
          <w:color w:val="auto"/>
        </w:rPr>
        <w:t>2、在运输过程中，搅拌筒要保持均匀的转速，以保证混凝土不产生离析、凝结等现象，并具有良好的可泵性。运输管理人员要及时将运输情况，出料情况及现场情况反映到搅拌站，由试验室及时调整，以满足正常施工的需要；</w:t>
      </w:r>
    </w:p>
    <w:p w14:paraId="08E6993D">
      <w:pPr>
        <w:rPr>
          <w:color w:val="auto"/>
        </w:rPr>
      </w:pPr>
      <w:r>
        <w:rPr>
          <w:rFonts w:hint="eastAsia"/>
          <w:color w:val="auto"/>
        </w:rPr>
        <w:t>3、混凝土运至现场若发生离析、凝结等现象时，要马上运回搅拌站处理，严禁现场加水；</w:t>
      </w:r>
    </w:p>
    <w:p w14:paraId="119161D9">
      <w:pPr>
        <w:rPr>
          <w:color w:val="auto"/>
        </w:rPr>
      </w:pPr>
      <w:r>
        <w:rPr>
          <w:rFonts w:hint="eastAsia"/>
          <w:color w:val="auto"/>
        </w:rPr>
        <w:t>4、混凝土运输车到达现场要听从现场调度人员的指挥，按先后次序依次下料返回；</w:t>
      </w:r>
    </w:p>
    <w:p w14:paraId="11638D83">
      <w:pPr>
        <w:rPr>
          <w:color w:val="auto"/>
        </w:rPr>
      </w:pPr>
      <w:r>
        <w:rPr>
          <w:rFonts w:hint="eastAsia"/>
          <w:color w:val="auto"/>
        </w:rPr>
        <w:t>5、砼车队管理人员要及时了解交通情况，确保车队运行正常。当发生交通堵塞时，指挥车改变行进路线。当运输车发生故障或交通事故时应及时进行处理，及时更换车辆，确保砼的供应；</w:t>
      </w:r>
    </w:p>
    <w:p w14:paraId="33389F9A">
      <w:pPr>
        <w:rPr>
          <w:color w:val="auto"/>
        </w:rPr>
      </w:pPr>
      <w:r>
        <w:rPr>
          <w:rFonts w:hint="eastAsia"/>
          <w:color w:val="auto"/>
        </w:rPr>
        <w:t>6、砼车队管理由搅拌站安排，并配备手机以方便联系。在砼浇筑前搅拌站应将车队管理人员名单及值班表报给项目部；</w:t>
      </w:r>
    </w:p>
    <w:p w14:paraId="1E4F9596">
      <w:pPr>
        <w:rPr>
          <w:color w:val="auto"/>
        </w:rPr>
      </w:pPr>
      <w:r>
        <w:rPr>
          <w:rFonts w:hint="eastAsia"/>
          <w:color w:val="auto"/>
        </w:rPr>
        <w:t>7、车到现场由现场管理人员进行指挥，搅拌站车队应听从现场管理人员的指挥。</w:t>
      </w:r>
    </w:p>
    <w:p w14:paraId="6E2A6FA2">
      <w:pPr>
        <w:rPr>
          <w:color w:val="auto"/>
        </w:rPr>
      </w:pPr>
      <w:r>
        <w:rPr>
          <w:rFonts w:hint="eastAsia"/>
          <w:color w:val="auto"/>
        </w:rPr>
        <w:t>现场混凝土运输：</w:t>
      </w:r>
    </w:p>
    <w:p w14:paraId="6D099961">
      <w:pPr>
        <w:rPr>
          <w:color w:val="auto"/>
        </w:rPr>
      </w:pPr>
      <w:r>
        <w:rPr>
          <w:rFonts w:hint="eastAsia"/>
          <w:color w:val="auto"/>
        </w:rPr>
        <w:t>1、砼运输车到现场后由现场管理人员进行指挥；</w:t>
      </w:r>
    </w:p>
    <w:p w14:paraId="244DFE13">
      <w:pPr>
        <w:rPr>
          <w:color w:val="auto"/>
        </w:rPr>
      </w:pPr>
      <w:r>
        <w:rPr>
          <w:rFonts w:hint="eastAsia"/>
          <w:color w:val="auto"/>
        </w:rPr>
        <w:t>2、泵车的四角用木料支垫，保持平稳，利用90°泵管弯头沿泵管架进入楼层。</w:t>
      </w:r>
    </w:p>
    <w:p w14:paraId="5F18DEAA">
      <w:pPr>
        <w:rPr>
          <w:color w:val="auto"/>
        </w:rPr>
      </w:pPr>
      <w:r>
        <w:rPr>
          <w:rFonts w:hint="eastAsia"/>
          <w:color w:val="auto"/>
        </w:rPr>
        <w:t>3、在各出入口处安排经警维持交通，确保砼运输车及时进出、按序停靠、卸料返回；</w:t>
      </w:r>
    </w:p>
    <w:p w14:paraId="58230FB3">
      <w:pPr>
        <w:rPr>
          <w:color w:val="auto"/>
        </w:rPr>
      </w:pPr>
      <w:r>
        <w:rPr>
          <w:rFonts w:hint="eastAsia"/>
          <w:color w:val="auto"/>
        </w:rPr>
        <w:t>4、砼进场后检查砼外观质量、坍落度、验方量，签回车单，对初检不合格的砼不得卸料，立即运回搅拌站进行处理。</w:t>
      </w:r>
    </w:p>
    <w:p w14:paraId="541E2E1A">
      <w:pPr>
        <w:pStyle w:val="6"/>
        <w:ind w:firstLine="480"/>
        <w:rPr>
          <w:color w:val="auto"/>
        </w:rPr>
      </w:pPr>
      <w:r>
        <w:rPr>
          <w:rFonts w:hint="eastAsia"/>
          <w:color w:val="auto"/>
        </w:rPr>
        <w:t>砼连续供应保证措施</w:t>
      </w:r>
    </w:p>
    <w:p w14:paraId="24DB80C0">
      <w:pPr>
        <w:rPr>
          <w:color w:val="auto"/>
        </w:rPr>
      </w:pPr>
      <w:r>
        <w:rPr>
          <w:rFonts w:hint="eastAsia"/>
          <w:color w:val="auto"/>
        </w:rPr>
        <w:t>1、为满足砼连续供应要求，除必须的一台砼输送泵外，另应联系备用一台输送泵，以保证泵车发生故障时，能够连续浇筑混凝土。保证单次浇筑混凝土时罐车打一等一，并应有备用泵管等应急突发事件的物资准备；</w:t>
      </w:r>
    </w:p>
    <w:p w14:paraId="13E70F68">
      <w:pPr>
        <w:rPr>
          <w:color w:val="auto"/>
        </w:rPr>
      </w:pPr>
      <w:r>
        <w:rPr>
          <w:rFonts w:hint="eastAsia"/>
          <w:color w:val="auto"/>
        </w:rPr>
        <w:t>2、搅拌站在砼浇筑前应将砼运输罐车具体型号及车牌号报送项目部，砼浇筑过程中，现场管理人员应对罐车数量及车牌号清查，若发现罐车数量不能满足要求，应及时向项目值班领导汇报并要求搅拌站增加车辆，以确保砼供应连续</w:t>
      </w:r>
    </w:p>
    <w:p w14:paraId="2246D177">
      <w:pPr>
        <w:pStyle w:val="6"/>
        <w:ind w:firstLine="480"/>
        <w:rPr>
          <w:color w:val="auto"/>
        </w:rPr>
      </w:pPr>
      <w:r>
        <w:rPr>
          <w:rFonts w:hint="eastAsia"/>
          <w:color w:val="auto"/>
        </w:rPr>
        <w:t>混凝土浇筑</w:t>
      </w:r>
    </w:p>
    <w:p w14:paraId="11DE7D0D">
      <w:pPr>
        <w:rPr>
          <w:color w:val="auto"/>
        </w:rPr>
      </w:pPr>
      <w:r>
        <w:rPr>
          <w:rFonts w:hint="eastAsia"/>
          <w:color w:val="auto"/>
        </w:rPr>
        <w:t>混凝土浇筑时，采用φ50插入式振捣棒振捣。其插点采取梅花型布置，间距不超过作业半径的1.5倍（500）。每台泵配3个振动棒手，振动棒的操作必须选择有操作证、熟练并有责任心的人员。振捣应随下料进度，均匀有序的进行，使用插入式振捣器快插慢拔，要使振动棒自然沉入混凝土，宜垂直插入，并插到尚未初凝的下层混凝土中50～100mm，以消除两层间的接缝。每一次振点的延续时间一般为20～30秒，以表面呈现浮浆和不再沉落为准。应确保混凝土振捣密实，不漏振，不过振。</w:t>
      </w:r>
    </w:p>
    <w:p w14:paraId="1F7025C1">
      <w:pPr>
        <w:rPr>
          <w:color w:val="auto"/>
        </w:rPr>
      </w:pPr>
      <w:r>
        <w:rPr>
          <w:rFonts w:hint="eastAsia"/>
          <w:color w:val="auto"/>
        </w:rPr>
        <w:t>对板、梁、柱交汇节点部位，钢筋密集，混凝土下料和振捣应特别注意，可使用预制的钢管撬棍辅助撬拨钢筋，以使混凝土可顺利入内和进行插捣。</w:t>
      </w:r>
    </w:p>
    <w:p w14:paraId="2C652246">
      <w:pPr>
        <w:rPr>
          <w:color w:val="auto"/>
        </w:rPr>
      </w:pPr>
      <w:r>
        <w:rPr>
          <w:rFonts w:hint="eastAsia"/>
          <w:color w:val="auto"/>
        </w:rPr>
        <w:t>对顶板混凝土浇捣，应派5人专门抹平收光。混凝土振捣后，及时用刮杠根据设计标高初步刮平，在混凝土初凝前进行二次压实抹平，在混凝土终凝前进行第三次压抹收光。收光后应注意成品保护，在终凝前不准上人，更不得加施工荷载，避免混凝土产生有害裂缝。</w:t>
      </w:r>
    </w:p>
    <w:p w14:paraId="3EE0A402">
      <w:pPr>
        <w:rPr>
          <w:color w:val="auto"/>
        </w:rPr>
      </w:pPr>
      <w:r>
        <w:rPr>
          <w:rFonts w:hint="eastAsia"/>
          <w:color w:val="auto"/>
        </w:rPr>
        <w:t>底板大体积混凝土采用“先深后浅，斜面分层”的方法进行浇筑，分层厚度不大于500mm，且不大于振动棒长的1.2倍；输送泵遵循“同步浇捣，同时后退，分层堆积，逐步到顶，循序渐进”的布送工艺；每一层混凝土振捣在自然形成的坡面上进行，振捣移动距离不大于振动半径的1.5倍；加深部位分两至三次浇捣，避免漏振而影响混凝土的施工质量。</w:t>
      </w:r>
    </w:p>
    <w:p w14:paraId="4B00ACA1">
      <w:pPr>
        <w:pStyle w:val="49"/>
        <w:rPr>
          <w:rFonts w:hint="eastAsia"/>
          <w:color w:val="auto"/>
        </w:rPr>
      </w:pPr>
      <w:r>
        <w:rPr>
          <w:color w:val="auto"/>
        </w:rPr>
        <w:drawing>
          <wp:inline distT="0" distB="0" distL="0" distR="0">
            <wp:extent cx="3241040" cy="1440180"/>
            <wp:effectExtent l="9525" t="9525" r="26035" b="17145"/>
            <wp:docPr id="169" name="图片 169" descr="Draw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descr="Drawing1"/>
                    <pic:cNvPicPr>
                      <a:picLocks noChangeAspect="1" noChangeArrowheads="1"/>
                    </pic:cNvPicPr>
                  </pic:nvPicPr>
                  <pic:blipFill>
                    <a:blip r:embed="rId105" cstate="print">
                      <a:extLst>
                        <a:ext uri="{28A0092B-C50C-407E-A947-70E740481C1C}">
                          <a14:useLocalDpi xmlns:a14="http://schemas.microsoft.com/office/drawing/2010/main" val="0"/>
                        </a:ext>
                      </a:extLst>
                    </a:blip>
                    <a:srcRect l="38959" t="64153" r="32106" b="14050"/>
                    <a:stretch>
                      <a:fillRect/>
                    </a:stretch>
                  </pic:blipFill>
                  <pic:spPr>
                    <a:xfrm>
                      <a:off x="0" y="0"/>
                      <a:ext cx="3241040" cy="1440180"/>
                    </a:xfrm>
                    <a:prstGeom prst="rect">
                      <a:avLst/>
                    </a:prstGeom>
                    <a:noFill/>
                    <a:ln>
                      <a:solidFill>
                        <a:sysClr val="windowText" lastClr="000000"/>
                      </a:solidFill>
                    </a:ln>
                    <a:effectLst/>
                  </pic:spPr>
                </pic:pic>
              </a:graphicData>
            </a:graphic>
          </wp:inline>
        </w:drawing>
      </w:r>
    </w:p>
    <w:p w14:paraId="73EB7666">
      <w:pPr>
        <w:pStyle w:val="53"/>
        <w:rPr>
          <w:color w:val="auto"/>
        </w:rPr>
      </w:pPr>
      <w:r>
        <w:rPr>
          <w:rFonts w:hint="eastAsia"/>
          <w:color w:val="auto"/>
        </w:rPr>
        <w:t>底板混凝土分层浇筑示意图</w:t>
      </w:r>
    </w:p>
    <w:p w14:paraId="2B2A260F">
      <w:pPr>
        <w:pStyle w:val="6"/>
        <w:ind w:firstLine="480"/>
        <w:rPr>
          <w:color w:val="auto"/>
        </w:rPr>
      </w:pPr>
      <w:r>
        <w:rPr>
          <w:rFonts w:hint="eastAsia"/>
          <w:color w:val="auto"/>
        </w:rPr>
        <w:t>混凝土养护</w:t>
      </w:r>
    </w:p>
    <w:p w14:paraId="0B02E2CC">
      <w:pPr>
        <w:rPr>
          <w:color w:val="auto"/>
        </w:rPr>
      </w:pPr>
      <w:r>
        <w:rPr>
          <w:rFonts w:hint="eastAsia"/>
          <w:color w:val="auto"/>
        </w:rPr>
        <w:t>1、混凝土浇筑后初凝前采取“1层塑料薄膜+1层岩棉被”覆盖方法进行保温保湿养护14d，减少混凝土内外温差，将混凝土中心和外表面的最大温差严格控制在25℃以内，总降温差严格控制在30℃以内。</w:t>
      </w:r>
    </w:p>
    <w:p w14:paraId="08C35B51">
      <w:pPr>
        <w:rPr>
          <w:color w:val="auto"/>
        </w:rPr>
      </w:pPr>
      <w:r>
        <w:rPr>
          <w:rFonts w:hint="eastAsia"/>
          <w:color w:val="auto"/>
        </w:rPr>
        <w:t>2、为减少混凝土的收缩，应有混凝土保湿养护的具体措施，拆模后使混凝土的周围环境相对湿度达到80%以上。</w:t>
      </w:r>
    </w:p>
    <w:p w14:paraId="4992F689">
      <w:pPr>
        <w:pStyle w:val="6"/>
        <w:ind w:firstLine="480"/>
        <w:rPr>
          <w:color w:val="auto"/>
        </w:rPr>
      </w:pPr>
      <w:r>
        <w:rPr>
          <w:rFonts w:hint="eastAsia"/>
          <w:color w:val="auto"/>
        </w:rPr>
        <w:t>对预拌混凝土站的要求</w:t>
      </w:r>
    </w:p>
    <w:p w14:paraId="2608C3E2">
      <w:pPr>
        <w:rPr>
          <w:color w:val="auto"/>
        </w:rPr>
      </w:pPr>
      <w:r>
        <w:rPr>
          <w:rFonts w:hint="eastAsia"/>
          <w:color w:val="auto"/>
        </w:rPr>
        <w:t>与预拌混凝土搅拌站签订供应合同，对原材、外加剂、混凝土坍落度、初凝时间、混凝土罐车在路上运输等作出严格要求。</w:t>
      </w:r>
    </w:p>
    <w:p w14:paraId="394F6DF9">
      <w:pPr>
        <w:pStyle w:val="6"/>
        <w:ind w:firstLine="480"/>
        <w:rPr>
          <w:color w:val="auto"/>
        </w:rPr>
      </w:pPr>
      <w:bookmarkStart w:id="170" w:name="_Toc465151478"/>
      <w:bookmarkStart w:id="171" w:name="_Toc453490629"/>
      <w:r>
        <w:rPr>
          <w:rFonts w:hint="eastAsia"/>
          <w:color w:val="auto"/>
        </w:rPr>
        <w:t>对预拌混凝土坍落度的要求</w:t>
      </w:r>
      <w:bookmarkEnd w:id="170"/>
      <w:bookmarkEnd w:id="171"/>
    </w:p>
    <w:p w14:paraId="373ABE20">
      <w:pPr>
        <w:pStyle w:val="89"/>
        <w:spacing w:before="32" w:beforeLines="10" w:after="32" w:afterLines="10" w:line="432" w:lineRule="auto"/>
        <w:ind w:firstLine="480"/>
        <w:rPr>
          <w:rFonts w:ascii="Times New Roman" w:cstheme="minorBidi"/>
          <w:color w:val="auto"/>
          <w:sz w:val="24"/>
          <w:szCs w:val="21"/>
        </w:rPr>
      </w:pPr>
      <w:r>
        <w:rPr>
          <w:rFonts w:hint="eastAsia" w:ascii="Times New Roman" w:cstheme="minorBidi"/>
          <w:color w:val="auto"/>
          <w:sz w:val="24"/>
          <w:szCs w:val="21"/>
        </w:rPr>
        <w:t>1、混凝土搅拌站根据气温条件、运输时间、运输道路的距离、混凝土原材料（水泥品种、外加剂品种等）变化、混凝土坍落度损失等情况来适当地调整原配合比，确保混凝土浇筑时的坍落度能够满足施工生产需要，确保混凝土供应质量。</w:t>
      </w:r>
    </w:p>
    <w:p w14:paraId="639CB534">
      <w:pPr>
        <w:pStyle w:val="89"/>
        <w:spacing w:before="32" w:beforeLines="10" w:after="32" w:afterLines="10" w:line="432" w:lineRule="auto"/>
        <w:ind w:firstLine="480"/>
        <w:rPr>
          <w:rFonts w:ascii="Times New Roman" w:cstheme="minorBidi"/>
          <w:color w:val="auto"/>
          <w:sz w:val="24"/>
          <w:szCs w:val="21"/>
        </w:rPr>
      </w:pPr>
      <w:r>
        <w:rPr>
          <w:rFonts w:hint="eastAsia" w:ascii="Times New Roman" w:cstheme="minorBidi"/>
          <w:color w:val="auto"/>
          <w:sz w:val="24"/>
          <w:szCs w:val="21"/>
        </w:rPr>
        <w:t>2、当气候有变化时，要求混凝土搅拌站提供不同温度下、单位时间内的坍落度损失值，以便现场能够掌握混凝土罐车在现场的停置时间。并且可以根据混凝土浇筑情况随时调整混凝土罐车的频率。浇筑混凝土时，搅拌站派一名调度现场调配车辆。同时鉴于现场所处的特殊地理位置，项目安排人员协调现场内外的交通问题。</w:t>
      </w:r>
    </w:p>
    <w:p w14:paraId="0DE07518">
      <w:pPr>
        <w:pStyle w:val="89"/>
        <w:spacing w:before="32" w:beforeLines="10" w:after="32" w:afterLines="10" w:line="432" w:lineRule="auto"/>
        <w:ind w:firstLine="480"/>
        <w:rPr>
          <w:rFonts w:ascii="Times New Roman" w:cstheme="minorBidi"/>
          <w:color w:val="auto"/>
          <w:sz w:val="24"/>
          <w:szCs w:val="21"/>
        </w:rPr>
      </w:pPr>
      <w:r>
        <w:rPr>
          <w:rFonts w:hint="eastAsia" w:ascii="Times New Roman" w:cstheme="minorBidi"/>
          <w:color w:val="auto"/>
          <w:sz w:val="24"/>
          <w:szCs w:val="21"/>
        </w:rPr>
        <w:t>3、对到场的混凝土实行每车必测坍落度，试验员负责对当天施工的混凝土坍落度实行抽测，混凝土工长组织人员对每车坍落度进行测试，负责检查每车的坍落度是否符合预定预拌混凝土坍落度的要求，并做好坍落度测试记录。如遇不符合要求的，退回搅拌站，严禁使用。</w:t>
      </w:r>
    </w:p>
    <w:p w14:paraId="76F8CE17">
      <w:pPr>
        <w:pStyle w:val="6"/>
        <w:ind w:firstLine="480"/>
        <w:rPr>
          <w:color w:val="auto"/>
        </w:rPr>
      </w:pPr>
      <w:bookmarkStart w:id="172" w:name="_Toc453490630"/>
      <w:bookmarkStart w:id="173" w:name="_Toc465151479"/>
      <w:r>
        <w:rPr>
          <w:rFonts w:hint="eastAsia"/>
          <w:color w:val="auto"/>
        </w:rPr>
        <w:t>对混凝土初凝时间的要求</w:t>
      </w:r>
      <w:bookmarkEnd w:id="172"/>
      <w:bookmarkEnd w:id="173"/>
    </w:p>
    <w:p w14:paraId="42074749">
      <w:pPr>
        <w:pStyle w:val="89"/>
        <w:spacing w:before="32" w:beforeLines="10" w:after="32" w:afterLines="10" w:line="432" w:lineRule="auto"/>
        <w:ind w:firstLine="480"/>
        <w:rPr>
          <w:color w:val="auto"/>
          <w:szCs w:val="28"/>
        </w:rPr>
      </w:pPr>
      <w:r>
        <w:rPr>
          <w:rFonts w:hint="eastAsia" w:ascii="Times New Roman" w:cstheme="minorBidi"/>
          <w:color w:val="auto"/>
          <w:sz w:val="24"/>
          <w:szCs w:val="21"/>
        </w:rPr>
        <w:t>为了保证混凝土浇筑不出现冷缝，施工过程中根据现场实际情况和环境温度对预拌混凝土搅拌站提出具体的初凝时间要求。</w:t>
      </w:r>
    </w:p>
    <w:p w14:paraId="2C4689F9">
      <w:pPr>
        <w:pStyle w:val="6"/>
        <w:ind w:firstLine="480"/>
        <w:rPr>
          <w:color w:val="auto"/>
        </w:rPr>
      </w:pPr>
      <w:bookmarkStart w:id="174" w:name="_Toc453490631"/>
      <w:bookmarkStart w:id="175" w:name="_Toc465151480"/>
      <w:r>
        <w:rPr>
          <w:rFonts w:hint="eastAsia"/>
          <w:color w:val="auto"/>
        </w:rPr>
        <w:t>与搅拌站的协调</w:t>
      </w:r>
      <w:bookmarkEnd w:id="174"/>
      <w:bookmarkEnd w:id="175"/>
    </w:p>
    <w:p w14:paraId="2927CFC1">
      <w:pPr>
        <w:pStyle w:val="89"/>
        <w:spacing w:before="32" w:beforeLines="10" w:after="32" w:afterLines="10" w:line="432" w:lineRule="auto"/>
        <w:ind w:firstLine="480"/>
        <w:rPr>
          <w:rFonts w:ascii="Times New Roman" w:cstheme="minorBidi"/>
          <w:color w:val="auto"/>
          <w:sz w:val="24"/>
          <w:szCs w:val="21"/>
        </w:rPr>
      </w:pPr>
      <w:r>
        <w:rPr>
          <w:rFonts w:hint="eastAsia" w:ascii="Times New Roman" w:cstheme="minorBidi"/>
          <w:color w:val="auto"/>
          <w:sz w:val="24"/>
          <w:szCs w:val="21"/>
        </w:rPr>
        <w:t>为确保预拌混凝土供应及时，现场混凝土工程连续施工，项目部指定专人到混凝土搅拌站进行协调。</w:t>
      </w:r>
    </w:p>
    <w:p w14:paraId="7759DEB9">
      <w:pPr>
        <w:rPr>
          <w:color w:val="auto"/>
        </w:rPr>
      </w:pPr>
    </w:p>
    <w:p w14:paraId="4DC26793">
      <w:pPr>
        <w:pStyle w:val="5"/>
        <w:rPr>
          <w:color w:val="auto"/>
        </w:rPr>
      </w:pPr>
      <w:bookmarkStart w:id="176" w:name="_Toc18889"/>
      <w:r>
        <w:rPr>
          <w:rFonts w:hint="eastAsia"/>
          <w:color w:val="auto"/>
        </w:rPr>
        <w:t>砌筑工程</w:t>
      </w:r>
      <w:bookmarkEnd w:id="176"/>
    </w:p>
    <w:p w14:paraId="360C62B9">
      <w:pPr>
        <w:rPr>
          <w:color w:val="auto"/>
        </w:rPr>
      </w:pPr>
      <w:r>
        <w:rPr>
          <w:rFonts w:hint="eastAsia"/>
          <w:color w:val="auto"/>
        </w:rPr>
        <w:t>本工程内墙采用普通加气混凝土砌块及预拌砂浆施工。</w:t>
      </w:r>
    </w:p>
    <w:p w14:paraId="14341167">
      <w:pPr>
        <w:pStyle w:val="6"/>
        <w:ind w:firstLine="480"/>
        <w:rPr>
          <w:color w:val="auto"/>
        </w:rPr>
      </w:pPr>
      <w:r>
        <w:rPr>
          <w:rFonts w:hint="eastAsia"/>
          <w:color w:val="auto"/>
        </w:rPr>
        <w:t>施工工艺流程</w:t>
      </w:r>
    </w:p>
    <w:p w14:paraId="2C8C46C1">
      <w:pPr>
        <w:rPr>
          <w:color w:val="auto"/>
        </w:rPr>
      </w:pPr>
      <w:r>
        <w:rPr>
          <w:rFonts w:hint="eastAsia"/>
          <w:color w:val="auto"/>
        </w:rPr>
        <w:t>基层清理→定位放线→立皮杆数→后置拉结筋→浇水湿润→满铺砂浆→砌块砌筑→门窗过梁安装→构造柱、连系梁砼浇筑→墙体顶部构造→检验</w:t>
      </w:r>
    </w:p>
    <w:p w14:paraId="1C8325A5">
      <w:pPr>
        <w:pStyle w:val="6"/>
        <w:ind w:firstLine="480"/>
        <w:rPr>
          <w:color w:val="auto"/>
        </w:rPr>
      </w:pPr>
      <w:r>
        <w:rPr>
          <w:rFonts w:hint="eastAsia"/>
          <w:color w:val="auto"/>
        </w:rPr>
        <w:t>砌体工程技术措施</w:t>
      </w:r>
    </w:p>
    <w:p w14:paraId="6E47E203">
      <w:pPr>
        <w:rPr>
          <w:color w:val="auto"/>
        </w:rPr>
      </w:pPr>
      <w:r>
        <w:rPr>
          <w:rFonts w:hint="eastAsia"/>
          <w:color w:val="auto"/>
        </w:rPr>
        <w:t>（1）施工前编制针对性强的施工方案，向施工管理人员、作业队进行详细的砌体技术交底。交底内容特别应强调墙体的组砌方式、拉结筋、墙顶斜砌及墙体顶部与结构的拉结等，临边作业、电梯井边的安全作业。委托试验室进行砂浆配合比设计。</w:t>
      </w:r>
    </w:p>
    <w:p w14:paraId="56B67A56">
      <w:pPr>
        <w:rPr>
          <w:color w:val="auto"/>
        </w:rPr>
      </w:pPr>
      <w:r>
        <w:rPr>
          <w:rFonts w:hint="eastAsia"/>
          <w:color w:val="auto"/>
        </w:rPr>
        <w:t>（2）可能会影响建筑使用功能的地方及时提出并办理设计变更，以免造成返工或重复砌筑等不必要的材料及人工浪费。</w:t>
      </w:r>
    </w:p>
    <w:p w14:paraId="318008CA">
      <w:pPr>
        <w:rPr>
          <w:color w:val="auto"/>
        </w:rPr>
      </w:pPr>
      <w:r>
        <w:rPr>
          <w:rFonts w:hint="eastAsia"/>
          <w:color w:val="auto"/>
        </w:rPr>
        <w:t>（3）在结构上弹好+500mm标高水平线，并弹上门洞、窗台高度的控制线，门洞位置线，在结构墙柱上弹好砌体的立边线。根据弹好的门窗洞口位置线，认真核对窗间墙长度尺寸是否符合排砖模数，并要注意外墙窗边线的上下一条线。</w:t>
      </w:r>
    </w:p>
    <w:p w14:paraId="17DDF52B">
      <w:pPr>
        <w:rPr>
          <w:color w:val="auto"/>
        </w:rPr>
      </w:pPr>
      <w:r>
        <w:rPr>
          <w:rFonts w:hint="eastAsia"/>
          <w:color w:val="auto"/>
        </w:rPr>
        <w:t>（4）墙体砌筑至离梁底约800mm高度时，应停止施工，等待安装管道和设备安装完毕后再接着砌至梁板底部位；</w:t>
      </w:r>
    </w:p>
    <w:p w14:paraId="3913268C">
      <w:pPr>
        <w:rPr>
          <w:color w:val="auto"/>
        </w:rPr>
      </w:pPr>
      <w:r>
        <w:rPr>
          <w:rFonts w:hint="eastAsia"/>
          <w:color w:val="auto"/>
        </w:rPr>
        <w:t>（5）墙体砌筑过程中必须按照设计要求加设构造钢筋和设置构造柱，并按规范要求错马牙槎；</w:t>
      </w:r>
    </w:p>
    <w:p w14:paraId="2EBA9DFB">
      <w:pPr>
        <w:rPr>
          <w:color w:val="auto"/>
        </w:rPr>
      </w:pPr>
      <w:r>
        <w:rPr>
          <w:rFonts w:hint="eastAsia"/>
          <w:color w:val="auto"/>
        </w:rPr>
        <w:t>（6）设备控制室及其他设备间必须留设设备安装口，在砌筑前应与业主、机电专门协调制定好位置和尺寸，设备安装就位后及时封闭。</w:t>
      </w:r>
    </w:p>
    <w:p w14:paraId="484B66D9">
      <w:pPr>
        <w:rPr>
          <w:color w:val="auto"/>
        </w:rPr>
      </w:pPr>
      <w:r>
        <w:rPr>
          <w:rFonts w:hint="eastAsia"/>
          <w:color w:val="auto"/>
        </w:rPr>
        <w:t>（7）墙体的拉结钢筋若采用后植筋方式，必须对植筋进行专项验收，并且进行拉拔试验，合格后方可进行砌体施工。</w:t>
      </w:r>
    </w:p>
    <w:p w14:paraId="0FB5634F">
      <w:pPr>
        <w:rPr>
          <w:color w:val="auto"/>
        </w:rPr>
      </w:pPr>
      <w:r>
        <w:rPr>
          <w:rFonts w:hint="eastAsia"/>
          <w:color w:val="auto"/>
        </w:rPr>
        <w:t>（8）砌体部分的构造柱、圈梁的钢筋必须进行专项验收，验收合格后方可浇筑混凝土，植筋部分必须进行拉拔试验。</w:t>
      </w:r>
    </w:p>
    <w:p w14:paraId="3CAF8453">
      <w:pPr>
        <w:rPr>
          <w:color w:val="auto"/>
        </w:rPr>
      </w:pPr>
      <w:r>
        <w:rPr>
          <w:rFonts w:hint="eastAsia"/>
          <w:color w:val="auto"/>
        </w:rPr>
        <w:t>（9）必须对砌体进行不少于3天的浇水养护。</w:t>
      </w:r>
    </w:p>
    <w:p w14:paraId="34742797">
      <w:pPr>
        <w:rPr>
          <w:color w:val="auto"/>
        </w:rPr>
      </w:pPr>
      <w:r>
        <w:rPr>
          <w:rFonts w:hint="eastAsia"/>
          <w:color w:val="auto"/>
        </w:rPr>
        <w:t>（10）门窗洞口，预留洞口严禁采用钢筋砖过梁，必须采用预制或现浇过梁。</w:t>
      </w:r>
    </w:p>
    <w:p w14:paraId="671F919D">
      <w:pPr>
        <w:pStyle w:val="4"/>
        <w:ind w:firstLine="482"/>
        <w:rPr>
          <w:color w:val="auto"/>
        </w:rPr>
      </w:pPr>
      <w:bookmarkStart w:id="177" w:name="_Toc28751"/>
      <w:r>
        <w:rPr>
          <w:rFonts w:hint="eastAsia"/>
          <w:color w:val="auto"/>
        </w:rPr>
        <w:t>外脚手架工程</w:t>
      </w:r>
      <w:bookmarkEnd w:id="177"/>
    </w:p>
    <w:p w14:paraId="412211FF">
      <w:pPr>
        <w:rPr>
          <w:color w:val="auto"/>
        </w:rPr>
      </w:pPr>
      <w:r>
        <w:rPr>
          <w:rFonts w:hint="eastAsia"/>
          <w:color w:val="auto"/>
        </w:rPr>
        <w:t>结合我司施工经验，本工程外架拟采用落地架与悬挑架结合的形式施工。脚手架工程施工基本信息如下：</w:t>
      </w:r>
    </w:p>
    <w:p w14:paraId="531934EF">
      <w:pPr>
        <w:pStyle w:val="54"/>
        <w:rPr>
          <w:color w:val="auto"/>
        </w:rPr>
      </w:pPr>
      <w:r>
        <w:rPr>
          <w:rFonts w:hint="eastAsia"/>
          <w:color w:val="auto"/>
        </w:rPr>
        <w:t>脚手架搭设信息表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69"/>
        <w:gridCol w:w="1033"/>
        <w:gridCol w:w="1812"/>
        <w:gridCol w:w="2834"/>
        <w:gridCol w:w="1812"/>
      </w:tblGrid>
      <w:tr w14:paraId="24619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tblHeader/>
          <w:jc w:val="center"/>
        </w:trPr>
        <w:tc>
          <w:tcPr>
            <w:tcW w:w="866" w:type="pct"/>
            <w:shd w:val="clear" w:color="auto" w:fill="FFFFFF"/>
            <w:vAlign w:val="center"/>
          </w:tcPr>
          <w:p w14:paraId="091091BD">
            <w:pPr>
              <w:pStyle w:val="45"/>
              <w:rPr>
                <w:rFonts w:hint="eastAsia"/>
                <w:color w:val="auto"/>
              </w:rPr>
            </w:pPr>
            <w:r>
              <w:rPr>
                <w:color w:val="auto"/>
              </w:rPr>
              <w:t>楼栋</w:t>
            </w:r>
          </w:p>
        </w:tc>
        <w:tc>
          <w:tcPr>
            <w:tcW w:w="570" w:type="pct"/>
            <w:shd w:val="clear" w:color="auto" w:fill="FFFFFF"/>
            <w:vAlign w:val="center"/>
          </w:tcPr>
          <w:p w14:paraId="5BB3BC20">
            <w:pPr>
              <w:pStyle w:val="45"/>
              <w:rPr>
                <w:rFonts w:hint="eastAsia"/>
                <w:color w:val="auto"/>
              </w:rPr>
            </w:pPr>
            <w:r>
              <w:rPr>
                <w:color w:val="auto"/>
              </w:rPr>
              <w:t>搭设层数</w:t>
            </w:r>
          </w:p>
        </w:tc>
        <w:tc>
          <w:tcPr>
            <w:tcW w:w="1000" w:type="pct"/>
            <w:shd w:val="clear" w:color="auto" w:fill="FFFFFF"/>
            <w:vAlign w:val="center"/>
          </w:tcPr>
          <w:p w14:paraId="194507DF">
            <w:pPr>
              <w:pStyle w:val="45"/>
              <w:rPr>
                <w:rFonts w:hint="eastAsia"/>
                <w:color w:val="auto"/>
              </w:rPr>
            </w:pPr>
            <w:r>
              <w:rPr>
                <w:rFonts w:hint="eastAsia"/>
                <w:color w:val="auto"/>
              </w:rPr>
              <w:t>悬挑起始处</w:t>
            </w:r>
          </w:p>
        </w:tc>
        <w:tc>
          <w:tcPr>
            <w:tcW w:w="1564" w:type="pct"/>
            <w:shd w:val="clear" w:color="auto" w:fill="FFFFFF"/>
            <w:vAlign w:val="center"/>
          </w:tcPr>
          <w:p w14:paraId="084BAD3D">
            <w:pPr>
              <w:pStyle w:val="45"/>
              <w:rPr>
                <w:rFonts w:hint="eastAsia"/>
                <w:color w:val="auto"/>
              </w:rPr>
            </w:pPr>
            <w:r>
              <w:rPr>
                <w:color w:val="auto"/>
              </w:rPr>
              <w:t>脚手架型号</w:t>
            </w:r>
          </w:p>
        </w:tc>
        <w:tc>
          <w:tcPr>
            <w:tcW w:w="1000" w:type="pct"/>
            <w:shd w:val="clear" w:color="auto" w:fill="FFFFFF"/>
            <w:vAlign w:val="center"/>
          </w:tcPr>
          <w:p w14:paraId="5A41AB9D">
            <w:pPr>
              <w:pStyle w:val="45"/>
              <w:rPr>
                <w:rFonts w:hint="eastAsia"/>
                <w:color w:val="auto"/>
              </w:rPr>
            </w:pPr>
            <w:r>
              <w:rPr>
                <w:color w:val="auto"/>
              </w:rPr>
              <w:t>搭设高度（m）</w:t>
            </w:r>
          </w:p>
        </w:tc>
      </w:tr>
      <w:tr w14:paraId="4E3BB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866" w:type="pct"/>
            <w:vMerge w:val="restart"/>
            <w:shd w:val="clear" w:color="auto" w:fill="FFFFFF"/>
            <w:vAlign w:val="center"/>
          </w:tcPr>
          <w:p w14:paraId="4EFFDD2E">
            <w:pPr>
              <w:pStyle w:val="45"/>
              <w:rPr>
                <w:rFonts w:hint="eastAsia"/>
                <w:color w:val="auto"/>
              </w:rPr>
            </w:pPr>
            <w:r>
              <w:rPr>
                <w:color w:val="auto"/>
              </w:rPr>
              <w:t>教学南楼</w:t>
            </w:r>
          </w:p>
        </w:tc>
        <w:tc>
          <w:tcPr>
            <w:tcW w:w="570" w:type="pct"/>
            <w:shd w:val="clear" w:color="auto" w:fill="FFFFFF"/>
            <w:vAlign w:val="center"/>
          </w:tcPr>
          <w:p w14:paraId="48D50933">
            <w:pPr>
              <w:pStyle w:val="45"/>
              <w:rPr>
                <w:rFonts w:hint="eastAsia"/>
                <w:color w:val="auto"/>
              </w:rPr>
            </w:pPr>
            <w:r>
              <w:rPr>
                <w:rFonts w:hint="eastAsia"/>
                <w:color w:val="auto"/>
              </w:rPr>
              <w:t>4</w:t>
            </w:r>
          </w:p>
        </w:tc>
        <w:tc>
          <w:tcPr>
            <w:tcW w:w="1000" w:type="pct"/>
            <w:shd w:val="clear" w:color="auto" w:fill="FFFFFF"/>
            <w:vAlign w:val="center"/>
          </w:tcPr>
          <w:p w14:paraId="2FCEBB0D">
            <w:pPr>
              <w:pStyle w:val="45"/>
              <w:rPr>
                <w:rFonts w:hint="eastAsia"/>
                <w:color w:val="auto"/>
              </w:rPr>
            </w:pPr>
            <w:r>
              <w:rPr>
                <w:color w:val="auto"/>
              </w:rPr>
              <w:t>1-4层</w:t>
            </w:r>
          </w:p>
        </w:tc>
        <w:tc>
          <w:tcPr>
            <w:tcW w:w="1564" w:type="pct"/>
            <w:shd w:val="clear" w:color="auto" w:fill="FFFFFF"/>
            <w:vAlign w:val="center"/>
          </w:tcPr>
          <w:p w14:paraId="28EAAD2D">
            <w:pPr>
              <w:pStyle w:val="45"/>
              <w:rPr>
                <w:rFonts w:hint="eastAsia"/>
                <w:color w:val="auto"/>
              </w:rPr>
            </w:pPr>
            <w:r>
              <w:rPr>
                <w:color w:val="auto"/>
              </w:rPr>
              <w:t>落地式外脚手架</w:t>
            </w:r>
          </w:p>
        </w:tc>
        <w:tc>
          <w:tcPr>
            <w:tcW w:w="1000" w:type="pct"/>
            <w:shd w:val="clear" w:color="auto" w:fill="FFFFFF"/>
            <w:vAlign w:val="center"/>
          </w:tcPr>
          <w:p w14:paraId="4E026DD0">
            <w:pPr>
              <w:pStyle w:val="45"/>
              <w:rPr>
                <w:rFonts w:hint="eastAsia"/>
                <w:color w:val="auto"/>
              </w:rPr>
            </w:pPr>
            <w:r>
              <w:rPr>
                <w:rFonts w:hint="eastAsia"/>
                <w:color w:val="auto"/>
              </w:rPr>
              <w:t>2</w:t>
            </w:r>
            <w:r>
              <w:rPr>
                <w:color w:val="auto"/>
              </w:rPr>
              <w:t>3.5</w:t>
            </w:r>
          </w:p>
        </w:tc>
      </w:tr>
      <w:tr w14:paraId="174F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866" w:type="pct"/>
            <w:vMerge w:val="continue"/>
            <w:shd w:val="clear" w:color="auto" w:fill="FFFFFF"/>
            <w:vAlign w:val="center"/>
          </w:tcPr>
          <w:p w14:paraId="63BF3E7B">
            <w:pPr>
              <w:pStyle w:val="45"/>
              <w:rPr>
                <w:rFonts w:hint="eastAsia"/>
                <w:color w:val="auto"/>
              </w:rPr>
            </w:pPr>
          </w:p>
        </w:tc>
        <w:tc>
          <w:tcPr>
            <w:tcW w:w="570" w:type="pct"/>
            <w:shd w:val="clear" w:color="auto" w:fill="FFFFFF"/>
            <w:vAlign w:val="center"/>
          </w:tcPr>
          <w:p w14:paraId="3ACCD86A">
            <w:pPr>
              <w:pStyle w:val="45"/>
              <w:rPr>
                <w:rFonts w:hint="eastAsia"/>
                <w:color w:val="auto"/>
              </w:rPr>
            </w:pPr>
            <w:r>
              <w:rPr>
                <w:color w:val="auto"/>
              </w:rPr>
              <w:t>4</w:t>
            </w:r>
          </w:p>
        </w:tc>
        <w:tc>
          <w:tcPr>
            <w:tcW w:w="1000" w:type="pct"/>
            <w:shd w:val="clear" w:color="auto" w:fill="FFFFFF"/>
            <w:vAlign w:val="center"/>
          </w:tcPr>
          <w:p w14:paraId="5F972B47">
            <w:pPr>
              <w:pStyle w:val="45"/>
              <w:rPr>
                <w:rFonts w:hint="eastAsia"/>
                <w:color w:val="auto"/>
              </w:rPr>
            </w:pPr>
            <w:r>
              <w:rPr>
                <w:rFonts w:hint="eastAsia"/>
                <w:color w:val="auto"/>
              </w:rPr>
              <w:t>第</w:t>
            </w:r>
            <w:r>
              <w:rPr>
                <w:color w:val="auto"/>
              </w:rPr>
              <w:t>5</w:t>
            </w:r>
            <w:r>
              <w:rPr>
                <w:rFonts w:hint="eastAsia"/>
                <w:color w:val="auto"/>
              </w:rPr>
              <w:t>层</w:t>
            </w:r>
          </w:p>
        </w:tc>
        <w:tc>
          <w:tcPr>
            <w:tcW w:w="1564" w:type="pct"/>
            <w:shd w:val="clear" w:color="auto" w:fill="FFFFFF"/>
            <w:vAlign w:val="center"/>
          </w:tcPr>
          <w:p w14:paraId="45643BA7">
            <w:pPr>
              <w:pStyle w:val="45"/>
              <w:rPr>
                <w:rFonts w:hint="eastAsia"/>
                <w:color w:val="auto"/>
              </w:rPr>
            </w:pPr>
            <w:r>
              <w:rPr>
                <w:color w:val="auto"/>
              </w:rPr>
              <w:t>型钢悬挑式外脚手架</w:t>
            </w:r>
          </w:p>
        </w:tc>
        <w:tc>
          <w:tcPr>
            <w:tcW w:w="1000" w:type="pct"/>
            <w:shd w:val="clear" w:color="auto" w:fill="FFFFFF"/>
            <w:vAlign w:val="center"/>
          </w:tcPr>
          <w:p w14:paraId="31514EFC">
            <w:pPr>
              <w:pStyle w:val="45"/>
              <w:rPr>
                <w:rFonts w:hint="eastAsia"/>
                <w:color w:val="auto"/>
              </w:rPr>
            </w:pPr>
            <w:r>
              <w:rPr>
                <w:color w:val="auto"/>
              </w:rPr>
              <w:t>18.8</w:t>
            </w:r>
          </w:p>
        </w:tc>
      </w:tr>
      <w:tr w14:paraId="06036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866" w:type="pct"/>
            <w:vMerge w:val="continue"/>
            <w:shd w:val="clear" w:color="auto" w:fill="FFFFFF"/>
            <w:vAlign w:val="center"/>
          </w:tcPr>
          <w:p w14:paraId="6E700EB5">
            <w:pPr>
              <w:pStyle w:val="45"/>
              <w:rPr>
                <w:rFonts w:hint="eastAsia"/>
                <w:color w:val="auto"/>
              </w:rPr>
            </w:pPr>
          </w:p>
        </w:tc>
        <w:tc>
          <w:tcPr>
            <w:tcW w:w="570" w:type="pct"/>
            <w:shd w:val="clear" w:color="auto" w:fill="FFFFFF"/>
            <w:vAlign w:val="center"/>
          </w:tcPr>
          <w:p w14:paraId="5BF127B8">
            <w:pPr>
              <w:pStyle w:val="45"/>
              <w:rPr>
                <w:rFonts w:hint="eastAsia"/>
                <w:color w:val="auto"/>
              </w:rPr>
            </w:pPr>
            <w:r>
              <w:rPr>
                <w:color w:val="auto"/>
              </w:rPr>
              <w:t>3</w:t>
            </w:r>
          </w:p>
        </w:tc>
        <w:tc>
          <w:tcPr>
            <w:tcW w:w="1000" w:type="pct"/>
            <w:shd w:val="clear" w:color="auto" w:fill="FFFFFF"/>
            <w:vAlign w:val="center"/>
          </w:tcPr>
          <w:p w14:paraId="4D8DA252">
            <w:pPr>
              <w:pStyle w:val="45"/>
              <w:rPr>
                <w:rFonts w:hint="eastAsia"/>
                <w:color w:val="auto"/>
              </w:rPr>
            </w:pPr>
            <w:r>
              <w:rPr>
                <w:rFonts w:hint="eastAsia"/>
                <w:color w:val="auto"/>
              </w:rPr>
              <w:t>第9层</w:t>
            </w:r>
          </w:p>
        </w:tc>
        <w:tc>
          <w:tcPr>
            <w:tcW w:w="1564" w:type="pct"/>
            <w:shd w:val="clear" w:color="auto" w:fill="FFFFFF"/>
            <w:vAlign w:val="center"/>
          </w:tcPr>
          <w:p w14:paraId="4D9913E2">
            <w:pPr>
              <w:pStyle w:val="45"/>
              <w:rPr>
                <w:rFonts w:hint="eastAsia"/>
                <w:color w:val="auto"/>
              </w:rPr>
            </w:pPr>
            <w:r>
              <w:rPr>
                <w:color w:val="auto"/>
              </w:rPr>
              <w:t>型钢悬挑式外脚手架</w:t>
            </w:r>
          </w:p>
        </w:tc>
        <w:tc>
          <w:tcPr>
            <w:tcW w:w="1000" w:type="pct"/>
            <w:shd w:val="clear" w:color="auto" w:fill="FFFFFF"/>
            <w:vAlign w:val="center"/>
          </w:tcPr>
          <w:p w14:paraId="049C94C1">
            <w:pPr>
              <w:pStyle w:val="45"/>
              <w:rPr>
                <w:rFonts w:hint="eastAsia"/>
                <w:color w:val="auto"/>
              </w:rPr>
            </w:pPr>
            <w:r>
              <w:rPr>
                <w:rFonts w:hint="eastAsia"/>
                <w:color w:val="auto"/>
              </w:rPr>
              <w:t>1</w:t>
            </w:r>
            <w:r>
              <w:rPr>
                <w:color w:val="auto"/>
              </w:rPr>
              <w:t>7.5</w:t>
            </w:r>
          </w:p>
        </w:tc>
      </w:tr>
      <w:tr w14:paraId="4101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rPr>
          <w:trHeight w:val="454" w:hRule="atLeast"/>
          <w:jc w:val="center"/>
        </w:trPr>
        <w:tc>
          <w:tcPr>
            <w:tcW w:w="866" w:type="pct"/>
            <w:vMerge w:val="restart"/>
            <w:shd w:val="clear" w:color="auto" w:fill="FFFFFF"/>
            <w:vAlign w:val="center"/>
          </w:tcPr>
          <w:p w14:paraId="4B8C03F7">
            <w:pPr>
              <w:pStyle w:val="45"/>
              <w:rPr>
                <w:rFonts w:hint="eastAsia"/>
                <w:color w:val="auto"/>
              </w:rPr>
            </w:pPr>
            <w:r>
              <w:rPr>
                <w:rFonts w:hint="eastAsia"/>
                <w:color w:val="auto"/>
              </w:rPr>
              <w:t>教学北楼</w:t>
            </w:r>
          </w:p>
        </w:tc>
        <w:tc>
          <w:tcPr>
            <w:tcW w:w="570" w:type="pct"/>
            <w:shd w:val="clear" w:color="auto" w:fill="FFFFFF"/>
            <w:vAlign w:val="center"/>
          </w:tcPr>
          <w:p w14:paraId="558102BB">
            <w:pPr>
              <w:pStyle w:val="45"/>
              <w:rPr>
                <w:rFonts w:hint="eastAsia"/>
                <w:color w:val="auto"/>
              </w:rPr>
            </w:pPr>
            <w:r>
              <w:rPr>
                <w:rFonts w:hint="eastAsia"/>
                <w:color w:val="auto"/>
              </w:rPr>
              <w:t>4</w:t>
            </w:r>
          </w:p>
        </w:tc>
        <w:tc>
          <w:tcPr>
            <w:tcW w:w="1000" w:type="pct"/>
            <w:shd w:val="clear" w:color="auto" w:fill="FFFFFF"/>
            <w:vAlign w:val="center"/>
          </w:tcPr>
          <w:p w14:paraId="51529E45">
            <w:pPr>
              <w:pStyle w:val="45"/>
              <w:rPr>
                <w:rFonts w:hint="eastAsia"/>
                <w:color w:val="auto"/>
              </w:rPr>
            </w:pPr>
            <w:r>
              <w:rPr>
                <w:color w:val="auto"/>
              </w:rPr>
              <w:t>1-4层</w:t>
            </w:r>
          </w:p>
        </w:tc>
        <w:tc>
          <w:tcPr>
            <w:tcW w:w="1564" w:type="pct"/>
            <w:shd w:val="clear" w:color="auto" w:fill="FFFFFF"/>
            <w:vAlign w:val="center"/>
          </w:tcPr>
          <w:p w14:paraId="698E8AD7">
            <w:pPr>
              <w:pStyle w:val="45"/>
              <w:rPr>
                <w:rFonts w:hint="eastAsia"/>
                <w:color w:val="auto"/>
              </w:rPr>
            </w:pPr>
            <w:r>
              <w:rPr>
                <w:color w:val="auto"/>
              </w:rPr>
              <w:t>落地式外脚手架</w:t>
            </w:r>
          </w:p>
        </w:tc>
        <w:tc>
          <w:tcPr>
            <w:tcW w:w="1000" w:type="pct"/>
            <w:shd w:val="clear" w:color="auto" w:fill="FFFFFF"/>
            <w:vAlign w:val="center"/>
          </w:tcPr>
          <w:p w14:paraId="1C7148C7">
            <w:pPr>
              <w:pStyle w:val="45"/>
              <w:rPr>
                <w:rFonts w:hint="eastAsia"/>
                <w:color w:val="auto"/>
              </w:rPr>
            </w:pPr>
            <w:r>
              <w:rPr>
                <w:rFonts w:hint="eastAsia"/>
                <w:color w:val="auto"/>
              </w:rPr>
              <w:t>2</w:t>
            </w:r>
            <w:r>
              <w:rPr>
                <w:color w:val="auto"/>
              </w:rPr>
              <w:t>3.5</w:t>
            </w:r>
          </w:p>
        </w:tc>
      </w:tr>
      <w:tr w14:paraId="62DF8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pct"/>
            <w:vMerge w:val="continue"/>
            <w:shd w:val="clear" w:color="auto" w:fill="FFFFFF"/>
            <w:vAlign w:val="center"/>
          </w:tcPr>
          <w:p w14:paraId="7A14FD7C">
            <w:pPr>
              <w:pStyle w:val="45"/>
              <w:rPr>
                <w:rFonts w:hint="eastAsia"/>
                <w:color w:val="auto"/>
              </w:rPr>
            </w:pPr>
          </w:p>
        </w:tc>
        <w:tc>
          <w:tcPr>
            <w:tcW w:w="570" w:type="pct"/>
            <w:shd w:val="clear" w:color="auto" w:fill="FFFFFF"/>
            <w:vAlign w:val="center"/>
          </w:tcPr>
          <w:p w14:paraId="124D67B3">
            <w:pPr>
              <w:pStyle w:val="45"/>
              <w:rPr>
                <w:rFonts w:hint="eastAsia"/>
                <w:color w:val="auto"/>
              </w:rPr>
            </w:pPr>
            <w:r>
              <w:rPr>
                <w:color w:val="auto"/>
              </w:rPr>
              <w:t>4</w:t>
            </w:r>
          </w:p>
        </w:tc>
        <w:tc>
          <w:tcPr>
            <w:tcW w:w="1000" w:type="pct"/>
            <w:shd w:val="clear" w:color="auto" w:fill="FFFFFF"/>
            <w:vAlign w:val="center"/>
          </w:tcPr>
          <w:p w14:paraId="3E8FF600">
            <w:pPr>
              <w:pStyle w:val="45"/>
              <w:rPr>
                <w:rFonts w:hint="eastAsia"/>
                <w:color w:val="auto"/>
              </w:rPr>
            </w:pPr>
            <w:r>
              <w:rPr>
                <w:rFonts w:hint="eastAsia"/>
                <w:color w:val="auto"/>
              </w:rPr>
              <w:t>第</w:t>
            </w:r>
            <w:r>
              <w:rPr>
                <w:color w:val="auto"/>
              </w:rPr>
              <w:t>5</w:t>
            </w:r>
            <w:r>
              <w:rPr>
                <w:rFonts w:hint="eastAsia"/>
                <w:color w:val="auto"/>
              </w:rPr>
              <w:t>层</w:t>
            </w:r>
          </w:p>
        </w:tc>
        <w:tc>
          <w:tcPr>
            <w:tcW w:w="1564" w:type="pct"/>
            <w:shd w:val="clear" w:color="auto" w:fill="FFFFFF"/>
            <w:vAlign w:val="center"/>
          </w:tcPr>
          <w:p w14:paraId="33DD2BC7">
            <w:pPr>
              <w:pStyle w:val="45"/>
              <w:rPr>
                <w:rFonts w:hint="eastAsia"/>
                <w:color w:val="auto"/>
              </w:rPr>
            </w:pPr>
            <w:r>
              <w:rPr>
                <w:color w:val="auto"/>
              </w:rPr>
              <w:t>型钢悬挑式外脚手架</w:t>
            </w:r>
          </w:p>
        </w:tc>
        <w:tc>
          <w:tcPr>
            <w:tcW w:w="1000" w:type="pct"/>
            <w:shd w:val="clear" w:color="auto" w:fill="FFFFFF"/>
            <w:vAlign w:val="center"/>
          </w:tcPr>
          <w:p w14:paraId="46E53999">
            <w:pPr>
              <w:pStyle w:val="45"/>
              <w:rPr>
                <w:rFonts w:hint="eastAsia"/>
                <w:color w:val="auto"/>
              </w:rPr>
            </w:pPr>
            <w:r>
              <w:rPr>
                <w:color w:val="auto"/>
              </w:rPr>
              <w:t>18.8</w:t>
            </w:r>
          </w:p>
        </w:tc>
      </w:tr>
      <w:tr w14:paraId="539A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pct"/>
            <w:vMerge w:val="continue"/>
            <w:shd w:val="clear" w:color="auto" w:fill="FFFFFF"/>
            <w:vAlign w:val="center"/>
          </w:tcPr>
          <w:p w14:paraId="3455DA28">
            <w:pPr>
              <w:pStyle w:val="45"/>
              <w:rPr>
                <w:rFonts w:hint="eastAsia"/>
                <w:color w:val="auto"/>
              </w:rPr>
            </w:pPr>
          </w:p>
        </w:tc>
        <w:tc>
          <w:tcPr>
            <w:tcW w:w="570" w:type="pct"/>
            <w:shd w:val="clear" w:color="auto" w:fill="FFFFFF"/>
            <w:vAlign w:val="center"/>
          </w:tcPr>
          <w:p w14:paraId="5C9EF3D1">
            <w:pPr>
              <w:pStyle w:val="45"/>
              <w:rPr>
                <w:rFonts w:hint="eastAsia"/>
                <w:color w:val="auto"/>
              </w:rPr>
            </w:pPr>
            <w:r>
              <w:rPr>
                <w:color w:val="auto"/>
              </w:rPr>
              <w:t>3</w:t>
            </w:r>
          </w:p>
        </w:tc>
        <w:tc>
          <w:tcPr>
            <w:tcW w:w="1000" w:type="pct"/>
            <w:shd w:val="clear" w:color="auto" w:fill="FFFFFF"/>
            <w:vAlign w:val="center"/>
          </w:tcPr>
          <w:p w14:paraId="58FC771C">
            <w:pPr>
              <w:pStyle w:val="45"/>
              <w:rPr>
                <w:rFonts w:hint="eastAsia"/>
                <w:color w:val="auto"/>
              </w:rPr>
            </w:pPr>
            <w:r>
              <w:rPr>
                <w:rFonts w:hint="eastAsia"/>
                <w:color w:val="auto"/>
              </w:rPr>
              <w:t>第9层</w:t>
            </w:r>
          </w:p>
        </w:tc>
        <w:tc>
          <w:tcPr>
            <w:tcW w:w="1564" w:type="pct"/>
            <w:shd w:val="clear" w:color="auto" w:fill="FFFFFF"/>
            <w:vAlign w:val="center"/>
          </w:tcPr>
          <w:p w14:paraId="6872535F">
            <w:pPr>
              <w:pStyle w:val="45"/>
              <w:rPr>
                <w:rFonts w:hint="eastAsia"/>
                <w:color w:val="auto"/>
              </w:rPr>
            </w:pPr>
            <w:r>
              <w:rPr>
                <w:color w:val="auto"/>
              </w:rPr>
              <w:t>型钢悬挑式外脚手架</w:t>
            </w:r>
          </w:p>
        </w:tc>
        <w:tc>
          <w:tcPr>
            <w:tcW w:w="1000" w:type="pct"/>
            <w:shd w:val="clear" w:color="auto" w:fill="FFFFFF"/>
            <w:vAlign w:val="center"/>
          </w:tcPr>
          <w:p w14:paraId="04F55A6D">
            <w:pPr>
              <w:pStyle w:val="45"/>
              <w:rPr>
                <w:rFonts w:hint="eastAsia"/>
                <w:color w:val="auto"/>
              </w:rPr>
            </w:pPr>
            <w:r>
              <w:rPr>
                <w:rFonts w:hint="eastAsia"/>
                <w:color w:val="auto"/>
              </w:rPr>
              <w:t>1</w:t>
            </w:r>
            <w:r>
              <w:rPr>
                <w:color w:val="auto"/>
              </w:rPr>
              <w:t>7.5</w:t>
            </w:r>
          </w:p>
        </w:tc>
      </w:tr>
      <w:tr w14:paraId="4ABF1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pct"/>
            <w:shd w:val="clear" w:color="auto" w:fill="FFFFFF"/>
            <w:vAlign w:val="center"/>
          </w:tcPr>
          <w:p w14:paraId="738BA81D">
            <w:pPr>
              <w:pStyle w:val="45"/>
              <w:rPr>
                <w:rFonts w:hint="eastAsia"/>
                <w:color w:val="auto"/>
              </w:rPr>
            </w:pPr>
            <w:r>
              <w:rPr>
                <w:rFonts w:hint="eastAsia"/>
                <w:color w:val="auto"/>
              </w:rPr>
              <w:t>综合服务中心</w:t>
            </w:r>
          </w:p>
        </w:tc>
        <w:tc>
          <w:tcPr>
            <w:tcW w:w="570" w:type="pct"/>
            <w:shd w:val="clear" w:color="auto" w:fill="FFFFFF"/>
            <w:vAlign w:val="center"/>
          </w:tcPr>
          <w:p w14:paraId="4FBD4D08">
            <w:pPr>
              <w:pStyle w:val="45"/>
              <w:rPr>
                <w:rFonts w:hint="eastAsia"/>
                <w:color w:val="auto"/>
              </w:rPr>
            </w:pPr>
            <w:r>
              <w:rPr>
                <w:color w:val="auto"/>
              </w:rPr>
              <w:t>4</w:t>
            </w:r>
          </w:p>
        </w:tc>
        <w:tc>
          <w:tcPr>
            <w:tcW w:w="1000" w:type="pct"/>
            <w:shd w:val="clear" w:color="auto" w:fill="FFFFFF"/>
            <w:vAlign w:val="center"/>
          </w:tcPr>
          <w:p w14:paraId="2C410659">
            <w:pPr>
              <w:pStyle w:val="45"/>
              <w:rPr>
                <w:rFonts w:hint="eastAsia"/>
                <w:color w:val="auto"/>
              </w:rPr>
            </w:pPr>
            <w:r>
              <w:rPr>
                <w:color w:val="auto"/>
              </w:rPr>
              <w:t>1-4层</w:t>
            </w:r>
          </w:p>
        </w:tc>
        <w:tc>
          <w:tcPr>
            <w:tcW w:w="1564" w:type="pct"/>
            <w:shd w:val="clear" w:color="auto" w:fill="FFFFFF"/>
            <w:vAlign w:val="center"/>
          </w:tcPr>
          <w:p w14:paraId="559D4106">
            <w:pPr>
              <w:pStyle w:val="45"/>
              <w:rPr>
                <w:rFonts w:hint="eastAsia"/>
                <w:color w:val="auto"/>
              </w:rPr>
            </w:pPr>
            <w:r>
              <w:rPr>
                <w:color w:val="auto"/>
              </w:rPr>
              <w:t>落地式外脚手架</w:t>
            </w:r>
          </w:p>
        </w:tc>
        <w:tc>
          <w:tcPr>
            <w:tcW w:w="1000" w:type="pct"/>
            <w:shd w:val="clear" w:color="auto" w:fill="FFFFFF"/>
            <w:vAlign w:val="center"/>
          </w:tcPr>
          <w:p w14:paraId="0CD461F8">
            <w:pPr>
              <w:pStyle w:val="45"/>
              <w:rPr>
                <w:rFonts w:hint="eastAsia"/>
                <w:color w:val="auto"/>
              </w:rPr>
            </w:pPr>
            <w:r>
              <w:rPr>
                <w:color w:val="auto"/>
              </w:rPr>
              <w:t>22.9</w:t>
            </w:r>
          </w:p>
        </w:tc>
      </w:tr>
      <w:tr w14:paraId="199A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6" w:type="pct"/>
            <w:shd w:val="clear" w:color="auto" w:fill="FFFFFF"/>
            <w:vAlign w:val="center"/>
          </w:tcPr>
          <w:p w14:paraId="1F209396">
            <w:pPr>
              <w:pStyle w:val="45"/>
              <w:rPr>
                <w:rFonts w:hint="eastAsia"/>
                <w:color w:val="auto"/>
              </w:rPr>
            </w:pPr>
            <w:r>
              <w:rPr>
                <w:rFonts w:hint="eastAsia"/>
                <w:color w:val="auto"/>
              </w:rPr>
              <w:t>会议中心</w:t>
            </w:r>
          </w:p>
        </w:tc>
        <w:tc>
          <w:tcPr>
            <w:tcW w:w="570" w:type="pct"/>
            <w:shd w:val="clear" w:color="auto" w:fill="FFFFFF"/>
            <w:vAlign w:val="center"/>
          </w:tcPr>
          <w:p w14:paraId="3FCAA215">
            <w:pPr>
              <w:pStyle w:val="45"/>
              <w:rPr>
                <w:rFonts w:hint="eastAsia"/>
                <w:color w:val="auto"/>
              </w:rPr>
            </w:pPr>
            <w:r>
              <w:rPr>
                <w:color w:val="auto"/>
              </w:rPr>
              <w:t>4</w:t>
            </w:r>
          </w:p>
        </w:tc>
        <w:tc>
          <w:tcPr>
            <w:tcW w:w="1000" w:type="pct"/>
            <w:shd w:val="clear" w:color="auto" w:fill="FFFFFF"/>
            <w:vAlign w:val="center"/>
          </w:tcPr>
          <w:p w14:paraId="5BB8C922">
            <w:pPr>
              <w:pStyle w:val="45"/>
              <w:rPr>
                <w:rFonts w:hint="eastAsia"/>
                <w:color w:val="auto"/>
              </w:rPr>
            </w:pPr>
            <w:r>
              <w:rPr>
                <w:color w:val="auto"/>
              </w:rPr>
              <w:t>1-4层</w:t>
            </w:r>
          </w:p>
        </w:tc>
        <w:tc>
          <w:tcPr>
            <w:tcW w:w="1564" w:type="pct"/>
            <w:shd w:val="clear" w:color="auto" w:fill="FFFFFF"/>
            <w:vAlign w:val="center"/>
          </w:tcPr>
          <w:p w14:paraId="5B08FE75">
            <w:pPr>
              <w:pStyle w:val="45"/>
              <w:rPr>
                <w:rFonts w:hint="eastAsia"/>
                <w:color w:val="auto"/>
              </w:rPr>
            </w:pPr>
            <w:r>
              <w:rPr>
                <w:color w:val="auto"/>
              </w:rPr>
              <w:t>落地式外脚手架</w:t>
            </w:r>
          </w:p>
        </w:tc>
        <w:tc>
          <w:tcPr>
            <w:tcW w:w="1000" w:type="pct"/>
            <w:shd w:val="clear" w:color="auto" w:fill="FFFFFF"/>
            <w:vAlign w:val="center"/>
          </w:tcPr>
          <w:p w14:paraId="0316B7EF">
            <w:pPr>
              <w:pStyle w:val="45"/>
              <w:rPr>
                <w:rFonts w:hint="eastAsia"/>
                <w:color w:val="auto"/>
              </w:rPr>
            </w:pPr>
            <w:r>
              <w:rPr>
                <w:color w:val="auto"/>
              </w:rPr>
              <w:t>22.6</w:t>
            </w:r>
          </w:p>
        </w:tc>
      </w:tr>
    </w:tbl>
    <w:p w14:paraId="67C5BB3A">
      <w:pPr>
        <w:pStyle w:val="5"/>
        <w:rPr>
          <w:color w:val="auto"/>
        </w:rPr>
      </w:pPr>
      <w:bookmarkStart w:id="178" w:name="_Toc20653"/>
      <w:r>
        <w:rPr>
          <w:rFonts w:hint="eastAsia"/>
          <w:color w:val="auto"/>
        </w:rPr>
        <w:t>外脚手架剖面图</w:t>
      </w:r>
      <w:bookmarkEnd w:id="178"/>
    </w:p>
    <w:p w14:paraId="27AC8680">
      <w:pPr>
        <w:rPr>
          <w:color w:val="auto"/>
        </w:rPr>
      </w:pPr>
      <w:r>
        <w:rPr>
          <w:rFonts w:hint="eastAsia"/>
          <w:color w:val="auto"/>
        </w:rPr>
        <w:t>仅选取代表性的剖面示意图。</w:t>
      </w:r>
    </w:p>
    <w:p w14:paraId="20B09B98">
      <w:pPr>
        <w:pStyle w:val="65"/>
        <w:spacing w:before="163" w:after="163"/>
        <w:rPr>
          <w:color w:val="auto"/>
        </w:rPr>
      </w:pPr>
      <w:r>
        <w:rPr>
          <w:color w:val="auto"/>
        </w:rPr>
        <w:drawing>
          <wp:inline distT="0" distB="0" distL="0" distR="0">
            <wp:extent cx="2376805" cy="2914650"/>
            <wp:effectExtent l="0" t="0" r="10795" b="635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pic:cNvPicPr>
                  </pic:nvPicPr>
                  <pic:blipFill>
                    <a:blip r:embed="rId106"/>
                    <a:stretch>
                      <a:fillRect/>
                    </a:stretch>
                  </pic:blipFill>
                  <pic:spPr>
                    <a:xfrm>
                      <a:off x="0" y="0"/>
                      <a:ext cx="2376805" cy="2914650"/>
                    </a:xfrm>
                    <a:prstGeom prst="rect">
                      <a:avLst/>
                    </a:prstGeom>
                  </pic:spPr>
                </pic:pic>
              </a:graphicData>
            </a:graphic>
          </wp:inline>
        </w:drawing>
      </w:r>
      <w:r>
        <w:rPr>
          <w:rFonts w:hint="eastAsia"/>
          <w:color w:val="auto"/>
          <w:lang w:val="en-US" w:eastAsia="zh-CN"/>
        </w:rPr>
        <w:t xml:space="preserve">  </w:t>
      </w:r>
      <w:r>
        <w:rPr>
          <w:color w:val="auto"/>
        </w:rPr>
        <w:drawing>
          <wp:inline distT="0" distB="0" distL="0" distR="0">
            <wp:extent cx="2362200" cy="2991485"/>
            <wp:effectExtent l="0" t="0" r="0" b="5715"/>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pic:cNvPicPr>
                  </pic:nvPicPr>
                  <pic:blipFill>
                    <a:blip r:embed="rId107"/>
                    <a:stretch>
                      <a:fillRect/>
                    </a:stretch>
                  </pic:blipFill>
                  <pic:spPr>
                    <a:xfrm>
                      <a:off x="0" y="0"/>
                      <a:ext cx="2362200" cy="2991485"/>
                    </a:xfrm>
                    <a:prstGeom prst="rect">
                      <a:avLst/>
                    </a:prstGeom>
                  </pic:spPr>
                </pic:pic>
              </a:graphicData>
            </a:graphic>
          </wp:inline>
        </w:drawing>
      </w:r>
    </w:p>
    <w:p w14:paraId="324DC773">
      <w:pPr>
        <w:pStyle w:val="53"/>
        <w:rPr>
          <w:color w:val="auto"/>
        </w:rPr>
      </w:pPr>
      <w:r>
        <w:rPr>
          <w:rFonts w:hint="eastAsia"/>
          <w:color w:val="auto"/>
          <w:lang w:val="en-US" w:eastAsia="zh-CN"/>
        </w:rPr>
        <w:t>有（</w:t>
      </w:r>
      <w:r>
        <w:rPr>
          <w:rFonts w:hint="eastAsia"/>
          <w:color w:val="auto"/>
        </w:rPr>
        <w:t>无</w:t>
      </w:r>
      <w:r>
        <w:rPr>
          <w:rFonts w:hint="eastAsia"/>
          <w:color w:val="auto"/>
          <w:lang w:eastAsia="zh-CN"/>
        </w:rPr>
        <w:t>）</w:t>
      </w:r>
      <w:r>
        <w:rPr>
          <w:rFonts w:hint="eastAsia"/>
          <w:color w:val="auto"/>
        </w:rPr>
        <w:t>悬挑板示意图</w:t>
      </w:r>
    </w:p>
    <w:p w14:paraId="4A09D611">
      <w:pPr>
        <w:pStyle w:val="65"/>
        <w:spacing w:before="163" w:after="163"/>
        <w:rPr>
          <w:color w:val="auto"/>
        </w:rPr>
      </w:pPr>
      <w:r>
        <w:rPr>
          <w:rFonts w:hint="eastAsia"/>
          <w:color w:val="auto"/>
        </w:rPr>
        <w:drawing>
          <wp:inline distT="0" distB="0" distL="0" distR="0">
            <wp:extent cx="3145790" cy="2482215"/>
            <wp:effectExtent l="0" t="0" r="3810" b="6985"/>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3145790" cy="2482215"/>
                    </a:xfrm>
                    <a:prstGeom prst="rect">
                      <a:avLst/>
                    </a:prstGeom>
                    <a:noFill/>
                    <a:ln>
                      <a:noFill/>
                    </a:ln>
                  </pic:spPr>
                </pic:pic>
              </a:graphicData>
            </a:graphic>
          </wp:inline>
        </w:drawing>
      </w:r>
    </w:p>
    <w:p w14:paraId="766639D1">
      <w:pPr>
        <w:pStyle w:val="53"/>
        <w:rPr>
          <w:color w:val="auto"/>
        </w:rPr>
      </w:pPr>
      <w:r>
        <w:rPr>
          <w:rFonts w:hint="eastAsia"/>
          <w:color w:val="auto"/>
        </w:rPr>
        <w:t>落地式脚手架剖面示意图</w:t>
      </w:r>
    </w:p>
    <w:p w14:paraId="4AC4F97E">
      <w:pPr>
        <w:pStyle w:val="5"/>
        <w:rPr>
          <w:color w:val="auto"/>
        </w:rPr>
      </w:pPr>
      <w:bookmarkStart w:id="179" w:name="_Toc12215"/>
      <w:r>
        <w:rPr>
          <w:rFonts w:hint="eastAsia"/>
          <w:color w:val="auto"/>
        </w:rPr>
        <w:t>落地式脚手架施工方案</w:t>
      </w:r>
      <w:bookmarkEnd w:id="179"/>
    </w:p>
    <w:p w14:paraId="01A42647">
      <w:pPr>
        <w:pStyle w:val="6"/>
        <w:ind w:firstLine="480"/>
        <w:rPr>
          <w:color w:val="auto"/>
        </w:rPr>
      </w:pPr>
      <w:r>
        <w:rPr>
          <w:rFonts w:hint="eastAsia"/>
          <w:color w:val="auto"/>
        </w:rPr>
        <w:t>工艺流程</w:t>
      </w:r>
    </w:p>
    <w:p w14:paraId="115D1A8F">
      <w:pPr>
        <w:pStyle w:val="49"/>
        <w:rPr>
          <w:rFonts w:hint="eastAsia"/>
          <w:color w:val="auto"/>
        </w:rPr>
      </w:pPr>
      <w:r>
        <w:rPr>
          <w:color w:val="auto"/>
        </w:rPr>
        <w:drawing>
          <wp:inline distT="0" distB="0" distL="0" distR="0">
            <wp:extent cx="4921885" cy="1821815"/>
            <wp:effectExtent l="0" t="0" r="5715" b="6985"/>
            <wp:docPr id="344" name="图片 344" descr="C:\Users\ADMINI~1\AppData\Local\Temp\ksohtml12048\wps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图片 344" descr="C:\Users\ADMINI~1\AppData\Local\Temp\ksohtml12048\wps18.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4921885" cy="1821815"/>
                    </a:xfrm>
                    <a:prstGeom prst="rect">
                      <a:avLst/>
                    </a:prstGeom>
                    <a:noFill/>
                    <a:ln>
                      <a:noFill/>
                    </a:ln>
                  </pic:spPr>
                </pic:pic>
              </a:graphicData>
            </a:graphic>
          </wp:inline>
        </w:drawing>
      </w:r>
    </w:p>
    <w:p w14:paraId="3BD08C3C">
      <w:pPr>
        <w:pStyle w:val="53"/>
        <w:rPr>
          <w:color w:val="auto"/>
        </w:rPr>
      </w:pPr>
      <w:r>
        <w:rPr>
          <w:rFonts w:hint="eastAsia"/>
          <w:color w:val="auto"/>
        </w:rPr>
        <w:t>落地式脚手架施工工艺流程图</w:t>
      </w:r>
    </w:p>
    <w:p w14:paraId="4AA0A630">
      <w:pPr>
        <w:pStyle w:val="6"/>
        <w:ind w:firstLine="480"/>
        <w:rPr>
          <w:color w:val="auto"/>
        </w:rPr>
      </w:pPr>
      <w:r>
        <w:rPr>
          <w:rFonts w:hint="eastAsia"/>
          <w:color w:val="auto"/>
        </w:rPr>
        <w:t>脚手架的搭设</w:t>
      </w:r>
    </w:p>
    <w:p w14:paraId="10144D11">
      <w:pPr>
        <w:rPr>
          <w:color w:val="auto"/>
        </w:rPr>
      </w:pPr>
      <w:r>
        <w:rPr>
          <w:rFonts w:hint="eastAsia"/>
          <w:color w:val="auto"/>
        </w:rPr>
        <w:t>外脚手架在主体结构施工时开始搭设。外脚手架立杆纵距为1500mm，横距为800mm，水平杆竖向步距为1800mm，外侧相邻水平杆之间加设一道防护栏杆。立杆采用对接扣件连接，对接扣件应交错布置，相邻立杆接头位置的错开不小于500mm。各接头与中心节点相距不应大于步距的1/3即600mm（详见下图）。扫地杆采用直角扣件固定在距离底座上部200mm处的立杆上，连墙件用Φ48×3.6预埋钢管与脚手架连接，脚手架外侧沿纵向水平方向每隔9m设置剪刀撑一组，横向设置横向斜撑，剪刀撑与水平地面的夹角为45～60度，剪刀撑的设置应保持连续性设置，撑杆与撑杆的搭接处不少于3只扣件，搭接长度不少于1000mm。</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3DBA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vAlign w:val="center"/>
          </w:tcPr>
          <w:p w14:paraId="75DD3F8B">
            <w:pPr>
              <w:pStyle w:val="45"/>
              <w:rPr>
                <w:rFonts w:hint="eastAsia"/>
                <w:color w:val="auto"/>
              </w:rPr>
            </w:pPr>
            <w:r>
              <w:rPr>
                <w:rFonts w:hint="eastAsia"/>
                <w:color w:val="auto"/>
              </w:rPr>
              <w:t>立杆对接示意图</w:t>
            </w:r>
          </w:p>
        </w:tc>
      </w:tr>
      <w:tr w14:paraId="2CD96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vAlign w:val="center"/>
          </w:tcPr>
          <w:p w14:paraId="5C406116">
            <w:pPr>
              <w:pStyle w:val="45"/>
              <w:rPr>
                <w:rFonts w:hint="eastAsia"/>
                <w:color w:val="auto"/>
              </w:rPr>
            </w:pPr>
            <w:r>
              <w:rPr>
                <w:color w:val="auto"/>
              </w:rPr>
              <w:drawing>
                <wp:inline distT="0" distB="0" distL="0" distR="0">
                  <wp:extent cx="2311400" cy="2001520"/>
                  <wp:effectExtent l="0" t="0" r="12700" b="1778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noChangeArrowheads="1"/>
                          </pic:cNvPicPr>
                        </pic:nvPicPr>
                        <pic:blipFill>
                          <a:blip r:embed="rId110" cstate="print">
                            <a:extLst>
                              <a:ext uri="{28A0092B-C50C-407E-A947-70E740481C1C}">
                                <a14:useLocalDpi xmlns:a14="http://schemas.microsoft.com/office/drawing/2010/main" val="0"/>
                              </a:ext>
                            </a:extLst>
                          </a:blip>
                          <a:srcRect l="30141" t="52774" r="38432" b="11581"/>
                          <a:stretch>
                            <a:fillRect/>
                          </a:stretch>
                        </pic:blipFill>
                        <pic:spPr>
                          <a:xfrm>
                            <a:off x="0" y="0"/>
                            <a:ext cx="2327679" cy="2015221"/>
                          </a:xfrm>
                          <a:prstGeom prst="rect">
                            <a:avLst/>
                          </a:prstGeom>
                          <a:noFill/>
                          <a:ln>
                            <a:noFill/>
                          </a:ln>
                        </pic:spPr>
                      </pic:pic>
                    </a:graphicData>
                  </a:graphic>
                </wp:inline>
              </w:drawing>
            </w:r>
          </w:p>
        </w:tc>
      </w:tr>
      <w:tr w14:paraId="649E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tcBorders>
              <w:bottom w:val="single" w:color="auto" w:sz="4" w:space="0"/>
            </w:tcBorders>
            <w:tcMar>
              <w:top w:w="57" w:type="dxa"/>
              <w:bottom w:w="57" w:type="dxa"/>
            </w:tcMar>
            <w:vAlign w:val="center"/>
          </w:tcPr>
          <w:p w14:paraId="2A74F9C5">
            <w:pPr>
              <w:pStyle w:val="45"/>
              <w:rPr>
                <w:rFonts w:hint="eastAsia"/>
                <w:color w:val="auto"/>
              </w:rPr>
            </w:pPr>
            <w:r>
              <w:rPr>
                <w:rFonts w:hint="eastAsia"/>
                <w:color w:val="auto"/>
              </w:rPr>
              <w:t>外脚手架立面布置图</w:t>
            </w:r>
          </w:p>
        </w:tc>
      </w:tr>
      <w:tr w14:paraId="6680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tcMar>
              <w:top w:w="57" w:type="dxa"/>
              <w:bottom w:w="57" w:type="dxa"/>
            </w:tcMar>
            <w:vAlign w:val="center"/>
          </w:tcPr>
          <w:p w14:paraId="37EEFD81">
            <w:pPr>
              <w:pStyle w:val="45"/>
              <w:rPr>
                <w:rFonts w:hint="eastAsia"/>
                <w:color w:val="auto"/>
              </w:rPr>
            </w:pPr>
            <w:r>
              <w:rPr>
                <w:color w:val="auto"/>
              </w:rPr>
              <w:drawing>
                <wp:inline distT="0" distB="0" distL="0" distR="0">
                  <wp:extent cx="4053840" cy="3648710"/>
                  <wp:effectExtent l="0" t="0" r="3810" b="889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noChangeArrowheads="1"/>
                          </pic:cNvPicPr>
                        </pic:nvPicPr>
                        <pic:blipFill>
                          <a:blip r:embed="rId111" cstate="print">
                            <a:extLst>
                              <a:ext uri="{28A0092B-C50C-407E-A947-70E740481C1C}">
                                <a14:useLocalDpi xmlns:a14="http://schemas.microsoft.com/office/drawing/2010/main" val="0"/>
                              </a:ext>
                            </a:extLst>
                          </a:blip>
                          <a:srcRect l="31709" t="9464" r="26730" b="12059"/>
                          <a:stretch>
                            <a:fillRect/>
                          </a:stretch>
                        </pic:blipFill>
                        <pic:spPr>
                          <a:xfrm>
                            <a:off x="0" y="0"/>
                            <a:ext cx="4059758" cy="3653782"/>
                          </a:xfrm>
                          <a:prstGeom prst="rect">
                            <a:avLst/>
                          </a:prstGeom>
                          <a:noFill/>
                          <a:ln>
                            <a:noFill/>
                          </a:ln>
                        </pic:spPr>
                      </pic:pic>
                    </a:graphicData>
                  </a:graphic>
                </wp:inline>
              </w:drawing>
            </w:r>
          </w:p>
        </w:tc>
      </w:tr>
      <w:tr w14:paraId="294FF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tcMar>
              <w:top w:w="57" w:type="dxa"/>
              <w:bottom w:w="57" w:type="dxa"/>
            </w:tcMar>
            <w:vAlign w:val="center"/>
          </w:tcPr>
          <w:p w14:paraId="58936329">
            <w:pPr>
              <w:pStyle w:val="45"/>
              <w:rPr>
                <w:rFonts w:hint="eastAsia"/>
                <w:color w:val="auto"/>
              </w:rPr>
            </w:pPr>
            <w:r>
              <w:rPr>
                <w:rFonts w:hint="eastAsia"/>
                <w:color w:val="auto"/>
              </w:rPr>
              <w:t>外脚手架立面布置图</w:t>
            </w:r>
          </w:p>
        </w:tc>
      </w:tr>
      <w:tr w14:paraId="3593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tcMar>
              <w:top w:w="57" w:type="dxa"/>
              <w:bottom w:w="57" w:type="dxa"/>
            </w:tcMar>
            <w:vAlign w:val="center"/>
          </w:tcPr>
          <w:p w14:paraId="7C7BD47D">
            <w:pPr>
              <w:pStyle w:val="45"/>
              <w:rPr>
                <w:rFonts w:hint="eastAsia"/>
                <w:color w:val="auto"/>
              </w:rPr>
            </w:pPr>
            <w:r>
              <w:rPr>
                <w:color w:val="auto"/>
              </w:rPr>
              <w:drawing>
                <wp:inline distT="0" distB="0" distL="0" distR="0">
                  <wp:extent cx="2551430" cy="2258060"/>
                  <wp:effectExtent l="0" t="0" r="1270" b="254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noChangeArrowheads="1"/>
                          </pic:cNvPicPr>
                        </pic:nvPicPr>
                        <pic:blipFill>
                          <a:blip r:embed="rId112" cstate="print">
                            <a:extLst>
                              <a:ext uri="{28A0092B-C50C-407E-A947-70E740481C1C}">
                                <a14:useLocalDpi xmlns:a14="http://schemas.microsoft.com/office/drawing/2010/main" val="0"/>
                              </a:ext>
                            </a:extLst>
                          </a:blip>
                          <a:srcRect l="57364" t="43114" r="28783" b="30028"/>
                          <a:stretch>
                            <a:fillRect/>
                          </a:stretch>
                        </pic:blipFill>
                        <pic:spPr>
                          <a:xfrm>
                            <a:off x="0" y="0"/>
                            <a:ext cx="2551430" cy="2258060"/>
                          </a:xfrm>
                          <a:prstGeom prst="rect">
                            <a:avLst/>
                          </a:prstGeom>
                          <a:noFill/>
                          <a:ln>
                            <a:noFill/>
                          </a:ln>
                        </pic:spPr>
                      </pic:pic>
                    </a:graphicData>
                  </a:graphic>
                </wp:inline>
              </w:drawing>
            </w:r>
          </w:p>
        </w:tc>
      </w:tr>
    </w:tbl>
    <w:p w14:paraId="01D148DA">
      <w:pPr>
        <w:rPr>
          <w:color w:val="auto"/>
        </w:rPr>
      </w:pPr>
      <w:r>
        <w:rPr>
          <w:rFonts w:hint="eastAsia"/>
          <w:color w:val="auto"/>
        </w:rPr>
        <w:t>连墙件宜设置在梁上，偏离梁中心距离不应大于300mm，并应从底层第一步纵向水平杆处开始设置，连墙件按两步三跨设置，连墙件的竖向间距为3600mm，水平间距为4500mm。当预埋钢管有困难时，应采用柱拉结措施固定，连墙件与柱的拉结形式如下图所示：</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0"/>
      </w:tblGrid>
      <w:tr w14:paraId="1F204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tcMar>
              <w:top w:w="57" w:type="dxa"/>
              <w:bottom w:w="57" w:type="dxa"/>
            </w:tcMar>
            <w:vAlign w:val="center"/>
          </w:tcPr>
          <w:p w14:paraId="54E475D0">
            <w:pPr>
              <w:pStyle w:val="45"/>
              <w:rPr>
                <w:rFonts w:hint="eastAsia"/>
                <w:color w:val="auto"/>
              </w:rPr>
            </w:pPr>
            <w:r>
              <w:rPr>
                <w:rFonts w:hint="eastAsia"/>
                <w:color w:val="auto"/>
              </w:rPr>
              <w:t>预埋钢管</w:t>
            </w:r>
          </w:p>
        </w:tc>
        <w:tc>
          <w:tcPr>
            <w:tcW w:w="2500" w:type="pct"/>
            <w:tcMar>
              <w:top w:w="57" w:type="dxa"/>
              <w:bottom w:w="57" w:type="dxa"/>
            </w:tcMar>
            <w:vAlign w:val="center"/>
          </w:tcPr>
          <w:p w14:paraId="5B888341">
            <w:pPr>
              <w:pStyle w:val="45"/>
              <w:rPr>
                <w:rFonts w:hint="eastAsia"/>
                <w:color w:val="auto"/>
              </w:rPr>
            </w:pPr>
            <w:r>
              <w:rPr>
                <w:rFonts w:hint="eastAsia"/>
                <w:color w:val="auto"/>
              </w:rPr>
              <w:t>柱拉结</w:t>
            </w:r>
          </w:p>
        </w:tc>
      </w:tr>
      <w:tr w14:paraId="4F5E5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tcBorders>
              <w:bottom w:val="single" w:color="auto" w:sz="4" w:space="0"/>
            </w:tcBorders>
            <w:tcMar>
              <w:top w:w="57" w:type="dxa"/>
              <w:bottom w:w="57" w:type="dxa"/>
            </w:tcMar>
            <w:vAlign w:val="center"/>
          </w:tcPr>
          <w:p w14:paraId="34FE37A3">
            <w:pPr>
              <w:pStyle w:val="45"/>
              <w:rPr>
                <w:rFonts w:hint="eastAsia"/>
                <w:color w:val="auto"/>
              </w:rPr>
            </w:pPr>
            <w:r>
              <w:rPr>
                <w:color w:val="auto"/>
              </w:rPr>
              <w:drawing>
                <wp:inline distT="0" distB="0" distL="0" distR="0">
                  <wp:extent cx="2466975" cy="1552575"/>
                  <wp:effectExtent l="0" t="0" r="9525" b="9525"/>
                  <wp:docPr id="253" name="图片 253" descr="C:\Users\Administrator\Desktop\W2%}@UN@}`4RY33QL9_UMG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descr="C:\Users\Administrator\Desktop\W2%}@UN@}`4RY33QL9_UMGT.pn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2466975" cy="1552575"/>
                          </a:xfrm>
                          <a:prstGeom prst="rect">
                            <a:avLst/>
                          </a:prstGeom>
                          <a:noFill/>
                          <a:ln>
                            <a:noFill/>
                          </a:ln>
                        </pic:spPr>
                      </pic:pic>
                    </a:graphicData>
                  </a:graphic>
                </wp:inline>
              </w:drawing>
            </w:r>
          </w:p>
        </w:tc>
        <w:tc>
          <w:tcPr>
            <w:tcW w:w="2500" w:type="pct"/>
            <w:tcBorders>
              <w:bottom w:val="single" w:color="auto" w:sz="4" w:space="0"/>
            </w:tcBorders>
            <w:tcMar>
              <w:top w:w="57" w:type="dxa"/>
              <w:bottom w:w="57" w:type="dxa"/>
            </w:tcMar>
            <w:vAlign w:val="center"/>
          </w:tcPr>
          <w:p w14:paraId="17A92788">
            <w:pPr>
              <w:pStyle w:val="45"/>
              <w:rPr>
                <w:rFonts w:hint="eastAsia"/>
                <w:color w:val="auto"/>
              </w:rPr>
            </w:pPr>
            <w:r>
              <w:rPr>
                <w:color w:val="auto"/>
              </w:rPr>
              <w:drawing>
                <wp:inline distT="0" distB="0" distL="0" distR="0">
                  <wp:extent cx="2651760" cy="1554480"/>
                  <wp:effectExtent l="0" t="0" r="0" b="7620"/>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114" cstate="print">
                            <a:extLst>
                              <a:ext uri="{28A0092B-C50C-407E-A947-70E740481C1C}">
                                <a14:useLocalDpi xmlns:a14="http://schemas.microsoft.com/office/drawing/2010/main" val="0"/>
                              </a:ext>
                            </a:extLst>
                          </a:blip>
                          <a:srcRect l="28680" t="26755" r="40993" b="33142"/>
                          <a:stretch>
                            <a:fillRect/>
                          </a:stretch>
                        </pic:blipFill>
                        <pic:spPr>
                          <a:xfrm>
                            <a:off x="0" y="0"/>
                            <a:ext cx="2651760" cy="1554480"/>
                          </a:xfrm>
                          <a:prstGeom prst="rect">
                            <a:avLst/>
                          </a:prstGeom>
                          <a:noFill/>
                          <a:ln>
                            <a:noFill/>
                          </a:ln>
                        </pic:spPr>
                      </pic:pic>
                    </a:graphicData>
                  </a:graphic>
                </wp:inline>
              </w:drawing>
            </w:r>
          </w:p>
        </w:tc>
      </w:tr>
    </w:tbl>
    <w:p w14:paraId="70915292">
      <w:pPr>
        <w:rPr>
          <w:color w:val="auto"/>
        </w:rPr>
      </w:pPr>
      <w:r>
        <w:rPr>
          <w:rFonts w:hint="eastAsia"/>
          <w:color w:val="auto"/>
        </w:rPr>
        <w:t>1、底部处理</w:t>
      </w:r>
    </w:p>
    <w:p w14:paraId="12198E19">
      <w:pPr>
        <w:rPr>
          <w:color w:val="auto"/>
        </w:rPr>
      </w:pPr>
      <w:r>
        <w:rPr>
          <w:rFonts w:hint="eastAsia"/>
          <w:color w:val="auto"/>
        </w:rPr>
        <w:t>本工程落地式脚手架基础均为100厚C20混凝土垫层，并且立杆下均需设置可调底托或木质垫板。</w:t>
      </w:r>
    </w:p>
    <w:p w14:paraId="796D0DA6">
      <w:pPr>
        <w:rPr>
          <w:color w:val="auto"/>
        </w:rPr>
      </w:pPr>
      <w:r>
        <w:rPr>
          <w:rFonts w:hint="eastAsia"/>
          <w:color w:val="auto"/>
        </w:rPr>
        <w:t>2、放线定位</w:t>
      </w:r>
    </w:p>
    <w:p w14:paraId="67B19ED3">
      <w:pPr>
        <w:rPr>
          <w:color w:val="auto"/>
        </w:rPr>
      </w:pPr>
      <w:r>
        <w:rPr>
          <w:rFonts w:hint="eastAsia"/>
          <w:color w:val="auto"/>
        </w:rPr>
        <w:t>根据施工方案测量出四角立杆位置，从一角开始用钢卷尺排出其余各个立杆的位置，并做好标记。垫板应准确地放在定位线上，垫板必须铺放平稳，不得悬空。</w:t>
      </w:r>
    </w:p>
    <w:p w14:paraId="2426F8DE">
      <w:pPr>
        <w:rPr>
          <w:color w:val="auto"/>
        </w:rPr>
      </w:pPr>
      <w:r>
        <w:rPr>
          <w:rFonts w:hint="eastAsia"/>
          <w:color w:val="auto"/>
        </w:rPr>
        <w:t>3、调整可调托座：</w:t>
      </w:r>
    </w:p>
    <w:p w14:paraId="06262BED">
      <w:pPr>
        <w:rPr>
          <w:color w:val="auto"/>
        </w:rPr>
      </w:pPr>
      <w:r>
        <w:rPr>
          <w:rFonts w:hint="eastAsia"/>
          <w:color w:val="auto"/>
        </w:rPr>
        <w:t>依脚手架配置图尺寸放样后，将可调托座排列至定点，本工程大面不使用可调托座，局部位置若需使用，可根据实际情况安装。</w:t>
      </w:r>
    </w:p>
    <w:p w14:paraId="016FDD52">
      <w:pPr>
        <w:rPr>
          <w:color w:val="auto"/>
        </w:rPr>
      </w:pPr>
      <w:r>
        <w:rPr>
          <w:rFonts w:hint="eastAsia"/>
          <w:color w:val="auto"/>
        </w:rPr>
        <w:t>4、立杆</w:t>
      </w:r>
    </w:p>
    <w:p w14:paraId="3B8A4B6F">
      <w:pPr>
        <w:rPr>
          <w:color w:val="auto"/>
        </w:rPr>
      </w:pPr>
      <w:r>
        <w:rPr>
          <w:rFonts w:hint="eastAsia"/>
          <w:color w:val="auto"/>
        </w:rPr>
        <w:t>立杆纵距1.5m，横距0.9m，内排立杆距结构边0.25~0.60m（详见剖面图），内排立杆与结构之间缝隙采用硬质防护及水平兜网隔层布置的方法封闭。脚手架首层立杆应采用不同的长度立杆交错布置，立杆顶端高出女儿墙1.5m。</w:t>
      </w:r>
    </w:p>
    <w:p w14:paraId="437CC774">
      <w:pPr>
        <w:rPr>
          <w:color w:val="auto"/>
        </w:rPr>
      </w:pPr>
      <w:r>
        <w:rPr>
          <w:rFonts w:hint="eastAsia"/>
          <w:color w:val="auto"/>
        </w:rPr>
        <w:t>将水平杆头套入圆盘小孔位置使 水平杆头前端抵住主架圆管，再以斜楔贯穿小孔敲紧固定。</w:t>
      </w:r>
    </w:p>
    <w:tbl>
      <w:tblPr>
        <w:tblStyle w:val="2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061B2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vAlign w:val="center"/>
          </w:tcPr>
          <w:p w14:paraId="24FC8230">
            <w:pPr>
              <w:pStyle w:val="45"/>
              <w:spacing w:before="32" w:beforeLines="10" w:after="32" w:afterLines="10"/>
              <w:ind w:firstLine="480"/>
              <w:rPr>
                <w:rFonts w:hint="eastAsia"/>
                <w:color w:val="auto"/>
              </w:rPr>
            </w:pPr>
            <w:r>
              <w:rPr>
                <w:rFonts w:hint="eastAsia"/>
                <w:color w:val="auto"/>
              </w:rPr>
              <w:drawing>
                <wp:inline distT="0" distB="0" distL="114300" distR="114300">
                  <wp:extent cx="2647315" cy="1799590"/>
                  <wp:effectExtent l="0" t="0" r="4445" b="13970"/>
                  <wp:docPr id="19" name="图片 17" descr="wps8C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7" descr="wps8CF8"/>
                          <pic:cNvPicPr>
                            <a:picLocks noChangeAspect="1"/>
                          </pic:cNvPicPr>
                        </pic:nvPicPr>
                        <pic:blipFill>
                          <a:blip r:embed="rId115"/>
                          <a:stretch>
                            <a:fillRect/>
                          </a:stretch>
                        </pic:blipFill>
                        <pic:spPr>
                          <a:xfrm>
                            <a:off x="0" y="0"/>
                            <a:ext cx="2647315" cy="1799590"/>
                          </a:xfrm>
                          <a:prstGeom prst="rect">
                            <a:avLst/>
                          </a:prstGeom>
                          <a:noFill/>
                          <a:ln>
                            <a:noFill/>
                          </a:ln>
                        </pic:spPr>
                      </pic:pic>
                    </a:graphicData>
                  </a:graphic>
                </wp:inline>
              </w:drawing>
            </w:r>
            <w:r>
              <w:rPr>
                <w:rFonts w:hint="eastAsia"/>
                <w:color w:val="auto"/>
              </w:rPr>
              <w:drawing>
                <wp:inline distT="0" distB="0" distL="114300" distR="114300">
                  <wp:extent cx="943610" cy="1799590"/>
                  <wp:effectExtent l="0" t="0" r="1270" b="13970"/>
                  <wp:docPr id="64" name="图片 18" descr="wps8C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8" descr="wps8CF9"/>
                          <pic:cNvPicPr>
                            <a:picLocks noChangeAspect="1"/>
                          </pic:cNvPicPr>
                        </pic:nvPicPr>
                        <pic:blipFill>
                          <a:blip r:embed="rId116"/>
                          <a:stretch>
                            <a:fillRect/>
                          </a:stretch>
                        </pic:blipFill>
                        <pic:spPr>
                          <a:xfrm>
                            <a:off x="0" y="0"/>
                            <a:ext cx="943610" cy="1799590"/>
                          </a:xfrm>
                          <a:prstGeom prst="rect">
                            <a:avLst/>
                          </a:prstGeom>
                          <a:noFill/>
                          <a:ln>
                            <a:noFill/>
                          </a:ln>
                        </pic:spPr>
                      </pic:pic>
                    </a:graphicData>
                  </a:graphic>
                </wp:inline>
              </w:drawing>
            </w:r>
            <w:r>
              <w:rPr>
                <w:rFonts w:hint="eastAsia"/>
                <w:color w:val="auto"/>
              </w:rPr>
              <w:drawing>
                <wp:inline distT="0" distB="0" distL="114300" distR="114300">
                  <wp:extent cx="1618615" cy="1799590"/>
                  <wp:effectExtent l="0" t="0" r="12065" b="13970"/>
                  <wp:docPr id="65" name="图片 19" descr="wps8CF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19" descr="wps8CFA"/>
                          <pic:cNvPicPr>
                            <a:picLocks noChangeAspect="1"/>
                          </pic:cNvPicPr>
                        </pic:nvPicPr>
                        <pic:blipFill>
                          <a:blip r:embed="rId117"/>
                          <a:stretch>
                            <a:fillRect/>
                          </a:stretch>
                        </pic:blipFill>
                        <pic:spPr>
                          <a:xfrm>
                            <a:off x="0" y="0"/>
                            <a:ext cx="1618615" cy="1799590"/>
                          </a:xfrm>
                          <a:prstGeom prst="rect">
                            <a:avLst/>
                          </a:prstGeom>
                          <a:noFill/>
                          <a:ln>
                            <a:noFill/>
                          </a:ln>
                        </pic:spPr>
                      </pic:pic>
                    </a:graphicData>
                  </a:graphic>
                </wp:inline>
              </w:drawing>
            </w:r>
          </w:p>
        </w:tc>
      </w:tr>
      <w:tr w14:paraId="0A5CE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vAlign w:val="center"/>
          </w:tcPr>
          <w:p w14:paraId="5A6C5DF2">
            <w:pPr>
              <w:pStyle w:val="90"/>
              <w:spacing w:before="32" w:beforeLines="10" w:after="32" w:afterLines="10" w:line="240" w:lineRule="auto"/>
              <w:rPr>
                <w:rFonts w:hint="eastAsia" w:hAnsi="宋体"/>
                <w:color w:val="auto"/>
              </w:rPr>
            </w:pPr>
            <w:r>
              <w:rPr>
                <w:rFonts w:hAnsi="宋体"/>
                <w:color w:val="auto"/>
              </w:rPr>
              <w:t>架体搭设示意图</w:t>
            </w:r>
          </w:p>
        </w:tc>
      </w:tr>
    </w:tbl>
    <w:p w14:paraId="4ED45AD0">
      <w:pPr>
        <w:spacing w:before="24" w:beforeLines="10" w:after="24" w:afterLines="10" w:line="432" w:lineRule="auto"/>
        <w:ind w:firstLine="560"/>
        <w:rPr>
          <w:color w:val="auto"/>
          <w:sz w:val="28"/>
          <w:szCs w:val="28"/>
        </w:rPr>
      </w:pPr>
      <w:r>
        <w:rPr>
          <w:color w:val="auto"/>
          <w:sz w:val="28"/>
          <w:szCs w:val="28"/>
        </w:rPr>
        <w:t>5、扫地杆设置</w:t>
      </w:r>
    </w:p>
    <w:p w14:paraId="0384B57B">
      <w:pPr>
        <w:spacing w:before="24" w:beforeLines="10" w:after="24" w:afterLines="10" w:line="432" w:lineRule="auto"/>
        <w:ind w:firstLine="560"/>
        <w:rPr>
          <w:color w:val="auto"/>
          <w:sz w:val="28"/>
          <w:szCs w:val="28"/>
        </w:rPr>
      </w:pPr>
      <w:r>
        <w:rPr>
          <w:color w:val="auto"/>
          <w:sz w:val="28"/>
          <w:szCs w:val="28"/>
        </w:rPr>
        <w:t>脚手架底部设置纵、横向扫地杆，扫地杆距地面高度550mm。</w:t>
      </w:r>
    </w:p>
    <w:p w14:paraId="2816A1CF">
      <w:pPr>
        <w:spacing w:before="24" w:beforeLines="10" w:after="24" w:afterLines="10" w:line="432" w:lineRule="auto"/>
        <w:ind w:firstLine="560"/>
        <w:rPr>
          <w:color w:val="auto"/>
          <w:sz w:val="28"/>
          <w:szCs w:val="28"/>
        </w:rPr>
      </w:pPr>
      <w:r>
        <w:rPr>
          <w:color w:val="auto"/>
          <w:sz w:val="28"/>
          <w:szCs w:val="28"/>
        </w:rPr>
        <w:t>6、脚手板</w:t>
      </w:r>
    </w:p>
    <w:p w14:paraId="3C4E1417">
      <w:pPr>
        <w:spacing w:before="24" w:beforeLines="10" w:after="24" w:afterLines="10" w:line="432" w:lineRule="auto"/>
        <w:ind w:firstLine="560"/>
        <w:rPr>
          <w:color w:val="auto"/>
          <w:sz w:val="28"/>
          <w:szCs w:val="28"/>
        </w:rPr>
      </w:pPr>
      <w:r>
        <w:rPr>
          <w:color w:val="auto"/>
          <w:sz w:val="28"/>
          <w:szCs w:val="28"/>
        </w:rPr>
        <w:t>脚手板采用300mm×1500mm的钢踏板。作业层脚手板应铺满、铺稳，并做到严密、牢固、铺稳、铺实、铺平。在作业层下部架设一道水平兜网，随作业层上升。首层及作业层下一层必须满铺钢踏板。钢脚手板的挂钩必须完全扣在水平杆上，挂钩必须处于锁住状态，作业层脚手板应满铺，脚手板必须铺至建筑物结构。</w:t>
      </w:r>
    </w:p>
    <w:tbl>
      <w:tblPr>
        <w:tblStyle w:val="2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1F596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62614DFF">
            <w:pPr>
              <w:pStyle w:val="45"/>
              <w:spacing w:before="24" w:beforeLines="10" w:after="24" w:afterLines="10" w:line="432" w:lineRule="auto"/>
              <w:ind w:firstLine="480"/>
              <w:rPr>
                <w:color w:val="auto"/>
              </w:rPr>
            </w:pPr>
            <w:r>
              <w:rPr>
                <w:color w:val="auto"/>
              </w:rPr>
              <w:fldChar w:fldCharType="begin"/>
            </w:r>
            <w:r>
              <w:rPr>
                <w:color w:val="auto"/>
              </w:rPr>
              <w:instrText xml:space="preserve"> INCLUDEPICTURE "D:\\Users\\15872\\xwechat_files\\wxid_ytwphxfekv6z22_7839\\msg\\file\\05打印版\\维护性标书\\Documents\\WeChat%20Files\\wxid_9qdhsr0zjksr22\\FileStorage\\郭郭思~1\\AppData\\Local\\Temp\\ksohtml\\wps8CFB.tmp.png" \* MERGEFORMAT </w:instrText>
            </w:r>
            <w:r>
              <w:rPr>
                <w:color w:val="auto"/>
              </w:rPr>
              <w:fldChar w:fldCharType="separate"/>
            </w:r>
            <w:r>
              <w:rPr>
                <w:rFonts w:hint="eastAsia"/>
                <w:color w:val="auto"/>
              </w:rPr>
              <w:drawing>
                <wp:inline distT="0" distB="0" distL="114300" distR="114300">
                  <wp:extent cx="3424555" cy="1390650"/>
                  <wp:effectExtent l="0" t="0" r="4445" b="0"/>
                  <wp:docPr id="72" name="图片 17" descr="wps8C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7" descr="wps8CFB"/>
                          <pic:cNvPicPr>
                            <a:picLocks noChangeAspect="1"/>
                          </pic:cNvPicPr>
                        </pic:nvPicPr>
                        <pic:blipFill>
                          <a:blip r:embed="rId118"/>
                          <a:stretch>
                            <a:fillRect/>
                          </a:stretch>
                        </pic:blipFill>
                        <pic:spPr>
                          <a:xfrm>
                            <a:off x="0" y="0"/>
                            <a:ext cx="3424555" cy="1390650"/>
                          </a:xfrm>
                          <a:prstGeom prst="rect">
                            <a:avLst/>
                          </a:prstGeom>
                          <a:noFill/>
                          <a:ln>
                            <a:noFill/>
                          </a:ln>
                        </pic:spPr>
                      </pic:pic>
                    </a:graphicData>
                  </a:graphic>
                </wp:inline>
              </w:drawing>
            </w:r>
            <w:r>
              <w:rPr>
                <w:color w:val="auto"/>
              </w:rPr>
              <w:fldChar w:fldCharType="end"/>
            </w:r>
          </w:p>
        </w:tc>
      </w:tr>
      <w:tr w14:paraId="31E34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7B7CFAD9">
            <w:pPr>
              <w:pStyle w:val="90"/>
              <w:spacing w:before="24" w:beforeLines="10" w:after="24" w:afterLines="10" w:line="432" w:lineRule="auto"/>
              <w:rPr>
                <w:rFonts w:hAnsi="宋体"/>
                <w:color w:val="auto"/>
                <w:sz w:val="28"/>
                <w:szCs w:val="28"/>
              </w:rPr>
            </w:pPr>
            <w:r>
              <w:rPr>
                <w:rFonts w:hAnsi="宋体"/>
                <w:color w:val="auto"/>
                <w:sz w:val="28"/>
                <w:szCs w:val="28"/>
              </w:rPr>
              <w:t>挂钩踏板布置</w:t>
            </w:r>
          </w:p>
        </w:tc>
      </w:tr>
      <w:tr w14:paraId="6FC2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69B1EB02">
            <w:pPr>
              <w:pStyle w:val="90"/>
              <w:spacing w:before="24" w:beforeLines="10" w:after="24" w:afterLines="10" w:line="432" w:lineRule="auto"/>
              <w:rPr>
                <w:rFonts w:hAnsi="宋体"/>
                <w:color w:val="auto"/>
                <w:sz w:val="28"/>
                <w:szCs w:val="28"/>
              </w:rPr>
            </w:pPr>
            <w:r>
              <w:rPr>
                <w:rFonts w:hAnsi="宋体"/>
                <w:color w:val="auto"/>
                <w:sz w:val="28"/>
                <w:szCs w:val="28"/>
              </w:rPr>
              <w:fldChar w:fldCharType="begin"/>
            </w:r>
            <w:r>
              <w:rPr>
                <w:color w:val="auto"/>
              </w:rPr>
              <w:instrText xml:space="preserve"> INCLUDEPICTURE "D:\\Users\\15872\\xwechat_files\\wxid_ytwphxfekv6z22_7839\\msg\\file\\05打印版\\维护性标书\\Documents\\WeChat%20Files\\wxid_9qdhsr0zjksr22\\FileStorage\\郭郭思~1\\AppData\\Local\\Temp\\ksohtml\\wps8CFC.tmp.png" \* MERGEFORMAT </w:instrText>
            </w:r>
            <w:r>
              <w:rPr>
                <w:rFonts w:hAnsi="宋体"/>
                <w:color w:val="auto"/>
                <w:sz w:val="28"/>
                <w:szCs w:val="28"/>
              </w:rPr>
              <w:fldChar w:fldCharType="separate"/>
            </w:r>
            <w:r>
              <w:rPr>
                <w:rFonts w:hint="eastAsia" w:hAnsi="宋体"/>
                <w:color w:val="auto"/>
                <w:sz w:val="28"/>
                <w:szCs w:val="28"/>
              </w:rPr>
              <w:drawing>
                <wp:inline distT="0" distB="0" distL="114300" distR="114300">
                  <wp:extent cx="2947670" cy="958215"/>
                  <wp:effectExtent l="0" t="0" r="0" b="0"/>
                  <wp:docPr id="71" name="图片 18" descr="wps8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8" descr="wps8CFC"/>
                          <pic:cNvPicPr>
                            <a:picLocks noChangeAspect="1"/>
                          </pic:cNvPicPr>
                        </pic:nvPicPr>
                        <pic:blipFill>
                          <a:blip r:embed="rId119"/>
                          <a:stretch>
                            <a:fillRect/>
                          </a:stretch>
                        </pic:blipFill>
                        <pic:spPr>
                          <a:xfrm>
                            <a:off x="0" y="0"/>
                            <a:ext cx="2947670" cy="958215"/>
                          </a:xfrm>
                          <a:prstGeom prst="rect">
                            <a:avLst/>
                          </a:prstGeom>
                          <a:noFill/>
                          <a:ln>
                            <a:noFill/>
                          </a:ln>
                        </pic:spPr>
                      </pic:pic>
                    </a:graphicData>
                  </a:graphic>
                </wp:inline>
              </w:drawing>
            </w:r>
            <w:r>
              <w:rPr>
                <w:rFonts w:hAnsi="宋体"/>
                <w:color w:val="auto"/>
                <w:sz w:val="28"/>
                <w:szCs w:val="28"/>
              </w:rPr>
              <w:fldChar w:fldCharType="end"/>
            </w:r>
          </w:p>
        </w:tc>
      </w:tr>
      <w:tr w14:paraId="772D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ED43805">
            <w:pPr>
              <w:pStyle w:val="90"/>
              <w:spacing w:before="24" w:beforeLines="10" w:after="24" w:afterLines="10" w:line="432" w:lineRule="auto"/>
              <w:rPr>
                <w:rFonts w:hAnsi="宋体"/>
                <w:color w:val="auto"/>
                <w:sz w:val="28"/>
                <w:szCs w:val="28"/>
              </w:rPr>
            </w:pPr>
            <w:r>
              <w:rPr>
                <w:rFonts w:hAnsi="宋体"/>
                <w:color w:val="auto"/>
                <w:sz w:val="28"/>
                <w:szCs w:val="28"/>
              </w:rPr>
              <w:t>挂钩踏板防脱装置</w:t>
            </w:r>
          </w:p>
        </w:tc>
      </w:tr>
    </w:tbl>
    <w:p w14:paraId="4EE15127">
      <w:pPr>
        <w:spacing w:before="24" w:beforeLines="10" w:after="24" w:afterLines="10" w:line="432" w:lineRule="auto"/>
        <w:ind w:firstLine="560"/>
        <w:rPr>
          <w:color w:val="auto"/>
          <w:sz w:val="28"/>
          <w:szCs w:val="28"/>
        </w:rPr>
      </w:pPr>
      <w:r>
        <w:rPr>
          <w:color w:val="auto"/>
          <w:sz w:val="28"/>
          <w:szCs w:val="28"/>
        </w:rPr>
        <w:t>7、安全立网</w:t>
      </w:r>
    </w:p>
    <w:p w14:paraId="7F1AFA15">
      <w:pPr>
        <w:pStyle w:val="96"/>
        <w:snapToGrid/>
        <w:spacing w:before="24" w:beforeLines="10" w:after="24" w:afterLines="10" w:line="432" w:lineRule="auto"/>
        <w:ind w:firstLine="560"/>
        <w:rPr>
          <w:color w:val="auto"/>
          <w:sz w:val="28"/>
          <w:szCs w:val="28"/>
        </w:rPr>
      </w:pPr>
      <w:r>
        <w:rPr>
          <w:color w:val="auto"/>
          <w:sz w:val="28"/>
          <w:szCs w:val="28"/>
        </w:rPr>
        <w:t>本工程脚手架外立面围护采用1.8×6.0阻燃密目（2000目/100平方厘米）安全网全封闭，安全平网采用1.5m×6m安全网，所用材料均应符合国家规范要求。</w:t>
      </w:r>
    </w:p>
    <w:p w14:paraId="7EBDB3CE">
      <w:pPr>
        <w:pStyle w:val="96"/>
        <w:snapToGrid/>
        <w:spacing w:before="24" w:beforeLines="10" w:after="24" w:afterLines="10" w:line="432" w:lineRule="auto"/>
        <w:ind w:firstLine="560"/>
        <w:rPr>
          <w:color w:val="auto"/>
          <w:sz w:val="28"/>
          <w:szCs w:val="28"/>
        </w:rPr>
      </w:pPr>
      <w:r>
        <w:rPr>
          <w:color w:val="auto"/>
          <w:sz w:val="28"/>
          <w:szCs w:val="28"/>
        </w:rPr>
        <w:t>在外立杆外侧竖向挂设密目式安全网，密目式安全网一定要张紧，网片之间搭接200mm，并用18#铁丝绑牢；水平安全网用尼龙纺织的安全网；安全网全部挂在脚手架上。</w:t>
      </w:r>
    </w:p>
    <w:p w14:paraId="10F9B438">
      <w:pPr>
        <w:pStyle w:val="96"/>
        <w:snapToGrid/>
        <w:spacing w:before="24" w:beforeLines="10" w:after="24" w:afterLines="10" w:line="432" w:lineRule="auto"/>
        <w:ind w:firstLine="560"/>
        <w:rPr>
          <w:color w:val="auto"/>
          <w:sz w:val="28"/>
          <w:szCs w:val="28"/>
        </w:rPr>
      </w:pPr>
      <w:r>
        <w:rPr>
          <w:color w:val="auto"/>
          <w:sz w:val="28"/>
          <w:szCs w:val="28"/>
        </w:rPr>
        <w:t>8、连墙件</w:t>
      </w:r>
    </w:p>
    <w:p w14:paraId="797A706F">
      <w:pPr>
        <w:pStyle w:val="96"/>
        <w:snapToGrid/>
        <w:spacing w:before="24" w:beforeLines="10" w:after="24" w:afterLines="10" w:line="432" w:lineRule="auto"/>
        <w:ind w:firstLine="560"/>
        <w:rPr>
          <w:color w:val="auto"/>
          <w:sz w:val="28"/>
          <w:szCs w:val="28"/>
        </w:rPr>
      </w:pPr>
      <w:r>
        <w:rPr>
          <w:color w:val="auto"/>
          <w:sz w:val="28"/>
          <w:szCs w:val="28"/>
        </w:rPr>
        <w:t>连墙件使用新型预埋螺栓式连墙件，连墙件分为三个部分：塑料预埋件、双头螺杆、连墙拉结钢管。</w:t>
      </w:r>
    </w:p>
    <w:p w14:paraId="73E97AC4">
      <w:pPr>
        <w:pStyle w:val="96"/>
        <w:snapToGrid/>
        <w:spacing w:before="24" w:beforeLines="10" w:after="24" w:afterLines="10" w:line="432" w:lineRule="auto"/>
        <w:ind w:firstLine="560"/>
        <w:rPr>
          <w:color w:val="auto"/>
          <w:sz w:val="28"/>
          <w:szCs w:val="28"/>
        </w:rPr>
      </w:pPr>
      <w:r>
        <w:rPr>
          <w:color w:val="auto"/>
          <w:sz w:val="28"/>
          <w:szCs w:val="28"/>
        </w:rPr>
        <w:t>塑料预埋件长100mm，一端设置方形螺母，另一端为预留孔。主体结构施工时，采用定型锁扣，将塑料预埋件与模板夹紧，拆模后，将定型锁扣拆除，扭入双头螺杆，随后双头螺杆和连墙拉结钢管紧固。</w:t>
      </w:r>
    </w:p>
    <w:p w14:paraId="5002897A">
      <w:pPr>
        <w:pStyle w:val="96"/>
        <w:snapToGrid/>
        <w:spacing w:before="24" w:beforeLines="10" w:after="24" w:afterLines="10" w:line="432" w:lineRule="auto"/>
        <w:ind w:firstLine="560"/>
        <w:rPr>
          <w:color w:val="auto"/>
          <w:sz w:val="28"/>
          <w:szCs w:val="28"/>
        </w:rPr>
      </w:pPr>
      <w:r>
        <w:rPr>
          <w:color w:val="auto"/>
          <w:sz w:val="28"/>
          <w:szCs w:val="28"/>
        </w:rPr>
        <w:t>当连墙件设置不能满足布置间距要求时，按照同连墙件设置的间距加设抛撑，与地面夹角为45°～60°。</w:t>
      </w:r>
    </w:p>
    <w:tbl>
      <w:tblPr>
        <w:tblStyle w:val="2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515D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8"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6F32CFA2">
            <w:pPr>
              <w:pStyle w:val="90"/>
              <w:spacing w:before="24" w:beforeLines="10" w:after="24" w:afterLines="10" w:line="432" w:lineRule="auto"/>
              <w:rPr>
                <w:rFonts w:hAnsi="宋体"/>
                <w:color w:val="auto"/>
                <w:sz w:val="28"/>
                <w:szCs w:val="28"/>
              </w:rPr>
            </w:pPr>
            <w:r>
              <w:rPr>
                <w:rFonts w:hAnsi="宋体"/>
                <w:color w:val="auto"/>
                <w:sz w:val="28"/>
                <w:szCs w:val="28"/>
              </w:rPr>
              <w:fldChar w:fldCharType="begin"/>
            </w:r>
            <w:r>
              <w:rPr>
                <w:color w:val="auto"/>
              </w:rPr>
              <w:instrText xml:space="preserve"> INCLUDEPICTURE "D:\\Users\\15872\\xwechat_files\\wxid_ytwphxfekv6z22_7839\\msg\\file\\05打印版\\维护性标书\\Documents\\WeChat%20Files\\wxid_9qdhsr0zjksr22\\FileStorage\\郭郭思~1\\AppData\\Local\\Temp\\ksohtml\\wps8D0D.tmp.jpg" \* MERGEFORMAT </w:instrText>
            </w:r>
            <w:r>
              <w:rPr>
                <w:rFonts w:hAnsi="宋体"/>
                <w:color w:val="auto"/>
                <w:sz w:val="28"/>
                <w:szCs w:val="28"/>
              </w:rPr>
              <w:fldChar w:fldCharType="separate"/>
            </w:r>
            <w:r>
              <w:rPr>
                <w:rFonts w:hint="eastAsia" w:hAnsi="宋体"/>
                <w:color w:val="auto"/>
                <w:sz w:val="28"/>
                <w:szCs w:val="28"/>
              </w:rPr>
              <w:drawing>
                <wp:inline distT="0" distB="0" distL="114300" distR="114300">
                  <wp:extent cx="3402965" cy="1146810"/>
                  <wp:effectExtent l="0" t="0" r="635" b="8890"/>
                  <wp:docPr id="74" name="图片 19" descr="wps8D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9" descr="wps8D0D"/>
                          <pic:cNvPicPr>
                            <a:picLocks noChangeAspect="1"/>
                          </pic:cNvPicPr>
                        </pic:nvPicPr>
                        <pic:blipFill>
                          <a:blip r:embed="rId120"/>
                          <a:stretch>
                            <a:fillRect/>
                          </a:stretch>
                        </pic:blipFill>
                        <pic:spPr>
                          <a:xfrm>
                            <a:off x="0" y="0"/>
                            <a:ext cx="3402965" cy="1146810"/>
                          </a:xfrm>
                          <a:prstGeom prst="rect">
                            <a:avLst/>
                          </a:prstGeom>
                          <a:noFill/>
                          <a:ln>
                            <a:noFill/>
                          </a:ln>
                        </pic:spPr>
                      </pic:pic>
                    </a:graphicData>
                  </a:graphic>
                </wp:inline>
              </w:drawing>
            </w:r>
            <w:r>
              <w:rPr>
                <w:rFonts w:hAnsi="宋体"/>
                <w:color w:val="auto"/>
                <w:sz w:val="28"/>
                <w:szCs w:val="28"/>
              </w:rPr>
              <w:fldChar w:fldCharType="end"/>
            </w:r>
          </w:p>
        </w:tc>
      </w:tr>
      <w:tr w14:paraId="772E5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0D08A9E4">
            <w:pPr>
              <w:pStyle w:val="90"/>
              <w:spacing w:before="24" w:beforeLines="10" w:after="24" w:afterLines="10" w:line="432" w:lineRule="auto"/>
              <w:rPr>
                <w:rFonts w:hAnsi="宋体"/>
                <w:color w:val="auto"/>
                <w:sz w:val="28"/>
                <w:szCs w:val="28"/>
              </w:rPr>
            </w:pPr>
            <w:r>
              <w:rPr>
                <w:rFonts w:hAnsi="宋体"/>
                <w:color w:val="auto"/>
                <w:sz w:val="28"/>
                <w:szCs w:val="28"/>
              </w:rPr>
              <w:t>双头螺杆</w:t>
            </w:r>
          </w:p>
        </w:tc>
      </w:tr>
    </w:tbl>
    <w:p w14:paraId="2F45689E">
      <w:pPr>
        <w:spacing w:before="24" w:beforeLines="10" w:after="24" w:afterLines="10" w:line="432" w:lineRule="auto"/>
        <w:ind w:firstLine="560"/>
        <w:rPr>
          <w:color w:val="auto"/>
          <w:sz w:val="28"/>
          <w:szCs w:val="28"/>
        </w:rPr>
      </w:pPr>
      <w:r>
        <w:rPr>
          <w:color w:val="auto"/>
          <w:sz w:val="28"/>
          <w:szCs w:val="28"/>
        </w:rPr>
        <w:t>双头螺杆型号为M14，长140mm，一端连接方形螺母，一端连接连墙拉结钢管。</w:t>
      </w:r>
    </w:p>
    <w:p w14:paraId="47E8808A">
      <w:pPr>
        <w:spacing w:before="24" w:beforeLines="10" w:after="24" w:afterLines="10" w:line="432" w:lineRule="auto"/>
        <w:ind w:firstLine="560"/>
        <w:rPr>
          <w:color w:val="auto"/>
          <w:sz w:val="28"/>
          <w:szCs w:val="28"/>
        </w:rPr>
      </w:pPr>
      <w:r>
        <w:rPr>
          <w:color w:val="auto"/>
          <w:sz w:val="28"/>
          <w:szCs w:val="28"/>
        </w:rPr>
        <w:t>连墙拉结钢管采用普通48</w:t>
      </w:r>
      <w:r>
        <w:rPr>
          <w:rFonts w:hint="eastAsia"/>
          <w:color w:val="auto"/>
          <w:sz w:val="28"/>
          <w:szCs w:val="28"/>
        </w:rPr>
        <w:t>×</w:t>
      </w:r>
      <w:r>
        <w:rPr>
          <w:color w:val="auto"/>
          <w:sz w:val="28"/>
          <w:szCs w:val="28"/>
        </w:rPr>
        <w:t>3.0钢管，一端内焊圆螺母与双头螺杆连接。</w:t>
      </w:r>
    </w:p>
    <w:tbl>
      <w:tblPr>
        <w:tblStyle w:val="2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664E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439A59D5">
            <w:pPr>
              <w:pStyle w:val="90"/>
              <w:spacing w:before="24" w:beforeLines="10" w:after="24" w:afterLines="10" w:line="432" w:lineRule="auto"/>
              <w:rPr>
                <w:rFonts w:hAnsi="宋体"/>
                <w:color w:val="auto"/>
                <w:sz w:val="28"/>
                <w:szCs w:val="28"/>
              </w:rPr>
            </w:pPr>
            <w:r>
              <w:rPr>
                <w:rFonts w:hAnsi="宋体"/>
                <w:color w:val="auto"/>
                <w:sz w:val="28"/>
                <w:szCs w:val="28"/>
              </w:rPr>
              <w:fldChar w:fldCharType="begin"/>
            </w:r>
            <w:r>
              <w:rPr>
                <w:color w:val="auto"/>
              </w:rPr>
              <w:instrText xml:space="preserve"> INCLUDEPICTURE "D:\\Users\\15872\\xwechat_files\\wxid_ytwphxfekv6z22_7839\\msg\\file\\05打印版\\维护性标书\\Documents\\WeChat%20Files\\wxid_9qdhsr0zjksr22\\FileStorage\\郭郭思~1\\AppData\\Local\\Temp\\ksohtml\\wps8D0E.tmp.jpg" \* MERGEFORMAT </w:instrText>
            </w:r>
            <w:r>
              <w:rPr>
                <w:rFonts w:hAnsi="宋体"/>
                <w:color w:val="auto"/>
                <w:sz w:val="28"/>
                <w:szCs w:val="28"/>
              </w:rPr>
              <w:fldChar w:fldCharType="separate"/>
            </w:r>
            <w:r>
              <w:rPr>
                <w:rFonts w:hint="eastAsia" w:hAnsi="宋体"/>
                <w:color w:val="auto"/>
                <w:sz w:val="28"/>
                <w:szCs w:val="28"/>
              </w:rPr>
              <w:drawing>
                <wp:inline distT="0" distB="0" distL="114300" distR="114300">
                  <wp:extent cx="2129790" cy="1616075"/>
                  <wp:effectExtent l="0" t="0" r="3810" b="9525"/>
                  <wp:docPr id="70" name="图片 20" descr="wps8D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20" descr="wps8D0E"/>
                          <pic:cNvPicPr>
                            <a:picLocks noChangeAspect="1"/>
                          </pic:cNvPicPr>
                        </pic:nvPicPr>
                        <pic:blipFill>
                          <a:blip r:embed="rId121"/>
                          <a:stretch>
                            <a:fillRect/>
                          </a:stretch>
                        </pic:blipFill>
                        <pic:spPr>
                          <a:xfrm>
                            <a:off x="0" y="0"/>
                            <a:ext cx="2129790" cy="1616075"/>
                          </a:xfrm>
                          <a:prstGeom prst="rect">
                            <a:avLst/>
                          </a:prstGeom>
                          <a:noFill/>
                          <a:ln>
                            <a:noFill/>
                          </a:ln>
                        </pic:spPr>
                      </pic:pic>
                    </a:graphicData>
                  </a:graphic>
                </wp:inline>
              </w:drawing>
            </w:r>
            <w:r>
              <w:rPr>
                <w:rFonts w:hAnsi="宋体"/>
                <w:color w:val="auto"/>
                <w:sz w:val="28"/>
                <w:szCs w:val="28"/>
              </w:rPr>
              <w:fldChar w:fldCharType="end"/>
            </w:r>
          </w:p>
        </w:tc>
      </w:tr>
      <w:tr w14:paraId="7EE3A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10A399E7">
            <w:pPr>
              <w:pStyle w:val="90"/>
              <w:spacing w:before="24" w:beforeLines="10" w:after="24" w:afterLines="10" w:line="432" w:lineRule="auto"/>
              <w:rPr>
                <w:rFonts w:hAnsi="宋体"/>
                <w:color w:val="auto"/>
                <w:sz w:val="28"/>
                <w:szCs w:val="28"/>
              </w:rPr>
            </w:pPr>
            <w:r>
              <w:rPr>
                <w:rFonts w:hAnsi="宋体"/>
                <w:color w:val="auto"/>
                <w:sz w:val="28"/>
                <w:szCs w:val="28"/>
              </w:rPr>
              <w:t>连墙件</w:t>
            </w:r>
          </w:p>
        </w:tc>
      </w:tr>
    </w:tbl>
    <w:p w14:paraId="7A507CA3">
      <w:pPr>
        <w:spacing w:before="24" w:beforeLines="10" w:after="24" w:afterLines="10" w:line="432" w:lineRule="auto"/>
        <w:ind w:firstLine="560"/>
        <w:rPr>
          <w:color w:val="auto"/>
          <w:sz w:val="28"/>
          <w:szCs w:val="28"/>
        </w:rPr>
      </w:pPr>
      <w:r>
        <w:rPr>
          <w:color w:val="auto"/>
          <w:sz w:val="28"/>
          <w:szCs w:val="28"/>
        </w:rPr>
        <w:t>9、斜杆</w:t>
      </w:r>
    </w:p>
    <w:p w14:paraId="47A141BD">
      <w:pPr>
        <w:spacing w:before="24" w:beforeLines="10" w:after="24" w:afterLines="10" w:line="432" w:lineRule="auto"/>
        <w:ind w:firstLine="560"/>
        <w:rPr>
          <w:color w:val="auto"/>
          <w:sz w:val="28"/>
          <w:szCs w:val="28"/>
        </w:rPr>
      </w:pPr>
      <w:r>
        <w:rPr>
          <w:color w:val="auto"/>
          <w:sz w:val="28"/>
          <w:szCs w:val="28"/>
        </w:rPr>
        <w:t>竖向斜拉杆设置原则：搭设高度在24m以下时，应每隔5跨设置一道，搭设高度在24m及以上时，应每隔3跨设置一道，相邻竖向斜撑杆应朝向对称呈八字型设置。每道竖向斜撑杆、竖向交叉拉杆应在作业脚手架外侧相邻纵向立杆间由底至顶按步连续设置。斜拉杆、立杆、水平杆连接节点如下图所示：</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77"/>
        <w:gridCol w:w="2781"/>
      </w:tblGrid>
      <w:tr w14:paraId="190CC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448" w:type="pct"/>
            <w:tcBorders>
              <w:top w:val="single" w:color="auto" w:sz="4" w:space="0"/>
              <w:left w:val="single" w:color="auto" w:sz="4" w:space="0"/>
              <w:bottom w:val="single" w:color="auto" w:sz="4" w:space="0"/>
              <w:right w:val="single" w:color="auto" w:sz="4" w:space="0"/>
            </w:tcBorders>
            <w:noWrap w:val="0"/>
            <w:tcMar>
              <w:top w:w="28" w:type="dxa"/>
              <w:left w:w="57" w:type="dxa"/>
              <w:bottom w:w="28" w:type="dxa"/>
              <w:right w:w="57" w:type="dxa"/>
            </w:tcMar>
            <w:vAlign w:val="center"/>
          </w:tcPr>
          <w:p w14:paraId="0AF1A56F">
            <w:pPr>
              <w:pStyle w:val="90"/>
              <w:spacing w:before="24" w:beforeLines="10" w:after="24" w:afterLines="10" w:line="432" w:lineRule="auto"/>
              <w:rPr>
                <w:rFonts w:hAnsi="宋体"/>
                <w:color w:val="auto"/>
                <w:sz w:val="28"/>
                <w:szCs w:val="28"/>
              </w:rPr>
            </w:pPr>
            <w:r>
              <w:rPr>
                <w:rFonts w:hAnsi="宋体"/>
                <w:color w:val="auto"/>
                <w:sz w:val="28"/>
                <w:szCs w:val="28"/>
              </w:rPr>
              <w:fldChar w:fldCharType="begin"/>
            </w:r>
            <w:r>
              <w:rPr>
                <w:color w:val="auto"/>
              </w:rPr>
              <w:instrText xml:space="preserve"> INCLUDEPICTURE "D:\\Users\\15872\\xwechat_files\\wxid_ytwphxfekv6z22_7839\\msg\\file\\05打印版\\维护性标书\\Documents\\WeChat%20Files\\wxid_9qdhsr0zjksr22\\FileStorage\\郭郭思~1\\AppData\\Local\\Temp\\ksohtml\\wps8D0F.tmp.jpg" \* MERGEFORMAT </w:instrText>
            </w:r>
            <w:r>
              <w:rPr>
                <w:rFonts w:hAnsi="宋体"/>
                <w:color w:val="auto"/>
                <w:sz w:val="28"/>
                <w:szCs w:val="28"/>
              </w:rPr>
              <w:fldChar w:fldCharType="separate"/>
            </w:r>
            <w:r>
              <w:rPr>
                <w:rFonts w:hint="eastAsia" w:hAnsi="宋体"/>
                <w:color w:val="auto"/>
                <w:sz w:val="28"/>
                <w:szCs w:val="28"/>
              </w:rPr>
              <w:drawing>
                <wp:inline distT="0" distB="0" distL="114300" distR="114300">
                  <wp:extent cx="1053465" cy="1181100"/>
                  <wp:effectExtent l="0" t="0" r="635" b="0"/>
                  <wp:docPr id="69" name="图片 21" descr="wps8D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1" descr="wps8D0F"/>
                          <pic:cNvPicPr>
                            <a:picLocks noChangeAspect="1"/>
                          </pic:cNvPicPr>
                        </pic:nvPicPr>
                        <pic:blipFill>
                          <a:blip r:embed="rId122"/>
                          <a:stretch>
                            <a:fillRect/>
                          </a:stretch>
                        </pic:blipFill>
                        <pic:spPr>
                          <a:xfrm>
                            <a:off x="0" y="0"/>
                            <a:ext cx="1053465" cy="1181100"/>
                          </a:xfrm>
                          <a:prstGeom prst="rect">
                            <a:avLst/>
                          </a:prstGeom>
                          <a:noFill/>
                          <a:ln>
                            <a:noFill/>
                          </a:ln>
                        </pic:spPr>
                      </pic:pic>
                    </a:graphicData>
                  </a:graphic>
                </wp:inline>
              </w:drawing>
            </w:r>
            <w:r>
              <w:rPr>
                <w:rFonts w:hAnsi="宋体"/>
                <w:color w:val="auto"/>
                <w:sz w:val="28"/>
                <w:szCs w:val="28"/>
              </w:rPr>
              <w:fldChar w:fldCharType="end"/>
            </w:r>
          </w:p>
        </w:tc>
        <w:tc>
          <w:tcPr>
            <w:tcW w:w="1552" w:type="pct"/>
            <w:tcBorders>
              <w:top w:val="single" w:color="auto" w:sz="4" w:space="0"/>
              <w:left w:val="single" w:color="auto" w:sz="4" w:space="0"/>
              <w:bottom w:val="single" w:color="auto" w:sz="4" w:space="0"/>
              <w:right w:val="single" w:color="auto" w:sz="4" w:space="0"/>
            </w:tcBorders>
            <w:noWrap w:val="0"/>
            <w:tcMar>
              <w:top w:w="28" w:type="dxa"/>
              <w:left w:w="57" w:type="dxa"/>
              <w:bottom w:w="28" w:type="dxa"/>
              <w:right w:w="57" w:type="dxa"/>
            </w:tcMar>
            <w:vAlign w:val="center"/>
          </w:tcPr>
          <w:p w14:paraId="74F0E2C2">
            <w:pPr>
              <w:pStyle w:val="90"/>
              <w:keepNext w:val="0"/>
              <w:keepLines w:val="0"/>
              <w:pageBreakBefore w:val="0"/>
              <w:widowControl w:val="0"/>
              <w:kinsoku/>
              <w:wordWrap/>
              <w:overflowPunct/>
              <w:topLinePunct w:val="0"/>
              <w:autoSpaceDE/>
              <w:autoSpaceDN/>
              <w:bidi w:val="0"/>
              <w:adjustRightInd/>
              <w:snapToGrid/>
              <w:spacing w:line="240" w:lineRule="auto"/>
              <w:textAlignment w:val="auto"/>
              <w:rPr>
                <w:rFonts w:hAnsi="宋体"/>
                <w:color w:val="auto"/>
                <w:sz w:val="28"/>
                <w:szCs w:val="28"/>
              </w:rPr>
            </w:pPr>
            <w:r>
              <w:rPr>
                <w:rFonts w:hAnsi="宋体"/>
                <w:color w:val="auto"/>
                <w:sz w:val="28"/>
                <w:szCs w:val="28"/>
              </w:rPr>
              <w:t>斜拉杆、立杆、水平杆连接节点示意图</w:t>
            </w:r>
          </w:p>
        </w:tc>
      </w:tr>
      <w:tr w14:paraId="26B3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5" w:hRule="atLeast"/>
          <w:jc w:val="center"/>
        </w:trPr>
        <w:tc>
          <w:tcPr>
            <w:tcW w:w="3448" w:type="pct"/>
            <w:tcBorders>
              <w:top w:val="single" w:color="auto" w:sz="4" w:space="0"/>
              <w:left w:val="single" w:color="auto" w:sz="4" w:space="0"/>
              <w:bottom w:val="single" w:color="auto" w:sz="4" w:space="0"/>
              <w:right w:val="single" w:color="auto" w:sz="4" w:space="0"/>
            </w:tcBorders>
            <w:noWrap w:val="0"/>
            <w:tcMar>
              <w:top w:w="28" w:type="dxa"/>
              <w:left w:w="57" w:type="dxa"/>
              <w:bottom w:w="28" w:type="dxa"/>
              <w:right w:w="57" w:type="dxa"/>
            </w:tcMar>
            <w:vAlign w:val="center"/>
          </w:tcPr>
          <w:p w14:paraId="17382E90">
            <w:pPr>
              <w:pStyle w:val="90"/>
              <w:spacing w:before="24" w:beforeLines="10" w:after="24" w:afterLines="10" w:line="432" w:lineRule="auto"/>
              <w:rPr>
                <w:rFonts w:hAnsi="宋体"/>
                <w:color w:val="auto"/>
                <w:sz w:val="28"/>
                <w:szCs w:val="28"/>
              </w:rPr>
            </w:pPr>
            <w:r>
              <w:rPr>
                <w:rFonts w:hAnsi="宋体"/>
                <w:color w:val="auto"/>
                <w:sz w:val="28"/>
                <w:szCs w:val="28"/>
              </w:rPr>
              <w:fldChar w:fldCharType="begin"/>
            </w:r>
            <w:r>
              <w:rPr>
                <w:color w:val="auto"/>
              </w:rPr>
              <w:instrText xml:space="preserve"> INCLUDEPICTURE "D:\\Users\\15872\\xwechat_files\\wxid_ytwphxfekv6z22_7839\\msg\\file\\05打印版\\维护性标书\\Documents\\WeChat%20Files\\wxid_9qdhsr0zjksr22\\FileStorage\\郭郭思~1\\AppData\\Local\\Temp\\ksohtml\\wps8D10.tmp.jpg" \* MERGEFORMAT </w:instrText>
            </w:r>
            <w:r>
              <w:rPr>
                <w:rFonts w:hAnsi="宋体"/>
                <w:color w:val="auto"/>
                <w:sz w:val="28"/>
                <w:szCs w:val="28"/>
              </w:rPr>
              <w:fldChar w:fldCharType="separate"/>
            </w:r>
            <w:r>
              <w:rPr>
                <w:rFonts w:hint="eastAsia" w:hAnsi="宋体"/>
                <w:color w:val="auto"/>
                <w:sz w:val="28"/>
                <w:szCs w:val="28"/>
              </w:rPr>
              <w:drawing>
                <wp:inline distT="0" distB="0" distL="114300" distR="114300">
                  <wp:extent cx="2581910" cy="2620010"/>
                  <wp:effectExtent l="0" t="0" r="8890" b="8890"/>
                  <wp:docPr id="73" name="图片 22" descr="wps8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2" descr="wps8D10"/>
                          <pic:cNvPicPr>
                            <a:picLocks noChangeAspect="1"/>
                          </pic:cNvPicPr>
                        </pic:nvPicPr>
                        <pic:blipFill>
                          <a:blip r:embed="rId123"/>
                          <a:stretch>
                            <a:fillRect/>
                          </a:stretch>
                        </pic:blipFill>
                        <pic:spPr>
                          <a:xfrm>
                            <a:off x="0" y="0"/>
                            <a:ext cx="2581910" cy="2620010"/>
                          </a:xfrm>
                          <a:prstGeom prst="rect">
                            <a:avLst/>
                          </a:prstGeom>
                          <a:noFill/>
                          <a:ln>
                            <a:noFill/>
                          </a:ln>
                        </pic:spPr>
                      </pic:pic>
                    </a:graphicData>
                  </a:graphic>
                </wp:inline>
              </w:drawing>
            </w:r>
            <w:r>
              <w:rPr>
                <w:rFonts w:hAnsi="宋体"/>
                <w:color w:val="auto"/>
                <w:sz w:val="28"/>
                <w:szCs w:val="28"/>
              </w:rPr>
              <w:fldChar w:fldCharType="end"/>
            </w:r>
          </w:p>
        </w:tc>
        <w:tc>
          <w:tcPr>
            <w:tcW w:w="1552" w:type="pct"/>
            <w:tcBorders>
              <w:top w:val="single" w:color="auto" w:sz="4" w:space="0"/>
              <w:left w:val="single" w:color="auto" w:sz="4" w:space="0"/>
              <w:bottom w:val="single" w:color="auto" w:sz="4" w:space="0"/>
              <w:right w:val="single" w:color="auto" w:sz="4" w:space="0"/>
            </w:tcBorders>
            <w:noWrap w:val="0"/>
            <w:tcMar>
              <w:top w:w="28" w:type="dxa"/>
              <w:left w:w="57" w:type="dxa"/>
              <w:bottom w:w="28" w:type="dxa"/>
              <w:right w:w="57" w:type="dxa"/>
            </w:tcMar>
            <w:vAlign w:val="center"/>
          </w:tcPr>
          <w:p w14:paraId="764909FB">
            <w:pPr>
              <w:pStyle w:val="90"/>
              <w:keepNext w:val="0"/>
              <w:keepLines w:val="0"/>
              <w:pageBreakBefore w:val="0"/>
              <w:widowControl w:val="0"/>
              <w:kinsoku/>
              <w:wordWrap/>
              <w:overflowPunct/>
              <w:topLinePunct w:val="0"/>
              <w:autoSpaceDE/>
              <w:autoSpaceDN/>
              <w:bidi w:val="0"/>
              <w:adjustRightInd/>
              <w:snapToGrid/>
              <w:spacing w:line="240" w:lineRule="auto"/>
              <w:textAlignment w:val="auto"/>
              <w:rPr>
                <w:rFonts w:hAnsi="宋体"/>
                <w:color w:val="auto"/>
                <w:sz w:val="28"/>
                <w:szCs w:val="28"/>
              </w:rPr>
            </w:pPr>
            <w:r>
              <w:rPr>
                <w:rFonts w:hAnsi="宋体"/>
                <w:color w:val="auto"/>
                <w:sz w:val="28"/>
                <w:szCs w:val="28"/>
              </w:rPr>
              <w:t>外立面斜拉杆搭法示意图</w:t>
            </w:r>
          </w:p>
        </w:tc>
      </w:tr>
    </w:tbl>
    <w:p w14:paraId="3C0F11A6">
      <w:pPr>
        <w:spacing w:before="24" w:beforeLines="10" w:after="24" w:afterLines="10" w:line="432" w:lineRule="auto"/>
        <w:ind w:firstLine="560"/>
        <w:rPr>
          <w:color w:val="auto"/>
          <w:sz w:val="28"/>
          <w:szCs w:val="28"/>
        </w:rPr>
      </w:pPr>
      <w:r>
        <w:rPr>
          <w:color w:val="auto"/>
          <w:sz w:val="28"/>
          <w:szCs w:val="28"/>
        </w:rPr>
        <w:t>10、防护设施</w:t>
      </w:r>
    </w:p>
    <w:p w14:paraId="18564123">
      <w:pPr>
        <w:spacing w:before="24" w:beforeLines="10" w:after="24" w:afterLines="10" w:line="432" w:lineRule="auto"/>
        <w:ind w:firstLine="560"/>
        <w:rPr>
          <w:color w:val="auto"/>
          <w:sz w:val="28"/>
          <w:szCs w:val="28"/>
        </w:rPr>
      </w:pPr>
      <w:r>
        <w:rPr>
          <w:color w:val="auto"/>
          <w:sz w:val="28"/>
          <w:szCs w:val="28"/>
        </w:rPr>
        <w:t>1、外架与外结构面之间，在每个作业层，使用水平防护兜网封闭防护。</w:t>
      </w:r>
    </w:p>
    <w:p w14:paraId="44B026B7">
      <w:pPr>
        <w:spacing w:before="24" w:beforeLines="10" w:after="24" w:afterLines="10" w:line="432" w:lineRule="auto"/>
        <w:ind w:firstLine="560"/>
        <w:rPr>
          <w:color w:val="auto"/>
          <w:sz w:val="28"/>
          <w:szCs w:val="28"/>
        </w:rPr>
      </w:pPr>
      <w:r>
        <w:rPr>
          <w:color w:val="auto"/>
          <w:sz w:val="28"/>
          <w:szCs w:val="28"/>
        </w:rPr>
        <w:t>2、在铺设钢踏板的操作层上必须在外排立杆内侧距脚手板面500mm、1000mm处设两道拦腰杆。在铺脚手板的操作层设置一道200mm高木制挡脚板。</w:t>
      </w:r>
    </w:p>
    <w:tbl>
      <w:tblPr>
        <w:tblStyle w:val="29"/>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72C6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57039F13">
            <w:pPr>
              <w:pStyle w:val="90"/>
              <w:spacing w:before="24" w:beforeLines="10" w:after="24" w:afterLines="10" w:line="432" w:lineRule="auto"/>
              <w:rPr>
                <w:rFonts w:hAnsi="宋体"/>
                <w:color w:val="auto"/>
                <w:sz w:val="28"/>
                <w:szCs w:val="28"/>
              </w:rPr>
            </w:pPr>
            <w:r>
              <w:rPr>
                <w:rFonts w:hAnsi="宋体"/>
                <w:color w:val="auto"/>
                <w:sz w:val="28"/>
                <w:szCs w:val="28"/>
              </w:rPr>
              <w:fldChar w:fldCharType="begin"/>
            </w:r>
            <w:r>
              <w:rPr>
                <w:color w:val="auto"/>
              </w:rPr>
              <w:instrText xml:space="preserve"> INCLUDEPICTURE "D:\\Users\\15872\\xwechat_files\\wxid_ytwphxfekv6z22_7839\\msg\\file\\05打印版\\维护性标书\\Documents\\WeChat%20Files\\wxid_9qdhsr0zjksr22\\FileStorage\\郭郭思~1\\AppData\\Local\\Temp\\ksohtml\\wps8D11.tmp.png" \* MERGEFORMAT </w:instrText>
            </w:r>
            <w:r>
              <w:rPr>
                <w:rFonts w:hAnsi="宋体"/>
                <w:color w:val="auto"/>
                <w:sz w:val="28"/>
                <w:szCs w:val="28"/>
              </w:rPr>
              <w:fldChar w:fldCharType="separate"/>
            </w:r>
            <w:r>
              <w:rPr>
                <w:rFonts w:hint="eastAsia" w:hAnsi="宋体"/>
                <w:color w:val="auto"/>
                <w:sz w:val="28"/>
                <w:szCs w:val="28"/>
              </w:rPr>
              <w:drawing>
                <wp:inline distT="0" distB="0" distL="114300" distR="114300">
                  <wp:extent cx="3272155" cy="1164590"/>
                  <wp:effectExtent l="0" t="0" r="4445" b="3810"/>
                  <wp:docPr id="68" name="图片 23" descr="wps8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3" descr="wps8D11"/>
                          <pic:cNvPicPr>
                            <a:picLocks noChangeAspect="1"/>
                          </pic:cNvPicPr>
                        </pic:nvPicPr>
                        <pic:blipFill>
                          <a:blip r:embed="rId124"/>
                          <a:stretch>
                            <a:fillRect/>
                          </a:stretch>
                        </pic:blipFill>
                        <pic:spPr>
                          <a:xfrm>
                            <a:off x="0" y="0"/>
                            <a:ext cx="3272155" cy="1164590"/>
                          </a:xfrm>
                          <a:prstGeom prst="rect">
                            <a:avLst/>
                          </a:prstGeom>
                          <a:noFill/>
                          <a:ln>
                            <a:noFill/>
                          </a:ln>
                        </pic:spPr>
                      </pic:pic>
                    </a:graphicData>
                  </a:graphic>
                </wp:inline>
              </w:drawing>
            </w:r>
            <w:r>
              <w:rPr>
                <w:rFonts w:hAnsi="宋体"/>
                <w:color w:val="auto"/>
                <w:sz w:val="28"/>
                <w:szCs w:val="28"/>
              </w:rPr>
              <w:fldChar w:fldCharType="end"/>
            </w:r>
          </w:p>
        </w:tc>
      </w:tr>
      <w:tr w14:paraId="2864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tcBorders>
              <w:top w:val="single" w:color="auto" w:sz="4" w:space="0"/>
              <w:left w:val="single" w:color="auto" w:sz="4" w:space="0"/>
              <w:bottom w:val="single" w:color="auto" w:sz="4" w:space="0"/>
              <w:right w:val="single" w:color="auto" w:sz="4" w:space="0"/>
            </w:tcBorders>
            <w:noWrap w:val="0"/>
            <w:vAlign w:val="center"/>
          </w:tcPr>
          <w:p w14:paraId="37B5536C">
            <w:pPr>
              <w:pStyle w:val="90"/>
              <w:spacing w:before="24" w:beforeLines="10" w:after="24" w:afterLines="10" w:line="432" w:lineRule="auto"/>
              <w:rPr>
                <w:rFonts w:hAnsi="宋体"/>
                <w:color w:val="auto"/>
                <w:sz w:val="28"/>
                <w:szCs w:val="28"/>
              </w:rPr>
            </w:pPr>
            <w:r>
              <w:rPr>
                <w:rFonts w:hAnsi="宋体"/>
                <w:color w:val="auto"/>
                <w:sz w:val="28"/>
                <w:szCs w:val="28"/>
              </w:rPr>
              <w:t>脚踏板</w:t>
            </w:r>
          </w:p>
        </w:tc>
      </w:tr>
    </w:tbl>
    <w:p w14:paraId="4C2A71F0">
      <w:pPr>
        <w:rPr>
          <w:color w:val="auto"/>
        </w:rPr>
      </w:pPr>
    </w:p>
    <w:p w14:paraId="2977A700">
      <w:pPr>
        <w:pStyle w:val="6"/>
        <w:ind w:firstLine="480"/>
        <w:rPr>
          <w:color w:val="auto"/>
        </w:rPr>
      </w:pPr>
      <w:r>
        <w:rPr>
          <w:rFonts w:hint="eastAsia"/>
          <w:color w:val="auto"/>
        </w:rPr>
        <w:t>脚手架的拆除</w:t>
      </w:r>
    </w:p>
    <w:p w14:paraId="6E4E855C">
      <w:pPr>
        <w:rPr>
          <w:color w:val="auto"/>
        </w:rPr>
      </w:pPr>
      <w:r>
        <w:rPr>
          <w:rFonts w:hint="eastAsia"/>
          <w:color w:val="auto"/>
        </w:rPr>
        <w:t>拆除顺序为：安全网→挡脚板→护身栏杆→脚手板→小横杆→大横杆→立杆→连墙杆、纵向支撑、剪刀撑。</w:t>
      </w:r>
    </w:p>
    <w:p w14:paraId="555F1CDF">
      <w:pPr>
        <w:rPr>
          <w:color w:val="auto"/>
        </w:rPr>
      </w:pPr>
      <w:r>
        <w:rPr>
          <w:rFonts w:hint="eastAsia"/>
          <w:color w:val="auto"/>
        </w:rPr>
        <w:t>1、脚手架的拆除必须经项目部同意，并由专业负责人对操作工人进行安全技术交底。拆除前应清除脚手架上的杂物及地面障碍物。</w:t>
      </w:r>
    </w:p>
    <w:p w14:paraId="3CE379FE">
      <w:pPr>
        <w:rPr>
          <w:color w:val="auto"/>
        </w:rPr>
      </w:pPr>
      <w:r>
        <w:rPr>
          <w:rFonts w:hint="eastAsia"/>
          <w:color w:val="auto"/>
        </w:rPr>
        <w:t>2、脚手架拆除时划分作业区，周围设置围栏或树立警戒标志，地面设专人指挥，严禁非工作人员入内。</w:t>
      </w:r>
    </w:p>
    <w:p w14:paraId="7DCBDD16">
      <w:pPr>
        <w:rPr>
          <w:color w:val="auto"/>
        </w:rPr>
      </w:pPr>
      <w:r>
        <w:rPr>
          <w:rFonts w:hint="eastAsia"/>
          <w:color w:val="auto"/>
        </w:rPr>
        <w:t>3、拆除时高空作业人员必须戴好安全帽，系好安全带，穿软底鞋。</w:t>
      </w:r>
    </w:p>
    <w:p w14:paraId="10ED90B4">
      <w:pPr>
        <w:rPr>
          <w:color w:val="auto"/>
        </w:rPr>
      </w:pPr>
      <w:r>
        <w:rPr>
          <w:rFonts w:hint="eastAsia"/>
          <w:color w:val="auto"/>
        </w:rPr>
        <w:t>4、脚手架拆除时应遵循由上而下、先搭后拆、后搭先拆的原则，先拆除拦板竹笆片、剪刀撑、斜撑，后拆小横杆、大横杆，按一步一清原则依次进行，严禁上下同时进行拆除作业。</w:t>
      </w:r>
    </w:p>
    <w:p w14:paraId="04D4F8AD">
      <w:pPr>
        <w:rPr>
          <w:color w:val="auto"/>
        </w:rPr>
      </w:pPr>
      <w:r>
        <w:rPr>
          <w:rFonts w:hint="eastAsia"/>
          <w:color w:val="auto"/>
        </w:rPr>
        <w:t>5、连墙件应随脚手架拆除进度逐层拆除，严禁先将连墙件整层或数层拆除后再拆除脚手架，分段拆除高差应不大于2步，如高差大于2步，应增设连墙件加固。拆除抛撑前，应设置临时支撑后再拆抛撑。</w:t>
      </w:r>
    </w:p>
    <w:p w14:paraId="7954A98F">
      <w:pPr>
        <w:rPr>
          <w:color w:val="auto"/>
        </w:rPr>
      </w:pPr>
      <w:r>
        <w:rPr>
          <w:rFonts w:hint="eastAsia"/>
          <w:color w:val="auto"/>
        </w:rPr>
        <w:t>6、拆除时要统一指挥、上下呼应、动作协调，当解开与另一人有关的结扣时应先通知对方，预防坠落。严禁在架体上保留不稳固的杆件。</w:t>
      </w:r>
    </w:p>
    <w:p w14:paraId="3FF9D34D">
      <w:pPr>
        <w:rPr>
          <w:color w:val="auto"/>
        </w:rPr>
      </w:pPr>
      <w:r>
        <w:rPr>
          <w:rFonts w:hint="eastAsia"/>
          <w:color w:val="auto"/>
        </w:rPr>
        <w:t>7、在大片脚手架拆除前应先将预留上料平台先行加固，以便拆除后确保其完整、安全、稳定。</w:t>
      </w:r>
    </w:p>
    <w:p w14:paraId="6E2C10A7">
      <w:pPr>
        <w:rPr>
          <w:color w:val="auto"/>
        </w:rPr>
      </w:pPr>
      <w:r>
        <w:rPr>
          <w:rFonts w:hint="eastAsia"/>
          <w:color w:val="auto"/>
        </w:rPr>
        <w:t>8、拆下的材料应用绳索栓住下运，严禁抛掷，运至地面的材料按指定地点，随拆随运，分类堆放，当天拆除当天清理干净，拆下的扣件、铁丝要及时回收处理，拆除过程中，中途不得换人，如需换人时必须将拆除情况交待清楚后，经班长同意方可离开。</w:t>
      </w:r>
    </w:p>
    <w:p w14:paraId="2B87D526">
      <w:pPr>
        <w:rPr>
          <w:color w:val="auto"/>
        </w:rPr>
      </w:pPr>
      <w:r>
        <w:rPr>
          <w:rFonts w:hint="eastAsia"/>
          <w:color w:val="auto"/>
        </w:rPr>
        <w:t>9、拆除时应特别注意以下几点：</w:t>
      </w:r>
    </w:p>
    <w:p w14:paraId="1508DDA9">
      <w:pPr>
        <w:rPr>
          <w:color w:val="auto"/>
        </w:rPr>
      </w:pPr>
      <w:r>
        <w:rPr>
          <w:rFonts w:hint="eastAsia"/>
          <w:color w:val="auto"/>
        </w:rPr>
        <w:t>（1）连墙杆应待其上部杆件拆除完毕才能拆去，严禁出现拆除了多步连墙件后再拆除排架杆件的违章危险作业。</w:t>
      </w:r>
    </w:p>
    <w:p w14:paraId="102C617B">
      <w:pPr>
        <w:rPr>
          <w:color w:val="auto"/>
        </w:rPr>
      </w:pPr>
      <w:r>
        <w:rPr>
          <w:rFonts w:hint="eastAsia"/>
          <w:color w:val="auto"/>
        </w:rPr>
        <w:t>（2）松开扣件，平杆件等应随即拆下，不得松挂在架上。</w:t>
      </w:r>
    </w:p>
    <w:p w14:paraId="11A4714C">
      <w:pPr>
        <w:rPr>
          <w:color w:val="auto"/>
        </w:rPr>
      </w:pPr>
      <w:r>
        <w:rPr>
          <w:rFonts w:hint="eastAsia"/>
          <w:color w:val="auto"/>
        </w:rPr>
        <w:t>（3）拆除长杆件时应有两人同时作业，以避免单人作业时的闪失事故。</w:t>
      </w:r>
    </w:p>
    <w:p w14:paraId="6C9B1A44">
      <w:pPr>
        <w:rPr>
          <w:color w:val="auto"/>
        </w:rPr>
      </w:pPr>
      <w:r>
        <w:rPr>
          <w:rFonts w:hint="eastAsia"/>
          <w:color w:val="auto"/>
        </w:rPr>
        <w:t>（4）拆下的杆配件应吊运至地面，不得向下抛掷。</w:t>
      </w:r>
    </w:p>
    <w:p w14:paraId="154BA29C">
      <w:pPr>
        <w:rPr>
          <w:color w:val="auto"/>
        </w:rPr>
      </w:pPr>
      <w:r>
        <w:rPr>
          <w:rFonts w:hint="eastAsia"/>
          <w:color w:val="auto"/>
        </w:rPr>
        <w:t>（5）应设专人警戒监护。</w:t>
      </w:r>
    </w:p>
    <w:p w14:paraId="11A9F08C">
      <w:pPr>
        <w:rPr>
          <w:color w:val="auto"/>
        </w:rPr>
      </w:pPr>
      <w:r>
        <w:rPr>
          <w:rFonts w:hint="eastAsia"/>
          <w:color w:val="auto"/>
        </w:rPr>
        <w:t>（6）必须安排泥工班配合随拆除过程及时补做外墙面和补洞口工作。</w:t>
      </w:r>
    </w:p>
    <w:p w14:paraId="3F7DF557">
      <w:pPr>
        <w:pStyle w:val="5"/>
        <w:rPr>
          <w:color w:val="auto"/>
        </w:rPr>
      </w:pPr>
      <w:bookmarkStart w:id="180" w:name="_Toc24152"/>
      <w:r>
        <w:rPr>
          <w:rFonts w:hint="eastAsia"/>
          <w:color w:val="auto"/>
        </w:rPr>
        <w:t>悬挑式脚手架施工方案</w:t>
      </w:r>
      <w:bookmarkEnd w:id="180"/>
    </w:p>
    <w:p w14:paraId="5E39D336">
      <w:pPr>
        <w:rPr>
          <w:color w:val="auto"/>
        </w:rPr>
      </w:pPr>
      <w:r>
        <w:rPr>
          <w:rFonts w:hint="eastAsia"/>
          <w:color w:val="auto"/>
        </w:rPr>
        <w:t>本工程教学北楼及南楼五层结构层面开始采用型钢悬挑式外脚手架，分两次进行悬挑。</w:t>
      </w:r>
    </w:p>
    <w:p w14:paraId="6B6898D4">
      <w:pPr>
        <w:pStyle w:val="6"/>
        <w:ind w:firstLine="480"/>
        <w:rPr>
          <w:color w:val="auto"/>
        </w:rPr>
      </w:pPr>
      <w:r>
        <w:rPr>
          <w:rFonts w:hint="eastAsia"/>
          <w:color w:val="auto"/>
        </w:rPr>
        <w:t>工艺流程</w:t>
      </w:r>
    </w:p>
    <w:p w14:paraId="26BBF188">
      <w:pPr>
        <w:rPr>
          <w:color w:val="auto"/>
        </w:rPr>
      </w:pPr>
      <w:r>
        <w:rPr>
          <w:rFonts w:hint="eastAsia"/>
          <w:color w:val="auto"/>
        </w:rPr>
        <w:t>放线→预埋工字钢预埋螺栓→安装工字钢→放置纵向扫地杆→逐根树立杆→安装横向扫地杆→安装第一步纵向水平杆→安装第一步横向水平杆→安装第二步纵向水平杆→安装第二步横向水平杆→（依次往上搭设）→（加设临时抛撑）→设置连墙杆→加设剪刀撑→铺脚手板→绑拦腰杆和踢脚板→挂安全立网→挂水平兜网。</w:t>
      </w:r>
    </w:p>
    <w:p w14:paraId="132DB345">
      <w:pPr>
        <w:pStyle w:val="6"/>
        <w:ind w:firstLine="480"/>
        <w:rPr>
          <w:color w:val="auto"/>
        </w:rPr>
      </w:pPr>
      <w:r>
        <w:rPr>
          <w:rFonts w:hint="eastAsia"/>
          <w:color w:val="auto"/>
        </w:rPr>
        <w:t>施工方法</w:t>
      </w:r>
    </w:p>
    <w:p w14:paraId="5B430EC5">
      <w:pPr>
        <w:rPr>
          <w:color w:val="auto"/>
        </w:rPr>
      </w:pPr>
      <w:r>
        <w:rPr>
          <w:rFonts w:hint="eastAsia"/>
          <w:color w:val="auto"/>
        </w:rPr>
        <w:t>1、施工预埋</w:t>
      </w:r>
    </w:p>
    <w:p w14:paraId="369A77F4">
      <w:pPr>
        <w:rPr>
          <w:color w:val="auto"/>
        </w:rPr>
      </w:pPr>
      <w:r>
        <w:rPr>
          <w:rFonts w:hint="eastAsia"/>
          <w:color w:val="auto"/>
        </w:rPr>
        <w:t>1、悬挑工字钢采用1.25m（16#）及1.8m（18#）工字钢，通过可拆式预埋10.9级M24高强度螺栓与楼层边沿沿主梁外侧固定。待外框架梁筋绑扎完成后，梁侧模板封模前，进行埋件预埋。</w:t>
      </w:r>
    </w:p>
    <w:p w14:paraId="5EF8A40E">
      <w:pPr>
        <w:rPr>
          <w:color w:val="auto"/>
        </w:rPr>
      </w:pPr>
      <w:r>
        <w:rPr>
          <w:rFonts w:hint="eastAsia"/>
          <w:color w:val="auto"/>
        </w:rPr>
        <w:t>具体流程：定位放线→螺杆定位板组装→定位板就位→定位板定位复核→定位板与钢筋点焊固定→梁侧模板封模。</w:t>
      </w:r>
    </w:p>
    <w:p w14:paraId="03BA93D1">
      <w:pPr>
        <w:rPr>
          <w:color w:val="auto"/>
        </w:rPr>
      </w:pPr>
      <w:r>
        <w:rPr>
          <w:rFonts w:hint="eastAsia"/>
          <w:color w:val="auto"/>
        </w:rPr>
        <w:t>混凝土浇筑前，利用卷尺、水平尺按悬挑工字钢平面布置图进行定位，每根悬挑工字钢间距≤1.5m，利用水平尺调平后采用电钻在模板上进行钻孔（每根工字钢2根高强度螺栓）。可拆式10.9级M24高强度螺栓预埋件预埋至主梁面层钢筋以下位置，并确保各预埋件在同一水平面上。</w:t>
      </w:r>
    </w:p>
    <w:p w14:paraId="27C56D87">
      <w:pPr>
        <w:pStyle w:val="65"/>
        <w:spacing w:before="163" w:after="163"/>
        <w:rPr>
          <w:color w:val="auto"/>
        </w:rPr>
      </w:pPr>
      <w:r>
        <w:rPr>
          <w:color w:val="auto"/>
        </w:rPr>
        <w:drawing>
          <wp:inline distT="0" distB="0" distL="0" distR="0">
            <wp:extent cx="3242945" cy="1724025"/>
            <wp:effectExtent l="0" t="0" r="8255" b="3175"/>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3242945" cy="1724025"/>
                    </a:xfrm>
                    <a:prstGeom prst="rect">
                      <a:avLst/>
                    </a:prstGeom>
                    <a:noFill/>
                    <a:ln>
                      <a:noFill/>
                    </a:ln>
                  </pic:spPr>
                </pic:pic>
              </a:graphicData>
            </a:graphic>
          </wp:inline>
        </w:drawing>
      </w:r>
    </w:p>
    <w:p w14:paraId="5C079B26">
      <w:pPr>
        <w:pStyle w:val="53"/>
        <w:rPr>
          <w:color w:val="auto"/>
        </w:rPr>
      </w:pPr>
      <w:r>
        <w:rPr>
          <w:rFonts w:hint="eastAsia"/>
          <w:color w:val="auto"/>
        </w:rPr>
        <w:t>预埋工字钢螺栓</w:t>
      </w:r>
    </w:p>
    <w:p w14:paraId="2AD7E91B">
      <w:pPr>
        <w:rPr>
          <w:color w:val="auto"/>
        </w:rPr>
      </w:pPr>
      <w:r>
        <w:rPr>
          <w:rFonts w:hint="eastAsia"/>
          <w:color w:val="auto"/>
        </w:rPr>
        <w:t>2、斜拉杆：斜拉杆部件分为预埋螺栓、拉环、卡环、上拉杆（2m/4m）、花篮螺栓（1m）、下拉杆（0.786m）。</w:t>
      </w:r>
    </w:p>
    <w:p w14:paraId="381684A7">
      <w:pPr>
        <w:pStyle w:val="65"/>
        <w:spacing w:before="163" w:after="163"/>
        <w:rPr>
          <w:color w:val="auto"/>
        </w:rPr>
      </w:pPr>
      <w:r>
        <w:rPr>
          <w:color w:val="auto"/>
        </w:rPr>
        <w:drawing>
          <wp:inline distT="0" distB="0" distL="0" distR="0">
            <wp:extent cx="4213860" cy="2499360"/>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4213860" cy="2499360"/>
                    </a:xfrm>
                    <a:prstGeom prst="rect">
                      <a:avLst/>
                    </a:prstGeom>
                    <a:noFill/>
                    <a:ln>
                      <a:noFill/>
                    </a:ln>
                  </pic:spPr>
                </pic:pic>
              </a:graphicData>
            </a:graphic>
          </wp:inline>
        </w:drawing>
      </w:r>
    </w:p>
    <w:p w14:paraId="52EBDE52">
      <w:pPr>
        <w:pStyle w:val="53"/>
        <w:rPr>
          <w:color w:val="auto"/>
        </w:rPr>
      </w:pPr>
      <w:r>
        <w:rPr>
          <w:rFonts w:hint="eastAsia"/>
          <w:color w:val="auto"/>
        </w:rPr>
        <w:t>预埋拉环螺栓</w:t>
      </w:r>
    </w:p>
    <w:p w14:paraId="3DBCDFF5">
      <w:pPr>
        <w:pStyle w:val="65"/>
        <w:spacing w:before="163" w:after="163"/>
        <w:rPr>
          <w:color w:val="auto"/>
        </w:rPr>
      </w:pPr>
      <w:r>
        <w:rPr>
          <w:color w:val="auto"/>
        </w:rPr>
        <w:drawing>
          <wp:inline distT="0" distB="0" distL="0" distR="0">
            <wp:extent cx="4137660" cy="3956050"/>
            <wp:effectExtent l="0" t="0" r="0" b="635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4151781" cy="3969830"/>
                    </a:xfrm>
                    <a:prstGeom prst="rect">
                      <a:avLst/>
                    </a:prstGeom>
                    <a:noFill/>
                    <a:ln>
                      <a:noFill/>
                    </a:ln>
                  </pic:spPr>
                </pic:pic>
              </a:graphicData>
            </a:graphic>
          </wp:inline>
        </w:drawing>
      </w:r>
    </w:p>
    <w:p w14:paraId="11E890A0">
      <w:pPr>
        <w:pStyle w:val="53"/>
        <w:rPr>
          <w:color w:val="auto"/>
        </w:rPr>
      </w:pPr>
      <w:r>
        <w:rPr>
          <w:rFonts w:hint="eastAsia"/>
          <w:color w:val="auto"/>
        </w:rPr>
        <w:t>斜拉杆安装</w:t>
      </w:r>
    </w:p>
    <w:p w14:paraId="2200FCB4">
      <w:pPr>
        <w:rPr>
          <w:color w:val="auto"/>
        </w:rPr>
      </w:pPr>
      <w:r>
        <w:rPr>
          <w:color w:val="auto"/>
        </w:rPr>
        <w:t>3</w:t>
      </w:r>
      <w:r>
        <w:rPr>
          <w:rFonts w:hint="eastAsia"/>
          <w:color w:val="auto"/>
        </w:rPr>
        <w:t>、基础施工</w:t>
      </w:r>
    </w:p>
    <w:p w14:paraId="1AEB502C">
      <w:pPr>
        <w:rPr>
          <w:color w:val="auto"/>
        </w:rPr>
      </w:pPr>
      <w:r>
        <w:rPr>
          <w:rFonts w:hint="eastAsia"/>
          <w:color w:val="auto"/>
        </w:rPr>
        <w:t>悬挑式脚手架搭设在按要求固定好的工字钢上。</w:t>
      </w:r>
    </w:p>
    <w:p w14:paraId="506F6619">
      <w:pPr>
        <w:rPr>
          <w:color w:val="auto"/>
        </w:rPr>
      </w:pPr>
      <w:r>
        <w:rPr>
          <w:color w:val="auto"/>
        </w:rPr>
        <w:t>4</w:t>
      </w:r>
      <w:r>
        <w:rPr>
          <w:rFonts w:hint="eastAsia"/>
          <w:color w:val="auto"/>
        </w:rPr>
        <w:t>、扫地杆搭设</w:t>
      </w:r>
    </w:p>
    <w:p w14:paraId="5CACBD2C">
      <w:pPr>
        <w:rPr>
          <w:color w:val="auto"/>
        </w:rPr>
      </w:pPr>
      <w:r>
        <w:rPr>
          <w:rFonts w:hint="eastAsia"/>
          <w:color w:val="auto"/>
        </w:rPr>
        <w:t>脚手架必须设置纵、横向扫地杆。纵向扫地杆采用直角扣件固定在距立杆底部200mm处的位置上。横向扫地杆采用直角扣件固定在紧靠纵向扫地杆下方的立杆上。</w:t>
      </w:r>
    </w:p>
    <w:p w14:paraId="69E236FF">
      <w:pPr>
        <w:rPr>
          <w:color w:val="auto"/>
        </w:rPr>
      </w:pPr>
      <w:r>
        <w:rPr>
          <w:color w:val="auto"/>
        </w:rPr>
        <w:t>5</w:t>
      </w:r>
      <w:r>
        <w:rPr>
          <w:rFonts w:hint="eastAsia"/>
          <w:color w:val="auto"/>
        </w:rPr>
        <w:t>、立杆搭设</w:t>
      </w:r>
    </w:p>
    <w:p w14:paraId="2664B1B3">
      <w:pPr>
        <w:rPr>
          <w:color w:val="auto"/>
        </w:rPr>
      </w:pPr>
      <w:r>
        <w:rPr>
          <w:rFonts w:hint="eastAsia"/>
          <w:color w:val="auto"/>
        </w:rPr>
        <w:t>①立杆纵距1.5m，横距0.8m，结构转角局部可进行适当调整，但横向间距应保证钢筋网片能平稳固定于大横杆上，纵向间距应确保均匀，感官效果良好；</w:t>
      </w:r>
    </w:p>
    <w:p w14:paraId="0001EA6F">
      <w:pPr>
        <w:rPr>
          <w:color w:val="auto"/>
        </w:rPr>
      </w:pPr>
      <w:r>
        <w:rPr>
          <w:rFonts w:hint="eastAsia"/>
          <w:color w:val="auto"/>
        </w:rPr>
        <w:t>②立杆采用4m、6m等规格钢管交替搭设，相邻立杆的接头不得在同一截面内。立杆接长除顶层顶步外，其余各层各步接头必须采用对接扣件连接。</w:t>
      </w:r>
    </w:p>
    <w:p w14:paraId="648B65F6">
      <w:pPr>
        <w:rPr>
          <w:color w:val="auto"/>
        </w:rPr>
      </w:pPr>
      <w:r>
        <w:rPr>
          <w:rFonts w:hint="eastAsia"/>
          <w:color w:val="auto"/>
        </w:rPr>
        <w:t>③立杆顶端必须高出施工作业面1.5m。</w:t>
      </w:r>
    </w:p>
    <w:p w14:paraId="52D36CB4">
      <w:pPr>
        <w:rPr>
          <w:color w:val="auto"/>
        </w:rPr>
      </w:pPr>
      <w:r>
        <w:rPr>
          <w:rFonts w:hint="eastAsia"/>
          <w:color w:val="auto"/>
        </w:rPr>
        <w:t>④对接接头扣件开口方向应向下或向内，以防雨雪进入。</w:t>
      </w:r>
    </w:p>
    <w:p w14:paraId="13FE1108">
      <w:pPr>
        <w:rPr>
          <w:color w:val="auto"/>
        </w:rPr>
      </w:pPr>
      <w:r>
        <w:rPr>
          <w:rFonts w:hint="eastAsia"/>
          <w:color w:val="auto"/>
        </w:rPr>
        <w:t>⑤立杆上的对接扣件应交错布置，两根相邻立杆的接头不应设置在同步内，同步内隔一根立杆的两个相隔接头在高度方向错开的距离不宜小于500mm；各接头与主节点的距离不应大于步距的1/3。</w:t>
      </w:r>
    </w:p>
    <w:p w14:paraId="14E01901">
      <w:pPr>
        <w:rPr>
          <w:color w:val="auto"/>
        </w:rPr>
      </w:pPr>
      <w:r>
        <w:rPr>
          <w:color w:val="auto"/>
        </w:rPr>
        <w:t>6</w:t>
      </w:r>
      <w:r>
        <w:rPr>
          <w:rFonts w:hint="eastAsia"/>
          <w:color w:val="auto"/>
        </w:rPr>
        <w:t>、纵向水平杆搭设</w:t>
      </w:r>
    </w:p>
    <w:p w14:paraId="742BFE92">
      <w:pPr>
        <w:rPr>
          <w:color w:val="auto"/>
        </w:rPr>
      </w:pPr>
      <w:r>
        <w:rPr>
          <w:rFonts w:hint="eastAsia"/>
          <w:color w:val="auto"/>
        </w:rPr>
        <w:t>①悬挑式脚手架步距为1.8m，局部可进行适当调整。</w:t>
      </w:r>
    </w:p>
    <w:p w14:paraId="56D2249E">
      <w:pPr>
        <w:rPr>
          <w:color w:val="auto"/>
        </w:rPr>
      </w:pPr>
      <w:r>
        <w:rPr>
          <w:rFonts w:hint="eastAsia"/>
          <w:color w:val="auto"/>
        </w:rPr>
        <w:t>②纵向水平杆设置于立杆的内侧。</w:t>
      </w:r>
    </w:p>
    <w:p w14:paraId="56D3ABB8">
      <w:pPr>
        <w:rPr>
          <w:color w:val="auto"/>
        </w:rPr>
      </w:pPr>
      <w:r>
        <w:rPr>
          <w:rFonts w:hint="eastAsia"/>
          <w:color w:val="auto"/>
        </w:rPr>
        <w:t>③纵向水平杆一般采用对接扣件连接，至边角处可采用搭接连接。</w:t>
      </w:r>
    </w:p>
    <w:p w14:paraId="116FA862">
      <w:pPr>
        <w:rPr>
          <w:color w:val="auto"/>
        </w:rPr>
      </w:pPr>
      <w:r>
        <w:rPr>
          <w:rFonts w:hint="eastAsia"/>
          <w:color w:val="auto"/>
        </w:rPr>
        <w:t>④脚手架外排须采用拦腰杆，分别设置在每道水平杆以上600mm、1200mm处；</w:t>
      </w:r>
    </w:p>
    <w:p w14:paraId="039B78B8">
      <w:pPr>
        <w:rPr>
          <w:color w:val="auto"/>
        </w:rPr>
      </w:pPr>
      <w:r>
        <w:rPr>
          <w:rFonts w:hint="eastAsia"/>
          <w:color w:val="auto"/>
        </w:rPr>
        <w:t>⑤对接扣件应交错布置：两根相邻纵向水平杆的接头不应设置在同步或同跨内，不同步或不同跨两个相邻接头在水平方向错开的距离不应小于500mm；各接头中心至最近主节点的距离不宜大于立杆纵距的1/3，即不宜大于500mm。</w:t>
      </w:r>
    </w:p>
    <w:p w14:paraId="7E72D866">
      <w:pPr>
        <w:rPr>
          <w:color w:val="auto"/>
        </w:rPr>
      </w:pPr>
      <w:r>
        <w:rPr>
          <w:color w:val="auto"/>
        </w:rPr>
        <w:t>7</w:t>
      </w:r>
      <w:r>
        <w:rPr>
          <w:rFonts w:hint="eastAsia"/>
          <w:color w:val="auto"/>
        </w:rPr>
        <w:t>、横向水平杆搭设</w:t>
      </w:r>
    </w:p>
    <w:p w14:paraId="16E4ABAE">
      <w:pPr>
        <w:rPr>
          <w:color w:val="auto"/>
        </w:rPr>
      </w:pPr>
      <w:r>
        <w:rPr>
          <w:rFonts w:hint="eastAsia"/>
          <w:color w:val="auto"/>
        </w:rPr>
        <w:t>①每一主节点处必须设置一根横向水平杆，严禁拆除。主节点处两个直角扣件的中心距不应大于150mm。该横向水平杆的轴线偏离主节点的距离不应大于150mm。</w:t>
      </w:r>
    </w:p>
    <w:p w14:paraId="5D9AF7F8">
      <w:pPr>
        <w:rPr>
          <w:color w:val="auto"/>
        </w:rPr>
      </w:pPr>
      <w:r>
        <w:rPr>
          <w:rFonts w:hint="eastAsia"/>
          <w:color w:val="auto"/>
        </w:rPr>
        <w:t>②操作层上非主节点处的横向水平杆根据支撑脚手板的需要等间距设置，最大间距不应大于纵距的1/2。</w:t>
      </w:r>
    </w:p>
    <w:p w14:paraId="1D27C30E">
      <w:pPr>
        <w:rPr>
          <w:color w:val="auto"/>
        </w:rPr>
      </w:pPr>
      <w:r>
        <w:rPr>
          <w:rFonts w:hint="eastAsia"/>
          <w:color w:val="auto"/>
        </w:rPr>
        <w:t>③横向水平杆伸出纵向水平杆外的长度不应小于100mm。</w:t>
      </w:r>
    </w:p>
    <w:p w14:paraId="1972C163">
      <w:pPr>
        <w:rPr>
          <w:color w:val="auto"/>
        </w:rPr>
      </w:pPr>
      <w:r>
        <w:rPr>
          <w:rFonts w:hint="eastAsia"/>
          <w:color w:val="auto"/>
        </w:rPr>
        <w:t>④悬挑架采用钢筋网片，横向水平杆应采用直角扣件固定在立杆上。</w:t>
      </w:r>
    </w:p>
    <w:p w14:paraId="6271A983">
      <w:pPr>
        <w:rPr>
          <w:color w:val="auto"/>
        </w:rPr>
      </w:pPr>
      <w:r>
        <w:rPr>
          <w:color w:val="auto"/>
        </w:rPr>
        <w:t>8</w:t>
      </w:r>
      <w:r>
        <w:rPr>
          <w:rFonts w:hint="eastAsia"/>
          <w:color w:val="auto"/>
        </w:rPr>
        <w:t>、剪刀撑搭设</w:t>
      </w:r>
    </w:p>
    <w:p w14:paraId="3D80E96C">
      <w:pPr>
        <w:rPr>
          <w:color w:val="auto"/>
        </w:rPr>
      </w:pPr>
      <w:r>
        <w:rPr>
          <w:rFonts w:hint="eastAsia"/>
          <w:color w:val="auto"/>
        </w:rPr>
        <w:t>①本工程悬挑式脚手架应在外侧连续设置剪刀撑。</w:t>
      </w:r>
    </w:p>
    <w:p w14:paraId="15879E1E">
      <w:pPr>
        <w:rPr>
          <w:color w:val="auto"/>
        </w:rPr>
      </w:pPr>
      <w:r>
        <w:rPr>
          <w:rFonts w:hint="eastAsia"/>
          <w:color w:val="auto"/>
        </w:rPr>
        <w:t>②每道剪刀撑的宽度不应小于4跨，且不应小于6m，斜杆与地面的倾角成45°～60°角；剪刀撑主要采用6m长钢管，最下面的斜杆与立杆的连接点离底面不应大于500mm，斜杆接长采用搭接接头，搭接长度不应小于1000mm，设置3个旋转扣件搭接，旋转扣件距离钢管端头不宜小于100mm，剪刀撑除斜杆两端扣紧外，中应间增加2～4个扣结点。</w:t>
      </w:r>
    </w:p>
    <w:p w14:paraId="0EC99C20">
      <w:pPr>
        <w:rPr>
          <w:color w:val="auto"/>
        </w:rPr>
      </w:pPr>
      <w:r>
        <w:rPr>
          <w:rFonts w:hint="eastAsia"/>
          <w:color w:val="auto"/>
        </w:rPr>
        <w:t>③剪刀撑斜杆应用旋转扣件固定在与之相交的横向水平杆的伸出端或立杆上，旋转扣件中心线距主节点的距离不应大于150mm。</w:t>
      </w:r>
    </w:p>
    <w:p w14:paraId="67772614">
      <w:pPr>
        <w:rPr>
          <w:color w:val="auto"/>
        </w:rPr>
      </w:pPr>
      <w:r>
        <w:rPr>
          <w:color w:val="auto"/>
        </w:rPr>
        <w:t>9</w:t>
      </w:r>
      <w:r>
        <w:rPr>
          <w:rFonts w:hint="eastAsia"/>
          <w:color w:val="auto"/>
        </w:rPr>
        <w:t>、连墙件搭设</w:t>
      </w:r>
    </w:p>
    <w:p w14:paraId="60FCBEC8">
      <w:pPr>
        <w:rPr>
          <w:color w:val="auto"/>
        </w:rPr>
      </w:pPr>
      <w:r>
        <w:rPr>
          <w:color w:val="auto"/>
        </w:rPr>
        <w:t>1</w:t>
      </w:r>
      <w:r>
        <w:rPr>
          <w:rFonts w:hint="eastAsia"/>
          <w:color w:val="auto"/>
        </w:rPr>
        <w:t>）连墙件的布置</w:t>
      </w:r>
    </w:p>
    <w:p w14:paraId="5B2FDF9D">
      <w:pPr>
        <w:rPr>
          <w:color w:val="auto"/>
        </w:rPr>
      </w:pPr>
      <w:r>
        <w:rPr>
          <w:rFonts w:hint="eastAsia"/>
          <w:color w:val="auto"/>
        </w:rPr>
        <w:t>连墙件的布置应符合下列规定：</w:t>
      </w:r>
    </w:p>
    <w:p w14:paraId="56A26586">
      <w:pPr>
        <w:rPr>
          <w:color w:val="auto"/>
        </w:rPr>
      </w:pPr>
      <w:r>
        <w:rPr>
          <w:rFonts w:hint="eastAsia"/>
          <w:color w:val="auto"/>
        </w:rPr>
        <w:t>①靠近主节点设置，偏离主节点的距离不应大于300mm。</w:t>
      </w:r>
    </w:p>
    <w:p w14:paraId="2F1D9734">
      <w:pPr>
        <w:rPr>
          <w:color w:val="auto"/>
        </w:rPr>
      </w:pPr>
      <w:r>
        <w:rPr>
          <w:rFonts w:hint="eastAsia"/>
          <w:color w:val="auto"/>
        </w:rPr>
        <w:t>②从底层第一步纵向水平杆处开始设置，当该处设置有困难时，应采用其他可靠措施固定。</w:t>
      </w:r>
    </w:p>
    <w:p w14:paraId="1D3E7159">
      <w:pPr>
        <w:rPr>
          <w:color w:val="auto"/>
        </w:rPr>
      </w:pPr>
      <w:r>
        <w:rPr>
          <w:rFonts w:hint="eastAsia"/>
          <w:color w:val="auto"/>
        </w:rPr>
        <w:t>③连墙件间距不得超过两步两跨。</w:t>
      </w:r>
    </w:p>
    <w:p w14:paraId="7F8F136F">
      <w:pPr>
        <w:rPr>
          <w:color w:val="auto"/>
        </w:rPr>
      </w:pPr>
      <w:r>
        <w:rPr>
          <w:rFonts w:hint="eastAsia"/>
          <w:color w:val="auto"/>
        </w:rPr>
        <w:t>④开口型脚手架的两端必须设置连墙件，连墙件的垂直间距不应大于建筑物的层高，并不应大于4m。</w:t>
      </w:r>
    </w:p>
    <w:p w14:paraId="2EE97AB1">
      <w:pPr>
        <w:rPr>
          <w:color w:val="auto"/>
        </w:rPr>
      </w:pPr>
      <w:r>
        <w:rPr>
          <w:color w:val="auto"/>
        </w:rPr>
        <w:t>2</w:t>
      </w:r>
      <w:r>
        <w:rPr>
          <w:rFonts w:hint="eastAsia"/>
          <w:color w:val="auto"/>
        </w:rPr>
        <w:t>）连墙件的构造形式</w:t>
      </w:r>
    </w:p>
    <w:p w14:paraId="4E14AB65">
      <w:pPr>
        <w:rPr>
          <w:color w:val="auto"/>
        </w:rPr>
      </w:pPr>
      <w:r>
        <w:rPr>
          <w:rFonts w:hint="eastAsia"/>
          <w:color w:val="auto"/>
        </w:rPr>
        <w:t>①连墙件为在建筑物边梁对齐立杆位置埋置Φ48.3×3.6mm短管，短管露出混凝土面不少于0.20m，埋入混凝土中不少于0.30m，用扣件与脚手架小横杆连接，上、下错位布置。</w:t>
      </w:r>
    </w:p>
    <w:p w14:paraId="0A002C65">
      <w:pPr>
        <w:pStyle w:val="65"/>
        <w:spacing w:before="163" w:after="163"/>
        <w:rPr>
          <w:color w:val="auto"/>
        </w:rPr>
      </w:pPr>
      <w:r>
        <w:rPr>
          <w:color w:val="auto"/>
        </w:rPr>
        <w:drawing>
          <wp:inline distT="0" distB="0" distL="0" distR="0">
            <wp:extent cx="2880360" cy="1783080"/>
            <wp:effectExtent l="0" t="0" r="0" b="762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128" cstate="print">
                      <a:extLst>
                        <a:ext uri="{28A0092B-C50C-407E-A947-70E740481C1C}">
                          <a14:useLocalDpi xmlns:a14="http://schemas.microsoft.com/office/drawing/2010/main" val="0"/>
                        </a:ext>
                      </a:extLst>
                    </a:blip>
                    <a:srcRect l="25044" t="25867" r="32822" b="22006"/>
                    <a:stretch>
                      <a:fillRect/>
                    </a:stretch>
                  </pic:blipFill>
                  <pic:spPr>
                    <a:xfrm>
                      <a:off x="0" y="0"/>
                      <a:ext cx="2880360" cy="1783080"/>
                    </a:xfrm>
                    <a:prstGeom prst="rect">
                      <a:avLst/>
                    </a:prstGeom>
                    <a:noFill/>
                    <a:ln>
                      <a:noFill/>
                    </a:ln>
                  </pic:spPr>
                </pic:pic>
              </a:graphicData>
            </a:graphic>
          </wp:inline>
        </w:drawing>
      </w:r>
    </w:p>
    <w:p w14:paraId="43B3C4FB">
      <w:pPr>
        <w:pStyle w:val="53"/>
        <w:rPr>
          <w:color w:val="auto"/>
        </w:rPr>
      </w:pPr>
      <w:r>
        <w:rPr>
          <w:rFonts w:hint="eastAsia"/>
          <w:color w:val="auto"/>
        </w:rPr>
        <w:t>钢管抱柱</w:t>
      </w:r>
    </w:p>
    <w:p w14:paraId="6298A40D">
      <w:pPr>
        <w:pStyle w:val="65"/>
        <w:spacing w:before="163" w:after="163"/>
        <w:rPr>
          <w:color w:val="auto"/>
        </w:rPr>
      </w:pPr>
      <w:r>
        <w:rPr>
          <w:rFonts w:hint="eastAsia"/>
          <w:color w:val="auto"/>
        </w:rPr>
        <w:drawing>
          <wp:inline distT="0" distB="0" distL="0" distR="0">
            <wp:extent cx="2133600" cy="2065020"/>
            <wp:effectExtent l="0" t="0" r="0" b="0"/>
            <wp:docPr id="166" name="图片 166" descr="连墙件_看图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descr="连墙件_看图王"/>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2133600" cy="2065020"/>
                    </a:xfrm>
                    <a:prstGeom prst="rect">
                      <a:avLst/>
                    </a:prstGeom>
                    <a:noFill/>
                    <a:ln>
                      <a:noFill/>
                    </a:ln>
                  </pic:spPr>
                </pic:pic>
              </a:graphicData>
            </a:graphic>
          </wp:inline>
        </w:drawing>
      </w:r>
    </w:p>
    <w:p w14:paraId="14DA82E2">
      <w:pPr>
        <w:pStyle w:val="53"/>
        <w:rPr>
          <w:color w:val="auto"/>
        </w:rPr>
      </w:pPr>
      <w:r>
        <w:rPr>
          <w:rFonts w:hint="eastAsia"/>
          <w:color w:val="auto"/>
        </w:rPr>
        <w:t>预埋短钢管拉结</w:t>
      </w:r>
    </w:p>
    <w:p w14:paraId="1DDBCAC1">
      <w:pPr>
        <w:rPr>
          <w:color w:val="auto"/>
        </w:rPr>
      </w:pPr>
      <w:r>
        <w:rPr>
          <w:rFonts w:hint="eastAsia"/>
          <w:color w:val="auto"/>
        </w:rPr>
        <w:t>②连墙杆应呈水平设置，当不能水平设置时，与脚手架连接的一端可稍下斜</w:t>
      </w:r>
    </w:p>
    <w:p w14:paraId="13FE1FDD">
      <w:pPr>
        <w:rPr>
          <w:color w:val="auto"/>
        </w:rPr>
      </w:pPr>
      <w:r>
        <w:rPr>
          <w:rFonts w:hint="eastAsia"/>
          <w:color w:val="auto"/>
        </w:rPr>
        <w:t>连接，严禁外高内低上斜连接。</w:t>
      </w:r>
    </w:p>
    <w:p w14:paraId="17191B48">
      <w:pPr>
        <w:rPr>
          <w:color w:val="auto"/>
        </w:rPr>
      </w:pPr>
      <w:r>
        <w:rPr>
          <w:rFonts w:hint="eastAsia"/>
          <w:color w:val="auto"/>
        </w:rPr>
        <w:t>③脚手架在施工电梯等断开位置两端必须设置连墙件。</w:t>
      </w:r>
    </w:p>
    <w:p w14:paraId="39386343">
      <w:pPr>
        <w:rPr>
          <w:color w:val="auto"/>
        </w:rPr>
      </w:pPr>
      <w:r>
        <w:rPr>
          <w:color w:val="auto"/>
        </w:rPr>
        <w:t>10</w:t>
      </w:r>
      <w:r>
        <w:rPr>
          <w:rFonts w:hint="eastAsia"/>
          <w:color w:val="auto"/>
        </w:rPr>
        <w:t>、钢筋网片铺设</w:t>
      </w:r>
    </w:p>
    <w:p w14:paraId="4344CD78">
      <w:pPr>
        <w:rPr>
          <w:color w:val="auto"/>
        </w:rPr>
      </w:pPr>
      <w:r>
        <w:rPr>
          <w:rFonts w:hint="eastAsia"/>
          <w:color w:val="auto"/>
        </w:rPr>
        <w:t>①外脚手架要求每步设置一道钢筋网片作为外脚手架水平防护（不得随意拆除、挪用），同时采用1.2×5m型号的水平兜网水平封闭至结构边（不适合铺设钢筋网片时采用水平兜网代替），每块钢筋网片分别采用6根不小于14#铁丝与钢管绑扎到位。</w:t>
      </w:r>
    </w:p>
    <w:p w14:paraId="418B3D0D">
      <w:pPr>
        <w:rPr>
          <w:color w:val="auto"/>
        </w:rPr>
      </w:pPr>
      <w:r>
        <w:rPr>
          <w:rFonts w:hint="eastAsia"/>
          <w:color w:val="auto"/>
        </w:rPr>
        <w:t>②外脚手架设置钢筋网片部位的纵向水平杆之间加设一根纵向填芯杆。</w:t>
      </w:r>
    </w:p>
    <w:p w14:paraId="15B1E801">
      <w:pPr>
        <w:rPr>
          <w:color w:val="auto"/>
        </w:rPr>
      </w:pPr>
      <w:r>
        <w:rPr>
          <w:rFonts w:hint="eastAsia"/>
          <w:color w:val="auto"/>
        </w:rPr>
        <w:t>③施工作业层满铺钢筋网片，钢跳板随结构施工逐层往上周转，钢跳板必须采用工具卡固定到位。</w:t>
      </w:r>
    </w:p>
    <w:p w14:paraId="651E1E64">
      <w:pPr>
        <w:rPr>
          <w:color w:val="auto"/>
        </w:rPr>
      </w:pPr>
      <w:r>
        <w:rPr>
          <w:rFonts w:hint="eastAsia"/>
          <w:color w:val="auto"/>
        </w:rPr>
        <w:t>1</w:t>
      </w:r>
      <w:r>
        <w:rPr>
          <w:color w:val="auto"/>
        </w:rPr>
        <w:t>1</w:t>
      </w:r>
      <w:r>
        <w:rPr>
          <w:rFonts w:hint="eastAsia"/>
          <w:color w:val="auto"/>
        </w:rPr>
        <w:t>、竖向及水平防护搭设</w:t>
      </w:r>
    </w:p>
    <w:p w14:paraId="4F80CCBA">
      <w:pPr>
        <w:rPr>
          <w:color w:val="auto"/>
        </w:rPr>
      </w:pPr>
      <w:r>
        <w:rPr>
          <w:rFonts w:hint="eastAsia"/>
          <w:color w:val="auto"/>
        </w:rPr>
        <w:t>①悬挑式脚手架第一步架体须及时张挂立面安全网。</w:t>
      </w:r>
    </w:p>
    <w:p w14:paraId="1B3AD2B7">
      <w:pPr>
        <w:rPr>
          <w:color w:val="auto"/>
        </w:rPr>
      </w:pPr>
      <w:r>
        <w:rPr>
          <w:rFonts w:hint="eastAsia"/>
          <w:color w:val="auto"/>
        </w:rPr>
        <w:t>②脚手架外侧立面采用1.8m×6m绿色阻燃密目式安全网进行封闭，用16#镀锌铁丝将安全网绑扎在纵向水平杆上。在架体阳角部位须加设立杆或木枋固定安全网。</w:t>
      </w:r>
    </w:p>
    <w:p w14:paraId="3AB27379">
      <w:pPr>
        <w:rPr>
          <w:color w:val="auto"/>
        </w:rPr>
      </w:pPr>
      <w:r>
        <w:rPr>
          <w:rFonts w:hint="eastAsia"/>
          <w:color w:val="auto"/>
        </w:rPr>
        <w:t>1</w:t>
      </w:r>
      <w:r>
        <w:rPr>
          <w:color w:val="auto"/>
        </w:rPr>
        <w:t>2</w:t>
      </w:r>
      <w:r>
        <w:rPr>
          <w:rFonts w:hint="eastAsia"/>
          <w:color w:val="auto"/>
        </w:rPr>
        <w:t>、悬挑架的围护</w:t>
      </w:r>
    </w:p>
    <w:p w14:paraId="6B04BD40">
      <w:pPr>
        <w:rPr>
          <w:color w:val="auto"/>
        </w:rPr>
      </w:pPr>
      <w:r>
        <w:rPr>
          <w:rFonts w:hint="eastAsia"/>
          <w:color w:val="auto"/>
        </w:rPr>
        <w:t>悬挑外脚手架在底层外立杆与建筑物边线之间范围内全部采用模板及木枋进行封闭，并设200mm高的挡脚板，防止坠物伤人。在操作层设水平兜网，并满铺脚手板，水平安全网接口处必须连接严密。安全网必须与结构连接严密牢固。严禁使用损坏和腐朽的安全网。</w:t>
      </w:r>
    </w:p>
    <w:p w14:paraId="2FDD275A">
      <w:pPr>
        <w:rPr>
          <w:color w:val="auto"/>
        </w:rPr>
      </w:pPr>
      <w:r>
        <w:rPr>
          <w:rFonts w:hint="eastAsia"/>
          <w:color w:val="auto"/>
        </w:rPr>
        <w:t>挑架外侧满挂密目式安全网，并在作业层及其下一层外脚手架外立杆内侧采用钢板网进行硬质封闭。</w:t>
      </w:r>
    </w:p>
    <w:p w14:paraId="523B7F23">
      <w:pPr>
        <w:rPr>
          <w:color w:val="auto"/>
        </w:rPr>
      </w:pPr>
      <w:r>
        <w:rPr>
          <w:rFonts w:hint="eastAsia"/>
          <w:color w:val="auto"/>
        </w:rPr>
        <w:t>1</w:t>
      </w:r>
      <w:r>
        <w:rPr>
          <w:color w:val="auto"/>
        </w:rPr>
        <w:t>3</w:t>
      </w:r>
      <w:r>
        <w:rPr>
          <w:rFonts w:hint="eastAsia"/>
          <w:color w:val="auto"/>
        </w:rPr>
        <w:t>、安全通道</w:t>
      </w:r>
    </w:p>
    <w:p w14:paraId="4F893A94">
      <w:pPr>
        <w:rPr>
          <w:color w:val="auto"/>
        </w:rPr>
      </w:pPr>
      <w:r>
        <w:rPr>
          <w:rFonts w:hint="eastAsia"/>
          <w:color w:val="auto"/>
        </w:rPr>
        <w:t>为防止高空坠物打击，确保外脚手架外围底部行人安全，特在外架外围楼栋入口处及施工电梯入口处搭设安全通道，安全通道按照局《施工现场安全防护标准化图册》进行搭设。</w:t>
      </w:r>
    </w:p>
    <w:p w14:paraId="5E9929F0">
      <w:pPr>
        <w:rPr>
          <w:color w:val="auto"/>
        </w:rPr>
      </w:pPr>
      <w:r>
        <w:rPr>
          <w:rFonts w:hint="eastAsia"/>
          <w:color w:val="auto"/>
        </w:rPr>
        <w:t>①安全通道棚进口两侧应搭设钢管立柱（长×宽=600×600mm），在安全通道棚进口处装挂安全警示标志和安全宣传标语，详见下图：</w:t>
      </w:r>
    </w:p>
    <w:p w14:paraId="34EAC4CA">
      <w:pPr>
        <w:rPr>
          <w:color w:val="auto"/>
        </w:rPr>
      </w:pPr>
      <w:r>
        <w:rPr>
          <w:rFonts w:hint="eastAsia"/>
          <w:color w:val="auto"/>
        </w:rPr>
        <w:t>②安全通道棚立杆应高出顶棚700mm，在顶棚超高部分两侧张挂密目安全网和300mm高踢脚板，安全网和踢脚板均设置在立杆内。</w:t>
      </w:r>
    </w:p>
    <w:p w14:paraId="2D8C42BD">
      <w:pPr>
        <w:pStyle w:val="65"/>
        <w:spacing w:before="163" w:after="163"/>
        <w:rPr>
          <w:color w:val="auto"/>
        </w:rPr>
      </w:pPr>
      <w:r>
        <w:rPr>
          <w:color w:val="auto"/>
        </w:rPr>
        <w:drawing>
          <wp:inline distT="0" distB="0" distL="0" distR="0">
            <wp:extent cx="2326640" cy="35433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2351312" cy="3580411"/>
                    </a:xfrm>
                    <a:prstGeom prst="rect">
                      <a:avLst/>
                    </a:prstGeom>
                    <a:noFill/>
                    <a:ln>
                      <a:noFill/>
                    </a:ln>
                  </pic:spPr>
                </pic:pic>
              </a:graphicData>
            </a:graphic>
          </wp:inline>
        </w:drawing>
      </w:r>
    </w:p>
    <w:p w14:paraId="78E91FD4">
      <w:pPr>
        <w:pStyle w:val="53"/>
        <w:rPr>
          <w:color w:val="auto"/>
        </w:rPr>
      </w:pPr>
      <w:r>
        <w:rPr>
          <w:rFonts w:hint="eastAsia"/>
          <w:color w:val="auto"/>
        </w:rPr>
        <w:t>标准化安全通道</w:t>
      </w:r>
    </w:p>
    <w:p w14:paraId="2276F9AF">
      <w:pPr>
        <w:pStyle w:val="4"/>
        <w:ind w:firstLine="482"/>
        <w:rPr>
          <w:color w:val="auto"/>
        </w:rPr>
      </w:pPr>
      <w:bookmarkStart w:id="181" w:name="_Toc19109"/>
      <w:r>
        <w:rPr>
          <w:rFonts w:hint="eastAsia"/>
          <w:color w:val="auto"/>
        </w:rPr>
        <w:t>装配式工程</w:t>
      </w:r>
      <w:bookmarkEnd w:id="181"/>
    </w:p>
    <w:p w14:paraId="4955772E">
      <w:pPr>
        <w:pStyle w:val="5"/>
        <w:rPr>
          <w:color w:val="auto"/>
        </w:rPr>
      </w:pPr>
      <w:bookmarkStart w:id="182" w:name="_Toc19168"/>
      <w:r>
        <w:rPr>
          <w:rFonts w:hint="eastAsia"/>
          <w:color w:val="auto"/>
        </w:rPr>
        <w:t>装配式概况</w:t>
      </w:r>
      <w:bookmarkEnd w:id="182"/>
    </w:p>
    <w:p w14:paraId="6EC9F9EC">
      <w:pPr>
        <w:rPr>
          <w:color w:val="auto"/>
        </w:rPr>
      </w:pPr>
      <w:r>
        <w:rPr>
          <w:rFonts w:hint="eastAsia"/>
          <w:color w:val="auto"/>
        </w:rPr>
        <w:t>本项目拟采用装配整体式钢筋混凝土框架结构，本项目主体部分选择在水平结构中使用预制叠合楼板、预制楼梯施工，实现装配式技术在主体结构中的应用；围护墙和内隔墙部分采用轻质内隔墙以及轻质内隔墙、管线、装修一体化技术满足内隔墙非砌筑及内隔墙与管线、装修一体化的评价标准，实现围护墙和内隔墙部分的装配式技术应用；装修和设备管线部分首先采用全装修满足评价标准要求，其次采用集成卫生间、管线分离做法。建筑装配率不低于50%。</w:t>
      </w:r>
    </w:p>
    <w:p w14:paraId="5585C73F">
      <w:pPr>
        <w:pStyle w:val="5"/>
        <w:rPr>
          <w:color w:val="auto"/>
        </w:rPr>
      </w:pPr>
      <w:bookmarkStart w:id="183" w:name="_Toc12731"/>
      <w:r>
        <w:rPr>
          <w:rFonts w:hint="eastAsia"/>
          <w:color w:val="auto"/>
        </w:rPr>
        <w:t>材料</w:t>
      </w:r>
      <w:bookmarkEnd w:id="183"/>
    </w:p>
    <w:p w14:paraId="0839A71D">
      <w:pPr>
        <w:rPr>
          <w:color w:val="auto"/>
        </w:rPr>
      </w:pPr>
      <w:r>
        <w:rPr>
          <w:color w:val="auto"/>
        </w:rPr>
        <w:t>1</w:t>
      </w:r>
      <w:r>
        <w:rPr>
          <w:rFonts w:hint="eastAsia"/>
          <w:color w:val="auto"/>
        </w:rPr>
        <w:t>、主要构件混凝土强度等级及保护层厚度</w:t>
      </w:r>
    </w:p>
    <w:p w14:paraId="26CCB43E">
      <w:pPr>
        <w:rPr>
          <w:color w:val="auto"/>
        </w:rPr>
      </w:pPr>
      <w:r>
        <w:rPr>
          <w:rFonts w:hint="eastAsia"/>
          <w:color w:val="auto"/>
        </w:rPr>
        <w:t>本项目预制构件混凝土强度等级均不小于C30，后浇混凝土强度等级同所连预制构件中混凝土强度高的预制构件。具体各类预制构件混凝土强度等级以结构计算为准。</w:t>
      </w:r>
    </w:p>
    <w:p w14:paraId="162B648D">
      <w:pPr>
        <w:rPr>
          <w:color w:val="auto"/>
        </w:rPr>
      </w:pPr>
      <w:r>
        <w:rPr>
          <w:rFonts w:hint="eastAsia"/>
          <w:color w:val="auto"/>
        </w:rPr>
        <w:t>本项目预制构件最小保护层厚度需满足《混凝土结构设计规范》（GB 50010-2010）第8.2章节的相关规定。</w:t>
      </w:r>
    </w:p>
    <w:p w14:paraId="19BD2747">
      <w:pPr>
        <w:rPr>
          <w:color w:val="auto"/>
        </w:rPr>
      </w:pPr>
      <w:r>
        <w:rPr>
          <w:color w:val="auto"/>
        </w:rPr>
        <w:t>2</w:t>
      </w:r>
      <w:r>
        <w:rPr>
          <w:rFonts w:hint="eastAsia"/>
          <w:color w:val="auto"/>
        </w:rPr>
        <w:t>、钢筋</w:t>
      </w:r>
    </w:p>
    <w:p w14:paraId="08988F29">
      <w:pPr>
        <w:rPr>
          <w:color w:val="auto"/>
        </w:rPr>
      </w:pPr>
      <w:r>
        <w:rPr>
          <w:rFonts w:hint="eastAsia"/>
          <w:color w:val="auto"/>
        </w:rPr>
        <w:t>钢筋直径为d≤8mm时且用于构造钢筋使用时采用HPB300级钢筋，fy=270N/mm×mm；梁、板、楼梯、板主要钢筋强度等级：HRB400级钢， fy=360N/mm×mm。</w:t>
      </w:r>
    </w:p>
    <w:p w14:paraId="5FB8CC7E">
      <w:pPr>
        <w:rPr>
          <w:color w:val="auto"/>
        </w:rPr>
      </w:pPr>
      <w:r>
        <w:rPr>
          <w:color w:val="auto"/>
        </w:rPr>
        <w:t>3</w:t>
      </w:r>
      <w:r>
        <w:rPr>
          <w:rFonts w:hint="eastAsia"/>
          <w:color w:val="auto"/>
        </w:rPr>
        <w:t>、钢材</w:t>
      </w:r>
    </w:p>
    <w:p w14:paraId="4F89EB3E">
      <w:pPr>
        <w:rPr>
          <w:color w:val="auto"/>
        </w:rPr>
      </w:pPr>
      <w:r>
        <w:rPr>
          <w:rFonts w:hint="eastAsia"/>
          <w:color w:val="auto"/>
        </w:rPr>
        <w:t>焊条：E50用于HRB335级钢筋和Q345钢材，E55用于HRB400钢筋。</w:t>
      </w:r>
    </w:p>
    <w:p w14:paraId="791291D2">
      <w:pPr>
        <w:rPr>
          <w:color w:val="auto"/>
        </w:rPr>
      </w:pPr>
      <w:r>
        <w:rPr>
          <w:rFonts w:hint="eastAsia"/>
          <w:color w:val="auto"/>
        </w:rPr>
        <w:t>施工所用的焊条、焊丝、焊剂等均应与主体金属强度相适应，当二个不同强度的钢材焊接时，可采用与低强度钢材相适应的焊条。</w:t>
      </w:r>
    </w:p>
    <w:p w14:paraId="58711F7F">
      <w:pPr>
        <w:rPr>
          <w:color w:val="auto"/>
        </w:rPr>
      </w:pPr>
      <w:r>
        <w:rPr>
          <w:color w:val="auto"/>
        </w:rPr>
        <w:t>4</w:t>
      </w:r>
      <w:r>
        <w:rPr>
          <w:rFonts w:hint="eastAsia"/>
          <w:color w:val="auto"/>
        </w:rPr>
        <w:t>、非砌筑内隔墙</w:t>
      </w:r>
    </w:p>
    <w:p w14:paraId="06D22EDF">
      <w:pPr>
        <w:rPr>
          <w:color w:val="auto"/>
        </w:rPr>
      </w:pPr>
      <w:r>
        <w:rPr>
          <w:rFonts w:hint="eastAsia"/>
          <w:color w:val="auto"/>
        </w:rPr>
        <w:t>拟采用蒸压加气混凝土板或当地常用的非砌筑内隔墙。蒸压加气混凝土板是以水泥、石灰、硅砂等为主要原料再根据结构要求配置添加不同数量经防腐处理的钢筋网片的一种轻质多孔新型的绿色环保建筑材料。蒸压加气混凝土板材（ALC）使用和安装须满足国标图集《蒸压加气混凝土砌块、板材构造》13J104及建筑结构施工图对填充墙体材料的相关要求。</w:t>
      </w:r>
    </w:p>
    <w:p w14:paraId="485CCB6C">
      <w:pPr>
        <w:pStyle w:val="5"/>
        <w:rPr>
          <w:color w:val="auto"/>
        </w:rPr>
      </w:pPr>
      <w:bookmarkStart w:id="184" w:name="_Toc25012"/>
      <w:r>
        <w:rPr>
          <w:rFonts w:hint="eastAsia"/>
          <w:color w:val="auto"/>
        </w:rPr>
        <w:t>本项目预制构件简介</w:t>
      </w:r>
      <w:bookmarkEnd w:id="184"/>
    </w:p>
    <w:p w14:paraId="2AF4C0BB">
      <w:pPr>
        <w:rPr>
          <w:color w:val="auto"/>
        </w:rPr>
      </w:pPr>
      <w:r>
        <w:rPr>
          <w:rFonts w:hint="eastAsia"/>
          <w:color w:val="auto"/>
        </w:rPr>
        <w:t>本项目最主要的PC构件是叠合楼板、预制楼梯；PC构件是按极限强度设计方法进行设计，在工厂或现场进行预制而成的。</w:t>
      </w:r>
    </w:p>
    <w:p w14:paraId="0A929F40">
      <w:pPr>
        <w:rPr>
          <w:color w:val="auto"/>
        </w:rPr>
      </w:pPr>
      <w:r>
        <w:rPr>
          <w:color w:val="auto"/>
        </w:rPr>
        <w:t>1</w:t>
      </w:r>
      <w:r>
        <w:rPr>
          <w:rFonts w:hint="eastAsia"/>
          <w:color w:val="auto"/>
        </w:rPr>
        <w:t>、叠合楼板</w:t>
      </w:r>
    </w:p>
    <w:p w14:paraId="35F42182">
      <w:pPr>
        <w:rPr>
          <w:color w:val="auto"/>
        </w:rPr>
      </w:pPr>
      <w:r>
        <w:rPr>
          <w:rFonts w:hint="eastAsia"/>
          <w:color w:val="auto"/>
        </w:rPr>
        <w:t>叠合楼板总厚度130mm（60预制+70现浇）；预制板表面做成凹凸差不小于4mm的粗糙面、在预制板内设置桁架钢筋，可以增加预制板的整体刚度和水平界面抗剪性能，同时，钢筋桁架的下弦及上弦可作为楼板的下部和上部受力钢筋使用。施工阶段，验算预制板的承载力及变形时，可考虑桁架钢筋的作用，减小预制板下的临时支撑；叠合板的钢筋桁架间距不大于600mm，桁架高度为70mm；标准叠合楼板宽度B≤3200mm，叠合板跨度根据工程实体情况按标准模数设计。</w:t>
      </w:r>
    </w:p>
    <w:p w14:paraId="71B64819">
      <w:pPr>
        <w:rPr>
          <w:color w:val="auto"/>
        </w:rPr>
      </w:pPr>
      <w:r>
        <w:rPr>
          <w:rFonts w:hint="eastAsia"/>
          <w:color w:val="auto"/>
        </w:rPr>
        <w:t>2、预制楼梯</w:t>
      </w:r>
    </w:p>
    <w:p w14:paraId="78F8D90B">
      <w:pPr>
        <w:rPr>
          <w:color w:val="auto"/>
        </w:rPr>
      </w:pPr>
      <w:r>
        <w:rPr>
          <w:rFonts w:hint="eastAsia"/>
          <w:color w:val="auto"/>
        </w:rPr>
        <w:t>楼梯梯段板采用全预制混凝土板式楼梯，楼梯平台和楼梯梁均采用现浇方式，楼梯梁位置预留牛腿，预制梯段板上端固定铳支座，下端为滑动铵支座。</w:t>
      </w:r>
    </w:p>
    <w:p w14:paraId="7DAB85D6">
      <w:pPr>
        <w:pStyle w:val="54"/>
        <w:rPr>
          <w:color w:val="auto"/>
        </w:rPr>
      </w:pPr>
      <w:r>
        <w:rPr>
          <w:rFonts w:hint="eastAsia"/>
          <w:color w:val="auto"/>
        </w:rPr>
        <w:t>装配式结构布置</w:t>
      </w:r>
    </w:p>
    <w:tbl>
      <w:tblPr>
        <w:tblStyle w:val="29"/>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0" w:type="dxa"/>
          <w:bottom w:w="0" w:type="dxa"/>
          <w:right w:w="0" w:type="dxa"/>
        </w:tblCellMar>
      </w:tblPr>
      <w:tblGrid>
        <w:gridCol w:w="1076"/>
        <w:gridCol w:w="4747"/>
        <w:gridCol w:w="3309"/>
      </w:tblGrid>
      <w:tr w14:paraId="1E8F98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383A52E9">
            <w:pPr>
              <w:pStyle w:val="45"/>
              <w:rPr>
                <w:rFonts w:hint="eastAsia"/>
                <w:color w:val="auto"/>
              </w:rPr>
            </w:pPr>
            <w:r>
              <w:rPr>
                <w:rFonts w:hint="eastAsia"/>
                <w:color w:val="auto"/>
              </w:rPr>
              <w:t xml:space="preserve">序号 </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308B8B56">
            <w:pPr>
              <w:pStyle w:val="45"/>
              <w:rPr>
                <w:rFonts w:hint="eastAsia"/>
                <w:color w:val="auto"/>
              </w:rPr>
            </w:pPr>
            <w:r>
              <w:rPr>
                <w:rFonts w:hint="eastAsia"/>
                <w:color w:val="auto"/>
              </w:rPr>
              <w:t xml:space="preserve">预制构件名称 </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46D4226">
            <w:pPr>
              <w:pStyle w:val="45"/>
              <w:rPr>
                <w:rFonts w:hint="eastAsia"/>
                <w:color w:val="auto"/>
              </w:rPr>
            </w:pPr>
            <w:r>
              <w:rPr>
                <w:rFonts w:hint="eastAsia"/>
                <w:color w:val="auto"/>
              </w:rPr>
              <w:t xml:space="preserve">标高及部位 </w:t>
            </w:r>
          </w:p>
        </w:tc>
      </w:tr>
      <w:tr w14:paraId="75897C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4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05E6BB96">
            <w:pPr>
              <w:pStyle w:val="45"/>
              <w:rPr>
                <w:rFonts w:hint="eastAsia"/>
                <w:color w:val="auto"/>
              </w:rPr>
            </w:pPr>
            <w:r>
              <w:rPr>
                <w:rFonts w:hint="eastAsia"/>
                <w:color w:val="auto"/>
              </w:rPr>
              <w:t>1</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FB7104D">
            <w:pPr>
              <w:pStyle w:val="45"/>
              <w:rPr>
                <w:rFonts w:hint="eastAsia"/>
                <w:color w:val="auto"/>
              </w:rPr>
            </w:pPr>
            <w:r>
              <w:rPr>
                <w:rFonts w:hint="eastAsia"/>
                <w:color w:val="auto"/>
              </w:rPr>
              <w:t>预制叠合楼板、楼梯</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2CF95DA0">
            <w:pPr>
              <w:pStyle w:val="45"/>
              <w:rPr>
                <w:rFonts w:hint="eastAsia"/>
                <w:color w:val="auto"/>
              </w:rPr>
            </w:pPr>
            <w:r>
              <w:rPr>
                <w:rFonts w:hint="eastAsia"/>
                <w:color w:val="auto"/>
              </w:rPr>
              <w:t>2层楼面~屋面</w:t>
            </w:r>
          </w:p>
        </w:tc>
      </w:tr>
      <w:tr w14:paraId="5F045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366C7A0C">
            <w:pPr>
              <w:pStyle w:val="45"/>
              <w:rPr>
                <w:rFonts w:hint="eastAsia"/>
                <w:color w:val="auto"/>
              </w:rPr>
            </w:pPr>
            <w:r>
              <w:rPr>
                <w:rFonts w:hint="eastAsia"/>
                <w:color w:val="auto"/>
              </w:rPr>
              <w:t>2</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A92F9B2">
            <w:pPr>
              <w:pStyle w:val="45"/>
              <w:rPr>
                <w:rFonts w:hint="eastAsia"/>
                <w:color w:val="auto"/>
              </w:rPr>
            </w:pPr>
            <w:r>
              <w:rPr>
                <w:rFonts w:hint="eastAsia"/>
                <w:color w:val="auto"/>
              </w:rPr>
              <w:t>采用定型装配式模板施工的现浇梁</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3820B9C">
            <w:pPr>
              <w:pStyle w:val="45"/>
              <w:rPr>
                <w:rFonts w:hint="eastAsia"/>
                <w:color w:val="auto"/>
              </w:rPr>
            </w:pPr>
            <w:r>
              <w:rPr>
                <w:rFonts w:hint="eastAsia"/>
                <w:color w:val="auto"/>
              </w:rPr>
              <w:t>2层楼面~屋面</w:t>
            </w:r>
          </w:p>
        </w:tc>
      </w:tr>
      <w:tr w14:paraId="5282B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44F8F078">
            <w:pPr>
              <w:pStyle w:val="45"/>
              <w:rPr>
                <w:rFonts w:hint="eastAsia"/>
                <w:color w:val="auto"/>
              </w:rPr>
            </w:pPr>
            <w:r>
              <w:rPr>
                <w:rFonts w:hint="eastAsia"/>
                <w:color w:val="auto"/>
              </w:rPr>
              <w:t>3</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1D2DFC5E">
            <w:pPr>
              <w:pStyle w:val="45"/>
              <w:rPr>
                <w:rFonts w:hint="eastAsia"/>
                <w:color w:val="auto"/>
              </w:rPr>
            </w:pPr>
            <w:r>
              <w:rPr>
                <w:rFonts w:hint="eastAsia"/>
                <w:color w:val="auto"/>
              </w:rPr>
              <w:t>轻质内隔墙</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083774A6">
            <w:pPr>
              <w:pStyle w:val="45"/>
              <w:rPr>
                <w:rFonts w:hint="eastAsia"/>
                <w:color w:val="auto"/>
              </w:rPr>
            </w:pPr>
            <w:r>
              <w:rPr>
                <w:rFonts w:hint="eastAsia"/>
                <w:color w:val="auto"/>
              </w:rPr>
              <w:t>1层~顶层</w:t>
            </w:r>
          </w:p>
        </w:tc>
      </w:tr>
      <w:tr w14:paraId="039DAD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BBD263B">
            <w:pPr>
              <w:pStyle w:val="45"/>
              <w:rPr>
                <w:rFonts w:hint="eastAsia"/>
                <w:color w:val="auto"/>
              </w:rPr>
            </w:pPr>
            <w:r>
              <w:rPr>
                <w:rFonts w:hint="eastAsia"/>
                <w:color w:val="auto"/>
              </w:rPr>
              <w:t>4</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22709BAC">
            <w:pPr>
              <w:pStyle w:val="45"/>
              <w:rPr>
                <w:rFonts w:hint="eastAsia"/>
                <w:color w:val="auto"/>
              </w:rPr>
            </w:pPr>
            <w:r>
              <w:rPr>
                <w:rFonts w:hint="eastAsia"/>
                <w:color w:val="auto"/>
              </w:rPr>
              <w:t>轻质内隔墙、管线装修一体化技术</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5510E13C">
            <w:pPr>
              <w:pStyle w:val="45"/>
              <w:rPr>
                <w:rFonts w:hint="eastAsia"/>
                <w:color w:val="auto"/>
              </w:rPr>
            </w:pPr>
            <w:r>
              <w:rPr>
                <w:rFonts w:hint="eastAsia"/>
                <w:color w:val="auto"/>
              </w:rPr>
              <w:t>1层~顶层</w:t>
            </w:r>
          </w:p>
        </w:tc>
      </w:tr>
      <w:tr w14:paraId="201B56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5307F899">
            <w:pPr>
              <w:pStyle w:val="45"/>
              <w:rPr>
                <w:rFonts w:hint="eastAsia"/>
                <w:color w:val="auto"/>
              </w:rPr>
            </w:pPr>
            <w:r>
              <w:rPr>
                <w:rFonts w:hint="eastAsia"/>
                <w:color w:val="auto"/>
              </w:rPr>
              <w:t>5</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73D8DA19">
            <w:pPr>
              <w:pStyle w:val="45"/>
              <w:rPr>
                <w:rFonts w:hint="eastAsia"/>
                <w:color w:val="auto"/>
              </w:rPr>
            </w:pPr>
            <w:r>
              <w:rPr>
                <w:rFonts w:hint="eastAsia"/>
                <w:color w:val="auto"/>
              </w:rPr>
              <w:t>集成卫生间</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6133ED16">
            <w:pPr>
              <w:pStyle w:val="45"/>
              <w:rPr>
                <w:rFonts w:hint="eastAsia"/>
                <w:color w:val="auto"/>
              </w:rPr>
            </w:pPr>
            <w:r>
              <w:rPr>
                <w:rFonts w:hint="eastAsia"/>
                <w:color w:val="auto"/>
              </w:rPr>
              <w:t>1层~顶层</w:t>
            </w:r>
          </w:p>
        </w:tc>
      </w:tr>
      <w:tr w14:paraId="388426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98" w:hRule="atLeast"/>
          <w:jc w:val="center"/>
        </w:trPr>
        <w:tc>
          <w:tcPr>
            <w:tcW w:w="58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53D29A2F">
            <w:pPr>
              <w:pStyle w:val="45"/>
              <w:rPr>
                <w:rFonts w:hint="eastAsia"/>
                <w:color w:val="auto"/>
              </w:rPr>
            </w:pPr>
            <w:r>
              <w:rPr>
                <w:rFonts w:hint="eastAsia"/>
                <w:color w:val="auto"/>
              </w:rPr>
              <w:t>6</w:t>
            </w:r>
          </w:p>
        </w:tc>
        <w:tc>
          <w:tcPr>
            <w:tcW w:w="2599"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5171D890">
            <w:pPr>
              <w:pStyle w:val="45"/>
              <w:rPr>
                <w:rFonts w:hint="eastAsia"/>
                <w:color w:val="auto"/>
              </w:rPr>
            </w:pPr>
            <w:r>
              <w:rPr>
                <w:rFonts w:hint="eastAsia"/>
                <w:color w:val="auto"/>
              </w:rPr>
              <w:t>管线分离</w:t>
            </w:r>
          </w:p>
        </w:tc>
        <w:tc>
          <w:tcPr>
            <w:tcW w:w="1812" w:type="pct"/>
            <w:tcBorders>
              <w:top w:val="single" w:color="000000" w:sz="8" w:space="0"/>
              <w:left w:val="single" w:color="000000" w:sz="8" w:space="0"/>
              <w:bottom w:val="single" w:color="000000" w:sz="8" w:space="0"/>
              <w:right w:val="single" w:color="000000" w:sz="8" w:space="0"/>
            </w:tcBorders>
            <w:shd w:val="clear" w:color="auto" w:fill="FFFFFF"/>
            <w:tcMar>
              <w:top w:w="72" w:type="dxa"/>
              <w:left w:w="144" w:type="dxa"/>
              <w:bottom w:w="72" w:type="dxa"/>
              <w:right w:w="144" w:type="dxa"/>
            </w:tcMar>
            <w:vAlign w:val="center"/>
          </w:tcPr>
          <w:p w14:paraId="178DDDD6">
            <w:pPr>
              <w:pStyle w:val="45"/>
              <w:rPr>
                <w:rFonts w:hint="eastAsia"/>
                <w:color w:val="auto"/>
              </w:rPr>
            </w:pPr>
            <w:r>
              <w:rPr>
                <w:rFonts w:hint="eastAsia"/>
                <w:color w:val="auto"/>
              </w:rPr>
              <w:t>1层~顶层</w:t>
            </w:r>
          </w:p>
        </w:tc>
      </w:tr>
    </w:tbl>
    <w:p w14:paraId="40BA22A2">
      <w:pPr>
        <w:rPr>
          <w:color w:val="auto"/>
        </w:rPr>
      </w:pP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1734"/>
        <w:gridCol w:w="2635"/>
        <w:gridCol w:w="3820"/>
      </w:tblGrid>
      <w:tr w14:paraId="594E1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481" w:type="pct"/>
            <w:vAlign w:val="center"/>
          </w:tcPr>
          <w:p w14:paraId="3FCF6BDB">
            <w:pPr>
              <w:spacing w:line="240" w:lineRule="auto"/>
              <w:ind w:firstLine="0" w:firstLineChars="0"/>
              <w:jc w:val="center"/>
              <w:rPr>
                <w:color w:val="auto"/>
                <w:sz w:val="21"/>
                <w:szCs w:val="24"/>
              </w:rPr>
            </w:pPr>
            <w:r>
              <w:rPr>
                <w:rFonts w:hint="eastAsia"/>
                <w:color w:val="auto"/>
                <w:sz w:val="21"/>
                <w:szCs w:val="24"/>
              </w:rPr>
              <w:t>编号</w:t>
            </w:r>
          </w:p>
        </w:tc>
        <w:tc>
          <w:tcPr>
            <w:tcW w:w="957" w:type="pct"/>
            <w:vAlign w:val="center"/>
          </w:tcPr>
          <w:p w14:paraId="13698395">
            <w:pPr>
              <w:spacing w:line="240" w:lineRule="auto"/>
              <w:ind w:firstLine="0" w:firstLineChars="0"/>
              <w:jc w:val="center"/>
              <w:rPr>
                <w:color w:val="auto"/>
                <w:sz w:val="21"/>
                <w:szCs w:val="24"/>
              </w:rPr>
            </w:pPr>
            <w:r>
              <w:rPr>
                <w:rFonts w:hint="eastAsia"/>
                <w:color w:val="auto"/>
                <w:sz w:val="21"/>
                <w:szCs w:val="24"/>
              </w:rPr>
              <w:t>案例</w:t>
            </w:r>
            <w:r>
              <w:rPr>
                <w:color w:val="auto"/>
                <w:sz w:val="21"/>
                <w:szCs w:val="24"/>
              </w:rPr>
              <w:t>名称</w:t>
            </w:r>
          </w:p>
        </w:tc>
        <w:tc>
          <w:tcPr>
            <w:tcW w:w="1454" w:type="pct"/>
            <w:vAlign w:val="center"/>
          </w:tcPr>
          <w:p w14:paraId="51E9A87F">
            <w:pPr>
              <w:spacing w:line="240" w:lineRule="auto"/>
              <w:ind w:firstLine="0" w:firstLineChars="0"/>
              <w:jc w:val="center"/>
              <w:rPr>
                <w:color w:val="auto"/>
                <w:sz w:val="21"/>
                <w:szCs w:val="24"/>
              </w:rPr>
            </w:pPr>
            <w:r>
              <w:rPr>
                <w:rFonts w:hint="eastAsia"/>
                <w:color w:val="auto"/>
                <w:sz w:val="21"/>
                <w:szCs w:val="24"/>
              </w:rPr>
              <w:t>案例简述</w:t>
            </w:r>
          </w:p>
        </w:tc>
        <w:tc>
          <w:tcPr>
            <w:tcW w:w="2109" w:type="pct"/>
            <w:vAlign w:val="center"/>
          </w:tcPr>
          <w:p w14:paraId="0BF1E0EA">
            <w:pPr>
              <w:spacing w:line="240" w:lineRule="auto"/>
              <w:ind w:firstLine="0" w:firstLineChars="0"/>
              <w:jc w:val="center"/>
              <w:rPr>
                <w:color w:val="auto"/>
                <w:sz w:val="21"/>
                <w:szCs w:val="24"/>
              </w:rPr>
            </w:pPr>
            <w:r>
              <w:rPr>
                <w:rFonts w:hint="eastAsia"/>
                <w:color w:val="auto"/>
                <w:sz w:val="21"/>
                <w:szCs w:val="24"/>
              </w:rPr>
              <w:t>图片示意</w:t>
            </w:r>
          </w:p>
        </w:tc>
      </w:tr>
      <w:tr w14:paraId="7EA12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481" w:type="pct"/>
            <w:vAlign w:val="center"/>
          </w:tcPr>
          <w:p w14:paraId="24C0C765">
            <w:pPr>
              <w:spacing w:line="240" w:lineRule="auto"/>
              <w:ind w:firstLine="0" w:firstLineChars="0"/>
              <w:jc w:val="center"/>
              <w:rPr>
                <w:color w:val="auto"/>
                <w:sz w:val="21"/>
                <w:szCs w:val="24"/>
              </w:rPr>
            </w:pPr>
            <w:r>
              <w:rPr>
                <w:color w:val="auto"/>
                <w:sz w:val="21"/>
                <w:szCs w:val="24"/>
              </w:rPr>
              <w:t>1</w:t>
            </w:r>
          </w:p>
        </w:tc>
        <w:tc>
          <w:tcPr>
            <w:tcW w:w="957" w:type="pct"/>
            <w:vAlign w:val="center"/>
          </w:tcPr>
          <w:p w14:paraId="12AE34F4">
            <w:pPr>
              <w:spacing w:line="240" w:lineRule="auto"/>
              <w:ind w:firstLine="0" w:firstLineChars="0"/>
              <w:jc w:val="center"/>
              <w:rPr>
                <w:color w:val="auto"/>
                <w:sz w:val="21"/>
                <w:szCs w:val="24"/>
              </w:rPr>
            </w:pPr>
            <w:r>
              <w:rPr>
                <w:rFonts w:hint="eastAsia"/>
                <w:color w:val="auto"/>
                <w:sz w:val="21"/>
                <w:szCs w:val="24"/>
              </w:rPr>
              <w:t>预制楼梯</w:t>
            </w:r>
          </w:p>
        </w:tc>
        <w:tc>
          <w:tcPr>
            <w:tcW w:w="1454" w:type="pct"/>
            <w:vAlign w:val="center"/>
          </w:tcPr>
          <w:p w14:paraId="40321E27">
            <w:pPr>
              <w:spacing w:line="240" w:lineRule="auto"/>
              <w:ind w:firstLine="0" w:firstLineChars="0"/>
              <w:rPr>
                <w:color w:val="auto"/>
                <w:sz w:val="21"/>
                <w:szCs w:val="24"/>
              </w:rPr>
            </w:pPr>
            <w:r>
              <w:rPr>
                <w:rFonts w:hint="eastAsia"/>
                <w:color w:val="auto"/>
                <w:sz w:val="21"/>
                <w:szCs w:val="24"/>
              </w:rPr>
              <w:t>教学楼北楼及南楼采用预制楼梯</w:t>
            </w:r>
          </w:p>
        </w:tc>
        <w:tc>
          <w:tcPr>
            <w:tcW w:w="2109" w:type="pct"/>
            <w:vAlign w:val="center"/>
          </w:tcPr>
          <w:p w14:paraId="5DBB89C5">
            <w:pPr>
              <w:spacing w:line="240" w:lineRule="auto"/>
              <w:ind w:firstLine="0" w:firstLineChars="0"/>
              <w:jc w:val="center"/>
              <w:rPr>
                <w:color w:val="auto"/>
                <w:sz w:val="21"/>
                <w:szCs w:val="24"/>
              </w:rPr>
            </w:pPr>
            <w:r>
              <w:rPr>
                <w:color w:val="auto"/>
                <w:sz w:val="21"/>
                <w:szCs w:val="24"/>
              </w:rPr>
              <w:drawing>
                <wp:inline distT="0" distB="0" distL="0" distR="0">
                  <wp:extent cx="2226310" cy="155067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a:xfrm>
                            <a:off x="0" y="0"/>
                            <a:ext cx="2226310" cy="1550670"/>
                          </a:xfrm>
                          <a:prstGeom prst="rect">
                            <a:avLst/>
                          </a:prstGeom>
                          <a:noFill/>
                          <a:ln>
                            <a:noFill/>
                          </a:ln>
                        </pic:spPr>
                      </pic:pic>
                    </a:graphicData>
                  </a:graphic>
                </wp:inline>
              </w:drawing>
            </w:r>
          </w:p>
        </w:tc>
      </w:tr>
      <w:tr w14:paraId="79963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481" w:type="pct"/>
            <w:vAlign w:val="center"/>
          </w:tcPr>
          <w:p w14:paraId="0893C939">
            <w:pPr>
              <w:spacing w:line="240" w:lineRule="auto"/>
              <w:ind w:firstLine="0" w:firstLineChars="0"/>
              <w:jc w:val="center"/>
              <w:rPr>
                <w:color w:val="auto"/>
                <w:sz w:val="21"/>
                <w:szCs w:val="24"/>
              </w:rPr>
            </w:pPr>
            <w:r>
              <w:rPr>
                <w:rFonts w:hint="eastAsia"/>
                <w:color w:val="auto"/>
                <w:sz w:val="21"/>
                <w:szCs w:val="24"/>
              </w:rPr>
              <w:t>2</w:t>
            </w:r>
          </w:p>
        </w:tc>
        <w:tc>
          <w:tcPr>
            <w:tcW w:w="957" w:type="pct"/>
            <w:vAlign w:val="center"/>
          </w:tcPr>
          <w:p w14:paraId="289B3D31">
            <w:pPr>
              <w:spacing w:line="240" w:lineRule="auto"/>
              <w:ind w:firstLine="0" w:firstLineChars="0"/>
              <w:jc w:val="center"/>
              <w:rPr>
                <w:color w:val="auto"/>
                <w:sz w:val="21"/>
                <w:szCs w:val="24"/>
              </w:rPr>
            </w:pPr>
            <w:r>
              <w:rPr>
                <w:rFonts w:hint="eastAsia"/>
                <w:color w:val="auto"/>
                <w:sz w:val="21"/>
                <w:szCs w:val="24"/>
              </w:rPr>
              <w:t>预制楼板</w:t>
            </w:r>
          </w:p>
        </w:tc>
        <w:tc>
          <w:tcPr>
            <w:tcW w:w="1454" w:type="pct"/>
            <w:vAlign w:val="center"/>
          </w:tcPr>
          <w:p w14:paraId="66873E17">
            <w:pPr>
              <w:spacing w:line="240" w:lineRule="auto"/>
              <w:ind w:firstLine="0" w:firstLineChars="0"/>
              <w:rPr>
                <w:color w:val="auto"/>
                <w:sz w:val="21"/>
                <w:szCs w:val="24"/>
              </w:rPr>
            </w:pPr>
            <w:r>
              <w:rPr>
                <w:rFonts w:hint="eastAsia"/>
                <w:color w:val="auto"/>
                <w:sz w:val="21"/>
                <w:szCs w:val="24"/>
              </w:rPr>
              <w:t>实施楼板，特别是卫生间底板工厂化预制，可将管道的预留洞口一次浇筑成型，提高防渗。</w:t>
            </w:r>
          </w:p>
        </w:tc>
        <w:tc>
          <w:tcPr>
            <w:tcW w:w="2109" w:type="pct"/>
            <w:vAlign w:val="center"/>
          </w:tcPr>
          <w:p w14:paraId="6D65E885">
            <w:pPr>
              <w:spacing w:line="240" w:lineRule="auto"/>
              <w:ind w:firstLine="0" w:firstLineChars="0"/>
              <w:jc w:val="center"/>
              <w:rPr>
                <w:color w:val="auto"/>
                <w:sz w:val="21"/>
                <w:szCs w:val="24"/>
              </w:rPr>
            </w:pPr>
            <w:r>
              <w:rPr>
                <w:color w:val="auto"/>
                <w:sz w:val="21"/>
                <w:szCs w:val="24"/>
              </w:rPr>
              <w:drawing>
                <wp:inline distT="0" distB="0" distL="0" distR="0">
                  <wp:extent cx="2194560" cy="162179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a:xfrm>
                            <a:off x="0" y="0"/>
                            <a:ext cx="2194560" cy="1621790"/>
                          </a:xfrm>
                          <a:prstGeom prst="rect">
                            <a:avLst/>
                          </a:prstGeom>
                          <a:noFill/>
                          <a:ln>
                            <a:noFill/>
                          </a:ln>
                        </pic:spPr>
                      </pic:pic>
                    </a:graphicData>
                  </a:graphic>
                </wp:inline>
              </w:drawing>
            </w:r>
          </w:p>
        </w:tc>
      </w:tr>
      <w:tr w14:paraId="6B00E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481" w:type="pct"/>
            <w:tcBorders>
              <w:top w:val="single" w:color="auto" w:sz="4" w:space="0"/>
              <w:left w:val="single" w:color="auto" w:sz="4" w:space="0"/>
              <w:bottom w:val="single" w:color="auto" w:sz="4" w:space="0"/>
              <w:right w:val="single" w:color="auto" w:sz="4" w:space="0"/>
            </w:tcBorders>
            <w:vAlign w:val="center"/>
          </w:tcPr>
          <w:p w14:paraId="123AC38D">
            <w:pPr>
              <w:spacing w:line="240" w:lineRule="auto"/>
              <w:ind w:firstLine="0" w:firstLineChars="0"/>
              <w:jc w:val="center"/>
              <w:rPr>
                <w:color w:val="auto"/>
                <w:sz w:val="21"/>
                <w:szCs w:val="24"/>
              </w:rPr>
            </w:pPr>
            <w:r>
              <w:rPr>
                <w:color w:val="auto"/>
                <w:sz w:val="21"/>
                <w:szCs w:val="24"/>
              </w:rPr>
              <w:t>3</w:t>
            </w:r>
          </w:p>
        </w:tc>
        <w:tc>
          <w:tcPr>
            <w:tcW w:w="957" w:type="pct"/>
            <w:tcBorders>
              <w:top w:val="single" w:color="auto" w:sz="4" w:space="0"/>
              <w:left w:val="single" w:color="auto" w:sz="4" w:space="0"/>
              <w:bottom w:val="single" w:color="auto" w:sz="4" w:space="0"/>
              <w:right w:val="single" w:color="auto" w:sz="4" w:space="0"/>
            </w:tcBorders>
            <w:vAlign w:val="center"/>
          </w:tcPr>
          <w:p w14:paraId="736CC313">
            <w:pPr>
              <w:spacing w:line="240" w:lineRule="auto"/>
              <w:ind w:firstLine="0" w:firstLineChars="0"/>
              <w:jc w:val="center"/>
              <w:rPr>
                <w:color w:val="auto"/>
                <w:sz w:val="21"/>
                <w:szCs w:val="24"/>
              </w:rPr>
            </w:pPr>
            <w:r>
              <w:rPr>
                <w:rFonts w:hint="eastAsia"/>
                <w:color w:val="auto"/>
                <w:sz w:val="21"/>
                <w:szCs w:val="24"/>
              </w:rPr>
              <w:t>地下室外墙后浇带预制盖板</w:t>
            </w:r>
          </w:p>
        </w:tc>
        <w:tc>
          <w:tcPr>
            <w:tcW w:w="1454" w:type="pct"/>
            <w:tcBorders>
              <w:top w:val="single" w:color="auto" w:sz="4" w:space="0"/>
              <w:left w:val="single" w:color="auto" w:sz="4" w:space="0"/>
              <w:bottom w:val="single" w:color="auto" w:sz="4" w:space="0"/>
              <w:right w:val="single" w:color="auto" w:sz="4" w:space="0"/>
            </w:tcBorders>
            <w:vAlign w:val="center"/>
          </w:tcPr>
          <w:p w14:paraId="2E849B5A">
            <w:pPr>
              <w:spacing w:line="240" w:lineRule="auto"/>
              <w:ind w:firstLine="0" w:firstLineChars="0"/>
              <w:rPr>
                <w:color w:val="auto"/>
                <w:sz w:val="21"/>
                <w:szCs w:val="24"/>
              </w:rPr>
            </w:pPr>
            <w:r>
              <w:rPr>
                <w:rFonts w:hint="eastAsia"/>
                <w:color w:val="auto"/>
                <w:sz w:val="21"/>
                <w:szCs w:val="24"/>
              </w:rPr>
              <w:t>地下室后浇带采用预制抗水模板盖板做法，提前对后浇带进行封闭。</w:t>
            </w:r>
          </w:p>
        </w:tc>
        <w:tc>
          <w:tcPr>
            <w:tcW w:w="2109" w:type="pct"/>
            <w:tcBorders>
              <w:top w:val="single" w:color="auto" w:sz="4" w:space="0"/>
              <w:left w:val="single" w:color="auto" w:sz="4" w:space="0"/>
              <w:bottom w:val="single" w:color="auto" w:sz="4" w:space="0"/>
              <w:right w:val="single" w:color="auto" w:sz="4" w:space="0"/>
            </w:tcBorders>
            <w:vAlign w:val="center"/>
          </w:tcPr>
          <w:p w14:paraId="30489174">
            <w:pPr>
              <w:spacing w:line="240" w:lineRule="auto"/>
              <w:ind w:firstLine="0" w:firstLineChars="0"/>
              <w:jc w:val="center"/>
              <w:rPr>
                <w:color w:val="auto"/>
                <w:sz w:val="21"/>
                <w:szCs w:val="24"/>
              </w:rPr>
            </w:pPr>
            <w:r>
              <w:rPr>
                <w:color w:val="auto"/>
                <w:sz w:val="21"/>
                <w:szCs w:val="24"/>
              </w:rPr>
              <w:drawing>
                <wp:inline distT="0" distB="0" distL="0" distR="0">
                  <wp:extent cx="906145" cy="1208405"/>
                  <wp:effectExtent l="0" t="0" r="8255"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906145" cy="1208405"/>
                          </a:xfrm>
                          <a:prstGeom prst="rect">
                            <a:avLst/>
                          </a:prstGeom>
                          <a:noFill/>
                          <a:ln>
                            <a:noFill/>
                          </a:ln>
                        </pic:spPr>
                      </pic:pic>
                    </a:graphicData>
                  </a:graphic>
                </wp:inline>
              </w:drawing>
            </w:r>
          </w:p>
        </w:tc>
      </w:tr>
      <w:tr w14:paraId="3F2AA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481" w:type="pct"/>
            <w:tcBorders>
              <w:top w:val="single" w:color="auto" w:sz="4" w:space="0"/>
              <w:left w:val="single" w:color="auto" w:sz="4" w:space="0"/>
              <w:bottom w:val="single" w:color="auto" w:sz="4" w:space="0"/>
              <w:right w:val="single" w:color="auto" w:sz="4" w:space="0"/>
            </w:tcBorders>
            <w:vAlign w:val="center"/>
          </w:tcPr>
          <w:p w14:paraId="1D94CFBF">
            <w:pPr>
              <w:spacing w:line="240" w:lineRule="auto"/>
              <w:ind w:firstLine="0" w:firstLineChars="0"/>
              <w:jc w:val="center"/>
              <w:rPr>
                <w:color w:val="auto"/>
                <w:sz w:val="21"/>
                <w:szCs w:val="24"/>
              </w:rPr>
            </w:pPr>
            <w:r>
              <w:rPr>
                <w:color w:val="auto"/>
                <w:sz w:val="21"/>
                <w:szCs w:val="24"/>
              </w:rPr>
              <w:t>4</w:t>
            </w:r>
          </w:p>
        </w:tc>
        <w:tc>
          <w:tcPr>
            <w:tcW w:w="957" w:type="pct"/>
            <w:tcBorders>
              <w:top w:val="single" w:color="auto" w:sz="4" w:space="0"/>
              <w:left w:val="single" w:color="auto" w:sz="4" w:space="0"/>
              <w:bottom w:val="single" w:color="auto" w:sz="4" w:space="0"/>
              <w:right w:val="single" w:color="auto" w:sz="4" w:space="0"/>
            </w:tcBorders>
            <w:vAlign w:val="center"/>
          </w:tcPr>
          <w:p w14:paraId="70F28902">
            <w:pPr>
              <w:spacing w:line="240" w:lineRule="auto"/>
              <w:ind w:firstLine="0" w:firstLineChars="0"/>
              <w:jc w:val="center"/>
              <w:rPr>
                <w:color w:val="auto"/>
                <w:sz w:val="21"/>
                <w:szCs w:val="24"/>
              </w:rPr>
            </w:pPr>
            <w:r>
              <w:rPr>
                <w:rFonts w:hint="eastAsia"/>
                <w:color w:val="auto"/>
                <w:sz w:val="21"/>
                <w:szCs w:val="24"/>
              </w:rPr>
              <w:t>预制A</w:t>
            </w:r>
            <w:r>
              <w:rPr>
                <w:color w:val="auto"/>
                <w:sz w:val="21"/>
                <w:szCs w:val="24"/>
              </w:rPr>
              <w:t>LC</w:t>
            </w:r>
            <w:r>
              <w:rPr>
                <w:rFonts w:hint="eastAsia"/>
                <w:color w:val="auto"/>
                <w:sz w:val="21"/>
                <w:szCs w:val="24"/>
              </w:rPr>
              <w:t>墙板</w:t>
            </w:r>
          </w:p>
        </w:tc>
        <w:tc>
          <w:tcPr>
            <w:tcW w:w="1454" w:type="pct"/>
            <w:tcBorders>
              <w:top w:val="single" w:color="auto" w:sz="4" w:space="0"/>
              <w:left w:val="single" w:color="auto" w:sz="4" w:space="0"/>
              <w:bottom w:val="single" w:color="auto" w:sz="4" w:space="0"/>
              <w:right w:val="single" w:color="auto" w:sz="4" w:space="0"/>
            </w:tcBorders>
            <w:vAlign w:val="center"/>
          </w:tcPr>
          <w:p w14:paraId="237EFB87">
            <w:pPr>
              <w:spacing w:line="240" w:lineRule="auto"/>
              <w:ind w:firstLine="0" w:firstLineChars="0"/>
              <w:rPr>
                <w:color w:val="auto"/>
                <w:sz w:val="21"/>
                <w:szCs w:val="24"/>
              </w:rPr>
            </w:pPr>
            <w:r>
              <w:rPr>
                <w:rFonts w:hint="eastAsia"/>
                <w:color w:val="auto"/>
                <w:sz w:val="21"/>
                <w:szCs w:val="24"/>
              </w:rPr>
              <w:t>室内隔墙及外墙（非承重墙）采用A</w:t>
            </w:r>
            <w:r>
              <w:rPr>
                <w:color w:val="auto"/>
                <w:sz w:val="21"/>
                <w:szCs w:val="24"/>
              </w:rPr>
              <w:t>LC</w:t>
            </w:r>
            <w:r>
              <w:rPr>
                <w:rFonts w:hint="eastAsia"/>
                <w:color w:val="auto"/>
                <w:sz w:val="21"/>
                <w:szCs w:val="24"/>
              </w:rPr>
              <w:t>墙板</w:t>
            </w:r>
          </w:p>
        </w:tc>
        <w:tc>
          <w:tcPr>
            <w:tcW w:w="2109" w:type="pct"/>
            <w:tcBorders>
              <w:top w:val="single" w:color="auto" w:sz="4" w:space="0"/>
              <w:left w:val="single" w:color="auto" w:sz="4" w:space="0"/>
              <w:bottom w:val="single" w:color="auto" w:sz="4" w:space="0"/>
              <w:right w:val="single" w:color="auto" w:sz="4" w:space="0"/>
            </w:tcBorders>
            <w:vAlign w:val="center"/>
          </w:tcPr>
          <w:p w14:paraId="59842FCD">
            <w:pPr>
              <w:spacing w:line="240" w:lineRule="auto"/>
              <w:ind w:firstLine="0" w:firstLineChars="0"/>
              <w:jc w:val="center"/>
              <w:rPr>
                <w:color w:val="auto"/>
                <w:sz w:val="21"/>
                <w:szCs w:val="24"/>
              </w:rPr>
            </w:pPr>
            <w:r>
              <w:rPr>
                <w:color w:val="auto"/>
                <w:sz w:val="21"/>
                <w:szCs w:val="24"/>
              </w:rPr>
              <w:drawing>
                <wp:inline distT="0" distB="0" distL="0" distR="0">
                  <wp:extent cx="1645920" cy="124015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1645920" cy="1240155"/>
                          </a:xfrm>
                          <a:prstGeom prst="rect">
                            <a:avLst/>
                          </a:prstGeom>
                          <a:noFill/>
                          <a:ln>
                            <a:noFill/>
                          </a:ln>
                        </pic:spPr>
                      </pic:pic>
                    </a:graphicData>
                  </a:graphic>
                </wp:inline>
              </w:drawing>
            </w:r>
          </w:p>
        </w:tc>
      </w:tr>
      <w:tr w14:paraId="63963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481" w:type="pct"/>
            <w:tcBorders>
              <w:top w:val="single" w:color="auto" w:sz="4" w:space="0"/>
              <w:left w:val="single" w:color="auto" w:sz="4" w:space="0"/>
              <w:bottom w:val="single" w:color="auto" w:sz="4" w:space="0"/>
              <w:right w:val="single" w:color="auto" w:sz="4" w:space="0"/>
            </w:tcBorders>
            <w:vAlign w:val="center"/>
          </w:tcPr>
          <w:p w14:paraId="62B2D89F">
            <w:pPr>
              <w:spacing w:line="240" w:lineRule="auto"/>
              <w:ind w:firstLine="0" w:firstLineChars="0"/>
              <w:jc w:val="center"/>
              <w:rPr>
                <w:color w:val="auto"/>
                <w:sz w:val="21"/>
                <w:szCs w:val="24"/>
              </w:rPr>
            </w:pPr>
            <w:r>
              <w:rPr>
                <w:color w:val="auto"/>
                <w:sz w:val="21"/>
                <w:szCs w:val="24"/>
              </w:rPr>
              <w:t>5</w:t>
            </w:r>
          </w:p>
        </w:tc>
        <w:tc>
          <w:tcPr>
            <w:tcW w:w="957" w:type="pct"/>
            <w:tcBorders>
              <w:top w:val="single" w:color="auto" w:sz="4" w:space="0"/>
              <w:left w:val="single" w:color="auto" w:sz="4" w:space="0"/>
              <w:bottom w:val="single" w:color="auto" w:sz="4" w:space="0"/>
              <w:right w:val="single" w:color="auto" w:sz="4" w:space="0"/>
            </w:tcBorders>
            <w:vAlign w:val="center"/>
          </w:tcPr>
          <w:p w14:paraId="022D28AD">
            <w:pPr>
              <w:spacing w:line="240" w:lineRule="auto"/>
              <w:ind w:firstLine="0" w:firstLineChars="0"/>
              <w:jc w:val="center"/>
              <w:rPr>
                <w:color w:val="auto"/>
                <w:sz w:val="21"/>
                <w:szCs w:val="24"/>
              </w:rPr>
            </w:pPr>
            <w:r>
              <w:rPr>
                <w:rFonts w:hint="eastAsia"/>
                <w:color w:val="auto"/>
                <w:sz w:val="21"/>
                <w:szCs w:val="24"/>
              </w:rPr>
              <w:t>顶棚面平整度标准控制工艺</w:t>
            </w:r>
          </w:p>
        </w:tc>
        <w:tc>
          <w:tcPr>
            <w:tcW w:w="1454" w:type="pct"/>
            <w:tcBorders>
              <w:top w:val="single" w:color="auto" w:sz="4" w:space="0"/>
              <w:left w:val="single" w:color="auto" w:sz="4" w:space="0"/>
              <w:bottom w:val="single" w:color="auto" w:sz="4" w:space="0"/>
              <w:right w:val="single" w:color="auto" w:sz="4" w:space="0"/>
            </w:tcBorders>
            <w:vAlign w:val="center"/>
          </w:tcPr>
          <w:p w14:paraId="197E3151">
            <w:pPr>
              <w:spacing w:line="240" w:lineRule="auto"/>
              <w:ind w:firstLine="0" w:firstLineChars="0"/>
              <w:rPr>
                <w:color w:val="auto"/>
                <w:sz w:val="21"/>
                <w:szCs w:val="24"/>
              </w:rPr>
            </w:pPr>
            <w:r>
              <w:rPr>
                <w:rFonts w:hint="eastAsia"/>
                <w:color w:val="auto"/>
                <w:sz w:val="21"/>
                <w:szCs w:val="24"/>
              </w:rPr>
              <w:t>采用红外线依据结构线复核墙、板、柱等结构模板标高，标高控制在5mm内，消除顶棚面二次平整度找补，降低成本。</w:t>
            </w:r>
          </w:p>
        </w:tc>
        <w:tc>
          <w:tcPr>
            <w:tcW w:w="2109" w:type="pct"/>
            <w:tcBorders>
              <w:top w:val="single" w:color="auto" w:sz="4" w:space="0"/>
              <w:left w:val="single" w:color="auto" w:sz="4" w:space="0"/>
              <w:bottom w:val="single" w:color="auto" w:sz="4" w:space="0"/>
              <w:right w:val="single" w:color="auto" w:sz="4" w:space="0"/>
            </w:tcBorders>
            <w:vAlign w:val="center"/>
          </w:tcPr>
          <w:p w14:paraId="1936BA4F">
            <w:pPr>
              <w:spacing w:line="240" w:lineRule="auto"/>
              <w:ind w:firstLine="0" w:firstLineChars="0"/>
              <w:jc w:val="center"/>
              <w:rPr>
                <w:color w:val="auto"/>
                <w:sz w:val="21"/>
                <w:szCs w:val="24"/>
              </w:rPr>
            </w:pPr>
            <w:r>
              <w:rPr>
                <w:color w:val="auto"/>
                <w:sz w:val="21"/>
                <w:szCs w:val="24"/>
              </w:rPr>
              <w:drawing>
                <wp:inline distT="0" distB="0" distL="0" distR="0">
                  <wp:extent cx="2202815" cy="1399540"/>
                  <wp:effectExtent l="0" t="0" r="698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2202815" cy="1399540"/>
                          </a:xfrm>
                          <a:prstGeom prst="rect">
                            <a:avLst/>
                          </a:prstGeom>
                          <a:noFill/>
                          <a:ln>
                            <a:noFill/>
                          </a:ln>
                        </pic:spPr>
                      </pic:pic>
                    </a:graphicData>
                  </a:graphic>
                </wp:inline>
              </w:drawing>
            </w:r>
          </w:p>
        </w:tc>
      </w:tr>
      <w:tr w14:paraId="56366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9" w:hRule="atLeast"/>
          <w:jc w:val="center"/>
        </w:trPr>
        <w:tc>
          <w:tcPr>
            <w:tcW w:w="481" w:type="pct"/>
            <w:tcBorders>
              <w:top w:val="single" w:color="auto" w:sz="4" w:space="0"/>
              <w:left w:val="single" w:color="auto" w:sz="4" w:space="0"/>
              <w:bottom w:val="single" w:color="auto" w:sz="4" w:space="0"/>
              <w:right w:val="single" w:color="auto" w:sz="4" w:space="0"/>
            </w:tcBorders>
            <w:vAlign w:val="center"/>
          </w:tcPr>
          <w:p w14:paraId="14C5EDDA">
            <w:pPr>
              <w:spacing w:line="240" w:lineRule="auto"/>
              <w:ind w:firstLine="0" w:firstLineChars="0"/>
              <w:jc w:val="center"/>
              <w:rPr>
                <w:color w:val="auto"/>
                <w:sz w:val="21"/>
                <w:szCs w:val="24"/>
              </w:rPr>
            </w:pPr>
            <w:r>
              <w:rPr>
                <w:color w:val="auto"/>
                <w:sz w:val="21"/>
                <w:szCs w:val="24"/>
              </w:rPr>
              <w:t>6</w:t>
            </w:r>
          </w:p>
        </w:tc>
        <w:tc>
          <w:tcPr>
            <w:tcW w:w="957" w:type="pct"/>
            <w:tcBorders>
              <w:top w:val="single" w:color="auto" w:sz="4" w:space="0"/>
              <w:left w:val="single" w:color="auto" w:sz="4" w:space="0"/>
              <w:bottom w:val="single" w:color="auto" w:sz="4" w:space="0"/>
              <w:right w:val="single" w:color="auto" w:sz="4" w:space="0"/>
            </w:tcBorders>
            <w:vAlign w:val="center"/>
          </w:tcPr>
          <w:p w14:paraId="0842902D">
            <w:pPr>
              <w:spacing w:line="240" w:lineRule="auto"/>
              <w:ind w:firstLine="0" w:firstLineChars="0"/>
              <w:jc w:val="center"/>
              <w:rPr>
                <w:color w:val="auto"/>
                <w:sz w:val="21"/>
                <w:szCs w:val="24"/>
              </w:rPr>
            </w:pPr>
            <w:r>
              <w:rPr>
                <w:rFonts w:hint="eastAsia"/>
                <w:color w:val="auto"/>
                <w:sz w:val="21"/>
                <w:szCs w:val="24"/>
              </w:rPr>
              <w:t>楼板厚度控制工艺</w:t>
            </w:r>
          </w:p>
        </w:tc>
        <w:tc>
          <w:tcPr>
            <w:tcW w:w="1454" w:type="pct"/>
            <w:tcBorders>
              <w:top w:val="single" w:color="auto" w:sz="4" w:space="0"/>
              <w:left w:val="single" w:color="auto" w:sz="4" w:space="0"/>
              <w:bottom w:val="single" w:color="auto" w:sz="4" w:space="0"/>
              <w:right w:val="single" w:color="auto" w:sz="4" w:space="0"/>
            </w:tcBorders>
            <w:vAlign w:val="center"/>
          </w:tcPr>
          <w:p w14:paraId="7CA1C8DD">
            <w:pPr>
              <w:spacing w:line="240" w:lineRule="auto"/>
              <w:ind w:firstLine="0" w:firstLineChars="0"/>
              <w:rPr>
                <w:color w:val="auto"/>
                <w:sz w:val="21"/>
                <w:szCs w:val="24"/>
              </w:rPr>
            </w:pPr>
            <w:r>
              <w:rPr>
                <w:rFonts w:hint="eastAsia"/>
                <w:color w:val="auto"/>
                <w:sz w:val="21"/>
                <w:szCs w:val="24"/>
              </w:rPr>
              <w:t>采用定制混凝土预制块做马凳，根据平板马凳施工优化图确定马凳位置，确保混凝土楼面平整，厚度标准，上部钢筋保护层准确。</w:t>
            </w:r>
          </w:p>
        </w:tc>
        <w:tc>
          <w:tcPr>
            <w:tcW w:w="2109" w:type="pct"/>
            <w:tcBorders>
              <w:top w:val="single" w:color="auto" w:sz="4" w:space="0"/>
              <w:left w:val="single" w:color="auto" w:sz="4" w:space="0"/>
              <w:bottom w:val="single" w:color="auto" w:sz="4" w:space="0"/>
              <w:right w:val="single" w:color="auto" w:sz="4" w:space="0"/>
            </w:tcBorders>
            <w:vAlign w:val="center"/>
          </w:tcPr>
          <w:p w14:paraId="65A3C12A">
            <w:pPr>
              <w:spacing w:line="240" w:lineRule="auto"/>
              <w:ind w:firstLine="0" w:firstLineChars="0"/>
              <w:jc w:val="center"/>
              <w:rPr>
                <w:color w:val="auto"/>
                <w:sz w:val="21"/>
                <w:szCs w:val="24"/>
              </w:rPr>
            </w:pPr>
            <w:r>
              <w:rPr>
                <w:color w:val="auto"/>
                <w:sz w:val="21"/>
                <w:szCs w:val="24"/>
              </w:rPr>
              <w:drawing>
                <wp:inline distT="0" distB="0" distL="0" distR="0">
                  <wp:extent cx="2162810" cy="1431290"/>
                  <wp:effectExtent l="0" t="0" r="889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2162810" cy="1431290"/>
                          </a:xfrm>
                          <a:prstGeom prst="rect">
                            <a:avLst/>
                          </a:prstGeom>
                          <a:noFill/>
                          <a:ln>
                            <a:noFill/>
                          </a:ln>
                        </pic:spPr>
                      </pic:pic>
                    </a:graphicData>
                  </a:graphic>
                </wp:inline>
              </w:drawing>
            </w:r>
          </w:p>
        </w:tc>
      </w:tr>
    </w:tbl>
    <w:p w14:paraId="7FB14FC7">
      <w:pPr>
        <w:rPr>
          <w:color w:val="auto"/>
        </w:rPr>
      </w:pPr>
    </w:p>
    <w:p w14:paraId="504E85A5">
      <w:pPr>
        <w:pStyle w:val="5"/>
        <w:rPr>
          <w:color w:val="auto"/>
        </w:rPr>
      </w:pPr>
      <w:bookmarkStart w:id="185" w:name="_Toc4765"/>
      <w:r>
        <w:rPr>
          <w:rFonts w:hint="eastAsia"/>
          <w:color w:val="auto"/>
        </w:rPr>
        <w:t>装配式机电</w:t>
      </w:r>
      <w:bookmarkEnd w:id="185"/>
    </w:p>
    <w:p w14:paraId="6F69EA9F">
      <w:pPr>
        <w:rPr>
          <w:color w:val="auto"/>
        </w:rPr>
      </w:pPr>
      <w:r>
        <w:rPr>
          <w:rFonts w:hint="eastAsia"/>
          <w:color w:val="auto"/>
        </w:rPr>
        <w:t>1、电气</w:t>
      </w:r>
    </w:p>
    <w:p w14:paraId="4D5AD43D">
      <w:pPr>
        <w:rPr>
          <w:color w:val="auto"/>
        </w:rPr>
      </w:pPr>
      <w:r>
        <w:rPr>
          <w:rFonts w:hint="eastAsia"/>
          <w:color w:val="auto"/>
        </w:rPr>
        <w:t>①项目位于竖井内及公共区域的电气设备、管线明装（包括敷设在吊顶内） 。</w:t>
      </w:r>
    </w:p>
    <w:p w14:paraId="308D1961">
      <w:pPr>
        <w:rPr>
          <w:color w:val="auto"/>
        </w:rPr>
      </w:pPr>
      <w:r>
        <w:rPr>
          <w:rFonts w:hint="eastAsia"/>
          <w:color w:val="auto"/>
        </w:rPr>
        <w:t>②电气专业预留预埋原则：预制墙体内预埋相应底盒及穿线管；预制梁内预留穿线管套管；预制楼板内预留相应底盒，管线敷设于现浇层内，设计时应尽量避免管线交叉。线管接管处均预留相应操作空间。电气专业在预制构件中的预留预埋要求布置合理，定位准确，预留位置不影响结构安全。</w:t>
      </w:r>
    </w:p>
    <w:p w14:paraId="30136353">
      <w:pPr>
        <w:rPr>
          <w:color w:val="auto"/>
        </w:rPr>
      </w:pPr>
      <w:r>
        <w:rPr>
          <w:rFonts w:hint="eastAsia"/>
          <w:color w:val="auto"/>
        </w:rPr>
        <w:t>③防雷引下线设置方式说明：该项目防雷引下线设置在现浇柱及预制柱内。</w:t>
      </w:r>
    </w:p>
    <w:p w14:paraId="72D62CC2">
      <w:pPr>
        <w:rPr>
          <w:color w:val="auto"/>
        </w:rPr>
      </w:pPr>
      <w:r>
        <w:rPr>
          <w:rFonts w:hint="eastAsia"/>
          <w:color w:val="auto"/>
        </w:rPr>
        <w:t>④防侧击雷：该项目建筑外露金属门窗预埋金属埋件在预制构件中，采用25X4mm镀锌扁钢一端连接金属埋件，另一端伸出预制构件，与建筑每层圈梁及构造梁内主钢筋可靠连接，并与引下线联通。</w:t>
      </w:r>
    </w:p>
    <w:p w14:paraId="1D8004DE">
      <w:pPr>
        <w:rPr>
          <w:color w:val="auto"/>
        </w:rPr>
      </w:pPr>
      <w:r>
        <w:rPr>
          <w:color w:val="auto"/>
        </w:rPr>
        <w:t>2</w:t>
      </w:r>
      <w:r>
        <w:rPr>
          <w:rFonts w:hint="eastAsia"/>
          <w:color w:val="auto"/>
        </w:rPr>
        <w:t>、给排水</w:t>
      </w:r>
    </w:p>
    <w:p w14:paraId="53476BD3">
      <w:pPr>
        <w:rPr>
          <w:color w:val="auto"/>
        </w:rPr>
      </w:pPr>
      <w:r>
        <w:rPr>
          <w:rFonts w:hint="eastAsia"/>
          <w:color w:val="auto"/>
        </w:rPr>
        <w:t>①预制墙体上的竖向给水支管，预留40mm宽，20mm深竖向管槽。</w:t>
      </w:r>
    </w:p>
    <w:p w14:paraId="760059D0">
      <w:pPr>
        <w:rPr>
          <w:color w:val="auto"/>
        </w:rPr>
      </w:pPr>
      <w:r>
        <w:rPr>
          <w:rFonts w:hint="eastAsia"/>
          <w:color w:val="auto"/>
        </w:rPr>
        <w:t>②）采用非同层排水方式的厨卫排水器具及附件、阳台地漏等在预制楼板上预埋止水节或预留孔洞。</w:t>
      </w:r>
    </w:p>
    <w:p w14:paraId="06826A71">
      <w:pPr>
        <w:rPr>
          <w:color w:val="auto"/>
        </w:rPr>
      </w:pPr>
      <w:r>
        <w:rPr>
          <w:rFonts w:hint="eastAsia"/>
          <w:color w:val="auto"/>
        </w:rPr>
        <w:t>③管道穿越预制墙、梁、板时预埋套管。预制构件上的预留孔洞、套管、管槽应选择在对构件受力影响最小的部位。</w:t>
      </w:r>
    </w:p>
    <w:p w14:paraId="543A177D">
      <w:pPr>
        <w:rPr>
          <w:color w:val="auto"/>
        </w:rPr>
      </w:pPr>
      <w:r>
        <w:rPr>
          <w:rFonts w:hint="eastAsia"/>
          <w:color w:val="auto"/>
        </w:rPr>
        <w:t>④管道管材材质及接口方式详参给排水专业设计施工说明。给水系统的给水立管与部品水平管道的接口宜设置内螺纹活接连接。</w:t>
      </w:r>
    </w:p>
    <w:p w14:paraId="53A3F737">
      <w:pPr>
        <w:rPr>
          <w:color w:val="auto"/>
        </w:rPr>
      </w:pPr>
      <w:r>
        <w:rPr>
          <w:rFonts w:hint="eastAsia"/>
          <w:color w:val="auto"/>
        </w:rPr>
        <w:t>⑤管道及其预留预埋套管、孔洞的防水、防火、隔声措施应满足相应规范规定。</w:t>
      </w:r>
    </w:p>
    <w:p w14:paraId="544FECE5">
      <w:pPr>
        <w:rPr>
          <w:color w:val="auto"/>
        </w:rPr>
      </w:pPr>
      <w:r>
        <w:rPr>
          <w:color w:val="auto"/>
        </w:rPr>
        <w:t>3</w:t>
      </w:r>
      <w:r>
        <w:rPr>
          <w:rFonts w:hint="eastAsia"/>
          <w:color w:val="auto"/>
        </w:rPr>
        <w:t>、暖通</w:t>
      </w:r>
    </w:p>
    <w:p w14:paraId="193FE6F5">
      <w:pPr>
        <w:rPr>
          <w:color w:val="auto"/>
        </w:rPr>
      </w:pPr>
      <w:r>
        <w:rPr>
          <w:rFonts w:hint="eastAsia"/>
          <w:color w:val="auto"/>
        </w:rPr>
        <w:t>①管道穿越预制墙、梁、板时预埋套管。预制构件上的预留孔洞、套管、管槽应选择在对构件受力影响最小的部位。</w:t>
      </w:r>
    </w:p>
    <w:p w14:paraId="438C0FB5">
      <w:pPr>
        <w:rPr>
          <w:color w:val="auto"/>
        </w:rPr>
      </w:pPr>
      <w:r>
        <w:rPr>
          <w:rFonts w:hint="eastAsia"/>
          <w:color w:val="auto"/>
        </w:rPr>
        <w:t>②管道材质、接口、敷设方式详参暖通专业设计施工说明。</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8"/>
        <w:gridCol w:w="1216"/>
        <w:gridCol w:w="3042"/>
        <w:gridCol w:w="3804"/>
      </w:tblGrid>
      <w:tr w14:paraId="6920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51" w:type="pct"/>
            <w:vAlign w:val="center"/>
          </w:tcPr>
          <w:p w14:paraId="6F437043">
            <w:pPr>
              <w:spacing w:line="240" w:lineRule="auto"/>
              <w:ind w:firstLine="0" w:firstLineChars="0"/>
              <w:jc w:val="center"/>
              <w:rPr>
                <w:color w:val="auto"/>
                <w:sz w:val="21"/>
                <w:szCs w:val="24"/>
              </w:rPr>
            </w:pPr>
            <w:r>
              <w:rPr>
                <w:rFonts w:hint="eastAsia"/>
                <w:color w:val="auto"/>
                <w:sz w:val="21"/>
                <w:szCs w:val="24"/>
              </w:rPr>
              <w:t>编号</w:t>
            </w:r>
          </w:p>
        </w:tc>
        <w:tc>
          <w:tcPr>
            <w:tcW w:w="671" w:type="pct"/>
            <w:vAlign w:val="center"/>
          </w:tcPr>
          <w:p w14:paraId="0936AE8F">
            <w:pPr>
              <w:spacing w:line="240" w:lineRule="auto"/>
              <w:ind w:firstLine="0" w:firstLineChars="0"/>
              <w:jc w:val="center"/>
              <w:rPr>
                <w:color w:val="auto"/>
                <w:sz w:val="21"/>
                <w:szCs w:val="24"/>
              </w:rPr>
            </w:pPr>
            <w:r>
              <w:rPr>
                <w:rFonts w:hint="eastAsia"/>
                <w:color w:val="auto"/>
                <w:sz w:val="21"/>
                <w:szCs w:val="24"/>
              </w:rPr>
              <w:t>案例</w:t>
            </w:r>
            <w:r>
              <w:rPr>
                <w:color w:val="auto"/>
                <w:sz w:val="21"/>
                <w:szCs w:val="24"/>
              </w:rPr>
              <w:t>名称</w:t>
            </w:r>
          </w:p>
        </w:tc>
        <w:tc>
          <w:tcPr>
            <w:tcW w:w="1679" w:type="pct"/>
            <w:vAlign w:val="center"/>
          </w:tcPr>
          <w:p w14:paraId="11D34CF0">
            <w:pPr>
              <w:spacing w:line="240" w:lineRule="auto"/>
              <w:ind w:firstLine="0" w:firstLineChars="0"/>
              <w:jc w:val="center"/>
              <w:rPr>
                <w:color w:val="auto"/>
                <w:sz w:val="21"/>
                <w:szCs w:val="24"/>
              </w:rPr>
            </w:pPr>
            <w:r>
              <w:rPr>
                <w:rFonts w:hint="eastAsia"/>
                <w:color w:val="auto"/>
                <w:sz w:val="21"/>
                <w:szCs w:val="24"/>
              </w:rPr>
              <w:t>案例简述</w:t>
            </w:r>
          </w:p>
        </w:tc>
        <w:tc>
          <w:tcPr>
            <w:tcW w:w="2099" w:type="pct"/>
            <w:vAlign w:val="center"/>
          </w:tcPr>
          <w:p w14:paraId="723B545F">
            <w:pPr>
              <w:spacing w:line="240" w:lineRule="auto"/>
              <w:ind w:firstLine="0" w:firstLineChars="0"/>
              <w:jc w:val="center"/>
              <w:rPr>
                <w:color w:val="auto"/>
                <w:sz w:val="21"/>
                <w:szCs w:val="24"/>
              </w:rPr>
            </w:pPr>
            <w:r>
              <w:rPr>
                <w:rFonts w:hint="eastAsia"/>
                <w:color w:val="auto"/>
                <w:sz w:val="21"/>
                <w:szCs w:val="24"/>
              </w:rPr>
              <w:t>图片示意</w:t>
            </w:r>
          </w:p>
        </w:tc>
      </w:tr>
      <w:tr w14:paraId="2DD22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51" w:type="pct"/>
            <w:vAlign w:val="center"/>
          </w:tcPr>
          <w:p w14:paraId="28B63C6B">
            <w:pPr>
              <w:spacing w:line="240" w:lineRule="auto"/>
              <w:ind w:firstLine="0" w:firstLineChars="0"/>
              <w:jc w:val="center"/>
              <w:rPr>
                <w:color w:val="auto"/>
                <w:sz w:val="21"/>
                <w:szCs w:val="24"/>
              </w:rPr>
            </w:pPr>
            <w:r>
              <w:rPr>
                <w:rFonts w:hint="eastAsia"/>
                <w:color w:val="auto"/>
                <w:sz w:val="21"/>
                <w:szCs w:val="24"/>
              </w:rPr>
              <w:t>1</w:t>
            </w:r>
          </w:p>
        </w:tc>
        <w:tc>
          <w:tcPr>
            <w:tcW w:w="671" w:type="pct"/>
            <w:vAlign w:val="center"/>
          </w:tcPr>
          <w:p w14:paraId="7238A1E5">
            <w:pPr>
              <w:spacing w:line="240" w:lineRule="auto"/>
              <w:ind w:firstLine="0" w:firstLineChars="0"/>
              <w:jc w:val="center"/>
              <w:rPr>
                <w:color w:val="auto"/>
                <w:sz w:val="21"/>
                <w:szCs w:val="24"/>
              </w:rPr>
            </w:pPr>
            <w:r>
              <w:rPr>
                <w:rFonts w:hint="eastAsia"/>
                <w:color w:val="auto"/>
                <w:sz w:val="21"/>
                <w:szCs w:val="24"/>
              </w:rPr>
              <w:t>止水节</w:t>
            </w:r>
          </w:p>
        </w:tc>
        <w:tc>
          <w:tcPr>
            <w:tcW w:w="1679" w:type="pct"/>
            <w:vAlign w:val="center"/>
          </w:tcPr>
          <w:p w14:paraId="01A7C3E8">
            <w:pPr>
              <w:spacing w:line="240" w:lineRule="auto"/>
              <w:ind w:firstLine="0" w:firstLineChars="0"/>
              <w:rPr>
                <w:color w:val="auto"/>
                <w:sz w:val="21"/>
                <w:szCs w:val="24"/>
              </w:rPr>
            </w:pPr>
            <w:r>
              <w:rPr>
                <w:rFonts w:hint="eastAsia"/>
                <w:color w:val="auto"/>
                <w:sz w:val="21"/>
                <w:szCs w:val="24"/>
              </w:rPr>
              <w:t>给排水管部位采用预制止水节方式，可避免后期再进行二次吊洞，提高防水性能</w:t>
            </w:r>
          </w:p>
        </w:tc>
        <w:tc>
          <w:tcPr>
            <w:tcW w:w="2099" w:type="pct"/>
            <w:vAlign w:val="center"/>
          </w:tcPr>
          <w:p w14:paraId="1C135C8C">
            <w:pPr>
              <w:spacing w:line="240" w:lineRule="auto"/>
              <w:ind w:firstLine="0" w:firstLineChars="0"/>
              <w:jc w:val="center"/>
              <w:rPr>
                <w:color w:val="auto"/>
                <w:sz w:val="21"/>
                <w:szCs w:val="24"/>
              </w:rPr>
            </w:pPr>
            <w:r>
              <w:rPr>
                <w:color w:val="auto"/>
                <w:sz w:val="21"/>
                <w:szCs w:val="24"/>
              </w:rPr>
              <w:drawing>
                <wp:inline distT="0" distB="0" distL="0" distR="0">
                  <wp:extent cx="1765300" cy="1407160"/>
                  <wp:effectExtent l="0" t="0" r="6350" b="254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a:xfrm>
                            <a:off x="0" y="0"/>
                            <a:ext cx="1765300" cy="1407160"/>
                          </a:xfrm>
                          <a:prstGeom prst="rect">
                            <a:avLst/>
                          </a:prstGeom>
                          <a:noFill/>
                          <a:ln>
                            <a:noFill/>
                          </a:ln>
                        </pic:spPr>
                      </pic:pic>
                    </a:graphicData>
                  </a:graphic>
                </wp:inline>
              </w:drawing>
            </w:r>
          </w:p>
        </w:tc>
      </w:tr>
      <w:tr w14:paraId="43FBC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551" w:type="pct"/>
            <w:vAlign w:val="center"/>
          </w:tcPr>
          <w:p w14:paraId="717CC493">
            <w:pPr>
              <w:spacing w:line="240" w:lineRule="auto"/>
              <w:ind w:firstLine="0" w:firstLineChars="0"/>
              <w:jc w:val="center"/>
              <w:rPr>
                <w:color w:val="auto"/>
                <w:sz w:val="21"/>
                <w:szCs w:val="24"/>
              </w:rPr>
            </w:pPr>
            <w:r>
              <w:rPr>
                <w:rFonts w:hint="eastAsia"/>
                <w:color w:val="auto"/>
                <w:sz w:val="21"/>
                <w:szCs w:val="24"/>
              </w:rPr>
              <w:t>2</w:t>
            </w:r>
          </w:p>
        </w:tc>
        <w:tc>
          <w:tcPr>
            <w:tcW w:w="671" w:type="pct"/>
            <w:vAlign w:val="center"/>
          </w:tcPr>
          <w:p w14:paraId="5A8E36D8">
            <w:pPr>
              <w:spacing w:line="240" w:lineRule="auto"/>
              <w:ind w:firstLine="0" w:firstLineChars="0"/>
              <w:jc w:val="center"/>
              <w:rPr>
                <w:color w:val="auto"/>
                <w:sz w:val="21"/>
                <w:szCs w:val="24"/>
              </w:rPr>
            </w:pPr>
            <w:r>
              <w:rPr>
                <w:rFonts w:hint="eastAsia"/>
                <w:color w:val="auto"/>
                <w:sz w:val="21"/>
                <w:szCs w:val="24"/>
              </w:rPr>
              <w:t>可穿筋拼装线盒</w:t>
            </w:r>
          </w:p>
        </w:tc>
        <w:tc>
          <w:tcPr>
            <w:tcW w:w="1679" w:type="pct"/>
            <w:vAlign w:val="center"/>
          </w:tcPr>
          <w:p w14:paraId="1CDAF33C">
            <w:pPr>
              <w:spacing w:line="240" w:lineRule="auto"/>
              <w:ind w:firstLine="0" w:firstLineChars="0"/>
              <w:rPr>
                <w:color w:val="auto"/>
                <w:sz w:val="21"/>
                <w:szCs w:val="24"/>
              </w:rPr>
            </w:pPr>
            <w:r>
              <w:rPr>
                <w:rFonts w:hint="eastAsia"/>
                <w:color w:val="auto"/>
                <w:sz w:val="21"/>
                <w:szCs w:val="24"/>
              </w:rPr>
              <w:t>采用拼装穿筋线盒，线盒与线盒之间利用自带挂扣连接，保证线盒等间距、连接可靠，且上下两侧可以穿钢筋与主体结构钢筋进行绑扎或焊接连接固定，提高成排线盒刚度。</w:t>
            </w:r>
          </w:p>
        </w:tc>
        <w:tc>
          <w:tcPr>
            <w:tcW w:w="2099" w:type="pct"/>
            <w:vAlign w:val="center"/>
          </w:tcPr>
          <w:p w14:paraId="16B1F474">
            <w:pPr>
              <w:spacing w:line="240" w:lineRule="auto"/>
              <w:ind w:firstLine="0" w:firstLineChars="0"/>
              <w:jc w:val="center"/>
              <w:rPr>
                <w:color w:val="auto"/>
                <w:sz w:val="21"/>
                <w:szCs w:val="24"/>
              </w:rPr>
            </w:pPr>
            <w:r>
              <w:rPr>
                <w:color w:val="auto"/>
                <w:sz w:val="21"/>
                <w:szCs w:val="24"/>
              </w:rPr>
              <w:drawing>
                <wp:inline distT="0" distB="0" distL="0" distR="0">
                  <wp:extent cx="1510665" cy="1598295"/>
                  <wp:effectExtent l="0" t="0" r="0"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a:xfrm>
                            <a:off x="0" y="0"/>
                            <a:ext cx="1510665" cy="1598295"/>
                          </a:xfrm>
                          <a:prstGeom prst="rect">
                            <a:avLst/>
                          </a:prstGeom>
                          <a:noFill/>
                          <a:ln>
                            <a:noFill/>
                          </a:ln>
                        </pic:spPr>
                      </pic:pic>
                    </a:graphicData>
                  </a:graphic>
                </wp:inline>
              </w:drawing>
            </w:r>
          </w:p>
        </w:tc>
      </w:tr>
    </w:tbl>
    <w:p w14:paraId="2E0F116A">
      <w:pPr>
        <w:rPr>
          <w:color w:val="auto"/>
        </w:rPr>
      </w:pPr>
    </w:p>
    <w:p w14:paraId="131BCAA1">
      <w:pPr>
        <w:pStyle w:val="5"/>
        <w:rPr>
          <w:color w:val="auto"/>
        </w:rPr>
      </w:pPr>
      <w:bookmarkStart w:id="186" w:name="_Toc12818"/>
      <w:r>
        <w:rPr>
          <w:rFonts w:hint="eastAsia"/>
          <w:color w:val="auto"/>
        </w:rPr>
        <w:t>隔墙体系</w:t>
      </w:r>
      <w:bookmarkEnd w:id="186"/>
    </w:p>
    <w:p w14:paraId="2C394207">
      <w:pPr>
        <w:rPr>
          <w:color w:val="auto"/>
        </w:rPr>
      </w:pPr>
      <w:r>
        <w:rPr>
          <w:rFonts w:hint="eastAsia"/>
          <w:color w:val="auto"/>
        </w:rPr>
        <w:t>为有效避免墙板开裂问题，本项目禁止现场切割墙板，结合厂家墙板规格型号进行墙板深化。</w:t>
      </w:r>
    </w:p>
    <w:p w14:paraId="2BA6E195">
      <w:pPr>
        <w:rPr>
          <w:color w:val="auto"/>
        </w:rPr>
      </w:pPr>
      <w:r>
        <w:rPr>
          <w:rFonts w:hint="eastAsia"/>
          <w:color w:val="auto"/>
        </w:rPr>
        <w:t>同时，为了避免水电开槽对墙板的不利影响，墙板排版结合精装水电点位图进行深化设计，避免将水电点位设置于墙板拼缝处。具体实施措施为：排版图应以保证电管线预埋在预制墙板的空心内为前提，如果精装预留的水电点位与之矛盾时，应先考虑协调精装设计调整水电点位（做微调），如水电定位不可调需采取专项措施。同时在埋设水电箱处采用现浇混凝土，避免因开洞造成对墙板的不利影响。</w:t>
      </w:r>
    </w:p>
    <w:p w14:paraId="3C28DF34">
      <w:pPr>
        <w:rPr>
          <w:color w:val="auto"/>
        </w:rPr>
      </w:pPr>
      <w:r>
        <w:rPr>
          <w:rFonts w:hint="eastAsia"/>
          <w:color w:val="auto"/>
        </w:rPr>
        <w:t>内隔墙与管线、装饰一体化：</w:t>
      </w:r>
    </w:p>
    <w:p w14:paraId="0707B213">
      <w:pPr>
        <w:rPr>
          <w:color w:val="auto"/>
        </w:rPr>
      </w:pPr>
      <w:r>
        <w:rPr>
          <w:rFonts w:hint="eastAsia"/>
          <w:color w:val="auto"/>
        </w:rPr>
        <w:t>室内装修设计提前介入，与建筑、结构、机电及深化单位各专业协同紧密配合，进行轻质隔墙与管线、装饰一体化设计，对需要在轻质隔墙预留的线盒预埋、机电管线、点位接口等准确定位，满足装修一次到位要求，保证建筑设计与装修设计的一致性，避免对轻质隔墙现场开槽，提高住宅品质。</w:t>
      </w:r>
    </w:p>
    <w:p w14:paraId="4D4730C2">
      <w:pPr>
        <w:rPr>
          <w:color w:val="auto"/>
        </w:rPr>
      </w:pPr>
      <w:r>
        <w:rPr>
          <w:rFonts w:hint="eastAsia"/>
          <w:color w:val="auto"/>
        </w:rPr>
        <w:t>室内装修的一体化设计图纸送进轻质隔墙工厂加工，使轻质隔墙墙满足机电专业线盒及管线预留预埋要求，包括结合机电专业预留管道以及装饰面等要满足内装设计要求，现场只做装配组装，实现内隔墙与管线、装饰一体化。</w:t>
      </w:r>
    </w:p>
    <w:p w14:paraId="3F26629C">
      <w:pPr>
        <w:rPr>
          <w:color w:val="auto"/>
        </w:rPr>
      </w:pPr>
      <w:r>
        <w:rPr>
          <w:rFonts w:hint="eastAsia"/>
          <w:color w:val="auto"/>
        </w:rPr>
        <w:t>本项目采用全装修方案、</w:t>
      </w:r>
    </w:p>
    <w:p w14:paraId="3EA1D63C">
      <w:pPr>
        <w:pStyle w:val="5"/>
        <w:rPr>
          <w:color w:val="auto"/>
        </w:rPr>
      </w:pPr>
      <w:bookmarkStart w:id="187" w:name="_Toc7956"/>
      <w:r>
        <w:rPr>
          <w:rFonts w:hint="eastAsia"/>
          <w:color w:val="auto"/>
        </w:rPr>
        <w:t>集成卫生间</w:t>
      </w:r>
      <w:bookmarkEnd w:id="187"/>
    </w:p>
    <w:p w14:paraId="61A49449">
      <w:pPr>
        <w:rPr>
          <w:color w:val="auto"/>
        </w:rPr>
      </w:pPr>
      <w:r>
        <w:rPr>
          <w:rFonts w:hint="eastAsia"/>
          <w:color w:val="auto"/>
        </w:rPr>
        <w:t>本项目拟采用集成卫生间，墙面和顶面采用免找平薄贴及干式施工，洁具设备安装到位，实现集成卫生间的技术要求。</w:t>
      </w:r>
    </w:p>
    <w:p w14:paraId="01D9A238">
      <w:pPr>
        <w:pStyle w:val="4"/>
        <w:ind w:firstLine="482"/>
        <w:rPr>
          <w:color w:val="auto"/>
        </w:rPr>
      </w:pPr>
      <w:bookmarkStart w:id="188" w:name="_Toc4124"/>
      <w:r>
        <w:rPr>
          <w:rFonts w:hint="eastAsia"/>
          <w:color w:val="auto"/>
        </w:rPr>
        <w:t>屋面工程</w:t>
      </w:r>
      <w:bookmarkEnd w:id="188"/>
    </w:p>
    <w:p w14:paraId="1530EED3">
      <w:pPr>
        <w:pStyle w:val="5"/>
        <w:rPr>
          <w:color w:val="auto"/>
        </w:rPr>
      </w:pPr>
      <w:bookmarkStart w:id="189" w:name="_Toc1612"/>
      <w:r>
        <w:rPr>
          <w:rFonts w:hint="eastAsia"/>
          <w:color w:val="auto"/>
        </w:rPr>
        <w:t>屋面做法</w:t>
      </w:r>
      <w:bookmarkEnd w:id="189"/>
    </w:p>
    <w:p w14:paraId="1146DC24">
      <w:pPr>
        <w:rPr>
          <w:color w:val="auto"/>
        </w:rPr>
      </w:pPr>
      <w:r>
        <w:rPr>
          <w:rFonts w:hint="eastAsia"/>
          <w:color w:val="auto"/>
        </w:rPr>
        <w:t>（外保温倒置式）上人屋面：由上至下</w:t>
      </w:r>
      <w:r>
        <w:rPr>
          <w:color w:val="auto"/>
        </w:rPr>
        <w:t xml:space="preserve"> </w:t>
      </w:r>
    </w:p>
    <w:p w14:paraId="66780022">
      <w:pPr>
        <w:rPr>
          <w:color w:val="auto"/>
        </w:rPr>
      </w:pPr>
      <w:r>
        <w:rPr>
          <w:rFonts w:hint="eastAsia"/>
          <w:color w:val="auto"/>
        </w:rPr>
        <w:t>根据需要涂刷装饰涂料或铺设装饰板</w:t>
      </w:r>
    </w:p>
    <w:p w14:paraId="24A9F4E4">
      <w:pPr>
        <w:rPr>
          <w:color w:val="auto"/>
        </w:rPr>
      </w:pPr>
      <w:r>
        <w:rPr>
          <w:rFonts w:hint="eastAsia"/>
          <w:color w:val="auto"/>
        </w:rPr>
        <w:t>50mm 厚C20 细石防水混凝土整浇层随捣随光，内配双向φ6@200 钢筋，每6×6 m² 设分仓缝，缝宽20mm，嵌防水密封膏</w:t>
      </w:r>
    </w:p>
    <w:p w14:paraId="27248ED2">
      <w:pPr>
        <w:spacing w:line="273" w:lineRule="auto"/>
        <w:rPr>
          <w:rFonts w:hint="eastAsia" w:ascii="宋体" w:hAnsi="宋体" w:cs="Times New Roman"/>
          <w:color w:val="auto"/>
          <w:sz w:val="21"/>
        </w:rPr>
      </w:pPr>
      <w:r>
        <w:rPr>
          <w:rFonts w:hint="eastAsia" w:ascii="宋体" w:hAnsi="宋体"/>
          <w:color w:val="auto"/>
        </w:rPr>
        <w:t>0.4mm厚聚乙烯膜隔离层</w:t>
      </w:r>
    </w:p>
    <w:p w14:paraId="4087C669">
      <w:pPr>
        <w:rPr>
          <w:color w:val="auto"/>
        </w:rPr>
      </w:pPr>
      <w:r>
        <w:rPr>
          <w:rFonts w:hint="eastAsia"/>
          <w:color w:val="auto"/>
        </w:rPr>
        <w:t>50厚挤塑聚苯乙烯泡沫塑料（节能计算取值40mm）</w:t>
      </w:r>
    </w:p>
    <w:p w14:paraId="33D385DC">
      <w:pPr>
        <w:rPr>
          <w:color w:val="auto"/>
        </w:rPr>
      </w:pPr>
      <w:r>
        <w:rPr>
          <w:rFonts w:hint="eastAsia"/>
          <w:color w:val="auto"/>
        </w:rPr>
        <w:t>1.5厚自粘硫化型三元乙丙橡胶防水卷材</w:t>
      </w:r>
    </w:p>
    <w:p w14:paraId="54C308FC">
      <w:pPr>
        <w:rPr>
          <w:color w:val="auto"/>
        </w:rPr>
      </w:pPr>
      <w:r>
        <w:rPr>
          <w:rFonts w:hint="eastAsia"/>
          <w:color w:val="auto"/>
        </w:rPr>
        <w:t>2厚单组份非焦油型聚氨酯防水涂料</w:t>
      </w:r>
    </w:p>
    <w:p w14:paraId="593C9100">
      <w:pPr>
        <w:rPr>
          <w:color w:val="auto"/>
        </w:rPr>
      </w:pPr>
      <w:r>
        <w:rPr>
          <w:rFonts w:hint="eastAsia"/>
          <w:color w:val="auto"/>
        </w:rPr>
        <w:t>LC7.5 轻骨料混凝土( 容重≤8KN/m³) 找坡层，最薄处30 厚</w:t>
      </w:r>
    </w:p>
    <w:p w14:paraId="03938498">
      <w:pPr>
        <w:rPr>
          <w:color w:val="auto"/>
        </w:rPr>
      </w:pPr>
      <w:r>
        <w:rPr>
          <w:rFonts w:hint="eastAsia"/>
          <w:color w:val="auto"/>
        </w:rPr>
        <w:t>钢筋混凝土屋面板（材料及厚度详结构）</w:t>
      </w:r>
    </w:p>
    <w:p w14:paraId="4D527BA8">
      <w:pPr>
        <w:pStyle w:val="5"/>
        <w:rPr>
          <w:color w:val="auto"/>
        </w:rPr>
      </w:pPr>
      <w:bookmarkStart w:id="190" w:name="_Toc13204"/>
      <w:r>
        <w:rPr>
          <w:rFonts w:hint="eastAsia"/>
          <w:color w:val="auto"/>
        </w:rPr>
        <w:t>屋面施工方法</w:t>
      </w:r>
      <w:bookmarkEnd w:id="190"/>
    </w:p>
    <w:p w14:paraId="705EBDF6">
      <w:pPr>
        <w:rPr>
          <w:color w:val="auto"/>
        </w:rPr>
      </w:pPr>
      <w:r>
        <w:rPr>
          <w:rFonts w:hint="eastAsia"/>
          <w:color w:val="auto"/>
        </w:rPr>
        <w:t>1）施工顺序</w:t>
      </w:r>
    </w:p>
    <w:p w14:paraId="7DAA6FB7">
      <w:pPr>
        <w:rPr>
          <w:color w:val="auto"/>
        </w:rPr>
      </w:pPr>
      <w:r>
        <w:rPr>
          <w:rFonts w:hint="eastAsia"/>
          <w:color w:val="auto"/>
        </w:rPr>
        <w:t>卷材的铺贴应从流水下坡开始。应先铺排水口、天沟等处排水比较集中的部位，按标高由低向高的顺序铺；铺高低跨屋面防水时，应按先高后低、先远后近的顺序进行；应将卷材顺长方向铺，并使卷材长面与流水坡度垂直，卷材搭接要顺流水方向。</w:t>
      </w:r>
    </w:p>
    <w:p w14:paraId="0E8CA84F">
      <w:pPr>
        <w:rPr>
          <w:color w:val="auto"/>
        </w:rPr>
      </w:pPr>
      <w:r>
        <w:rPr>
          <w:rFonts w:hint="eastAsia"/>
          <w:color w:val="auto"/>
        </w:rPr>
        <w:t>2）工艺流程</w:t>
      </w:r>
    </w:p>
    <w:p w14:paraId="452196AC">
      <w:pPr>
        <w:rPr>
          <w:color w:val="auto"/>
        </w:rPr>
      </w:pPr>
      <w:r>
        <w:rPr>
          <w:rFonts w:hint="eastAsia"/>
          <w:color w:val="auto"/>
        </w:rPr>
        <w:t>结构板清理→找坡层施工→找平层施工→基层清理→防水涂料施工→合成高分子防水卷材施工→挤塑板施工→隔离层施工→细石防水混凝土施工→蓄水试验→隐蔽验收</w:t>
      </w:r>
    </w:p>
    <w:p w14:paraId="349E1243">
      <w:pPr>
        <w:rPr>
          <w:color w:val="auto"/>
        </w:rPr>
      </w:pPr>
      <w:r>
        <w:rPr>
          <w:rFonts w:hint="eastAsia"/>
          <w:color w:val="auto"/>
        </w:rPr>
        <w:t>3）施工方法</w:t>
      </w:r>
    </w:p>
    <w:p w14:paraId="2F2F5CA6">
      <w:pPr>
        <w:rPr>
          <w:color w:val="auto"/>
        </w:rPr>
      </w:pPr>
      <w:r>
        <w:rPr>
          <w:rFonts w:hint="eastAsia"/>
          <w:color w:val="auto"/>
        </w:rPr>
        <w:t>①清理修补基层：</w:t>
      </w:r>
    </w:p>
    <w:p w14:paraId="47020AA5">
      <w:pPr>
        <w:rPr>
          <w:color w:val="auto"/>
        </w:rPr>
      </w:pPr>
      <w:r>
        <w:rPr>
          <w:rFonts w:hint="eastAsia"/>
          <w:color w:val="auto"/>
        </w:rPr>
        <w:t>基层为一次压光的结构层或砂浆找平层，施工前将验收合格的基层表面尘土、杂物清理干净，保证表层平整、坚实、干燥、清洁，且不得有起砂、开裂和空鼓等缺陷，所有阴阳角处应做成半径为50mm的圆弧形，内排水的水落口周围应做成略低的凹坑。</w:t>
      </w:r>
    </w:p>
    <w:p w14:paraId="345F3A94">
      <w:pPr>
        <w:rPr>
          <w:color w:val="auto"/>
        </w:rPr>
      </w:pPr>
      <w:r>
        <w:rPr>
          <w:rFonts w:hint="eastAsia"/>
          <w:color w:val="auto"/>
        </w:rPr>
        <w:t>②基层处理剂：</w:t>
      </w:r>
    </w:p>
    <w:p w14:paraId="4457030D">
      <w:pPr>
        <w:rPr>
          <w:color w:val="auto"/>
        </w:rPr>
      </w:pPr>
      <w:r>
        <w:rPr>
          <w:rFonts w:hint="eastAsia"/>
          <w:color w:val="auto"/>
        </w:rPr>
        <w:t>涂基层处理剂前首先检查找平层的质量和干燥程度并清扫干净，符合要求后方可进行，在大面积涂刷前，应用毛刷对屋面节点、周边、拐角等部位先行处理。当找平层出现局部凹凸不平、起砂起皮、裂缝以及预埋不稳等缺陷时，可按下表进行修补：</w:t>
      </w:r>
    </w:p>
    <w:p w14:paraId="591CE7E8">
      <w:pPr>
        <w:pStyle w:val="54"/>
        <w:rPr>
          <w:color w:val="auto"/>
        </w:rPr>
      </w:pPr>
      <w:r>
        <w:rPr>
          <w:rFonts w:hint="eastAsia"/>
          <w:color w:val="auto"/>
        </w:rPr>
        <w:t>基层处理做法一览表</w:t>
      </w:r>
    </w:p>
    <w:tbl>
      <w:tblPr>
        <w:tblStyle w:val="29"/>
        <w:tblW w:w="5000" w:type="pct"/>
        <w:jc w:val="center"/>
        <w:tblLayout w:type="autofit"/>
        <w:tblCellMar>
          <w:top w:w="0" w:type="dxa"/>
          <w:left w:w="108" w:type="dxa"/>
          <w:bottom w:w="0" w:type="dxa"/>
          <w:right w:w="108" w:type="dxa"/>
        </w:tblCellMar>
      </w:tblPr>
      <w:tblGrid>
        <w:gridCol w:w="1712"/>
        <w:gridCol w:w="7348"/>
      </w:tblGrid>
      <w:tr w14:paraId="3480592D">
        <w:tblPrEx>
          <w:tblCellMar>
            <w:top w:w="0" w:type="dxa"/>
            <w:left w:w="108" w:type="dxa"/>
            <w:bottom w:w="0" w:type="dxa"/>
            <w:right w:w="108" w:type="dxa"/>
          </w:tblCellMar>
        </w:tblPrEx>
        <w:trPr>
          <w:trHeight w:val="538" w:hRule="atLeast"/>
          <w:tblHeader/>
          <w:jc w:val="center"/>
        </w:trPr>
        <w:tc>
          <w:tcPr>
            <w:tcW w:w="945" w:type="pct"/>
            <w:tcBorders>
              <w:top w:val="single" w:color="auto" w:sz="4" w:space="0"/>
              <w:left w:val="single" w:color="auto" w:sz="4" w:space="0"/>
              <w:bottom w:val="single" w:color="auto" w:sz="4" w:space="0"/>
              <w:right w:val="single" w:color="auto" w:sz="4" w:space="0"/>
            </w:tcBorders>
            <w:shd w:val="clear" w:color="auto" w:fill="FFFFFF"/>
            <w:vAlign w:val="center"/>
          </w:tcPr>
          <w:p w14:paraId="44F9957C">
            <w:pPr>
              <w:pStyle w:val="45"/>
              <w:rPr>
                <w:rFonts w:hint="eastAsia"/>
                <w:color w:val="auto"/>
              </w:rPr>
            </w:pPr>
            <w:r>
              <w:rPr>
                <w:rFonts w:hint="eastAsia"/>
                <w:color w:val="auto"/>
              </w:rPr>
              <w:t>缺陷种类</w:t>
            </w:r>
          </w:p>
        </w:tc>
        <w:tc>
          <w:tcPr>
            <w:tcW w:w="4055" w:type="pct"/>
            <w:tcBorders>
              <w:top w:val="single" w:color="auto" w:sz="4" w:space="0"/>
              <w:left w:val="nil"/>
              <w:bottom w:val="single" w:color="auto" w:sz="4" w:space="0"/>
              <w:right w:val="single" w:color="auto" w:sz="4" w:space="0"/>
            </w:tcBorders>
            <w:shd w:val="clear" w:color="auto" w:fill="FFFFFF"/>
            <w:vAlign w:val="center"/>
          </w:tcPr>
          <w:p w14:paraId="35E88699">
            <w:pPr>
              <w:pStyle w:val="45"/>
              <w:rPr>
                <w:rFonts w:hint="eastAsia"/>
                <w:color w:val="auto"/>
              </w:rPr>
            </w:pPr>
            <w:r>
              <w:rPr>
                <w:rFonts w:hint="eastAsia"/>
                <w:color w:val="auto"/>
              </w:rPr>
              <w:t>修补方法</w:t>
            </w:r>
          </w:p>
        </w:tc>
      </w:tr>
      <w:tr w14:paraId="350DCA44">
        <w:tblPrEx>
          <w:tblCellMar>
            <w:top w:w="0" w:type="dxa"/>
            <w:left w:w="108" w:type="dxa"/>
            <w:bottom w:w="0" w:type="dxa"/>
            <w:right w:w="108" w:type="dxa"/>
          </w:tblCellMar>
        </w:tblPrEx>
        <w:trPr>
          <w:jc w:val="center"/>
        </w:trPr>
        <w:tc>
          <w:tcPr>
            <w:tcW w:w="945" w:type="pct"/>
            <w:tcBorders>
              <w:top w:val="single" w:color="auto" w:sz="4" w:space="0"/>
              <w:left w:val="single" w:color="auto" w:sz="4" w:space="0"/>
              <w:bottom w:val="single" w:color="auto" w:sz="4" w:space="0"/>
              <w:right w:val="single" w:color="auto" w:sz="4" w:space="0"/>
            </w:tcBorders>
            <w:shd w:val="clear" w:color="auto" w:fill="FFFFFF"/>
            <w:vAlign w:val="center"/>
          </w:tcPr>
          <w:p w14:paraId="3AE9D2AA">
            <w:pPr>
              <w:pStyle w:val="45"/>
              <w:rPr>
                <w:rFonts w:hint="eastAsia"/>
                <w:color w:val="auto"/>
              </w:rPr>
            </w:pPr>
            <w:r>
              <w:rPr>
                <w:rFonts w:hint="eastAsia"/>
                <w:color w:val="auto"/>
              </w:rPr>
              <w:t>凹凸不平</w:t>
            </w:r>
          </w:p>
        </w:tc>
        <w:tc>
          <w:tcPr>
            <w:tcW w:w="4055" w:type="pct"/>
            <w:tcBorders>
              <w:top w:val="single" w:color="auto" w:sz="4" w:space="0"/>
              <w:left w:val="nil"/>
              <w:bottom w:val="single" w:color="auto" w:sz="4" w:space="0"/>
              <w:right w:val="single" w:color="auto" w:sz="4" w:space="0"/>
            </w:tcBorders>
            <w:shd w:val="clear" w:color="auto" w:fill="FFFFFF"/>
            <w:vAlign w:val="center"/>
          </w:tcPr>
          <w:p w14:paraId="374389E4">
            <w:pPr>
              <w:pStyle w:val="47"/>
              <w:ind w:firstLine="420"/>
              <w:rPr>
                <w:color w:val="auto"/>
              </w:rPr>
            </w:pPr>
            <w:r>
              <w:rPr>
                <w:rFonts w:hint="eastAsia"/>
                <w:color w:val="auto"/>
              </w:rPr>
              <w:t>铲除凸起部位，低凹处应用</w:t>
            </w:r>
            <w:r>
              <w:rPr>
                <w:color w:val="auto"/>
              </w:rPr>
              <w:t>1</w:t>
            </w:r>
            <w:r>
              <w:rPr>
                <w:rFonts w:hint="eastAsia"/>
                <w:color w:val="auto"/>
              </w:rPr>
              <w:t>：</w:t>
            </w:r>
            <w:r>
              <w:rPr>
                <w:color w:val="auto"/>
              </w:rPr>
              <w:t>2.5</w:t>
            </w:r>
            <w:r>
              <w:rPr>
                <w:rFonts w:hint="eastAsia"/>
                <w:color w:val="auto"/>
              </w:rPr>
              <w:t>水泥砂浆掺</w:t>
            </w:r>
            <w:r>
              <w:rPr>
                <w:color w:val="auto"/>
              </w:rPr>
              <w:t>10%</w:t>
            </w:r>
            <w:r>
              <w:rPr>
                <w:rFonts w:hint="eastAsia"/>
                <w:color w:val="auto"/>
              </w:rPr>
              <w:t>～</w:t>
            </w:r>
            <w:r>
              <w:rPr>
                <w:color w:val="auto"/>
              </w:rPr>
              <w:t>15%</w:t>
            </w:r>
            <w:r>
              <w:rPr>
                <w:rFonts w:hint="eastAsia"/>
                <w:color w:val="auto"/>
              </w:rPr>
              <w:t>的</w:t>
            </w:r>
            <w:r>
              <w:rPr>
                <w:color w:val="auto"/>
              </w:rPr>
              <w:t>108</w:t>
            </w:r>
            <w:r>
              <w:rPr>
                <w:rFonts w:hint="eastAsia"/>
                <w:color w:val="auto"/>
              </w:rPr>
              <w:t>胶补抹，较浅时可用素水泥胶涂刷。</w:t>
            </w:r>
          </w:p>
        </w:tc>
      </w:tr>
      <w:tr w14:paraId="7B5345A2">
        <w:tblPrEx>
          <w:tblCellMar>
            <w:top w:w="0" w:type="dxa"/>
            <w:left w:w="108" w:type="dxa"/>
            <w:bottom w:w="0" w:type="dxa"/>
            <w:right w:w="108" w:type="dxa"/>
          </w:tblCellMar>
        </w:tblPrEx>
        <w:trPr>
          <w:trHeight w:val="229" w:hRule="atLeast"/>
          <w:jc w:val="center"/>
        </w:trPr>
        <w:tc>
          <w:tcPr>
            <w:tcW w:w="945" w:type="pct"/>
            <w:tcBorders>
              <w:top w:val="single" w:color="auto" w:sz="4" w:space="0"/>
              <w:left w:val="single" w:color="auto" w:sz="4" w:space="0"/>
              <w:bottom w:val="single" w:color="auto" w:sz="4" w:space="0"/>
              <w:right w:val="single" w:color="auto" w:sz="4" w:space="0"/>
            </w:tcBorders>
            <w:shd w:val="clear" w:color="auto" w:fill="FFFFFF"/>
            <w:vAlign w:val="center"/>
          </w:tcPr>
          <w:p w14:paraId="6D1575C2">
            <w:pPr>
              <w:pStyle w:val="45"/>
              <w:rPr>
                <w:rFonts w:hint="eastAsia"/>
                <w:color w:val="auto"/>
              </w:rPr>
            </w:pPr>
            <w:r>
              <w:rPr>
                <w:rFonts w:hint="eastAsia"/>
                <w:color w:val="auto"/>
              </w:rPr>
              <w:t>起砂、起皮</w:t>
            </w:r>
          </w:p>
        </w:tc>
        <w:tc>
          <w:tcPr>
            <w:tcW w:w="4055" w:type="pct"/>
            <w:tcBorders>
              <w:top w:val="single" w:color="auto" w:sz="4" w:space="0"/>
              <w:left w:val="nil"/>
              <w:bottom w:val="single" w:color="auto" w:sz="4" w:space="0"/>
              <w:right w:val="single" w:color="auto" w:sz="4" w:space="0"/>
            </w:tcBorders>
            <w:shd w:val="clear" w:color="auto" w:fill="FFFFFF"/>
            <w:vAlign w:val="center"/>
          </w:tcPr>
          <w:p w14:paraId="6B537242">
            <w:pPr>
              <w:pStyle w:val="47"/>
              <w:ind w:firstLine="420"/>
              <w:rPr>
                <w:color w:val="auto"/>
              </w:rPr>
            </w:pPr>
            <w:r>
              <w:rPr>
                <w:rFonts w:hint="eastAsia"/>
                <w:color w:val="auto"/>
              </w:rPr>
              <w:t>起皮处应将表面清除，用水泥素浆掺胶涂刷一层，并抹平压光。</w:t>
            </w:r>
          </w:p>
        </w:tc>
      </w:tr>
      <w:tr w14:paraId="62194525">
        <w:tblPrEx>
          <w:tblCellMar>
            <w:top w:w="0" w:type="dxa"/>
            <w:left w:w="108" w:type="dxa"/>
            <w:bottom w:w="0" w:type="dxa"/>
            <w:right w:w="108" w:type="dxa"/>
          </w:tblCellMar>
        </w:tblPrEx>
        <w:trPr>
          <w:jc w:val="center"/>
        </w:trPr>
        <w:tc>
          <w:tcPr>
            <w:tcW w:w="945" w:type="pct"/>
            <w:tcBorders>
              <w:top w:val="single" w:color="auto" w:sz="4" w:space="0"/>
              <w:left w:val="single" w:color="auto" w:sz="4" w:space="0"/>
              <w:bottom w:val="single" w:color="auto" w:sz="4" w:space="0"/>
              <w:right w:val="single" w:color="auto" w:sz="4" w:space="0"/>
            </w:tcBorders>
            <w:shd w:val="clear" w:color="auto" w:fill="FFFFFF"/>
            <w:vAlign w:val="center"/>
          </w:tcPr>
          <w:p w14:paraId="44A35B33">
            <w:pPr>
              <w:pStyle w:val="45"/>
              <w:rPr>
                <w:rFonts w:hint="eastAsia"/>
                <w:color w:val="auto"/>
              </w:rPr>
            </w:pPr>
            <w:r>
              <w:rPr>
                <w:rFonts w:hint="eastAsia"/>
                <w:color w:val="auto"/>
              </w:rPr>
              <w:t>裂缝</w:t>
            </w:r>
          </w:p>
        </w:tc>
        <w:tc>
          <w:tcPr>
            <w:tcW w:w="4055" w:type="pct"/>
            <w:tcBorders>
              <w:top w:val="single" w:color="auto" w:sz="4" w:space="0"/>
              <w:left w:val="nil"/>
              <w:bottom w:val="single" w:color="auto" w:sz="4" w:space="0"/>
              <w:right w:val="single" w:color="auto" w:sz="4" w:space="0"/>
            </w:tcBorders>
            <w:shd w:val="clear" w:color="auto" w:fill="FFFFFF"/>
            <w:vAlign w:val="center"/>
          </w:tcPr>
          <w:p w14:paraId="49EE9D67">
            <w:pPr>
              <w:pStyle w:val="47"/>
              <w:ind w:firstLine="420"/>
              <w:rPr>
                <w:color w:val="auto"/>
              </w:rPr>
            </w:pPr>
            <w:r>
              <w:rPr>
                <w:rFonts w:hint="eastAsia"/>
                <w:color w:val="auto"/>
              </w:rPr>
              <w:t>当裂缝宽度</w:t>
            </w:r>
            <w:r>
              <w:rPr>
                <w:color w:val="auto"/>
              </w:rPr>
              <w:t>&lt;0.5mm</w:t>
            </w:r>
            <w:r>
              <w:rPr>
                <w:rFonts w:hint="eastAsia"/>
                <w:color w:val="auto"/>
              </w:rPr>
              <w:t>时</w:t>
            </w:r>
            <w:r>
              <w:rPr>
                <w:color w:val="auto"/>
              </w:rPr>
              <w:t>，</w:t>
            </w:r>
            <w:r>
              <w:rPr>
                <w:rFonts w:hint="eastAsia"/>
                <w:color w:val="auto"/>
              </w:rPr>
              <w:t>可用密封材料刮封</w:t>
            </w:r>
            <w:r>
              <w:rPr>
                <w:color w:val="auto"/>
              </w:rPr>
              <w:t>，</w:t>
            </w:r>
            <w:r>
              <w:rPr>
                <w:rFonts w:hint="eastAsia"/>
                <w:color w:val="auto"/>
              </w:rPr>
              <w:t>当裂缝宽度</w:t>
            </w:r>
            <w:r>
              <w:rPr>
                <w:color w:val="auto"/>
              </w:rPr>
              <w:t>&gt;0.5mm</w:t>
            </w:r>
            <w:r>
              <w:rPr>
                <w:rFonts w:hint="eastAsia"/>
                <w:color w:val="auto"/>
              </w:rPr>
              <w:t>时</w:t>
            </w:r>
            <w:r>
              <w:rPr>
                <w:color w:val="auto"/>
              </w:rPr>
              <w:t>，</w:t>
            </w:r>
            <w:r>
              <w:rPr>
                <w:rFonts w:hint="eastAsia"/>
                <w:color w:val="auto"/>
              </w:rPr>
              <w:t>沿缝凿成</w:t>
            </w:r>
            <w:r>
              <w:rPr>
                <w:color w:val="auto"/>
              </w:rPr>
              <w:t>V</w:t>
            </w:r>
            <w:r>
              <w:rPr>
                <w:rFonts w:hint="eastAsia"/>
                <w:color w:val="auto"/>
              </w:rPr>
              <w:t>型槽</w:t>
            </w:r>
            <w:r>
              <w:rPr>
                <w:color w:val="auto"/>
              </w:rPr>
              <w:t>(20</w:t>
            </w:r>
            <w:r>
              <w:rPr>
                <w:rFonts w:hint="eastAsia"/>
                <w:color w:val="auto"/>
              </w:rPr>
              <w:t>×</w:t>
            </w:r>
            <w:r>
              <w:rPr>
                <w:color w:val="auto"/>
              </w:rPr>
              <w:t>15</w:t>
            </w:r>
            <w:r>
              <w:rPr>
                <w:rFonts w:hint="eastAsia"/>
                <w:color w:val="auto"/>
              </w:rPr>
              <w:t>～</w:t>
            </w:r>
            <w:r>
              <w:rPr>
                <w:color w:val="auto"/>
              </w:rPr>
              <w:t>20mm)，</w:t>
            </w:r>
            <w:r>
              <w:rPr>
                <w:rFonts w:hint="eastAsia"/>
                <w:color w:val="auto"/>
              </w:rPr>
              <w:t>清扫干净后嵌填密封材料</w:t>
            </w:r>
            <w:r>
              <w:rPr>
                <w:color w:val="auto"/>
              </w:rPr>
              <w:t>，</w:t>
            </w:r>
            <w:r>
              <w:rPr>
                <w:rFonts w:hint="eastAsia"/>
                <w:color w:val="auto"/>
              </w:rPr>
              <w:t>再作</w:t>
            </w:r>
            <w:r>
              <w:rPr>
                <w:color w:val="auto"/>
              </w:rPr>
              <w:t>100mm</w:t>
            </w:r>
            <w:r>
              <w:rPr>
                <w:rFonts w:hint="eastAsia"/>
                <w:color w:val="auto"/>
              </w:rPr>
              <w:t>宽防水涂料层。</w:t>
            </w:r>
          </w:p>
        </w:tc>
      </w:tr>
    </w:tbl>
    <w:p w14:paraId="7E7E7647">
      <w:pPr>
        <w:rPr>
          <w:color w:val="auto"/>
        </w:rPr>
      </w:pPr>
      <w:r>
        <w:rPr>
          <w:rFonts w:hint="eastAsia"/>
          <w:color w:val="auto"/>
        </w:rPr>
        <w:t>大面积涂刷前在阴阳角、管根、水落管等复杂部位均匀涂刷聚氨脂一遍，涂刷要薄厚均匀，不得有空白、麻点、气泡，使油层干燥而又不沾染灰尘。</w:t>
      </w:r>
    </w:p>
    <w:p w14:paraId="548C79D4">
      <w:pPr>
        <w:rPr>
          <w:color w:val="auto"/>
        </w:rPr>
      </w:pPr>
      <w:r>
        <w:rPr>
          <w:rFonts w:hint="eastAsia"/>
          <w:color w:val="auto"/>
        </w:rPr>
        <w:t>③铺贴卷材</w:t>
      </w:r>
    </w:p>
    <w:p w14:paraId="2C2A938E">
      <w:pPr>
        <w:rPr>
          <w:color w:val="auto"/>
        </w:rPr>
      </w:pPr>
      <w:r>
        <w:rPr>
          <w:rFonts w:hint="eastAsia"/>
          <w:color w:val="auto"/>
        </w:rPr>
        <w:t>防水卷材施工前，应认真对防水卷材基层按规定进行检查，做好工程交接验收记录。卷材防水层的基面应平整牢固、清洁干燥。当基面较潮湿时，应涂刷湿固化型胶粘剂或潮湿界面隔离剂。铺贴前应在基面上涂刷基层处理剂，界面处理剂应与卷材及胶粘剂的材性相容，宜采用喷涂法或涂刷法施工，喷、涂应均匀一致、不露底，待表面干燥后方可铺贴卷材。</w:t>
      </w:r>
    </w:p>
    <w:p w14:paraId="786B8ABF">
      <w:pPr>
        <w:rPr>
          <w:color w:val="auto"/>
        </w:rPr>
      </w:pPr>
      <w:r>
        <w:rPr>
          <w:rFonts w:hint="eastAsia"/>
          <w:color w:val="auto"/>
        </w:rPr>
        <w:t>在转角处、阴阳角、穿墙管道等特殊部位，应增贴1～2层相同的卷材。临时性保护墙应用石灰砂浆砌筑，内表面用石灰砂浆找平，并刷石灰浆。</w:t>
      </w:r>
    </w:p>
    <w:p w14:paraId="50B6AB42">
      <w:pPr>
        <w:rPr>
          <w:color w:val="auto"/>
        </w:rPr>
      </w:pPr>
      <w:r>
        <w:rPr>
          <w:rFonts w:hint="eastAsia"/>
          <w:color w:val="auto"/>
        </w:rPr>
        <w:t>底板垫层混凝土平面部位的卷材采用点粘法施工，阴阳角、穿墙管道、立面采用满粘法施工。铺贴时应展平压实，卷材与基层和各层卷材间必须粘结紧密。立面铺贴后临时用模板紧贴卷材，用钢管搭设斜撑顶模板，防止卷材下滑。两幅卷材长边和短边的搭接长度均不得小于100mm，上下两层和相邻两幅卷材的接缝应错开1/3～1/2卷材幅宽，且两层不得相互垂直铺贴。</w:t>
      </w:r>
    </w:p>
    <w:p w14:paraId="0AD4F625">
      <w:pPr>
        <w:rPr>
          <w:color w:val="auto"/>
        </w:rPr>
      </w:pPr>
      <w:r>
        <w:rPr>
          <w:rFonts w:hint="eastAsia"/>
          <w:color w:val="auto"/>
        </w:rPr>
        <w:t>4）施工要点</w:t>
      </w:r>
    </w:p>
    <w:p w14:paraId="26F3A3E3">
      <w:pPr>
        <w:rPr>
          <w:color w:val="auto"/>
        </w:rPr>
      </w:pPr>
      <w:r>
        <w:rPr>
          <w:rFonts w:hint="eastAsia"/>
          <w:color w:val="auto"/>
        </w:rPr>
        <w:t>①基层处理剂要涂刷均匀，一次涂刷面积应根据基层处理剂干燥时间长短及施工进度快慢确定，基层处理剂涂刷后宜当天铺完卷材。</w:t>
      </w:r>
    </w:p>
    <w:p w14:paraId="6BE30903">
      <w:pPr>
        <w:rPr>
          <w:color w:val="auto"/>
        </w:rPr>
      </w:pPr>
      <w:r>
        <w:rPr>
          <w:rFonts w:hint="eastAsia"/>
          <w:color w:val="auto"/>
        </w:rPr>
        <w:t>②卷材铺贴方向为平行与屋脊铺贴，铺贴天沟时，宜顺天沟方向。</w:t>
      </w:r>
    </w:p>
    <w:p w14:paraId="7FDDB837">
      <w:pPr>
        <w:rPr>
          <w:color w:val="auto"/>
        </w:rPr>
      </w:pPr>
      <w:r>
        <w:rPr>
          <w:rFonts w:hint="eastAsia"/>
          <w:color w:val="auto"/>
        </w:rPr>
        <w:t>③屋面女儿墙处至少上翻300mm。</w:t>
      </w:r>
    </w:p>
    <w:p w14:paraId="77F10732">
      <w:pPr>
        <w:rPr>
          <w:color w:val="auto"/>
        </w:rPr>
      </w:pPr>
      <w:r>
        <w:rPr>
          <w:rFonts w:hint="eastAsia"/>
          <w:color w:val="auto"/>
        </w:rPr>
        <w:t>④卷材接缝必须粘贴封严，熔缝有效熔接宽度不小于30mm。</w:t>
      </w:r>
    </w:p>
    <w:p w14:paraId="74ADF4AF">
      <w:pPr>
        <w:rPr>
          <w:color w:val="auto"/>
        </w:rPr>
      </w:pPr>
      <w:r>
        <w:rPr>
          <w:rFonts w:hint="eastAsia"/>
          <w:color w:val="auto"/>
        </w:rPr>
        <w:t>⑤卷材防水施工完毕后须进行蓄水试验，检测防水施工质量，蓄水深度不小于50mm，蓄水时间为24小时，屋面防水不渗漏即为合格。</w:t>
      </w:r>
    </w:p>
    <w:p w14:paraId="5090D097">
      <w:pPr>
        <w:pStyle w:val="4"/>
        <w:ind w:firstLine="482"/>
        <w:rPr>
          <w:color w:val="auto"/>
        </w:rPr>
      </w:pPr>
      <w:bookmarkStart w:id="191" w:name="_Toc31005"/>
      <w:r>
        <w:rPr>
          <w:rFonts w:hint="eastAsia"/>
          <w:color w:val="auto"/>
        </w:rPr>
        <w:t>门窗工程</w:t>
      </w:r>
      <w:bookmarkEnd w:id="191"/>
    </w:p>
    <w:p w14:paraId="5E9F03CD">
      <w:pPr>
        <w:pStyle w:val="5"/>
        <w:rPr>
          <w:color w:val="auto"/>
        </w:rPr>
      </w:pPr>
      <w:bookmarkStart w:id="192" w:name="_Toc2449"/>
      <w:r>
        <w:rPr>
          <w:rFonts w:hint="eastAsia"/>
          <w:color w:val="auto"/>
        </w:rPr>
        <w:t>施工工艺流程</w:t>
      </w:r>
      <w:bookmarkEnd w:id="192"/>
    </w:p>
    <w:p w14:paraId="1561AC3D">
      <w:pPr>
        <w:pStyle w:val="49"/>
        <w:rPr>
          <w:rFonts w:hint="eastAsia"/>
          <w:color w:val="auto"/>
        </w:rPr>
      </w:pPr>
      <w:r>
        <w:rPr>
          <w:color w:val="auto"/>
        </w:rPr>
        <w:object>
          <v:shape id="_x0000_i1031" o:spt="75" type="#_x0000_t75" style="height:36.45pt;width:396.9pt;" o:ole="t" filled="f" o:preferrelative="t" stroked="f" coordsize="21600,21600">
            <v:path/>
            <v:fill on="f" focussize="0,0"/>
            <v:stroke on="f" joinstyle="miter"/>
            <v:imagedata r:id="rId140" o:title=""/>
            <o:lock v:ext="edit" aspectratio="t"/>
            <w10:wrap type="none"/>
            <w10:anchorlock/>
          </v:shape>
          <o:OLEObject Type="Embed" ProgID="Visio.Drawing.11" ShapeID="_x0000_i1031" DrawAspect="Content" ObjectID="_1468075731" r:id="rId139">
            <o:LockedField>false</o:LockedField>
          </o:OLEObject>
        </w:object>
      </w:r>
    </w:p>
    <w:p w14:paraId="5F194EB0">
      <w:pPr>
        <w:pStyle w:val="5"/>
        <w:rPr>
          <w:color w:val="auto"/>
        </w:rPr>
      </w:pPr>
      <w:bookmarkStart w:id="193" w:name="_Toc6522"/>
      <w:r>
        <w:rPr>
          <w:rFonts w:hint="eastAsia"/>
          <w:color w:val="auto"/>
        </w:rPr>
        <w:t>施工准备</w:t>
      </w:r>
      <w:bookmarkEnd w:id="193"/>
    </w:p>
    <w:p w14:paraId="68ECAE6C">
      <w:pPr>
        <w:rPr>
          <w:color w:val="auto"/>
        </w:rPr>
      </w:pPr>
      <w:r>
        <w:rPr>
          <w:rFonts w:hint="eastAsia"/>
          <w:color w:val="auto"/>
        </w:rPr>
        <w:t>（1）材料准备：</w:t>
      </w:r>
    </w:p>
    <w:p w14:paraId="5AEC4212">
      <w:pPr>
        <w:rPr>
          <w:color w:val="auto"/>
        </w:rPr>
      </w:pPr>
      <w:r>
        <w:rPr>
          <w:rFonts w:hint="eastAsia"/>
          <w:color w:val="auto"/>
        </w:rPr>
        <w:t>材料的规格、型号应符合设计要求，五金配件配套齐全，并具有出厂合格证、材质检验报告书并加盖厂家印章；</w:t>
      </w:r>
    </w:p>
    <w:p w14:paraId="34AF8867">
      <w:pPr>
        <w:rPr>
          <w:color w:val="auto"/>
        </w:rPr>
      </w:pPr>
      <w:r>
        <w:rPr>
          <w:rFonts w:hint="eastAsia"/>
          <w:color w:val="auto"/>
        </w:rPr>
        <w:t>防腐材料、填缝材料、密缝材料等应符合设计要求和有关标准的规定；</w:t>
      </w:r>
    </w:p>
    <w:p w14:paraId="4D10A56B">
      <w:pPr>
        <w:rPr>
          <w:color w:val="auto"/>
        </w:rPr>
      </w:pPr>
      <w:r>
        <w:rPr>
          <w:rFonts w:hint="eastAsia"/>
          <w:color w:val="auto"/>
        </w:rPr>
        <w:t>进场前应对铝合金门窗进行验收检查，不合格者不准进场。运到现场的铝合金门窗应分型号、规格堆放整齐，并存放于仓库内。搬运时轻拿轻放，严禁扔摔。</w:t>
      </w:r>
    </w:p>
    <w:p w14:paraId="12A6D716">
      <w:pPr>
        <w:rPr>
          <w:color w:val="auto"/>
        </w:rPr>
      </w:pPr>
      <w:r>
        <w:rPr>
          <w:rFonts w:hint="eastAsia"/>
          <w:color w:val="auto"/>
        </w:rPr>
        <w:t>（2）主要机具：</w:t>
      </w:r>
    </w:p>
    <w:p w14:paraId="259618F9">
      <w:pPr>
        <w:rPr>
          <w:color w:val="auto"/>
        </w:rPr>
      </w:pPr>
      <w:r>
        <w:rPr>
          <w:rFonts w:hint="eastAsia"/>
          <w:color w:val="auto"/>
        </w:rPr>
        <w:t>电钻、电焊机、电锤、钳子、活扳手、螺丝刀等。</w:t>
      </w:r>
    </w:p>
    <w:p w14:paraId="0A48C1DB">
      <w:pPr>
        <w:rPr>
          <w:color w:val="auto"/>
        </w:rPr>
      </w:pPr>
      <w:r>
        <w:rPr>
          <w:rFonts w:hint="eastAsia"/>
          <w:color w:val="auto"/>
        </w:rPr>
        <w:t>（3）作业条件：</w:t>
      </w:r>
    </w:p>
    <w:p w14:paraId="2441A748">
      <w:pPr>
        <w:rPr>
          <w:color w:val="auto"/>
        </w:rPr>
      </w:pPr>
      <w:r>
        <w:rPr>
          <w:rFonts w:hint="eastAsia"/>
          <w:color w:val="auto"/>
        </w:rPr>
        <w:t>1）主体结构经有关质检部门验收合格，工种之间已办好交接手续；</w:t>
      </w:r>
    </w:p>
    <w:p w14:paraId="05BB3BE4">
      <w:pPr>
        <w:rPr>
          <w:color w:val="auto"/>
        </w:rPr>
      </w:pPr>
      <w:r>
        <w:rPr>
          <w:rFonts w:hint="eastAsia"/>
          <w:color w:val="auto"/>
        </w:rPr>
        <w:t>2）检查门窗洞口尺寸及标高是否符合设计要求；</w:t>
      </w:r>
    </w:p>
    <w:p w14:paraId="7AF55F49">
      <w:pPr>
        <w:rPr>
          <w:color w:val="auto"/>
        </w:rPr>
      </w:pPr>
      <w:r>
        <w:rPr>
          <w:rFonts w:hint="eastAsia"/>
          <w:color w:val="auto"/>
        </w:rPr>
        <w:t>3）按图纸要求弹好门窗中线，并弹好室内+50cm水平线；</w:t>
      </w:r>
    </w:p>
    <w:p w14:paraId="32555BF9">
      <w:pPr>
        <w:pStyle w:val="5"/>
        <w:rPr>
          <w:color w:val="auto"/>
        </w:rPr>
      </w:pPr>
      <w:bookmarkStart w:id="194" w:name="_Toc14495"/>
      <w:r>
        <w:rPr>
          <w:rFonts w:hint="eastAsia"/>
          <w:color w:val="auto"/>
        </w:rPr>
        <w:t>施工工艺</w:t>
      </w:r>
      <w:bookmarkEnd w:id="194"/>
    </w:p>
    <w:p w14:paraId="0FB61B07">
      <w:pPr>
        <w:rPr>
          <w:color w:val="auto"/>
        </w:rPr>
      </w:pPr>
      <w:r>
        <w:rPr>
          <w:rFonts w:hint="eastAsia"/>
          <w:color w:val="auto"/>
        </w:rPr>
        <w:t>（1）测量放线</w:t>
      </w:r>
    </w:p>
    <w:p w14:paraId="58379E87">
      <w:pPr>
        <w:rPr>
          <w:color w:val="auto"/>
        </w:rPr>
      </w:pPr>
      <w:r>
        <w:rPr>
          <w:rFonts w:hint="eastAsia"/>
          <w:color w:val="auto"/>
        </w:rPr>
        <w:t>根据设计图纸中门窗的安装位置、尺寸和标高，依据门窗中线向两边量出门窗边线。若为多层或高层建筑时，以顶层门窗边线为准，用线坠或经纬仪紧将门窗边线下引，并在各层门窗口处划线标记，对个别不直的口边应剔凿处理；</w:t>
      </w:r>
    </w:p>
    <w:p w14:paraId="68C989B7">
      <w:pPr>
        <w:rPr>
          <w:color w:val="auto"/>
        </w:rPr>
      </w:pPr>
      <w:r>
        <w:rPr>
          <w:rFonts w:hint="eastAsia"/>
          <w:color w:val="auto"/>
        </w:rPr>
        <w:t>门窗的水平位置应已楼层室内+50cm的水平线为准向上反量出窗下皮标高，弹线找直。每一层必须保持窗下皮标高一致；</w:t>
      </w:r>
    </w:p>
    <w:p w14:paraId="16B5282B">
      <w:pPr>
        <w:rPr>
          <w:color w:val="auto"/>
        </w:rPr>
      </w:pPr>
      <w:r>
        <w:rPr>
          <w:rFonts w:hint="eastAsia"/>
          <w:color w:val="auto"/>
        </w:rPr>
        <w:t>（2）防腐处理</w:t>
      </w:r>
    </w:p>
    <w:p w14:paraId="3ED2C8AC">
      <w:pPr>
        <w:rPr>
          <w:color w:val="auto"/>
        </w:rPr>
      </w:pPr>
      <w:r>
        <w:rPr>
          <w:rFonts w:hint="eastAsia"/>
          <w:color w:val="auto"/>
        </w:rPr>
        <w:t>门窗框四周外表面的防腐处理设计有要求时，按设计要求处理。如果设计没有要求时，可涂刷防腐涂料或粘贴塑料薄膜进行保护，以免水泥砂浆直接与铝合金门窗表面接触，产生电化反应，腐蚀铝合金门窗；</w:t>
      </w:r>
    </w:p>
    <w:p w14:paraId="37693A2A">
      <w:pPr>
        <w:rPr>
          <w:color w:val="auto"/>
        </w:rPr>
      </w:pPr>
      <w:r>
        <w:rPr>
          <w:rFonts w:hint="eastAsia"/>
          <w:color w:val="auto"/>
        </w:rPr>
        <w:t>安装铝合金门窗的连接件最好采用不锈钢件，否则必须进行防腐处理。</w:t>
      </w:r>
    </w:p>
    <w:p w14:paraId="5AE92244">
      <w:pPr>
        <w:rPr>
          <w:color w:val="auto"/>
        </w:rPr>
      </w:pPr>
      <w:r>
        <w:rPr>
          <w:rFonts w:hint="eastAsia"/>
          <w:color w:val="auto"/>
        </w:rPr>
        <w:t>（3）铝合金门窗框的安装就位</w:t>
      </w:r>
    </w:p>
    <w:p w14:paraId="3CD46FB5">
      <w:pPr>
        <w:rPr>
          <w:color w:val="auto"/>
        </w:rPr>
      </w:pPr>
      <w:r>
        <w:rPr>
          <w:rFonts w:hint="eastAsia"/>
          <w:color w:val="auto"/>
        </w:rPr>
        <w:t>根据划好的门窗定位线，安装铝合金门窗框。并及时调整好门窗框的水平、垂直及对角线长度等符合质量标准，然后用木楔临时固定。</w:t>
      </w:r>
    </w:p>
    <w:p w14:paraId="3CCE46E6">
      <w:pPr>
        <w:rPr>
          <w:color w:val="auto"/>
        </w:rPr>
      </w:pPr>
      <w:r>
        <w:rPr>
          <w:rFonts w:hint="eastAsia"/>
          <w:color w:val="auto"/>
        </w:rPr>
        <w:t>（4）铝合金门窗框的固定</w:t>
      </w:r>
    </w:p>
    <w:p w14:paraId="5082BEB8">
      <w:pPr>
        <w:rPr>
          <w:color w:val="auto"/>
        </w:rPr>
      </w:pPr>
      <w:r>
        <w:rPr>
          <w:rFonts w:hint="eastAsia"/>
          <w:color w:val="auto"/>
        </w:rPr>
        <w:t>当墙体上没有预埋件时，可采用金属膨胀螺栓或塑料膨胀螺栓将铝合金门窗的铁脚固定到墙上；也可采用电钻在墙上打80mm深、直径为6mm的孔，用L型80mm×50mm的6mm钢筋。在长的一端粘涂108胶水泥浆终凝后，再将铝合金门窗的铁脚与埋置的6mm钢筋焊牢。</w:t>
      </w:r>
    </w:p>
    <w:p w14:paraId="42DB7887">
      <w:pPr>
        <w:rPr>
          <w:color w:val="auto"/>
        </w:rPr>
      </w:pPr>
      <w:r>
        <w:rPr>
          <w:rFonts w:hint="eastAsia"/>
          <w:color w:val="auto"/>
        </w:rPr>
        <w:t>铝合金门窗安装固定后，应先进行隐蔽工程验收，采用弹性保温材料或玻璃棉毡条分层填塞缝隙，外表面留5～8mm深槽口填嵌嵌缝油膏或密封胶。</w:t>
      </w:r>
    </w:p>
    <w:p w14:paraId="78ABAB28">
      <w:pPr>
        <w:rPr>
          <w:color w:val="auto"/>
        </w:rPr>
      </w:pPr>
      <w:r>
        <w:rPr>
          <w:rFonts w:hint="eastAsia"/>
          <w:color w:val="auto"/>
        </w:rPr>
        <w:t>（5）门窗扇及门窗玻璃的安装</w:t>
      </w:r>
    </w:p>
    <w:p w14:paraId="6CD20EBF">
      <w:pPr>
        <w:rPr>
          <w:color w:val="auto"/>
        </w:rPr>
      </w:pPr>
      <w:r>
        <w:rPr>
          <w:rFonts w:hint="eastAsia"/>
          <w:color w:val="auto"/>
        </w:rPr>
        <w:t>推拉门窗在门窗框安装好后，将配好玻璃的门窗扇整体安入框内滑槽，调整好与扇的缝隙即可。</w:t>
      </w:r>
    </w:p>
    <w:p w14:paraId="518CA0E8">
      <w:pPr>
        <w:rPr>
          <w:color w:val="auto"/>
        </w:rPr>
      </w:pPr>
      <w:r>
        <w:rPr>
          <w:rFonts w:hint="eastAsia"/>
          <w:color w:val="auto"/>
        </w:rPr>
        <w:t>平开门窗在框与扇格架组装上墙、安装固定好后再安玻璃，即先调整好框与扇的缝隙，再将玻璃安入扇并调整好位置，最后镶嵌密封条及密封胶；</w:t>
      </w:r>
    </w:p>
    <w:p w14:paraId="1B05D74C">
      <w:pPr>
        <w:rPr>
          <w:color w:val="auto"/>
        </w:rPr>
      </w:pPr>
      <w:r>
        <w:rPr>
          <w:rFonts w:hint="eastAsia"/>
          <w:color w:val="auto"/>
        </w:rPr>
        <w:t>地弹簧门应在门框及地弹簧主机入地安装固定后再安门扇。先将玻璃嵌入门扇格架并一起入框就位，调整好框扇缝隙，最后填嵌门扇玻璃的密封条及密封胶。</w:t>
      </w:r>
    </w:p>
    <w:p w14:paraId="4A21517B">
      <w:pPr>
        <w:rPr>
          <w:color w:val="auto"/>
        </w:rPr>
      </w:pPr>
      <w:r>
        <w:rPr>
          <w:rFonts w:hint="eastAsia"/>
          <w:color w:val="auto"/>
        </w:rPr>
        <w:t>（6）安装五金配件</w:t>
      </w:r>
    </w:p>
    <w:p w14:paraId="7B3FB179">
      <w:pPr>
        <w:rPr>
          <w:color w:val="auto"/>
        </w:rPr>
      </w:pPr>
      <w:r>
        <w:rPr>
          <w:rFonts w:hint="eastAsia"/>
          <w:color w:val="auto"/>
        </w:rPr>
        <w:t>五金配件与门窗连接用镀锌螺钉。安装的五金配件应结实牢固，使用灵活。</w:t>
      </w:r>
    </w:p>
    <w:p w14:paraId="55886E56">
      <w:pPr>
        <w:pStyle w:val="5"/>
        <w:rPr>
          <w:color w:val="auto"/>
        </w:rPr>
      </w:pPr>
      <w:bookmarkStart w:id="195" w:name="_Toc30333"/>
      <w:r>
        <w:rPr>
          <w:rFonts w:hint="eastAsia"/>
          <w:color w:val="auto"/>
        </w:rPr>
        <w:t>质量标准</w:t>
      </w:r>
      <w:bookmarkEnd w:id="195"/>
    </w:p>
    <w:p w14:paraId="6DFDAAFD">
      <w:pPr>
        <w:rPr>
          <w:color w:val="auto"/>
        </w:rPr>
      </w:pPr>
      <w:r>
        <w:rPr>
          <w:rFonts w:hint="eastAsia"/>
          <w:color w:val="auto"/>
        </w:rPr>
        <w:t>（1）金属门窗的品种、类型、规格、性能、开启方向、安装位置、连接方式及铝合金门窗的型材壁厚应符合设计要求。金属门窗的防腐处理及嵌缝、密封处理应符合设计要求；</w:t>
      </w:r>
    </w:p>
    <w:p w14:paraId="37958C45">
      <w:pPr>
        <w:rPr>
          <w:color w:val="auto"/>
        </w:rPr>
      </w:pPr>
      <w:r>
        <w:rPr>
          <w:rFonts w:hint="eastAsia"/>
          <w:color w:val="auto"/>
        </w:rPr>
        <w:t>（2）金属门窗必须安装牢固，并应开关灵活、关闭严密，无倒翘。推拉门窗扇必须有防脱落措施；</w:t>
      </w:r>
    </w:p>
    <w:p w14:paraId="7F32FD51">
      <w:pPr>
        <w:rPr>
          <w:color w:val="auto"/>
        </w:rPr>
      </w:pPr>
      <w:r>
        <w:rPr>
          <w:rFonts w:hint="eastAsia"/>
          <w:color w:val="auto"/>
        </w:rPr>
        <w:t>（3）金属门窗配件的型号、规格、数量应符合设计要求，安装应牢固，位置应正确，功能应满足使用要求；</w:t>
      </w:r>
    </w:p>
    <w:p w14:paraId="622D0CDA">
      <w:pPr>
        <w:rPr>
          <w:color w:val="auto"/>
        </w:rPr>
      </w:pPr>
      <w:r>
        <w:rPr>
          <w:rFonts w:hint="eastAsia"/>
          <w:color w:val="auto"/>
        </w:rPr>
        <w:t>（4）金属门窗表面应清洁、平整、光滑、色泽一致，无锈蚀。大面应无划痕、碰伤。漆膜或保护层应连接；</w:t>
      </w:r>
    </w:p>
    <w:p w14:paraId="7552EDEB">
      <w:pPr>
        <w:rPr>
          <w:color w:val="auto"/>
        </w:rPr>
      </w:pPr>
      <w:r>
        <w:rPr>
          <w:rFonts w:hint="eastAsia"/>
          <w:color w:val="auto"/>
        </w:rPr>
        <w:t>（5）金属门窗框与墙体之间的缝隙应填嵌饱满，并采用密封胶密封。密封胶表面应光滑、顺直、无裂纹；</w:t>
      </w:r>
    </w:p>
    <w:p w14:paraId="097E51B3">
      <w:pPr>
        <w:rPr>
          <w:color w:val="auto"/>
        </w:rPr>
      </w:pPr>
      <w:r>
        <w:rPr>
          <w:rFonts w:hint="eastAsia"/>
          <w:color w:val="auto"/>
        </w:rPr>
        <w:t>（6）金属门窗扇的橡胶密封条或毛毡密封条应安装完好，不得脱槽；</w:t>
      </w:r>
    </w:p>
    <w:p w14:paraId="4E110749">
      <w:pPr>
        <w:rPr>
          <w:color w:val="auto"/>
        </w:rPr>
      </w:pPr>
      <w:r>
        <w:rPr>
          <w:rFonts w:hint="eastAsia"/>
          <w:color w:val="auto"/>
        </w:rPr>
        <w:t>（7）有排水孔的金属门窗，排水孔应畅通，位置和数量应符合要求。</w:t>
      </w:r>
    </w:p>
    <w:p w14:paraId="7E514B64">
      <w:pPr>
        <w:pStyle w:val="4"/>
        <w:ind w:firstLine="482"/>
        <w:rPr>
          <w:color w:val="auto"/>
        </w:rPr>
      </w:pPr>
      <w:bookmarkStart w:id="196" w:name="_Toc4911"/>
      <w:r>
        <w:rPr>
          <w:rFonts w:hint="eastAsia"/>
          <w:color w:val="auto"/>
        </w:rPr>
        <w:t>装饰工程</w:t>
      </w:r>
      <w:bookmarkEnd w:id="196"/>
    </w:p>
    <w:p w14:paraId="0FC62D4C">
      <w:pPr>
        <w:pStyle w:val="5"/>
        <w:rPr>
          <w:color w:val="auto"/>
        </w:rPr>
      </w:pPr>
      <w:bookmarkStart w:id="197" w:name="_Toc422"/>
      <w:r>
        <w:rPr>
          <w:rFonts w:hint="eastAsia"/>
          <w:color w:val="auto"/>
        </w:rPr>
        <w:t>抹灰工程</w:t>
      </w:r>
      <w:bookmarkEnd w:id="197"/>
    </w:p>
    <w:p w14:paraId="40C47ABA">
      <w:pPr>
        <w:rPr>
          <w:color w:val="auto"/>
        </w:rPr>
      </w:pPr>
      <w:r>
        <w:rPr>
          <w:rFonts w:hint="eastAsia"/>
          <w:color w:val="auto"/>
        </w:rPr>
        <w:t>（1）工艺程序</w:t>
      </w:r>
    </w:p>
    <w:p w14:paraId="4CA4FB4D">
      <w:pPr>
        <w:rPr>
          <w:color w:val="auto"/>
        </w:rPr>
      </w:pPr>
      <w:r>
        <w:rPr>
          <w:rFonts w:hint="eastAsia"/>
          <w:color w:val="auto"/>
        </w:rPr>
        <w:t>基层处理→做灰饼（内墙做抹护角）→润湿墙面→抹底糙灰→中层糙灰→抹罩面灰。</w:t>
      </w:r>
    </w:p>
    <w:p w14:paraId="7049889E">
      <w:pPr>
        <w:rPr>
          <w:color w:val="auto"/>
        </w:rPr>
      </w:pPr>
      <w:r>
        <w:rPr>
          <w:rFonts w:hint="eastAsia"/>
          <w:color w:val="auto"/>
        </w:rPr>
        <w:t>（2）施工要点</w:t>
      </w:r>
    </w:p>
    <w:p w14:paraId="500B18D2">
      <w:pPr>
        <w:rPr>
          <w:color w:val="auto"/>
        </w:rPr>
      </w:pPr>
      <w:r>
        <w:rPr>
          <w:rFonts w:hint="eastAsia"/>
          <w:color w:val="auto"/>
        </w:rPr>
        <w:t>基层处理：将基层表面的灰尘、污垢和油渍等清除干净，用沥青麻刀将门窗框与墙的间缝填塞严密，并用水泥浆嵌补平整密实，同时将脚手眼及水电暗管安装后的孔槽分层填实补平，将混凝土基体表面洗刷或凿毛。</w:t>
      </w:r>
    </w:p>
    <w:p w14:paraId="54C42134">
      <w:pPr>
        <w:rPr>
          <w:color w:val="auto"/>
        </w:rPr>
      </w:pPr>
      <w:r>
        <w:rPr>
          <w:rFonts w:hint="eastAsia"/>
          <w:color w:val="auto"/>
        </w:rPr>
        <w:t>检查墙平整度和垂直度，每隔1.2～1.5m做灰饼，灰饼砂浆配合比和糙灰相同，灰饼砂浆凝固后进行出柱，柱两侧应割整齐，灰饼的上表面和找平层相平，随后用水泥砂浆做门口阴角和墙、柱转角的护角。护角高度在2m以上，每侧宽度取50mm。护角为三遍成活，即两遍糙灰，一遍罩面灰。</w:t>
      </w:r>
    </w:p>
    <w:p w14:paraId="033ABDD5">
      <w:pPr>
        <w:rPr>
          <w:color w:val="auto"/>
        </w:rPr>
      </w:pPr>
      <w:r>
        <w:rPr>
          <w:rFonts w:hint="eastAsia"/>
          <w:color w:val="auto"/>
        </w:rPr>
        <w:t>抹底糙灰：抹灰前洒水润湿墙面，特别是普通砖墙，吸水量大，吸水慢，应提前1天多次洒水湿透，事先用混合砂浆勾缝和修补缺棱掉角。</w:t>
      </w:r>
    </w:p>
    <w:p w14:paraId="7F91441B">
      <w:pPr>
        <w:rPr>
          <w:color w:val="auto"/>
        </w:rPr>
      </w:pPr>
      <w:r>
        <w:rPr>
          <w:rFonts w:hint="eastAsia"/>
          <w:color w:val="auto"/>
        </w:rPr>
        <w:t>抹中层糙灰：待底层糙灰凝固后抹中层糙灰，采用分层填抹，用长刮尺赶平，阴阳角处用阴阳角尺通直，然后用木抹子搓平表面，做到表面毛、墙面平、棱角直。做完墙面糙灰以后，再做墙裙或踢脚的糙灰，墙面和墙裙或踢脚糙灰做完后，进行局部修整，经检验合格后再做罩面灰。</w:t>
      </w:r>
    </w:p>
    <w:p w14:paraId="02EEB4B4">
      <w:pPr>
        <w:rPr>
          <w:color w:val="auto"/>
        </w:rPr>
      </w:pPr>
      <w:r>
        <w:rPr>
          <w:rFonts w:hint="eastAsia"/>
          <w:color w:val="auto"/>
        </w:rPr>
        <w:t>抹罩面灰：在底灰六七成干时开始抹罩面灰，如底灰过于干燥应洒水湿润，罩面灰两遍成活，厚度约2mm，操作时最好两人同时施工，一人先刮一遍薄灰，另一人随即抹平，依先上后下的顺序进行，然后赶实压光，压时要掌握火候，既不要出现水纹，也不可压活，压好后随即用毛刷蘸水将罩面灰污染处理干净。施工时整面墙不宜甩破活，如遇有预留施工洞时，可甩下整面墙待抹灰为宜。</w:t>
      </w:r>
    </w:p>
    <w:p w14:paraId="1A970F5F">
      <w:pPr>
        <w:pStyle w:val="5"/>
        <w:rPr>
          <w:color w:val="auto"/>
        </w:rPr>
      </w:pPr>
      <w:bookmarkStart w:id="198" w:name="_Toc21062"/>
      <w:r>
        <w:rPr>
          <w:rFonts w:hint="eastAsia"/>
          <w:color w:val="auto"/>
        </w:rPr>
        <w:t>楼面工程</w:t>
      </w:r>
      <w:bookmarkEnd w:id="198"/>
    </w:p>
    <w:p w14:paraId="303568E9">
      <w:pPr>
        <w:rPr>
          <w:color w:val="auto"/>
        </w:rPr>
      </w:pPr>
      <w:r>
        <w:rPr>
          <w:rFonts w:hint="eastAsia"/>
          <w:color w:val="auto"/>
        </w:rPr>
        <w:t>本工程楼楼面材料种类有环氧树脂自流平、地砖（防滑）地面、PVC卷材地面、、防静电架空活动地板楼面等。块材楼地面施工之前由进行详细的策划、在电脑上对块材楼地面的施工部位进行排版，合理优化排砖方式，尽量减少半砖或将半砖设置在较隐蔽的部位，提高铺贴效果。</w:t>
      </w:r>
    </w:p>
    <w:p w14:paraId="0C06825F">
      <w:pPr>
        <w:rPr>
          <w:color w:val="auto"/>
        </w:rPr>
      </w:pPr>
      <w:r>
        <w:rPr>
          <w:rFonts w:hint="eastAsia"/>
          <w:color w:val="auto"/>
        </w:rPr>
        <w:t>（1）基本规定</w:t>
      </w:r>
    </w:p>
    <w:p w14:paraId="70C4342D">
      <w:pPr>
        <w:rPr>
          <w:color w:val="auto"/>
        </w:rPr>
      </w:pPr>
      <w:r>
        <w:rPr>
          <w:rFonts w:hint="eastAsia"/>
          <w:color w:val="auto"/>
        </w:rPr>
        <w:t>在铺贴前，应对块材的规格尺寸、外观质量、色泽等进行预选，浸水湿润晾干使用；勾缝和压缝应采用同品种、同强度等级、同颜色的水泥。</w:t>
      </w:r>
    </w:p>
    <w:p w14:paraId="32128EFF">
      <w:pPr>
        <w:rPr>
          <w:color w:val="auto"/>
        </w:rPr>
      </w:pPr>
      <w:r>
        <w:rPr>
          <w:rFonts w:hint="eastAsia"/>
          <w:color w:val="auto"/>
        </w:rPr>
        <w:t>（2）施工工艺-以地砖楼地面为例</w:t>
      </w:r>
    </w:p>
    <w:p w14:paraId="6A2ABEF1">
      <w:pPr>
        <w:rPr>
          <w:rFonts w:hint="eastAsia"/>
          <w:color w:val="auto"/>
        </w:rPr>
      </w:pPr>
      <w:r>
        <w:rPr>
          <w:rFonts w:hint="eastAsia"/>
          <w:color w:val="auto"/>
        </w:rPr>
        <w:t>1、基层处理：清理干净基层上的浮浆、落地灰等，满足要求后方可进行后续施工。</w:t>
      </w:r>
    </w:p>
    <w:p w14:paraId="1293D7BA">
      <w:pPr>
        <w:rPr>
          <w:rFonts w:hint="eastAsia"/>
          <w:color w:val="auto"/>
        </w:rPr>
      </w:pPr>
      <w:r>
        <w:rPr>
          <w:rFonts w:hint="eastAsia"/>
          <w:color w:val="auto"/>
        </w:rPr>
        <w:t>2、找标高：根据水平标准线和设计厚度，在四周墙、柱上弹出面层的上平标高控制线。</w:t>
      </w:r>
    </w:p>
    <w:p w14:paraId="75428CBD">
      <w:pPr>
        <w:rPr>
          <w:rFonts w:hint="eastAsia"/>
          <w:color w:val="auto"/>
        </w:rPr>
      </w:pPr>
      <w:r>
        <w:rPr>
          <w:rFonts w:hint="eastAsia"/>
          <w:color w:val="auto"/>
        </w:rPr>
        <w:t>3、排砖：将房间依照砖的尺寸留缝大小，排出砖的放置位置，并在基层地面弹出十字控制线和分格线。排砖符合设计要求，当设计无要求时，宜避免出现小于1/4边长的边角料。</w:t>
      </w:r>
    </w:p>
    <w:p w14:paraId="7F198AB8">
      <w:pPr>
        <w:rPr>
          <w:rFonts w:hint="eastAsia"/>
          <w:color w:val="auto"/>
        </w:rPr>
      </w:pPr>
      <w:r>
        <w:rPr>
          <w:rFonts w:hint="eastAsia"/>
          <w:color w:val="auto"/>
        </w:rPr>
        <w:t>4、铺设砂浆：铺设前应将基底湿润，并在基底上刷一道素水泥浆或界面结合剂，随刷随铺搅拌均匀的干硬性水泥砂浆。</w:t>
      </w:r>
    </w:p>
    <w:p w14:paraId="039C39D0">
      <w:pPr>
        <w:rPr>
          <w:rFonts w:hint="eastAsia"/>
          <w:color w:val="auto"/>
        </w:rPr>
      </w:pPr>
      <w:r>
        <w:rPr>
          <w:rFonts w:hint="eastAsia"/>
          <w:color w:val="auto"/>
        </w:rPr>
        <w:t>5、铺砖：铺砖时应先在房间中间按照十字线铺设十字控制砖，之后按照十字控制砖向四周铺设，并随时用2m靠尺和水平尺检查平整度。大面积铺贴时应分段、分部位铺贴。如设计有图案要求时，应按照设计图案弹出准确分格线，并做好标记，防止差错。</w:t>
      </w:r>
    </w:p>
    <w:p w14:paraId="0ECB1768">
      <w:pPr>
        <w:rPr>
          <w:rFonts w:hint="eastAsia"/>
          <w:color w:val="auto"/>
        </w:rPr>
      </w:pPr>
      <w:r>
        <w:rPr>
          <w:rFonts w:hint="eastAsia"/>
          <w:color w:val="auto"/>
        </w:rPr>
        <w:t>6、养护：当砖面层铺贴完24小时内应开始浇水养护，养护时间不得小于7天。</w:t>
      </w:r>
    </w:p>
    <w:p w14:paraId="11F23A9B">
      <w:pPr>
        <w:rPr>
          <w:rFonts w:hint="eastAsia"/>
          <w:color w:val="auto"/>
        </w:rPr>
      </w:pPr>
      <w:r>
        <w:rPr>
          <w:rFonts w:hint="eastAsia"/>
          <w:color w:val="auto"/>
        </w:rPr>
        <w:t>7、勾缝：当砖面层的强度达到可上人的时候，进行勾缝，用同色的瓷砖专用勾缝剂进行勾缝，要求缝清晰、顺直、平整、光滑、深浅一致，缝应低于砖面0.5-1mm。</w:t>
      </w:r>
    </w:p>
    <w:p w14:paraId="5A454A33">
      <w:pPr>
        <w:rPr>
          <w:rFonts w:hint="eastAsia"/>
          <w:color w:val="auto"/>
        </w:rPr>
      </w:pPr>
      <w:r>
        <w:rPr>
          <w:rFonts w:hint="eastAsia"/>
          <w:color w:val="auto"/>
        </w:rPr>
        <w:t>（3）控制措施</w:t>
      </w:r>
    </w:p>
    <w:p w14:paraId="7EA4B433">
      <w:pPr>
        <w:rPr>
          <w:rFonts w:hint="eastAsia"/>
          <w:color w:val="auto"/>
        </w:rPr>
      </w:pPr>
      <w:r>
        <w:rPr>
          <w:rFonts w:hint="eastAsia"/>
          <w:color w:val="auto"/>
        </w:rPr>
        <w:t>1）材料</w:t>
      </w:r>
    </w:p>
    <w:p w14:paraId="04FFDB9C">
      <w:pPr>
        <w:rPr>
          <w:rFonts w:hint="eastAsia"/>
          <w:color w:val="auto"/>
        </w:rPr>
      </w:pPr>
      <w:r>
        <w:rPr>
          <w:rFonts w:hint="eastAsia"/>
          <w:color w:val="auto"/>
        </w:rPr>
        <w:t>①地砖在铺砌前应浸水湿润，阴干或檫干后备用。</w:t>
      </w:r>
    </w:p>
    <w:p w14:paraId="1CC268F8">
      <w:pPr>
        <w:rPr>
          <w:rFonts w:hint="eastAsia"/>
          <w:color w:val="auto"/>
        </w:rPr>
      </w:pPr>
      <w:r>
        <w:rPr>
          <w:rFonts w:hint="eastAsia"/>
          <w:color w:val="auto"/>
        </w:rPr>
        <w:t>②地砖在铺砌前，应先对色、拼花并编号。</w:t>
      </w:r>
    </w:p>
    <w:p w14:paraId="76C8217E">
      <w:pPr>
        <w:rPr>
          <w:rFonts w:hint="eastAsia"/>
          <w:color w:val="auto"/>
        </w:rPr>
      </w:pPr>
      <w:r>
        <w:rPr>
          <w:rFonts w:hint="eastAsia"/>
          <w:color w:val="auto"/>
        </w:rPr>
        <w:t>2）基层</w:t>
      </w:r>
    </w:p>
    <w:p w14:paraId="0EE94B43">
      <w:pPr>
        <w:rPr>
          <w:rFonts w:hint="eastAsia"/>
          <w:color w:val="auto"/>
        </w:rPr>
      </w:pPr>
      <w:r>
        <w:rPr>
          <w:rFonts w:hint="eastAsia"/>
          <w:color w:val="auto"/>
        </w:rPr>
        <w:t>①清理基层表面浮灰、浮浆等污物，清洗干净，光滑基层表面处进行凿毛处理，保证基层坚实、平整、洁净、粗糙。</w:t>
      </w:r>
    </w:p>
    <w:p w14:paraId="42F2CE2E">
      <w:pPr>
        <w:rPr>
          <w:rFonts w:hint="eastAsia"/>
          <w:color w:val="auto"/>
        </w:rPr>
      </w:pPr>
      <w:r>
        <w:rPr>
          <w:rFonts w:hint="eastAsia"/>
          <w:color w:val="auto"/>
        </w:rPr>
        <w:t>②面层施工前，对基层浇水湿润，且表面无积水。掌控结合层的涂刷时间及质量，做到随刷随铺。</w:t>
      </w:r>
    </w:p>
    <w:p w14:paraId="560BE72D">
      <w:pPr>
        <w:rPr>
          <w:rFonts w:hint="eastAsia"/>
          <w:color w:val="auto"/>
        </w:rPr>
      </w:pPr>
      <w:r>
        <w:rPr>
          <w:rFonts w:hint="eastAsia"/>
          <w:color w:val="auto"/>
        </w:rPr>
        <w:t>3）面层平整度</w:t>
      </w:r>
    </w:p>
    <w:p w14:paraId="3C46A31B">
      <w:pPr>
        <w:rPr>
          <w:rFonts w:hint="eastAsia"/>
          <w:color w:val="auto"/>
        </w:rPr>
      </w:pPr>
      <w:r>
        <w:rPr>
          <w:rFonts w:hint="eastAsia"/>
          <w:color w:val="auto"/>
        </w:rPr>
        <w:t>①将相连房间分格线连接起来，并弹出楼、地面标高线。放线后，应先铺若干条干线作为基准，起标筋作用。</w:t>
      </w:r>
    </w:p>
    <w:p w14:paraId="57E08A48">
      <w:pPr>
        <w:rPr>
          <w:rFonts w:hint="eastAsia"/>
          <w:color w:val="auto"/>
        </w:rPr>
      </w:pPr>
      <w:r>
        <w:rPr>
          <w:rFonts w:hint="eastAsia"/>
          <w:color w:val="auto"/>
        </w:rPr>
        <w:t>②有柱子的地方，先铺砌柱子与柱子中间部分，然后向两边展开。</w:t>
      </w:r>
    </w:p>
    <w:p w14:paraId="3DEDF754">
      <w:pPr>
        <w:rPr>
          <w:rFonts w:hint="eastAsia"/>
          <w:color w:val="auto"/>
        </w:rPr>
      </w:pPr>
      <w:r>
        <w:rPr>
          <w:rFonts w:hint="eastAsia"/>
          <w:color w:val="auto"/>
        </w:rPr>
        <w:t>③地砖要四脚同时下落，随时找平找直。如发现空隙应将板材掀起补实。</w:t>
      </w:r>
    </w:p>
    <w:p w14:paraId="2BD3E955">
      <w:pPr>
        <w:rPr>
          <w:color w:val="auto"/>
        </w:rPr>
      </w:pPr>
      <w:r>
        <w:rPr>
          <w:rFonts w:hint="eastAsia"/>
          <w:color w:val="auto"/>
        </w:rPr>
        <w:t>④铺砌完后，其表面应及时进行养护，待结合层（含灌缝）的水泥浆达到强度后，才能打蜡。</w:t>
      </w:r>
    </w:p>
    <w:p w14:paraId="7BAB2CBB">
      <w:pPr>
        <w:pStyle w:val="5"/>
        <w:rPr>
          <w:color w:val="auto"/>
        </w:rPr>
      </w:pPr>
      <w:bookmarkStart w:id="199" w:name="_Toc3916"/>
      <w:r>
        <w:rPr>
          <w:rFonts w:hint="eastAsia"/>
          <w:color w:val="auto"/>
        </w:rPr>
        <w:t>顶棚及内隔墙</w:t>
      </w:r>
      <w:bookmarkEnd w:id="199"/>
    </w:p>
    <w:p w14:paraId="70DFED61">
      <w:pPr>
        <w:rPr>
          <w:color w:val="auto"/>
        </w:rPr>
      </w:pPr>
      <w:r>
        <w:rPr>
          <w:rFonts w:hint="eastAsia"/>
          <w:color w:val="auto"/>
        </w:rPr>
        <w:t>（1）工艺流程</w:t>
      </w:r>
    </w:p>
    <w:p w14:paraId="59A28E5C">
      <w:pPr>
        <w:rPr>
          <w:color w:val="auto"/>
        </w:rPr>
      </w:pPr>
      <w:r>
        <w:rPr>
          <w:rFonts w:hint="eastAsia"/>
          <w:color w:val="auto"/>
        </w:rPr>
        <w:t>基层处理→刮腻子→砂纸打磨→涂料涂刷→成品保护→验收</w:t>
      </w:r>
    </w:p>
    <w:p w14:paraId="4C3C3D75">
      <w:pPr>
        <w:rPr>
          <w:color w:val="auto"/>
        </w:rPr>
      </w:pPr>
      <w:r>
        <w:rPr>
          <w:rFonts w:hint="eastAsia"/>
          <w:color w:val="auto"/>
        </w:rPr>
        <w:t>（2）施工工艺</w:t>
      </w:r>
    </w:p>
    <w:p w14:paraId="3E0E89C5">
      <w:pPr>
        <w:rPr>
          <w:color w:val="auto"/>
        </w:rPr>
      </w:pPr>
      <w:r>
        <w:rPr>
          <w:rFonts w:hint="eastAsia"/>
          <w:color w:val="auto"/>
        </w:rPr>
        <w:t>1）基层处理</w:t>
      </w:r>
    </w:p>
    <w:p w14:paraId="4EC8235B">
      <w:pPr>
        <w:rPr>
          <w:color w:val="auto"/>
        </w:rPr>
      </w:pPr>
      <w:r>
        <w:rPr>
          <w:rFonts w:hint="eastAsia"/>
          <w:color w:val="auto"/>
        </w:rPr>
        <w:t>首先检查原墙的平整度、垂直度，保证基层平整干净。顶棚石膏板基层部分要进行嵌缝处理。</w:t>
      </w:r>
    </w:p>
    <w:p w14:paraId="6F013D43">
      <w:pPr>
        <w:rPr>
          <w:color w:val="auto"/>
        </w:rPr>
      </w:pPr>
      <w:r>
        <w:rPr>
          <w:rFonts w:hint="eastAsia"/>
          <w:color w:val="auto"/>
        </w:rPr>
        <w:t>2）刮腻子</w:t>
      </w:r>
    </w:p>
    <w:p w14:paraId="1D982010">
      <w:pPr>
        <w:rPr>
          <w:color w:val="auto"/>
        </w:rPr>
      </w:pPr>
      <w:r>
        <w:rPr>
          <w:rFonts w:hint="eastAsia"/>
          <w:color w:val="auto"/>
        </w:rPr>
        <w:t>在清理完的墙、顶面刮2～3遍腻子，每道腻子之后用砂纸打磨，以保证墙面的平整度。</w:t>
      </w:r>
    </w:p>
    <w:p w14:paraId="7012CEDD">
      <w:pPr>
        <w:rPr>
          <w:color w:val="auto"/>
        </w:rPr>
      </w:pPr>
      <w:r>
        <w:rPr>
          <w:rFonts w:hint="eastAsia"/>
          <w:color w:val="auto"/>
        </w:rPr>
        <w:t>3）涂料涂刷</w:t>
      </w:r>
    </w:p>
    <w:p w14:paraId="1C96F850">
      <w:pPr>
        <w:rPr>
          <w:color w:val="auto"/>
        </w:rPr>
      </w:pPr>
      <w:r>
        <w:rPr>
          <w:rFonts w:hint="eastAsia"/>
          <w:color w:val="auto"/>
        </w:rPr>
        <w:t>涂料在涂刷施工之前将门框、窗框、木制墙面等处加以保护，以免污染，涂刷顺序为：先顶棚、后墙面，同一饰面应先竖向再横向，操作时用力要均匀，保证不漏刷。第一遍涂料涂刷后将局部不平整处打磨，然后涂刷第二遍、第三遍涂料，饰面施工完后注意成品保护。</w:t>
      </w:r>
    </w:p>
    <w:p w14:paraId="66C0CAA2">
      <w:pPr>
        <w:rPr>
          <w:color w:val="auto"/>
        </w:rPr>
      </w:pPr>
      <w:r>
        <w:rPr>
          <w:rFonts w:hint="eastAsia"/>
          <w:color w:val="auto"/>
        </w:rPr>
        <w:t>（2）涂料施工质量标准应符合下表要求</w:t>
      </w:r>
    </w:p>
    <w:p w14:paraId="0D2AA430">
      <w:pPr>
        <w:pStyle w:val="54"/>
        <w:rPr>
          <w:color w:val="auto"/>
        </w:rPr>
      </w:pPr>
      <w:r>
        <w:rPr>
          <w:rFonts w:hint="eastAsia"/>
          <w:color w:val="auto"/>
        </w:rPr>
        <w:t>涂料施工质量标准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2959"/>
        <w:gridCol w:w="2559"/>
        <w:gridCol w:w="2662"/>
      </w:tblGrid>
      <w:tr w14:paraId="758DC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86" w:type="pct"/>
            <w:vAlign w:val="center"/>
          </w:tcPr>
          <w:p w14:paraId="37E9782A">
            <w:pPr>
              <w:pStyle w:val="45"/>
              <w:rPr>
                <w:rFonts w:hint="eastAsia"/>
                <w:color w:val="auto"/>
              </w:rPr>
            </w:pPr>
            <w:r>
              <w:rPr>
                <w:rFonts w:hint="eastAsia"/>
                <w:color w:val="auto"/>
              </w:rPr>
              <w:t>项次</w:t>
            </w:r>
          </w:p>
        </w:tc>
        <w:tc>
          <w:tcPr>
            <w:tcW w:w="1633" w:type="pct"/>
            <w:vAlign w:val="center"/>
          </w:tcPr>
          <w:p w14:paraId="12B3BBFA">
            <w:pPr>
              <w:pStyle w:val="45"/>
              <w:rPr>
                <w:rFonts w:hint="eastAsia"/>
                <w:color w:val="auto"/>
              </w:rPr>
            </w:pPr>
            <w:r>
              <w:rPr>
                <w:rFonts w:hint="eastAsia"/>
                <w:color w:val="auto"/>
              </w:rPr>
              <w:t>检验项目</w:t>
            </w:r>
          </w:p>
        </w:tc>
        <w:tc>
          <w:tcPr>
            <w:tcW w:w="1412" w:type="pct"/>
            <w:vAlign w:val="center"/>
          </w:tcPr>
          <w:p w14:paraId="143F1BB2">
            <w:pPr>
              <w:pStyle w:val="45"/>
              <w:rPr>
                <w:rFonts w:hint="eastAsia"/>
                <w:color w:val="auto"/>
              </w:rPr>
            </w:pPr>
            <w:r>
              <w:rPr>
                <w:rFonts w:hint="eastAsia"/>
                <w:color w:val="auto"/>
              </w:rPr>
              <w:t>质量标准</w:t>
            </w:r>
          </w:p>
        </w:tc>
        <w:tc>
          <w:tcPr>
            <w:tcW w:w="1469" w:type="pct"/>
            <w:vAlign w:val="center"/>
          </w:tcPr>
          <w:p w14:paraId="54164624">
            <w:pPr>
              <w:pStyle w:val="45"/>
              <w:rPr>
                <w:rFonts w:hint="eastAsia"/>
                <w:color w:val="auto"/>
              </w:rPr>
            </w:pPr>
            <w:r>
              <w:rPr>
                <w:rFonts w:hint="eastAsia"/>
                <w:color w:val="auto"/>
              </w:rPr>
              <w:t>检验方法</w:t>
            </w:r>
          </w:p>
        </w:tc>
      </w:tr>
      <w:tr w14:paraId="2FE15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5A5A2092">
            <w:pPr>
              <w:pStyle w:val="45"/>
              <w:rPr>
                <w:rFonts w:hint="eastAsia"/>
                <w:color w:val="auto"/>
              </w:rPr>
            </w:pPr>
            <w:r>
              <w:rPr>
                <w:rFonts w:hint="eastAsia"/>
                <w:color w:val="auto"/>
              </w:rPr>
              <w:t>1</w:t>
            </w:r>
          </w:p>
        </w:tc>
        <w:tc>
          <w:tcPr>
            <w:tcW w:w="1633" w:type="pct"/>
            <w:vAlign w:val="center"/>
          </w:tcPr>
          <w:p w14:paraId="4EA0758D">
            <w:pPr>
              <w:pStyle w:val="45"/>
              <w:rPr>
                <w:rFonts w:hint="eastAsia"/>
                <w:color w:val="auto"/>
              </w:rPr>
            </w:pPr>
            <w:r>
              <w:rPr>
                <w:rFonts w:hint="eastAsia"/>
                <w:color w:val="auto"/>
              </w:rPr>
              <w:t>掉粉、起皮</w:t>
            </w:r>
          </w:p>
        </w:tc>
        <w:tc>
          <w:tcPr>
            <w:tcW w:w="1412" w:type="pct"/>
            <w:vAlign w:val="center"/>
          </w:tcPr>
          <w:p w14:paraId="7CCA8D5E">
            <w:pPr>
              <w:pStyle w:val="45"/>
              <w:rPr>
                <w:rFonts w:hint="eastAsia"/>
                <w:color w:val="auto"/>
              </w:rPr>
            </w:pPr>
            <w:r>
              <w:rPr>
                <w:rFonts w:hint="eastAsia"/>
                <w:color w:val="auto"/>
              </w:rPr>
              <w:t>不允许</w:t>
            </w:r>
          </w:p>
        </w:tc>
        <w:tc>
          <w:tcPr>
            <w:tcW w:w="1469" w:type="pct"/>
            <w:vAlign w:val="center"/>
          </w:tcPr>
          <w:p w14:paraId="019E459D">
            <w:pPr>
              <w:pStyle w:val="45"/>
              <w:rPr>
                <w:rFonts w:hint="eastAsia"/>
                <w:color w:val="auto"/>
              </w:rPr>
            </w:pPr>
            <w:r>
              <w:rPr>
                <w:rFonts w:hint="eastAsia"/>
                <w:color w:val="auto"/>
              </w:rPr>
              <w:t>观察、手摸检查</w:t>
            </w:r>
          </w:p>
        </w:tc>
      </w:tr>
      <w:tr w14:paraId="0E0F2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21D669F">
            <w:pPr>
              <w:pStyle w:val="45"/>
              <w:rPr>
                <w:rFonts w:hint="eastAsia"/>
                <w:color w:val="auto"/>
              </w:rPr>
            </w:pPr>
            <w:r>
              <w:rPr>
                <w:rFonts w:hint="eastAsia"/>
                <w:color w:val="auto"/>
              </w:rPr>
              <w:t>2</w:t>
            </w:r>
          </w:p>
        </w:tc>
        <w:tc>
          <w:tcPr>
            <w:tcW w:w="1633" w:type="pct"/>
            <w:vAlign w:val="center"/>
          </w:tcPr>
          <w:p w14:paraId="6CF6D363">
            <w:pPr>
              <w:pStyle w:val="45"/>
              <w:rPr>
                <w:rFonts w:hint="eastAsia"/>
                <w:color w:val="auto"/>
              </w:rPr>
            </w:pPr>
            <w:r>
              <w:rPr>
                <w:rFonts w:hint="eastAsia"/>
                <w:color w:val="auto"/>
              </w:rPr>
              <w:t>返碱、咬色</w:t>
            </w:r>
          </w:p>
        </w:tc>
        <w:tc>
          <w:tcPr>
            <w:tcW w:w="1412" w:type="pct"/>
            <w:vAlign w:val="center"/>
          </w:tcPr>
          <w:p w14:paraId="54187BAB">
            <w:pPr>
              <w:pStyle w:val="45"/>
              <w:rPr>
                <w:rFonts w:hint="eastAsia"/>
                <w:color w:val="auto"/>
              </w:rPr>
            </w:pPr>
            <w:r>
              <w:rPr>
                <w:rFonts w:hint="eastAsia"/>
                <w:color w:val="auto"/>
              </w:rPr>
              <w:t>不允许</w:t>
            </w:r>
          </w:p>
        </w:tc>
        <w:tc>
          <w:tcPr>
            <w:tcW w:w="1469" w:type="pct"/>
            <w:vAlign w:val="center"/>
          </w:tcPr>
          <w:p w14:paraId="4A4D2EF4">
            <w:pPr>
              <w:pStyle w:val="45"/>
              <w:rPr>
                <w:rFonts w:hint="eastAsia"/>
                <w:color w:val="auto"/>
              </w:rPr>
            </w:pPr>
            <w:r>
              <w:rPr>
                <w:rFonts w:hint="eastAsia"/>
                <w:color w:val="auto"/>
              </w:rPr>
              <w:t>观察检查</w:t>
            </w:r>
          </w:p>
        </w:tc>
      </w:tr>
      <w:tr w14:paraId="64EDF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77326B46">
            <w:pPr>
              <w:pStyle w:val="45"/>
              <w:rPr>
                <w:rFonts w:hint="eastAsia"/>
                <w:color w:val="auto"/>
              </w:rPr>
            </w:pPr>
            <w:r>
              <w:rPr>
                <w:rFonts w:hint="eastAsia"/>
                <w:color w:val="auto"/>
              </w:rPr>
              <w:t>3</w:t>
            </w:r>
          </w:p>
        </w:tc>
        <w:tc>
          <w:tcPr>
            <w:tcW w:w="1633" w:type="pct"/>
            <w:vAlign w:val="center"/>
          </w:tcPr>
          <w:p w14:paraId="644A48A0">
            <w:pPr>
              <w:pStyle w:val="45"/>
              <w:rPr>
                <w:rFonts w:hint="eastAsia"/>
                <w:color w:val="auto"/>
              </w:rPr>
            </w:pPr>
            <w:r>
              <w:rPr>
                <w:rFonts w:hint="eastAsia"/>
                <w:color w:val="auto"/>
              </w:rPr>
              <w:t>漏刷、透底</w:t>
            </w:r>
          </w:p>
        </w:tc>
        <w:tc>
          <w:tcPr>
            <w:tcW w:w="1412" w:type="pct"/>
            <w:vAlign w:val="center"/>
          </w:tcPr>
          <w:p w14:paraId="10D1070E">
            <w:pPr>
              <w:pStyle w:val="45"/>
              <w:rPr>
                <w:rFonts w:hint="eastAsia"/>
                <w:color w:val="auto"/>
              </w:rPr>
            </w:pPr>
            <w:r>
              <w:rPr>
                <w:rFonts w:hint="eastAsia"/>
                <w:color w:val="auto"/>
              </w:rPr>
              <w:t>允许轻微少量</w:t>
            </w:r>
          </w:p>
        </w:tc>
        <w:tc>
          <w:tcPr>
            <w:tcW w:w="1469" w:type="pct"/>
            <w:vAlign w:val="center"/>
          </w:tcPr>
          <w:p w14:paraId="3E087143">
            <w:pPr>
              <w:pStyle w:val="45"/>
              <w:rPr>
                <w:rFonts w:hint="eastAsia"/>
                <w:color w:val="auto"/>
              </w:rPr>
            </w:pPr>
            <w:r>
              <w:rPr>
                <w:rFonts w:hint="eastAsia"/>
                <w:color w:val="auto"/>
              </w:rPr>
              <w:t>观察检查</w:t>
            </w:r>
          </w:p>
        </w:tc>
      </w:tr>
      <w:tr w14:paraId="2866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17CE7D70">
            <w:pPr>
              <w:pStyle w:val="45"/>
              <w:rPr>
                <w:rFonts w:hint="eastAsia"/>
                <w:color w:val="auto"/>
              </w:rPr>
            </w:pPr>
            <w:r>
              <w:rPr>
                <w:rFonts w:hint="eastAsia"/>
                <w:color w:val="auto"/>
              </w:rPr>
              <w:t>4</w:t>
            </w:r>
          </w:p>
        </w:tc>
        <w:tc>
          <w:tcPr>
            <w:tcW w:w="1633" w:type="pct"/>
            <w:vAlign w:val="center"/>
          </w:tcPr>
          <w:p w14:paraId="67AEE6F6">
            <w:pPr>
              <w:pStyle w:val="45"/>
              <w:rPr>
                <w:rFonts w:hint="eastAsia"/>
                <w:color w:val="auto"/>
              </w:rPr>
            </w:pPr>
            <w:r>
              <w:rPr>
                <w:rFonts w:hint="eastAsia"/>
                <w:color w:val="auto"/>
              </w:rPr>
              <w:t>流坠、疙瘩</w:t>
            </w:r>
          </w:p>
        </w:tc>
        <w:tc>
          <w:tcPr>
            <w:tcW w:w="1412" w:type="pct"/>
            <w:vAlign w:val="center"/>
          </w:tcPr>
          <w:p w14:paraId="3BDF4AD4">
            <w:pPr>
              <w:pStyle w:val="45"/>
              <w:rPr>
                <w:rFonts w:hint="eastAsia"/>
                <w:color w:val="auto"/>
              </w:rPr>
            </w:pPr>
            <w:r>
              <w:rPr>
                <w:rFonts w:hint="eastAsia"/>
                <w:color w:val="auto"/>
              </w:rPr>
              <w:t>允许轻微少量</w:t>
            </w:r>
          </w:p>
        </w:tc>
        <w:tc>
          <w:tcPr>
            <w:tcW w:w="1469" w:type="pct"/>
            <w:vAlign w:val="center"/>
          </w:tcPr>
          <w:p w14:paraId="00466A3B">
            <w:pPr>
              <w:pStyle w:val="45"/>
              <w:rPr>
                <w:rFonts w:hint="eastAsia"/>
                <w:color w:val="auto"/>
              </w:rPr>
            </w:pPr>
            <w:r>
              <w:rPr>
                <w:rFonts w:hint="eastAsia"/>
                <w:color w:val="auto"/>
              </w:rPr>
              <w:t>观察手摸、检查</w:t>
            </w:r>
          </w:p>
        </w:tc>
      </w:tr>
      <w:tr w14:paraId="147CE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6DA57CD7">
            <w:pPr>
              <w:pStyle w:val="45"/>
              <w:rPr>
                <w:rFonts w:hint="eastAsia"/>
                <w:color w:val="auto"/>
              </w:rPr>
            </w:pPr>
            <w:r>
              <w:rPr>
                <w:rFonts w:hint="eastAsia"/>
                <w:color w:val="auto"/>
              </w:rPr>
              <w:t>5</w:t>
            </w:r>
          </w:p>
        </w:tc>
        <w:tc>
          <w:tcPr>
            <w:tcW w:w="1633" w:type="pct"/>
            <w:vAlign w:val="center"/>
          </w:tcPr>
          <w:p w14:paraId="00B34908">
            <w:pPr>
              <w:pStyle w:val="45"/>
              <w:rPr>
                <w:rFonts w:hint="eastAsia"/>
                <w:color w:val="auto"/>
              </w:rPr>
            </w:pPr>
            <w:r>
              <w:rPr>
                <w:rFonts w:hint="eastAsia"/>
                <w:color w:val="auto"/>
              </w:rPr>
              <w:t>颜色、刷纹</w:t>
            </w:r>
          </w:p>
        </w:tc>
        <w:tc>
          <w:tcPr>
            <w:tcW w:w="1412" w:type="pct"/>
            <w:vAlign w:val="center"/>
          </w:tcPr>
          <w:p w14:paraId="7905745F">
            <w:pPr>
              <w:pStyle w:val="45"/>
              <w:rPr>
                <w:rFonts w:hint="eastAsia"/>
                <w:color w:val="auto"/>
              </w:rPr>
            </w:pPr>
            <w:r>
              <w:rPr>
                <w:rFonts w:hint="eastAsia"/>
                <w:color w:val="auto"/>
              </w:rPr>
              <w:t>颜色一致无砂眼刷纹</w:t>
            </w:r>
          </w:p>
        </w:tc>
        <w:tc>
          <w:tcPr>
            <w:tcW w:w="1469" w:type="pct"/>
            <w:vAlign w:val="center"/>
          </w:tcPr>
          <w:p w14:paraId="614E50C1">
            <w:pPr>
              <w:pStyle w:val="45"/>
              <w:rPr>
                <w:rFonts w:hint="eastAsia"/>
                <w:color w:val="auto"/>
              </w:rPr>
            </w:pPr>
            <w:r>
              <w:rPr>
                <w:rFonts w:hint="eastAsia"/>
                <w:color w:val="auto"/>
              </w:rPr>
              <w:t>观察检查</w:t>
            </w:r>
          </w:p>
        </w:tc>
      </w:tr>
      <w:tr w14:paraId="13628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167328EF">
            <w:pPr>
              <w:pStyle w:val="45"/>
              <w:rPr>
                <w:rFonts w:hint="eastAsia"/>
                <w:color w:val="auto"/>
              </w:rPr>
            </w:pPr>
            <w:r>
              <w:rPr>
                <w:rFonts w:hint="eastAsia"/>
                <w:color w:val="auto"/>
              </w:rPr>
              <w:t>6</w:t>
            </w:r>
          </w:p>
        </w:tc>
        <w:tc>
          <w:tcPr>
            <w:tcW w:w="1633" w:type="pct"/>
            <w:vAlign w:val="center"/>
          </w:tcPr>
          <w:p w14:paraId="5AF60F25">
            <w:pPr>
              <w:pStyle w:val="45"/>
              <w:rPr>
                <w:rFonts w:hint="eastAsia"/>
                <w:color w:val="auto"/>
              </w:rPr>
            </w:pPr>
            <w:r>
              <w:rPr>
                <w:rFonts w:hint="eastAsia"/>
                <w:color w:val="auto"/>
              </w:rPr>
              <w:t>装饰线分色线平直</w:t>
            </w:r>
          </w:p>
        </w:tc>
        <w:tc>
          <w:tcPr>
            <w:tcW w:w="1412" w:type="pct"/>
            <w:vAlign w:val="center"/>
          </w:tcPr>
          <w:p w14:paraId="2CAFF2BB">
            <w:pPr>
              <w:pStyle w:val="45"/>
              <w:rPr>
                <w:rFonts w:hint="eastAsia"/>
                <w:color w:val="auto"/>
              </w:rPr>
            </w:pPr>
            <w:r>
              <w:rPr>
                <w:rFonts w:hint="eastAsia"/>
                <w:color w:val="auto"/>
              </w:rPr>
              <w:t>偏差不大于1mm</w:t>
            </w:r>
          </w:p>
        </w:tc>
        <w:tc>
          <w:tcPr>
            <w:tcW w:w="1469" w:type="pct"/>
            <w:vAlign w:val="center"/>
          </w:tcPr>
          <w:p w14:paraId="74FFC62C">
            <w:pPr>
              <w:pStyle w:val="45"/>
              <w:rPr>
                <w:rFonts w:hint="eastAsia"/>
                <w:color w:val="auto"/>
              </w:rPr>
            </w:pPr>
            <w:r>
              <w:rPr>
                <w:rFonts w:hint="eastAsia"/>
                <w:color w:val="auto"/>
              </w:rPr>
              <w:t>拉5m线（不足5m拉通线），用尺量检查</w:t>
            </w:r>
          </w:p>
        </w:tc>
      </w:tr>
      <w:tr w14:paraId="01FD2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 w:type="pct"/>
            <w:vAlign w:val="center"/>
          </w:tcPr>
          <w:p w14:paraId="46274CBC">
            <w:pPr>
              <w:pStyle w:val="45"/>
              <w:rPr>
                <w:rFonts w:hint="eastAsia"/>
                <w:color w:val="auto"/>
              </w:rPr>
            </w:pPr>
            <w:r>
              <w:rPr>
                <w:rFonts w:hint="eastAsia"/>
                <w:color w:val="auto"/>
              </w:rPr>
              <w:t>7</w:t>
            </w:r>
          </w:p>
        </w:tc>
        <w:tc>
          <w:tcPr>
            <w:tcW w:w="1633" w:type="pct"/>
            <w:vAlign w:val="center"/>
          </w:tcPr>
          <w:p w14:paraId="6CB79279">
            <w:pPr>
              <w:pStyle w:val="45"/>
              <w:rPr>
                <w:rFonts w:hint="eastAsia"/>
                <w:color w:val="auto"/>
              </w:rPr>
            </w:pPr>
            <w:r>
              <w:rPr>
                <w:rFonts w:hint="eastAsia"/>
                <w:color w:val="auto"/>
              </w:rPr>
              <w:t>门窗、玻璃、灯具等</w:t>
            </w:r>
          </w:p>
        </w:tc>
        <w:tc>
          <w:tcPr>
            <w:tcW w:w="1412" w:type="pct"/>
            <w:vAlign w:val="center"/>
          </w:tcPr>
          <w:p w14:paraId="597B256A">
            <w:pPr>
              <w:pStyle w:val="45"/>
              <w:rPr>
                <w:rFonts w:hint="eastAsia"/>
                <w:color w:val="auto"/>
              </w:rPr>
            </w:pPr>
            <w:r>
              <w:rPr>
                <w:rFonts w:hint="eastAsia"/>
                <w:color w:val="auto"/>
              </w:rPr>
              <w:t>全部洁净</w:t>
            </w:r>
          </w:p>
        </w:tc>
        <w:tc>
          <w:tcPr>
            <w:tcW w:w="1469" w:type="pct"/>
            <w:vAlign w:val="center"/>
          </w:tcPr>
          <w:p w14:paraId="64573E47">
            <w:pPr>
              <w:pStyle w:val="45"/>
              <w:rPr>
                <w:rFonts w:hint="eastAsia"/>
                <w:color w:val="auto"/>
              </w:rPr>
            </w:pPr>
            <w:r>
              <w:rPr>
                <w:rFonts w:hint="eastAsia"/>
                <w:color w:val="auto"/>
              </w:rPr>
              <w:t>观察检查</w:t>
            </w:r>
          </w:p>
        </w:tc>
      </w:tr>
    </w:tbl>
    <w:p w14:paraId="6752580A">
      <w:pPr>
        <w:pStyle w:val="4"/>
        <w:ind w:firstLine="482"/>
        <w:rPr>
          <w:color w:val="auto"/>
        </w:rPr>
      </w:pPr>
      <w:bookmarkStart w:id="200" w:name="_Toc702"/>
      <w:r>
        <w:rPr>
          <w:rFonts w:hint="eastAsia"/>
          <w:color w:val="auto"/>
        </w:rPr>
        <w:t>设备安装工程</w:t>
      </w:r>
      <w:bookmarkEnd w:id="200"/>
    </w:p>
    <w:p w14:paraId="5D08742A">
      <w:pPr>
        <w:pStyle w:val="5"/>
        <w:rPr>
          <w:color w:val="auto"/>
        </w:rPr>
      </w:pPr>
      <w:bookmarkStart w:id="201" w:name="_Toc17226"/>
      <w:r>
        <w:rPr>
          <w:rFonts w:hint="eastAsia"/>
          <w:color w:val="auto"/>
        </w:rPr>
        <w:t>给排水工程</w:t>
      </w:r>
      <w:bookmarkEnd w:id="201"/>
    </w:p>
    <w:p w14:paraId="285D5BC1">
      <w:pPr>
        <w:pStyle w:val="6"/>
        <w:ind w:firstLine="480"/>
        <w:rPr>
          <w:color w:val="auto"/>
        </w:rPr>
      </w:pPr>
      <w:r>
        <w:rPr>
          <w:rFonts w:hint="eastAsia"/>
          <w:color w:val="auto"/>
        </w:rPr>
        <w:t>给排水工程概况</w:t>
      </w:r>
    </w:p>
    <w:p w14:paraId="2095D58E">
      <w:pPr>
        <w:rPr>
          <w:color w:val="auto"/>
        </w:rPr>
      </w:pPr>
      <w:r>
        <w:rPr>
          <w:rFonts w:hint="eastAsia"/>
          <w:color w:val="auto"/>
        </w:rPr>
        <w:t>1、给水管、热（回）水管：室内给水管采用PPR管，室内冷水管道采用S4系列，室内热水管采用S3.2系列，热熔连接；饮用水管道选用耐腐蚀、内表面光滑、符合食品级卫生要求的薄壁不锈钢管及配件，卡压连接；开水管道选用许用工作温度大于100℃的金属管材；室外给水管给水用聚乙烯（PE）管道及配件，热熔承插连接。</w:t>
      </w:r>
    </w:p>
    <w:p w14:paraId="2F2E6547">
      <w:pPr>
        <w:rPr>
          <w:color w:val="auto"/>
        </w:rPr>
      </w:pPr>
      <w:r>
        <w:rPr>
          <w:color w:val="auto"/>
        </w:rPr>
        <w:t>2</w:t>
      </w:r>
      <w:r>
        <w:rPr>
          <w:rFonts w:hint="eastAsia"/>
          <w:color w:val="auto"/>
        </w:rPr>
        <w:t>、消火栓管、喷淋管：消防给水管承压小于等于1.2MPa时，采用热浸锌镀锌钢管；大于1.2MPa时，采用热浸锌镀锌无缝钢管或热浸锌镀锌加厚钢管。消防给水管管径小于等于DN50，采用螺纹和卡压连接；管径大于DN50，采用沟槽式机械配件连接或法兰方式连接（须热浸镀锌后二次安装）。</w:t>
      </w:r>
    </w:p>
    <w:p w14:paraId="21F03394">
      <w:pPr>
        <w:rPr>
          <w:color w:val="auto"/>
        </w:rPr>
      </w:pPr>
      <w:r>
        <w:rPr>
          <w:color w:val="auto"/>
        </w:rPr>
        <w:t>3</w:t>
      </w:r>
      <w:r>
        <w:rPr>
          <w:rFonts w:hint="eastAsia"/>
          <w:color w:val="auto"/>
        </w:rPr>
        <w:t>、排水管：室内污、废水管采用高密度聚乙烯(HDPE)管及配件，承插法兰接头；潜水泵出水管采用热镀锌钢管。雨水管：其它重力雨水管采用内衬塑钢管。室外雨水、污水管采用埋地高密度聚乙烯（HDPE）双壁波纹管及配件，承插连接。</w:t>
      </w:r>
    </w:p>
    <w:p w14:paraId="16F785FE">
      <w:pPr>
        <w:rPr>
          <w:color w:val="auto"/>
        </w:rPr>
      </w:pPr>
      <w:r>
        <w:rPr>
          <w:color w:val="auto"/>
        </w:rPr>
        <w:t>4</w:t>
      </w:r>
      <w:r>
        <w:rPr>
          <w:rFonts w:hint="eastAsia"/>
          <w:color w:val="auto"/>
        </w:rPr>
        <w:t>、室外窨井：均采用塑料成品窨井，车行道上采用重型铸铁盖板。</w:t>
      </w:r>
    </w:p>
    <w:p w14:paraId="30DC10DB">
      <w:pPr>
        <w:pStyle w:val="6"/>
        <w:ind w:firstLine="480"/>
        <w:rPr>
          <w:color w:val="auto"/>
        </w:rPr>
      </w:pPr>
      <w:r>
        <w:rPr>
          <w:rFonts w:hint="eastAsia"/>
          <w:color w:val="auto"/>
        </w:rPr>
        <w:t>施工工艺流程</w:t>
      </w:r>
    </w:p>
    <w:p w14:paraId="057F6227">
      <w:pPr>
        <w:rPr>
          <w:color w:val="auto"/>
        </w:rPr>
      </w:pPr>
      <w:r>
        <w:rPr>
          <w:rFonts w:hint="eastAsia"/>
          <w:color w:val="auto"/>
        </w:rPr>
        <w:t>测量放线→成品支吊架安装→干管安装→立管安装→支管安装→管道试验</w:t>
      </w:r>
    </w:p>
    <w:p w14:paraId="02E51550">
      <w:pPr>
        <w:rPr>
          <w:color w:val="auto"/>
        </w:rPr>
      </w:pPr>
      <w:r>
        <w:rPr>
          <w:rFonts w:hint="eastAsia"/>
          <w:color w:val="auto"/>
        </w:rPr>
        <w:t>1、衬塑钢管丝扣连接施工工艺</w:t>
      </w:r>
    </w:p>
    <w:p w14:paraId="296F58CF">
      <w:pPr>
        <w:ind w:firstLineChars="0"/>
        <w:rPr>
          <w:color w:val="auto"/>
        </w:rPr>
      </w:pPr>
      <w:r>
        <w:rPr>
          <w:rFonts w:hint="eastAsia"/>
          <w:color w:val="auto"/>
        </w:rPr>
        <w:t>1）管道丝扣连接施工工艺流程：截管→套丝→去毛刺、倒角→管道连接→管道安装</w:t>
      </w:r>
    </w:p>
    <w:p w14:paraId="2FAEC044">
      <w:pPr>
        <w:ind w:left="480" w:firstLine="0" w:firstLineChars="0"/>
        <w:rPr>
          <w:color w:val="auto"/>
        </w:rPr>
      </w:pPr>
      <w:r>
        <w:rPr>
          <w:rFonts w:hint="eastAsia"/>
          <w:color w:val="auto"/>
        </w:rPr>
        <w:t>2）管材下料宜用锯床，不得采用砂轮切割，当采用盘锯切割时，其转速不得大于800r/min；当用手工截管时，其端面应垂直于管轴心。</w:t>
      </w:r>
    </w:p>
    <w:p w14:paraId="5E12AA9F">
      <w:pPr>
        <w:ind w:firstLineChars="0"/>
        <w:rPr>
          <w:color w:val="auto"/>
        </w:rPr>
      </w:pPr>
      <w:r>
        <w:rPr>
          <w:rFonts w:hint="eastAsia"/>
          <w:color w:val="auto"/>
        </w:rPr>
        <w:t>3）套丝宜用电动套丝机，加工后的管螺纹都应端正、清楚、完整、光滑。断丝和缺丝总长不得超过全螺纹长度的</w:t>
      </w:r>
      <w:r>
        <w:rPr>
          <w:color w:val="auto"/>
        </w:rPr>
        <w:t>l0</w:t>
      </w:r>
      <w:r>
        <w:rPr>
          <w:rFonts w:hint="eastAsia"/>
          <w:color w:val="auto"/>
        </w:rPr>
        <w:t>％。螺纹管道加工好后要用标准螺纹规进行检查。</w:t>
      </w:r>
    </w:p>
    <w:p w14:paraId="0D287F44">
      <w:pPr>
        <w:ind w:firstLineChars="0"/>
        <w:rPr>
          <w:color w:val="auto"/>
        </w:rPr>
      </w:pPr>
      <w:r>
        <w:rPr>
          <w:rFonts w:hint="eastAsia"/>
          <w:color w:val="auto"/>
        </w:rPr>
        <w:t>4）应用细锉将金属管端的毛边修光，应采用棉纱和毛刷清除管端和螺纹内的油、水和金属切屑。</w:t>
      </w:r>
    </w:p>
    <w:p w14:paraId="65A6FD96">
      <w:pPr>
        <w:ind w:firstLineChars="0"/>
        <w:rPr>
          <w:color w:val="auto"/>
        </w:rPr>
      </w:pPr>
      <w:r>
        <w:rPr>
          <w:rFonts w:hint="eastAsia"/>
          <w:color w:val="auto"/>
        </w:rPr>
        <w:t>5）管端及管螺纹清理加工后，应进行防腐、密封处理，宜采用防锈密封胶和聚四乙烯生料带缠绕螺纹，同时应用色笔在管壁上标记拧入深度。</w:t>
      </w:r>
    </w:p>
    <w:p w14:paraId="525B51F0">
      <w:pPr>
        <w:ind w:firstLineChars="0"/>
        <w:rPr>
          <w:color w:val="auto"/>
        </w:rPr>
      </w:pPr>
      <w:r>
        <w:rPr>
          <w:rFonts w:hint="eastAsia"/>
          <w:color w:val="auto"/>
        </w:rPr>
        <w:t>6）管螺纹连接要点：螺纹连接时，应在管端螺纹外面敷上填料，用手拧入</w:t>
      </w:r>
      <w:r>
        <w:rPr>
          <w:color w:val="auto"/>
        </w:rPr>
        <w:t>2</w:t>
      </w:r>
      <w:r>
        <w:rPr>
          <w:rFonts w:hint="eastAsia"/>
          <w:color w:val="auto"/>
        </w:rPr>
        <w:t>～</w:t>
      </w:r>
      <w:r>
        <w:rPr>
          <w:color w:val="auto"/>
        </w:rPr>
        <w:t>3</w:t>
      </w:r>
      <w:r>
        <w:rPr>
          <w:rFonts w:hint="eastAsia"/>
          <w:color w:val="auto"/>
        </w:rPr>
        <w:t>扣，再用管子钳一次装紧，不得倒回。管道螺纹连接后，允许外露螺纹2～3扣。</w:t>
      </w:r>
    </w:p>
    <w:p w14:paraId="146333FD">
      <w:pPr>
        <w:ind w:firstLineChars="0"/>
        <w:rPr>
          <w:color w:val="auto"/>
        </w:rPr>
      </w:pPr>
      <w:r>
        <w:rPr>
          <w:rFonts w:hint="eastAsia"/>
          <w:color w:val="auto"/>
        </w:rPr>
        <w:t>7）管材与管件连接前，应检查管件内橡胶密封圈或厌氧密封胶，然后将配件用手捻上管端丝扣，在确认管件接口已插入衬塑钢管后，用管钳进行管材与配件的连接，注意不得逆向旋转。</w:t>
      </w:r>
    </w:p>
    <w:p w14:paraId="3CCE358C">
      <w:pPr>
        <w:ind w:firstLineChars="0"/>
        <w:rPr>
          <w:color w:val="auto"/>
        </w:rPr>
      </w:pPr>
      <w:r>
        <w:rPr>
          <w:rFonts w:hint="eastAsia"/>
          <w:color w:val="auto"/>
        </w:rPr>
        <w:t>8）管材与管件连接后，外露的螺纹部分及所有钳痕和表面损伤的部位应做防腐处理。</w:t>
      </w:r>
    </w:p>
    <w:p w14:paraId="4DE8FE05">
      <w:pPr>
        <w:rPr>
          <w:color w:val="auto"/>
        </w:rPr>
      </w:pPr>
      <w:r>
        <w:rPr>
          <w:rFonts w:hint="eastAsia"/>
          <w:color w:val="auto"/>
        </w:rPr>
        <w:t>2、衬塑钢管卡箍连接施工工艺</w:t>
      </w:r>
    </w:p>
    <w:p w14:paraId="7E65EE90">
      <w:pPr>
        <w:rPr>
          <w:color w:val="auto"/>
        </w:rPr>
      </w:pPr>
      <w:r>
        <w:rPr>
          <w:rFonts w:hint="eastAsia"/>
          <w:color w:val="auto"/>
        </w:rPr>
        <w:t>衬塑钢管</w:t>
      </w:r>
      <w:r>
        <w:rPr>
          <w:color w:val="auto"/>
        </w:rPr>
        <w:t>沟槽式</w:t>
      </w:r>
      <w:r>
        <w:rPr>
          <w:rFonts w:hint="eastAsia"/>
          <w:color w:val="auto"/>
        </w:rPr>
        <w:t>连接</w:t>
      </w:r>
      <w:r>
        <w:rPr>
          <w:color w:val="auto"/>
        </w:rPr>
        <w:t>安装过程</w:t>
      </w:r>
      <w:r>
        <w:rPr>
          <w:rFonts w:hint="eastAsia"/>
          <w:color w:val="auto"/>
        </w:rPr>
        <w:t>如下图所示。</w:t>
      </w:r>
    </w:p>
    <w:tbl>
      <w:tblPr>
        <w:tblStyle w:val="29"/>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379"/>
        <w:gridCol w:w="4681"/>
      </w:tblGrid>
      <w:tr w14:paraId="290480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11" w:hRule="atLeast"/>
          <w:jc w:val="center"/>
        </w:trPr>
        <w:tc>
          <w:tcPr>
            <w:tcW w:w="5000" w:type="pct"/>
            <w:gridSpan w:val="2"/>
            <w:vAlign w:val="center"/>
          </w:tcPr>
          <w:p w14:paraId="277E07F8">
            <w:pPr>
              <w:pStyle w:val="45"/>
              <w:rPr>
                <w:rFonts w:hint="eastAsia"/>
                <w:color w:val="auto"/>
              </w:rPr>
            </w:pPr>
            <w:r>
              <w:rPr>
                <w:rFonts w:hint="eastAsia"/>
                <w:color w:val="auto"/>
              </w:rPr>
              <w:t>衬塑钢管沟槽式连接安装图</w:t>
            </w:r>
          </w:p>
        </w:tc>
      </w:tr>
      <w:tr w14:paraId="28E5B6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854" w:hRule="atLeast"/>
          <w:jc w:val="center"/>
        </w:trPr>
        <w:tc>
          <w:tcPr>
            <w:tcW w:w="2417" w:type="pct"/>
          </w:tcPr>
          <w:p w14:paraId="2CB3121B">
            <w:pPr>
              <w:pStyle w:val="45"/>
              <w:rPr>
                <w:rFonts w:hint="eastAsia"/>
                <w:color w:val="auto"/>
              </w:rPr>
            </w:pPr>
            <w:r>
              <w:rPr>
                <w:color w:val="auto"/>
              </w:rPr>
              <w:drawing>
                <wp:inline distT="0" distB="0" distL="0" distR="0">
                  <wp:extent cx="1790700" cy="1104900"/>
                  <wp:effectExtent l="0" t="0" r="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1790700" cy="1104900"/>
                          </a:xfrm>
                          <a:prstGeom prst="rect">
                            <a:avLst/>
                          </a:prstGeom>
                          <a:noFill/>
                          <a:ln>
                            <a:noFill/>
                          </a:ln>
                        </pic:spPr>
                      </pic:pic>
                    </a:graphicData>
                  </a:graphic>
                </wp:inline>
              </w:drawing>
            </w:r>
          </w:p>
        </w:tc>
        <w:tc>
          <w:tcPr>
            <w:tcW w:w="2583" w:type="pct"/>
          </w:tcPr>
          <w:p w14:paraId="6CCA532C">
            <w:pPr>
              <w:pStyle w:val="45"/>
              <w:rPr>
                <w:rFonts w:hint="eastAsia"/>
                <w:color w:val="auto"/>
              </w:rPr>
            </w:pPr>
            <w:r>
              <w:rPr>
                <w:color w:val="auto"/>
              </w:rPr>
              <w:drawing>
                <wp:inline distT="0" distB="0" distL="0" distR="0">
                  <wp:extent cx="1606550" cy="116840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1606550" cy="1168400"/>
                          </a:xfrm>
                          <a:prstGeom prst="rect">
                            <a:avLst/>
                          </a:prstGeom>
                          <a:noFill/>
                          <a:ln>
                            <a:noFill/>
                          </a:ln>
                        </pic:spPr>
                      </pic:pic>
                    </a:graphicData>
                  </a:graphic>
                </wp:inline>
              </w:drawing>
            </w:r>
          </w:p>
        </w:tc>
      </w:tr>
      <w:tr w14:paraId="421262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898" w:hRule="atLeast"/>
          <w:jc w:val="center"/>
        </w:trPr>
        <w:tc>
          <w:tcPr>
            <w:tcW w:w="2417" w:type="pct"/>
            <w:vAlign w:val="center"/>
          </w:tcPr>
          <w:p w14:paraId="0F8895E9">
            <w:pPr>
              <w:pStyle w:val="45"/>
              <w:rPr>
                <w:rFonts w:hint="eastAsia"/>
                <w:color w:val="auto"/>
              </w:rPr>
            </w:pPr>
            <w:r>
              <w:rPr>
                <w:rFonts w:hint="eastAsia"/>
                <w:color w:val="auto"/>
              </w:rPr>
              <w:t>1、安装检查沟槽是否符合标准，去掉管子和密封圈上的毛刺、铁锈、油污等杂质。</w:t>
            </w:r>
          </w:p>
        </w:tc>
        <w:tc>
          <w:tcPr>
            <w:tcW w:w="2583" w:type="pct"/>
            <w:vAlign w:val="center"/>
          </w:tcPr>
          <w:p w14:paraId="05EBCC89">
            <w:pPr>
              <w:pStyle w:val="45"/>
              <w:rPr>
                <w:rFonts w:hint="eastAsia"/>
                <w:color w:val="auto"/>
              </w:rPr>
            </w:pPr>
            <w:r>
              <w:rPr>
                <w:rFonts w:hint="eastAsia"/>
                <w:color w:val="auto"/>
              </w:rPr>
              <w:t>2、在管子端部和橡胶圈上涂上润滑剂。</w:t>
            </w:r>
          </w:p>
        </w:tc>
      </w:tr>
      <w:tr w14:paraId="4D8767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356" w:hRule="atLeast"/>
          <w:jc w:val="center"/>
        </w:trPr>
        <w:tc>
          <w:tcPr>
            <w:tcW w:w="2417" w:type="pct"/>
            <w:vAlign w:val="center"/>
          </w:tcPr>
          <w:p w14:paraId="566489A4">
            <w:pPr>
              <w:pStyle w:val="45"/>
              <w:rPr>
                <w:rFonts w:hint="eastAsia"/>
                <w:color w:val="auto"/>
              </w:rPr>
            </w:pPr>
            <w:r>
              <w:rPr>
                <w:color w:val="auto"/>
              </w:rPr>
              <w:drawing>
                <wp:inline distT="0" distB="0" distL="0" distR="0">
                  <wp:extent cx="1365250" cy="984250"/>
                  <wp:effectExtent l="0" t="0" r="6350" b="635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1365250" cy="984250"/>
                          </a:xfrm>
                          <a:prstGeom prst="rect">
                            <a:avLst/>
                          </a:prstGeom>
                          <a:noFill/>
                          <a:ln>
                            <a:noFill/>
                          </a:ln>
                        </pic:spPr>
                      </pic:pic>
                    </a:graphicData>
                  </a:graphic>
                </wp:inline>
              </w:drawing>
            </w:r>
          </w:p>
        </w:tc>
        <w:tc>
          <w:tcPr>
            <w:tcW w:w="2583" w:type="pct"/>
            <w:vAlign w:val="center"/>
          </w:tcPr>
          <w:p w14:paraId="6A014380">
            <w:pPr>
              <w:pStyle w:val="45"/>
              <w:rPr>
                <w:rFonts w:hint="eastAsia"/>
                <w:color w:val="auto"/>
              </w:rPr>
            </w:pPr>
            <w:r>
              <w:rPr>
                <w:color w:val="auto"/>
              </w:rPr>
              <w:drawing>
                <wp:inline distT="0" distB="0" distL="0" distR="0">
                  <wp:extent cx="2279650" cy="1066800"/>
                  <wp:effectExtent l="0" t="0" r="6350" b="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2279650" cy="1066800"/>
                          </a:xfrm>
                          <a:prstGeom prst="rect">
                            <a:avLst/>
                          </a:prstGeom>
                          <a:noFill/>
                          <a:ln>
                            <a:noFill/>
                          </a:ln>
                        </pic:spPr>
                      </pic:pic>
                    </a:graphicData>
                  </a:graphic>
                </wp:inline>
              </w:drawing>
            </w:r>
          </w:p>
        </w:tc>
      </w:tr>
      <w:tr w14:paraId="18B755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164" w:hRule="atLeast"/>
          <w:jc w:val="center"/>
        </w:trPr>
        <w:tc>
          <w:tcPr>
            <w:tcW w:w="2417" w:type="pct"/>
            <w:vAlign w:val="center"/>
          </w:tcPr>
          <w:p w14:paraId="5E8970F5">
            <w:pPr>
              <w:pStyle w:val="45"/>
              <w:rPr>
                <w:rFonts w:hint="eastAsia"/>
                <w:color w:val="auto"/>
              </w:rPr>
            </w:pPr>
            <w:r>
              <w:rPr>
                <w:rFonts w:hint="eastAsia"/>
                <w:color w:val="auto"/>
              </w:rPr>
              <w:t>3、将密封橡胶垫圈套入一根衬塑钢管的密封部位。</w:t>
            </w:r>
          </w:p>
        </w:tc>
        <w:tc>
          <w:tcPr>
            <w:tcW w:w="2583" w:type="pct"/>
            <w:vAlign w:val="center"/>
          </w:tcPr>
          <w:p w14:paraId="59BF3DEB">
            <w:pPr>
              <w:pStyle w:val="45"/>
              <w:rPr>
                <w:rFonts w:hint="eastAsia"/>
                <w:color w:val="auto"/>
              </w:rPr>
            </w:pPr>
            <w:r>
              <w:rPr>
                <w:rFonts w:hint="eastAsia"/>
                <w:color w:val="auto"/>
              </w:rPr>
              <w:t>4、将另一根加工好沟槽的衬塑钢管靠拢，将橡胶圈套入管端，使橡胶圈刚好位于两根管子的密封部位。</w:t>
            </w:r>
          </w:p>
        </w:tc>
      </w:tr>
      <w:tr w14:paraId="1D0E57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543" w:hRule="atLeast"/>
          <w:jc w:val="center"/>
        </w:trPr>
        <w:tc>
          <w:tcPr>
            <w:tcW w:w="2417" w:type="pct"/>
            <w:vAlign w:val="center"/>
          </w:tcPr>
          <w:p w14:paraId="4C4BCCBB">
            <w:pPr>
              <w:pStyle w:val="45"/>
              <w:rPr>
                <w:rFonts w:hint="eastAsia"/>
                <w:color w:val="auto"/>
              </w:rPr>
            </w:pPr>
            <w:r>
              <w:rPr>
                <w:color w:val="auto"/>
              </w:rPr>
              <w:drawing>
                <wp:inline distT="0" distB="0" distL="0" distR="0">
                  <wp:extent cx="1663700" cy="1454150"/>
                  <wp:effectExtent l="0" t="0" r="0" b="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1663700" cy="1454150"/>
                          </a:xfrm>
                          <a:prstGeom prst="rect">
                            <a:avLst/>
                          </a:prstGeom>
                          <a:noFill/>
                          <a:ln>
                            <a:noFill/>
                          </a:ln>
                        </pic:spPr>
                      </pic:pic>
                    </a:graphicData>
                  </a:graphic>
                </wp:inline>
              </w:drawing>
            </w:r>
          </w:p>
        </w:tc>
        <w:tc>
          <w:tcPr>
            <w:tcW w:w="2583" w:type="pct"/>
            <w:vAlign w:val="center"/>
          </w:tcPr>
          <w:p w14:paraId="12FA07EA">
            <w:pPr>
              <w:pStyle w:val="45"/>
              <w:rPr>
                <w:rFonts w:hint="eastAsia"/>
                <w:color w:val="auto"/>
              </w:rPr>
            </w:pPr>
            <w:r>
              <w:rPr>
                <w:color w:val="auto"/>
              </w:rPr>
              <w:drawing>
                <wp:inline distT="0" distB="0" distL="0" distR="0">
                  <wp:extent cx="1746250" cy="1263650"/>
                  <wp:effectExtent l="0" t="0" r="635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1746250" cy="1263650"/>
                          </a:xfrm>
                          <a:prstGeom prst="rect">
                            <a:avLst/>
                          </a:prstGeom>
                          <a:noFill/>
                          <a:ln>
                            <a:noFill/>
                          </a:ln>
                        </pic:spPr>
                      </pic:pic>
                    </a:graphicData>
                  </a:graphic>
                </wp:inline>
              </w:drawing>
            </w:r>
          </w:p>
        </w:tc>
      </w:tr>
      <w:tr w14:paraId="503FCF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7" w:hRule="atLeast"/>
          <w:jc w:val="center"/>
        </w:trPr>
        <w:tc>
          <w:tcPr>
            <w:tcW w:w="2417" w:type="pct"/>
            <w:vAlign w:val="center"/>
          </w:tcPr>
          <w:p w14:paraId="4A456B9F">
            <w:pPr>
              <w:pStyle w:val="45"/>
              <w:rPr>
                <w:rFonts w:hint="eastAsia"/>
                <w:color w:val="auto"/>
              </w:rPr>
            </w:pPr>
            <w:r>
              <w:rPr>
                <w:rFonts w:hint="eastAsia"/>
                <w:color w:val="auto"/>
              </w:rPr>
              <w:t>5、确认管卡已经卡住管子。</w:t>
            </w:r>
          </w:p>
        </w:tc>
        <w:tc>
          <w:tcPr>
            <w:tcW w:w="2583" w:type="pct"/>
            <w:vAlign w:val="center"/>
          </w:tcPr>
          <w:p w14:paraId="643E9750">
            <w:pPr>
              <w:pStyle w:val="45"/>
              <w:rPr>
                <w:rFonts w:hint="eastAsia"/>
                <w:color w:val="auto"/>
              </w:rPr>
            </w:pPr>
            <w:r>
              <w:rPr>
                <w:rFonts w:hint="eastAsia"/>
                <w:color w:val="auto"/>
              </w:rPr>
              <w:t>6、拧紧螺栓，安装完成。</w:t>
            </w:r>
          </w:p>
        </w:tc>
      </w:tr>
    </w:tbl>
    <w:p w14:paraId="3AF9CA27">
      <w:pPr>
        <w:rPr>
          <w:color w:val="auto"/>
        </w:rPr>
      </w:pPr>
      <w:r>
        <w:rPr>
          <w:rFonts w:hint="eastAsia"/>
          <w:color w:val="auto"/>
        </w:rPr>
        <w:t>3、P</w:t>
      </w:r>
      <w:r>
        <w:rPr>
          <w:color w:val="auto"/>
        </w:rPr>
        <w:t>PR</w:t>
      </w:r>
      <w:r>
        <w:rPr>
          <w:rFonts w:hint="eastAsia"/>
          <w:color w:val="auto"/>
        </w:rPr>
        <w:t>管热熔连接施工工艺</w:t>
      </w:r>
    </w:p>
    <w:p w14:paraId="1BCD179B">
      <w:pPr>
        <w:ind w:firstLineChars="0"/>
        <w:rPr>
          <w:color w:val="auto"/>
        </w:rPr>
      </w:pPr>
      <w:r>
        <w:rPr>
          <w:rFonts w:hint="eastAsia"/>
          <w:color w:val="auto"/>
        </w:rPr>
        <w:t>1）PPR管热熔连接施工工艺流程：测量定位→截管→管道、管件清理→标绘热熔深度→热熔机加热→连接→调整成型</w:t>
      </w:r>
    </w:p>
    <w:p w14:paraId="260F5C31">
      <w:pPr>
        <w:ind w:firstLine="0" w:firstLineChars="0"/>
        <w:jc w:val="center"/>
        <w:rPr>
          <w:color w:val="auto"/>
        </w:rPr>
      </w:pPr>
      <w:r>
        <w:rPr>
          <w:color w:val="auto"/>
        </w:rPr>
        <w:drawing>
          <wp:inline distT="0" distB="0" distL="0" distR="0">
            <wp:extent cx="5074920" cy="1673225"/>
            <wp:effectExtent l="0" t="0" r="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47">
                      <a:extLst>
                        <a:ext uri="{28A0092B-C50C-407E-A947-70E740481C1C}">
                          <a14:useLocalDpi xmlns:a14="http://schemas.microsoft.com/office/drawing/2010/main" val="0"/>
                        </a:ext>
                      </a:extLst>
                    </a:blip>
                    <a:srcRect l="19843" t="49796" r="3691" b="14409"/>
                    <a:stretch>
                      <a:fillRect/>
                    </a:stretch>
                  </pic:blipFill>
                  <pic:spPr>
                    <a:xfrm>
                      <a:off x="0" y="0"/>
                      <a:ext cx="5091092" cy="1679011"/>
                    </a:xfrm>
                    <a:prstGeom prst="rect">
                      <a:avLst/>
                    </a:prstGeom>
                    <a:noFill/>
                    <a:ln>
                      <a:noFill/>
                    </a:ln>
                  </pic:spPr>
                </pic:pic>
              </a:graphicData>
            </a:graphic>
          </wp:inline>
        </w:drawing>
      </w:r>
    </w:p>
    <w:p w14:paraId="36509732">
      <w:pPr>
        <w:pStyle w:val="53"/>
        <w:rPr>
          <w:color w:val="auto"/>
        </w:rPr>
      </w:pPr>
      <w:r>
        <w:rPr>
          <w:rFonts w:hint="eastAsia"/>
          <w:color w:val="auto"/>
        </w:rPr>
        <w:t>PPR管热熔连接施工工艺</w:t>
      </w:r>
    </w:p>
    <w:p w14:paraId="4CC5395F">
      <w:pPr>
        <w:ind w:firstLineChars="0"/>
        <w:rPr>
          <w:bCs/>
          <w:color w:val="auto"/>
        </w:rPr>
      </w:pPr>
      <w:r>
        <w:rPr>
          <w:rFonts w:hint="eastAsia"/>
          <w:bCs/>
          <w:color w:val="auto"/>
        </w:rPr>
        <w:t>2）测量定位：按设计图纸画出管道分支、变径、预留管口、阀门位置等施工草图。按草图测得的尺寸预制加工，按管段及分组编号。</w:t>
      </w:r>
    </w:p>
    <w:p w14:paraId="4536D40B">
      <w:pPr>
        <w:ind w:firstLineChars="0"/>
        <w:rPr>
          <w:bCs/>
          <w:color w:val="auto"/>
        </w:rPr>
      </w:pPr>
      <w:r>
        <w:rPr>
          <w:rFonts w:hint="eastAsia"/>
          <w:bCs/>
          <w:color w:val="auto"/>
        </w:rPr>
        <w:t>3）截管：管道的切断可使用割刀或铝合金切割锯或锋利的钢锯。断口必须平整，与管壁垂直，不得成马蹄型或留豁口。</w:t>
      </w:r>
    </w:p>
    <w:p w14:paraId="63717E5D">
      <w:pPr>
        <w:ind w:firstLineChars="0"/>
        <w:rPr>
          <w:bCs/>
          <w:color w:val="auto"/>
        </w:rPr>
      </w:pPr>
      <w:r>
        <w:rPr>
          <w:rFonts w:hint="eastAsia"/>
          <w:bCs/>
          <w:color w:val="auto"/>
        </w:rPr>
        <w:t>4）管道、管件清理：管材截取后必须清除毛边毛刺。管道如发生弯曲，必须调直后才可使用。管材与管件连接端面必须清洁、干燥、无油。</w:t>
      </w:r>
    </w:p>
    <w:p w14:paraId="1409A3DC">
      <w:pPr>
        <w:ind w:firstLineChars="0"/>
        <w:rPr>
          <w:bCs/>
          <w:color w:val="auto"/>
        </w:rPr>
      </w:pPr>
      <w:r>
        <w:rPr>
          <w:rFonts w:hint="eastAsia"/>
          <w:bCs/>
          <w:color w:val="auto"/>
        </w:rPr>
        <w:t>5）管道热熔连接：管道的连接采用专用的热熔连接焊机。热熔连接应按下列步骤进行：热熔工具接通电源，到达工作温度指示灯亮后方能开始操作。用卡尺和笔在管端测量并标绘出承插深度，承插深度不应小于下表的要求。热熔连接加热时间、加工时间及冷却时间应按热熔机具生产厂家的要求进行。如无要求时，可参照下表进行热熔连接。</w:t>
      </w:r>
    </w:p>
    <w:p w14:paraId="50DFDBE1">
      <w:pPr>
        <w:pStyle w:val="54"/>
        <w:rPr>
          <w:color w:val="auto"/>
        </w:rPr>
      </w:pPr>
      <w:r>
        <w:rPr>
          <w:rFonts w:hint="eastAsia"/>
          <w:color w:val="auto"/>
        </w:rPr>
        <w:t>热熔连接技术要求</w:t>
      </w:r>
    </w:p>
    <w:tbl>
      <w:tblPr>
        <w:tblStyle w:val="29"/>
        <w:tblW w:w="8937"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787"/>
        <w:gridCol w:w="1787"/>
        <w:gridCol w:w="1788"/>
        <w:gridCol w:w="1787"/>
        <w:gridCol w:w="1788"/>
      </w:tblGrid>
      <w:tr w14:paraId="107AB9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37031FFB">
            <w:pPr>
              <w:pStyle w:val="45"/>
              <w:rPr>
                <w:rFonts w:hint="eastAsia"/>
                <w:color w:val="auto"/>
              </w:rPr>
            </w:pPr>
            <w:r>
              <w:rPr>
                <w:rFonts w:hint="eastAsia"/>
                <w:color w:val="auto"/>
              </w:rPr>
              <w:t>公称外径</w:t>
            </w:r>
          </w:p>
          <w:p w14:paraId="0DEEA07A">
            <w:pPr>
              <w:pStyle w:val="45"/>
              <w:rPr>
                <w:rFonts w:hint="eastAsia"/>
                <w:color w:val="auto"/>
              </w:rPr>
            </w:pPr>
            <w:r>
              <w:rPr>
                <w:rFonts w:hint="eastAsia"/>
                <w:color w:val="auto"/>
              </w:rPr>
              <w:t>（mm）</w:t>
            </w:r>
          </w:p>
        </w:tc>
        <w:tc>
          <w:tcPr>
            <w:tcW w:w="1787" w:type="dxa"/>
            <w:vAlign w:val="center"/>
          </w:tcPr>
          <w:p w14:paraId="168F15F4">
            <w:pPr>
              <w:pStyle w:val="45"/>
              <w:rPr>
                <w:rFonts w:hint="eastAsia"/>
                <w:color w:val="auto"/>
              </w:rPr>
            </w:pPr>
            <w:r>
              <w:rPr>
                <w:rFonts w:hint="eastAsia"/>
                <w:color w:val="auto"/>
              </w:rPr>
              <w:t>最小承插深度（mm）</w:t>
            </w:r>
          </w:p>
        </w:tc>
        <w:tc>
          <w:tcPr>
            <w:tcW w:w="1788" w:type="dxa"/>
            <w:vAlign w:val="center"/>
          </w:tcPr>
          <w:p w14:paraId="0A49FCDF">
            <w:pPr>
              <w:pStyle w:val="45"/>
              <w:rPr>
                <w:rFonts w:hint="eastAsia"/>
                <w:color w:val="auto"/>
              </w:rPr>
            </w:pPr>
            <w:r>
              <w:rPr>
                <w:rFonts w:hint="eastAsia"/>
                <w:color w:val="auto"/>
              </w:rPr>
              <w:t>加热时间</w:t>
            </w:r>
          </w:p>
          <w:p w14:paraId="5376B893">
            <w:pPr>
              <w:pStyle w:val="45"/>
              <w:rPr>
                <w:rFonts w:hint="eastAsia"/>
                <w:color w:val="auto"/>
              </w:rPr>
            </w:pPr>
            <w:r>
              <w:rPr>
                <w:rFonts w:hint="eastAsia"/>
                <w:color w:val="auto"/>
              </w:rPr>
              <w:t>（s）</w:t>
            </w:r>
          </w:p>
        </w:tc>
        <w:tc>
          <w:tcPr>
            <w:tcW w:w="1787" w:type="dxa"/>
            <w:vAlign w:val="center"/>
          </w:tcPr>
          <w:p w14:paraId="0C93B6C6">
            <w:pPr>
              <w:pStyle w:val="45"/>
              <w:rPr>
                <w:rFonts w:hint="eastAsia"/>
                <w:color w:val="auto"/>
              </w:rPr>
            </w:pPr>
            <w:r>
              <w:rPr>
                <w:rFonts w:hint="eastAsia"/>
                <w:color w:val="auto"/>
              </w:rPr>
              <w:t>加工时间</w:t>
            </w:r>
          </w:p>
          <w:p w14:paraId="19D77577">
            <w:pPr>
              <w:pStyle w:val="45"/>
              <w:rPr>
                <w:rFonts w:hint="eastAsia"/>
                <w:color w:val="auto"/>
              </w:rPr>
            </w:pPr>
            <w:r>
              <w:rPr>
                <w:rFonts w:hint="eastAsia"/>
                <w:color w:val="auto"/>
              </w:rPr>
              <w:t>（s）</w:t>
            </w:r>
          </w:p>
        </w:tc>
        <w:tc>
          <w:tcPr>
            <w:tcW w:w="1788" w:type="dxa"/>
            <w:vAlign w:val="center"/>
          </w:tcPr>
          <w:p w14:paraId="79C21E29">
            <w:pPr>
              <w:pStyle w:val="45"/>
              <w:rPr>
                <w:rFonts w:hint="eastAsia"/>
                <w:color w:val="auto"/>
              </w:rPr>
            </w:pPr>
            <w:r>
              <w:rPr>
                <w:rFonts w:hint="eastAsia"/>
                <w:color w:val="auto"/>
              </w:rPr>
              <w:t>冷却时间</w:t>
            </w:r>
          </w:p>
          <w:p w14:paraId="270BF31F">
            <w:pPr>
              <w:pStyle w:val="45"/>
              <w:rPr>
                <w:rFonts w:hint="eastAsia"/>
                <w:color w:val="auto"/>
              </w:rPr>
            </w:pPr>
            <w:r>
              <w:rPr>
                <w:rFonts w:hint="eastAsia"/>
                <w:color w:val="auto"/>
              </w:rPr>
              <w:t>（s）</w:t>
            </w:r>
          </w:p>
        </w:tc>
      </w:tr>
      <w:tr w14:paraId="7A56663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4F203B5C">
            <w:pPr>
              <w:pStyle w:val="45"/>
              <w:rPr>
                <w:rFonts w:hint="eastAsia"/>
                <w:color w:val="auto"/>
              </w:rPr>
            </w:pPr>
            <w:r>
              <w:rPr>
                <w:rFonts w:hint="eastAsia"/>
                <w:color w:val="auto"/>
              </w:rPr>
              <w:t>20</w:t>
            </w:r>
          </w:p>
        </w:tc>
        <w:tc>
          <w:tcPr>
            <w:tcW w:w="1787" w:type="dxa"/>
            <w:vAlign w:val="center"/>
          </w:tcPr>
          <w:p w14:paraId="22922419">
            <w:pPr>
              <w:pStyle w:val="45"/>
              <w:rPr>
                <w:rFonts w:hint="eastAsia"/>
                <w:color w:val="auto"/>
              </w:rPr>
            </w:pPr>
            <w:r>
              <w:rPr>
                <w:rFonts w:hint="eastAsia"/>
                <w:color w:val="auto"/>
              </w:rPr>
              <w:t>11.0</w:t>
            </w:r>
          </w:p>
        </w:tc>
        <w:tc>
          <w:tcPr>
            <w:tcW w:w="1788" w:type="dxa"/>
            <w:vAlign w:val="center"/>
          </w:tcPr>
          <w:p w14:paraId="5B7F873B">
            <w:pPr>
              <w:pStyle w:val="45"/>
              <w:rPr>
                <w:rFonts w:hint="eastAsia"/>
                <w:color w:val="auto"/>
              </w:rPr>
            </w:pPr>
            <w:r>
              <w:rPr>
                <w:rFonts w:hint="eastAsia"/>
                <w:color w:val="auto"/>
              </w:rPr>
              <w:t>5</w:t>
            </w:r>
          </w:p>
        </w:tc>
        <w:tc>
          <w:tcPr>
            <w:tcW w:w="1787" w:type="dxa"/>
            <w:vAlign w:val="center"/>
          </w:tcPr>
          <w:p w14:paraId="4673CC75">
            <w:pPr>
              <w:pStyle w:val="45"/>
              <w:rPr>
                <w:rFonts w:hint="eastAsia"/>
                <w:color w:val="auto"/>
              </w:rPr>
            </w:pPr>
            <w:r>
              <w:rPr>
                <w:rFonts w:hint="eastAsia"/>
                <w:color w:val="auto"/>
              </w:rPr>
              <w:t>4</w:t>
            </w:r>
          </w:p>
        </w:tc>
        <w:tc>
          <w:tcPr>
            <w:tcW w:w="1788" w:type="dxa"/>
            <w:vAlign w:val="center"/>
          </w:tcPr>
          <w:p w14:paraId="63777F2A">
            <w:pPr>
              <w:pStyle w:val="45"/>
              <w:rPr>
                <w:rFonts w:hint="eastAsia"/>
                <w:color w:val="auto"/>
              </w:rPr>
            </w:pPr>
            <w:r>
              <w:rPr>
                <w:rFonts w:hint="eastAsia"/>
                <w:color w:val="auto"/>
              </w:rPr>
              <w:t>3</w:t>
            </w:r>
          </w:p>
        </w:tc>
      </w:tr>
      <w:tr w14:paraId="606720C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5F9C44C3">
            <w:pPr>
              <w:pStyle w:val="45"/>
              <w:rPr>
                <w:rFonts w:hint="eastAsia"/>
                <w:color w:val="auto"/>
              </w:rPr>
            </w:pPr>
            <w:r>
              <w:rPr>
                <w:rFonts w:hint="eastAsia"/>
                <w:color w:val="auto"/>
              </w:rPr>
              <w:t>25</w:t>
            </w:r>
          </w:p>
        </w:tc>
        <w:tc>
          <w:tcPr>
            <w:tcW w:w="1787" w:type="dxa"/>
            <w:vAlign w:val="center"/>
          </w:tcPr>
          <w:p w14:paraId="0906E58E">
            <w:pPr>
              <w:pStyle w:val="45"/>
              <w:rPr>
                <w:rFonts w:hint="eastAsia"/>
                <w:color w:val="auto"/>
              </w:rPr>
            </w:pPr>
            <w:r>
              <w:rPr>
                <w:rFonts w:hint="eastAsia"/>
                <w:color w:val="auto"/>
              </w:rPr>
              <w:t>12.5</w:t>
            </w:r>
          </w:p>
        </w:tc>
        <w:tc>
          <w:tcPr>
            <w:tcW w:w="1788" w:type="dxa"/>
            <w:vAlign w:val="center"/>
          </w:tcPr>
          <w:p w14:paraId="68A11D99">
            <w:pPr>
              <w:pStyle w:val="45"/>
              <w:rPr>
                <w:rFonts w:hint="eastAsia"/>
                <w:color w:val="auto"/>
              </w:rPr>
            </w:pPr>
            <w:r>
              <w:rPr>
                <w:rFonts w:hint="eastAsia"/>
                <w:color w:val="auto"/>
              </w:rPr>
              <w:t>7</w:t>
            </w:r>
          </w:p>
        </w:tc>
        <w:tc>
          <w:tcPr>
            <w:tcW w:w="1787" w:type="dxa"/>
            <w:vAlign w:val="center"/>
          </w:tcPr>
          <w:p w14:paraId="07F96C73">
            <w:pPr>
              <w:pStyle w:val="45"/>
              <w:rPr>
                <w:rFonts w:hint="eastAsia"/>
                <w:color w:val="auto"/>
              </w:rPr>
            </w:pPr>
            <w:r>
              <w:rPr>
                <w:rFonts w:hint="eastAsia"/>
                <w:color w:val="auto"/>
              </w:rPr>
              <w:t>4</w:t>
            </w:r>
          </w:p>
        </w:tc>
        <w:tc>
          <w:tcPr>
            <w:tcW w:w="1788" w:type="dxa"/>
            <w:vAlign w:val="center"/>
          </w:tcPr>
          <w:p w14:paraId="06C2208B">
            <w:pPr>
              <w:pStyle w:val="45"/>
              <w:rPr>
                <w:rFonts w:hint="eastAsia"/>
                <w:color w:val="auto"/>
              </w:rPr>
            </w:pPr>
            <w:r>
              <w:rPr>
                <w:rFonts w:hint="eastAsia"/>
                <w:color w:val="auto"/>
              </w:rPr>
              <w:t>3</w:t>
            </w:r>
          </w:p>
        </w:tc>
      </w:tr>
      <w:tr w14:paraId="724180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6F61598B">
            <w:pPr>
              <w:pStyle w:val="45"/>
              <w:rPr>
                <w:rFonts w:hint="eastAsia"/>
                <w:color w:val="auto"/>
              </w:rPr>
            </w:pPr>
            <w:r>
              <w:rPr>
                <w:rFonts w:hint="eastAsia"/>
                <w:color w:val="auto"/>
              </w:rPr>
              <w:t>32</w:t>
            </w:r>
          </w:p>
        </w:tc>
        <w:tc>
          <w:tcPr>
            <w:tcW w:w="1787" w:type="dxa"/>
            <w:vAlign w:val="center"/>
          </w:tcPr>
          <w:p w14:paraId="04B50EE1">
            <w:pPr>
              <w:pStyle w:val="45"/>
              <w:rPr>
                <w:rFonts w:hint="eastAsia"/>
                <w:color w:val="auto"/>
              </w:rPr>
            </w:pPr>
            <w:r>
              <w:rPr>
                <w:rFonts w:hint="eastAsia"/>
                <w:color w:val="auto"/>
              </w:rPr>
              <w:t>14.6</w:t>
            </w:r>
          </w:p>
        </w:tc>
        <w:tc>
          <w:tcPr>
            <w:tcW w:w="1788" w:type="dxa"/>
            <w:vAlign w:val="center"/>
          </w:tcPr>
          <w:p w14:paraId="31087813">
            <w:pPr>
              <w:pStyle w:val="45"/>
              <w:rPr>
                <w:rFonts w:hint="eastAsia"/>
                <w:color w:val="auto"/>
              </w:rPr>
            </w:pPr>
            <w:r>
              <w:rPr>
                <w:rFonts w:hint="eastAsia"/>
                <w:color w:val="auto"/>
              </w:rPr>
              <w:t>8</w:t>
            </w:r>
          </w:p>
        </w:tc>
        <w:tc>
          <w:tcPr>
            <w:tcW w:w="1787" w:type="dxa"/>
            <w:vAlign w:val="center"/>
          </w:tcPr>
          <w:p w14:paraId="2CF33C6E">
            <w:pPr>
              <w:pStyle w:val="45"/>
              <w:rPr>
                <w:rFonts w:hint="eastAsia"/>
                <w:color w:val="auto"/>
              </w:rPr>
            </w:pPr>
            <w:r>
              <w:rPr>
                <w:rFonts w:hint="eastAsia"/>
                <w:color w:val="auto"/>
              </w:rPr>
              <w:t>4</w:t>
            </w:r>
          </w:p>
        </w:tc>
        <w:tc>
          <w:tcPr>
            <w:tcW w:w="1788" w:type="dxa"/>
            <w:vAlign w:val="center"/>
          </w:tcPr>
          <w:p w14:paraId="0A622566">
            <w:pPr>
              <w:pStyle w:val="45"/>
              <w:rPr>
                <w:rFonts w:hint="eastAsia"/>
                <w:color w:val="auto"/>
              </w:rPr>
            </w:pPr>
            <w:r>
              <w:rPr>
                <w:rFonts w:hint="eastAsia"/>
                <w:color w:val="auto"/>
              </w:rPr>
              <w:t>4</w:t>
            </w:r>
          </w:p>
        </w:tc>
      </w:tr>
      <w:tr w14:paraId="517C79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55FC4A95">
            <w:pPr>
              <w:pStyle w:val="45"/>
              <w:rPr>
                <w:rFonts w:hint="eastAsia"/>
                <w:color w:val="auto"/>
              </w:rPr>
            </w:pPr>
            <w:r>
              <w:rPr>
                <w:rFonts w:hint="eastAsia"/>
                <w:color w:val="auto"/>
              </w:rPr>
              <w:t>40</w:t>
            </w:r>
          </w:p>
        </w:tc>
        <w:tc>
          <w:tcPr>
            <w:tcW w:w="1787" w:type="dxa"/>
            <w:vAlign w:val="center"/>
          </w:tcPr>
          <w:p w14:paraId="4AC61669">
            <w:pPr>
              <w:pStyle w:val="45"/>
              <w:rPr>
                <w:rFonts w:hint="eastAsia"/>
                <w:color w:val="auto"/>
              </w:rPr>
            </w:pPr>
            <w:r>
              <w:rPr>
                <w:rFonts w:hint="eastAsia"/>
                <w:color w:val="auto"/>
              </w:rPr>
              <w:t>17.0</w:t>
            </w:r>
          </w:p>
        </w:tc>
        <w:tc>
          <w:tcPr>
            <w:tcW w:w="1788" w:type="dxa"/>
            <w:vAlign w:val="center"/>
          </w:tcPr>
          <w:p w14:paraId="2C56A3A5">
            <w:pPr>
              <w:pStyle w:val="45"/>
              <w:rPr>
                <w:rFonts w:hint="eastAsia"/>
                <w:color w:val="auto"/>
              </w:rPr>
            </w:pPr>
            <w:r>
              <w:rPr>
                <w:rFonts w:hint="eastAsia"/>
                <w:color w:val="auto"/>
              </w:rPr>
              <w:t>12</w:t>
            </w:r>
          </w:p>
        </w:tc>
        <w:tc>
          <w:tcPr>
            <w:tcW w:w="1787" w:type="dxa"/>
            <w:vAlign w:val="center"/>
          </w:tcPr>
          <w:p w14:paraId="12D0C131">
            <w:pPr>
              <w:pStyle w:val="45"/>
              <w:rPr>
                <w:rFonts w:hint="eastAsia"/>
                <w:color w:val="auto"/>
              </w:rPr>
            </w:pPr>
            <w:r>
              <w:rPr>
                <w:rFonts w:hint="eastAsia"/>
                <w:color w:val="auto"/>
              </w:rPr>
              <w:t>6</w:t>
            </w:r>
          </w:p>
        </w:tc>
        <w:tc>
          <w:tcPr>
            <w:tcW w:w="1788" w:type="dxa"/>
            <w:vAlign w:val="center"/>
          </w:tcPr>
          <w:p w14:paraId="6D903CE1">
            <w:pPr>
              <w:pStyle w:val="45"/>
              <w:rPr>
                <w:rFonts w:hint="eastAsia"/>
                <w:color w:val="auto"/>
              </w:rPr>
            </w:pPr>
            <w:r>
              <w:rPr>
                <w:rFonts w:hint="eastAsia"/>
                <w:color w:val="auto"/>
              </w:rPr>
              <w:t>4</w:t>
            </w:r>
          </w:p>
        </w:tc>
      </w:tr>
      <w:tr w14:paraId="3FF428B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2F5D57A1">
            <w:pPr>
              <w:pStyle w:val="45"/>
              <w:rPr>
                <w:rFonts w:hint="eastAsia"/>
                <w:color w:val="auto"/>
              </w:rPr>
            </w:pPr>
            <w:r>
              <w:rPr>
                <w:rFonts w:hint="eastAsia"/>
                <w:color w:val="auto"/>
              </w:rPr>
              <w:t>50</w:t>
            </w:r>
          </w:p>
        </w:tc>
        <w:tc>
          <w:tcPr>
            <w:tcW w:w="1787" w:type="dxa"/>
            <w:vAlign w:val="center"/>
          </w:tcPr>
          <w:p w14:paraId="2AF7849F">
            <w:pPr>
              <w:pStyle w:val="45"/>
              <w:rPr>
                <w:rFonts w:hint="eastAsia"/>
                <w:color w:val="auto"/>
              </w:rPr>
            </w:pPr>
            <w:r>
              <w:rPr>
                <w:rFonts w:hint="eastAsia"/>
                <w:color w:val="auto"/>
              </w:rPr>
              <w:t>20.0</w:t>
            </w:r>
          </w:p>
        </w:tc>
        <w:tc>
          <w:tcPr>
            <w:tcW w:w="1788" w:type="dxa"/>
            <w:vAlign w:val="center"/>
          </w:tcPr>
          <w:p w14:paraId="74A78606">
            <w:pPr>
              <w:pStyle w:val="45"/>
              <w:rPr>
                <w:rFonts w:hint="eastAsia"/>
                <w:color w:val="auto"/>
              </w:rPr>
            </w:pPr>
            <w:r>
              <w:rPr>
                <w:rFonts w:hint="eastAsia"/>
                <w:color w:val="auto"/>
              </w:rPr>
              <w:t>18</w:t>
            </w:r>
          </w:p>
        </w:tc>
        <w:tc>
          <w:tcPr>
            <w:tcW w:w="1787" w:type="dxa"/>
            <w:vAlign w:val="center"/>
          </w:tcPr>
          <w:p w14:paraId="59CD9235">
            <w:pPr>
              <w:pStyle w:val="45"/>
              <w:rPr>
                <w:rFonts w:hint="eastAsia"/>
                <w:color w:val="auto"/>
              </w:rPr>
            </w:pPr>
            <w:r>
              <w:rPr>
                <w:rFonts w:hint="eastAsia"/>
                <w:color w:val="auto"/>
              </w:rPr>
              <w:t>6</w:t>
            </w:r>
          </w:p>
        </w:tc>
        <w:tc>
          <w:tcPr>
            <w:tcW w:w="1788" w:type="dxa"/>
            <w:vAlign w:val="center"/>
          </w:tcPr>
          <w:p w14:paraId="3E6EE92D">
            <w:pPr>
              <w:pStyle w:val="45"/>
              <w:rPr>
                <w:rFonts w:hint="eastAsia"/>
                <w:color w:val="auto"/>
              </w:rPr>
            </w:pPr>
            <w:r>
              <w:rPr>
                <w:rFonts w:hint="eastAsia"/>
                <w:color w:val="auto"/>
              </w:rPr>
              <w:t>5</w:t>
            </w:r>
          </w:p>
        </w:tc>
      </w:tr>
      <w:tr w14:paraId="253317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14CB6F6B">
            <w:pPr>
              <w:pStyle w:val="45"/>
              <w:rPr>
                <w:rFonts w:hint="eastAsia"/>
                <w:color w:val="auto"/>
              </w:rPr>
            </w:pPr>
            <w:r>
              <w:rPr>
                <w:rFonts w:hint="eastAsia"/>
                <w:color w:val="auto"/>
              </w:rPr>
              <w:t>63</w:t>
            </w:r>
          </w:p>
        </w:tc>
        <w:tc>
          <w:tcPr>
            <w:tcW w:w="1787" w:type="dxa"/>
            <w:vAlign w:val="center"/>
          </w:tcPr>
          <w:p w14:paraId="5B7E1B69">
            <w:pPr>
              <w:pStyle w:val="45"/>
              <w:rPr>
                <w:rFonts w:hint="eastAsia"/>
                <w:color w:val="auto"/>
              </w:rPr>
            </w:pPr>
            <w:r>
              <w:rPr>
                <w:rFonts w:hint="eastAsia"/>
                <w:color w:val="auto"/>
              </w:rPr>
              <w:t>23.9</w:t>
            </w:r>
          </w:p>
        </w:tc>
        <w:tc>
          <w:tcPr>
            <w:tcW w:w="1788" w:type="dxa"/>
            <w:vAlign w:val="center"/>
          </w:tcPr>
          <w:p w14:paraId="0FEE6630">
            <w:pPr>
              <w:pStyle w:val="45"/>
              <w:rPr>
                <w:rFonts w:hint="eastAsia"/>
                <w:color w:val="auto"/>
              </w:rPr>
            </w:pPr>
            <w:r>
              <w:rPr>
                <w:rFonts w:hint="eastAsia"/>
                <w:color w:val="auto"/>
              </w:rPr>
              <w:t>24</w:t>
            </w:r>
          </w:p>
        </w:tc>
        <w:tc>
          <w:tcPr>
            <w:tcW w:w="1787" w:type="dxa"/>
            <w:vAlign w:val="center"/>
          </w:tcPr>
          <w:p w14:paraId="47D2E726">
            <w:pPr>
              <w:pStyle w:val="45"/>
              <w:rPr>
                <w:rFonts w:hint="eastAsia"/>
                <w:color w:val="auto"/>
              </w:rPr>
            </w:pPr>
            <w:r>
              <w:rPr>
                <w:rFonts w:hint="eastAsia"/>
                <w:color w:val="auto"/>
              </w:rPr>
              <w:t>6</w:t>
            </w:r>
          </w:p>
        </w:tc>
        <w:tc>
          <w:tcPr>
            <w:tcW w:w="1788" w:type="dxa"/>
            <w:vAlign w:val="center"/>
          </w:tcPr>
          <w:p w14:paraId="00FA80FD">
            <w:pPr>
              <w:pStyle w:val="45"/>
              <w:rPr>
                <w:rFonts w:hint="eastAsia"/>
                <w:color w:val="auto"/>
              </w:rPr>
            </w:pPr>
            <w:r>
              <w:rPr>
                <w:rFonts w:hint="eastAsia"/>
                <w:color w:val="auto"/>
              </w:rPr>
              <w:t>6</w:t>
            </w:r>
          </w:p>
        </w:tc>
      </w:tr>
      <w:tr w14:paraId="1FA0636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34239A57">
            <w:pPr>
              <w:pStyle w:val="45"/>
              <w:rPr>
                <w:rFonts w:hint="eastAsia"/>
                <w:color w:val="auto"/>
              </w:rPr>
            </w:pPr>
            <w:r>
              <w:rPr>
                <w:rFonts w:hint="eastAsia"/>
                <w:color w:val="auto"/>
              </w:rPr>
              <w:t>75</w:t>
            </w:r>
          </w:p>
        </w:tc>
        <w:tc>
          <w:tcPr>
            <w:tcW w:w="1787" w:type="dxa"/>
            <w:vAlign w:val="center"/>
          </w:tcPr>
          <w:p w14:paraId="54E4BC4E">
            <w:pPr>
              <w:pStyle w:val="45"/>
              <w:rPr>
                <w:rFonts w:hint="eastAsia"/>
                <w:color w:val="auto"/>
              </w:rPr>
            </w:pPr>
            <w:r>
              <w:rPr>
                <w:rFonts w:hint="eastAsia"/>
                <w:color w:val="auto"/>
              </w:rPr>
              <w:t>27.5</w:t>
            </w:r>
          </w:p>
        </w:tc>
        <w:tc>
          <w:tcPr>
            <w:tcW w:w="1788" w:type="dxa"/>
            <w:vAlign w:val="center"/>
          </w:tcPr>
          <w:p w14:paraId="6618E379">
            <w:pPr>
              <w:pStyle w:val="45"/>
              <w:rPr>
                <w:rFonts w:hint="eastAsia"/>
                <w:color w:val="auto"/>
              </w:rPr>
            </w:pPr>
            <w:r>
              <w:rPr>
                <w:rFonts w:hint="eastAsia"/>
                <w:color w:val="auto"/>
              </w:rPr>
              <w:t>30</w:t>
            </w:r>
          </w:p>
        </w:tc>
        <w:tc>
          <w:tcPr>
            <w:tcW w:w="1787" w:type="dxa"/>
            <w:vAlign w:val="center"/>
          </w:tcPr>
          <w:p w14:paraId="63DB871A">
            <w:pPr>
              <w:pStyle w:val="45"/>
              <w:rPr>
                <w:rFonts w:hint="eastAsia"/>
                <w:color w:val="auto"/>
              </w:rPr>
            </w:pPr>
            <w:r>
              <w:rPr>
                <w:rFonts w:hint="eastAsia"/>
                <w:color w:val="auto"/>
              </w:rPr>
              <w:t>10</w:t>
            </w:r>
          </w:p>
        </w:tc>
        <w:tc>
          <w:tcPr>
            <w:tcW w:w="1788" w:type="dxa"/>
            <w:vAlign w:val="center"/>
          </w:tcPr>
          <w:p w14:paraId="77DACABB">
            <w:pPr>
              <w:pStyle w:val="45"/>
              <w:rPr>
                <w:rFonts w:hint="eastAsia"/>
                <w:color w:val="auto"/>
              </w:rPr>
            </w:pPr>
            <w:r>
              <w:rPr>
                <w:rFonts w:hint="eastAsia"/>
                <w:color w:val="auto"/>
              </w:rPr>
              <w:t>8</w:t>
            </w:r>
          </w:p>
        </w:tc>
      </w:tr>
      <w:tr w14:paraId="4B2D59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6712C088">
            <w:pPr>
              <w:pStyle w:val="45"/>
              <w:rPr>
                <w:rFonts w:hint="eastAsia"/>
                <w:color w:val="auto"/>
              </w:rPr>
            </w:pPr>
            <w:r>
              <w:rPr>
                <w:rFonts w:hint="eastAsia"/>
                <w:color w:val="auto"/>
              </w:rPr>
              <w:t>90</w:t>
            </w:r>
          </w:p>
        </w:tc>
        <w:tc>
          <w:tcPr>
            <w:tcW w:w="1787" w:type="dxa"/>
            <w:vAlign w:val="center"/>
          </w:tcPr>
          <w:p w14:paraId="5571183E">
            <w:pPr>
              <w:pStyle w:val="45"/>
              <w:rPr>
                <w:rFonts w:hint="eastAsia"/>
                <w:color w:val="auto"/>
              </w:rPr>
            </w:pPr>
            <w:r>
              <w:rPr>
                <w:rFonts w:hint="eastAsia"/>
                <w:color w:val="auto"/>
              </w:rPr>
              <w:t>32.0</w:t>
            </w:r>
          </w:p>
        </w:tc>
        <w:tc>
          <w:tcPr>
            <w:tcW w:w="1788" w:type="dxa"/>
            <w:vAlign w:val="center"/>
          </w:tcPr>
          <w:p w14:paraId="6EBBDF82">
            <w:pPr>
              <w:pStyle w:val="45"/>
              <w:rPr>
                <w:rFonts w:hint="eastAsia"/>
                <w:color w:val="auto"/>
              </w:rPr>
            </w:pPr>
            <w:r>
              <w:rPr>
                <w:rFonts w:hint="eastAsia"/>
                <w:color w:val="auto"/>
              </w:rPr>
              <w:t>40</w:t>
            </w:r>
          </w:p>
        </w:tc>
        <w:tc>
          <w:tcPr>
            <w:tcW w:w="1787" w:type="dxa"/>
            <w:vAlign w:val="center"/>
          </w:tcPr>
          <w:p w14:paraId="387A6807">
            <w:pPr>
              <w:pStyle w:val="45"/>
              <w:rPr>
                <w:rFonts w:hint="eastAsia"/>
                <w:color w:val="auto"/>
              </w:rPr>
            </w:pPr>
            <w:r>
              <w:rPr>
                <w:rFonts w:hint="eastAsia"/>
                <w:color w:val="auto"/>
              </w:rPr>
              <w:t>10</w:t>
            </w:r>
          </w:p>
        </w:tc>
        <w:tc>
          <w:tcPr>
            <w:tcW w:w="1788" w:type="dxa"/>
            <w:vAlign w:val="center"/>
          </w:tcPr>
          <w:p w14:paraId="4AF59A4D">
            <w:pPr>
              <w:pStyle w:val="45"/>
              <w:rPr>
                <w:rFonts w:hint="eastAsia"/>
                <w:color w:val="auto"/>
              </w:rPr>
            </w:pPr>
            <w:r>
              <w:rPr>
                <w:rFonts w:hint="eastAsia"/>
                <w:color w:val="auto"/>
              </w:rPr>
              <w:t>8</w:t>
            </w:r>
          </w:p>
        </w:tc>
      </w:tr>
      <w:tr w14:paraId="1F7EB20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1787" w:type="dxa"/>
            <w:vAlign w:val="center"/>
          </w:tcPr>
          <w:p w14:paraId="25DFF720">
            <w:pPr>
              <w:pStyle w:val="45"/>
              <w:rPr>
                <w:rFonts w:hint="eastAsia"/>
                <w:color w:val="auto"/>
              </w:rPr>
            </w:pPr>
            <w:r>
              <w:rPr>
                <w:rFonts w:hint="eastAsia"/>
                <w:color w:val="auto"/>
              </w:rPr>
              <w:t>110</w:t>
            </w:r>
          </w:p>
        </w:tc>
        <w:tc>
          <w:tcPr>
            <w:tcW w:w="1787" w:type="dxa"/>
            <w:vAlign w:val="center"/>
          </w:tcPr>
          <w:p w14:paraId="1C183D2D">
            <w:pPr>
              <w:pStyle w:val="45"/>
              <w:rPr>
                <w:rFonts w:hint="eastAsia"/>
                <w:color w:val="auto"/>
              </w:rPr>
            </w:pPr>
            <w:r>
              <w:rPr>
                <w:rFonts w:hint="eastAsia"/>
                <w:color w:val="auto"/>
              </w:rPr>
              <w:t>38.0</w:t>
            </w:r>
          </w:p>
        </w:tc>
        <w:tc>
          <w:tcPr>
            <w:tcW w:w="1788" w:type="dxa"/>
            <w:vAlign w:val="center"/>
          </w:tcPr>
          <w:p w14:paraId="68EFA3D0">
            <w:pPr>
              <w:pStyle w:val="45"/>
              <w:rPr>
                <w:rFonts w:hint="eastAsia"/>
                <w:color w:val="auto"/>
              </w:rPr>
            </w:pPr>
            <w:r>
              <w:rPr>
                <w:rFonts w:hint="eastAsia"/>
                <w:color w:val="auto"/>
              </w:rPr>
              <w:t>50</w:t>
            </w:r>
          </w:p>
        </w:tc>
        <w:tc>
          <w:tcPr>
            <w:tcW w:w="1787" w:type="dxa"/>
            <w:vAlign w:val="center"/>
          </w:tcPr>
          <w:p w14:paraId="4C6C52CE">
            <w:pPr>
              <w:pStyle w:val="45"/>
              <w:rPr>
                <w:rFonts w:hint="eastAsia"/>
                <w:color w:val="auto"/>
              </w:rPr>
            </w:pPr>
            <w:r>
              <w:rPr>
                <w:rFonts w:hint="eastAsia"/>
                <w:color w:val="auto"/>
              </w:rPr>
              <w:t>15</w:t>
            </w:r>
          </w:p>
        </w:tc>
        <w:tc>
          <w:tcPr>
            <w:tcW w:w="1788" w:type="dxa"/>
            <w:vAlign w:val="center"/>
          </w:tcPr>
          <w:p w14:paraId="72B1866B">
            <w:pPr>
              <w:pStyle w:val="45"/>
              <w:rPr>
                <w:rFonts w:hint="eastAsia"/>
                <w:color w:val="auto"/>
              </w:rPr>
            </w:pPr>
            <w:r>
              <w:rPr>
                <w:rFonts w:hint="eastAsia"/>
                <w:color w:val="auto"/>
              </w:rPr>
              <w:t>10</w:t>
            </w:r>
          </w:p>
        </w:tc>
      </w:tr>
    </w:tbl>
    <w:p w14:paraId="5A818E3D">
      <w:pPr>
        <w:rPr>
          <w:color w:val="auto"/>
        </w:rPr>
      </w:pPr>
      <w:r>
        <w:rPr>
          <w:rFonts w:hint="eastAsia"/>
          <w:color w:val="auto"/>
        </w:rPr>
        <w:t>4、P</w:t>
      </w:r>
      <w:r>
        <w:rPr>
          <w:color w:val="auto"/>
        </w:rPr>
        <w:t>VC-U</w:t>
      </w:r>
      <w:r>
        <w:rPr>
          <w:rFonts w:hint="eastAsia"/>
          <w:color w:val="auto"/>
        </w:rPr>
        <w:t>建筑排水管胶水粘接施工工艺</w:t>
      </w:r>
    </w:p>
    <w:p w14:paraId="373A9B1E">
      <w:pPr>
        <w:ind w:firstLineChars="0"/>
        <w:rPr>
          <w:color w:val="auto"/>
        </w:rPr>
      </w:pPr>
      <w:r>
        <w:rPr>
          <w:rFonts w:hint="eastAsia"/>
          <w:color w:val="auto"/>
        </w:rPr>
        <w:t>1）在涂刷胶粘剂之前，应先用砂纸将粘接表面打毛，并用清洁干布擦净，粘接表面不得粘有尘埃、水迹及油污，当表面粘有油污时，应蘸无水酒精或丙酮等清洁剂擦净。</w:t>
      </w:r>
    </w:p>
    <w:p w14:paraId="5E5DA962">
      <w:pPr>
        <w:ind w:firstLineChars="0"/>
        <w:rPr>
          <w:color w:val="auto"/>
        </w:rPr>
      </w:pPr>
      <w:r>
        <w:rPr>
          <w:rFonts w:hint="eastAsia"/>
          <w:color w:val="auto"/>
        </w:rPr>
        <w:t>2）根据测量的承口深度，在管道端部画出插入深度标记。</w:t>
      </w:r>
    </w:p>
    <w:p w14:paraId="4A380C7D">
      <w:pPr>
        <w:ind w:firstLineChars="0"/>
        <w:rPr>
          <w:color w:val="auto"/>
        </w:rPr>
      </w:pPr>
      <w:r>
        <w:rPr>
          <w:rFonts w:hint="eastAsia"/>
          <w:color w:val="auto"/>
        </w:rPr>
        <w:t>3）胶粘剂涂刷：涂胶宜采用鬃刷，当采用其他材料时应防止与胶粘剂发生化学作用，刷子宽度一般为管径的1/3～1/2。涂抹胶粘剂时应先涂承口，后涂插口，插口涂刷应为管端至插入深度标记范围内。胶粘剂涂刷应迅速，由里向外均匀涂抹，胶量适当，不得漏涂，不得将管材或管件浸入胶粘剂内。</w:t>
      </w:r>
    </w:p>
    <w:p w14:paraId="6343E2DC">
      <w:pPr>
        <w:ind w:firstLineChars="0"/>
        <w:rPr>
          <w:color w:val="auto"/>
        </w:rPr>
      </w:pPr>
      <w:r>
        <w:rPr>
          <w:rFonts w:hint="eastAsia"/>
          <w:color w:val="auto"/>
        </w:rPr>
        <w:t>4）将涂抹好的管材对准管件承口，一次迅速插入到标记位置，再旋转90°，管材、管件的粘结过程宜在20～30s内完成，若操作过程中胶粘剂干固，应清除后重新涂刷。</w:t>
      </w:r>
    </w:p>
    <w:p w14:paraId="3E630EC1">
      <w:pPr>
        <w:ind w:firstLineChars="0"/>
        <w:rPr>
          <w:color w:val="auto"/>
        </w:rPr>
      </w:pPr>
      <w:r>
        <w:rPr>
          <w:rFonts w:hint="eastAsia"/>
          <w:color w:val="auto"/>
        </w:rPr>
        <w:t>5）粘结工序结束，应及时将残留在承口端部的多余胶粘剂擦干净，并根据胶粘剂的性能和气候条件静置至接口固化为止，冬季施工时固化时间应适当延长。静置时间参见下表。</w:t>
      </w:r>
    </w:p>
    <w:p w14:paraId="7939CD1D">
      <w:pPr>
        <w:pStyle w:val="54"/>
        <w:rPr>
          <w:color w:val="auto"/>
        </w:rPr>
      </w:pPr>
      <w:r>
        <w:rPr>
          <w:rFonts w:hint="eastAsia"/>
          <w:color w:val="auto"/>
        </w:rPr>
        <w:t>管道粘接后的静置时间表</w:t>
      </w:r>
    </w:p>
    <w:tbl>
      <w:tblPr>
        <w:tblStyle w:val="2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8"/>
        <w:gridCol w:w="1810"/>
        <w:gridCol w:w="1806"/>
        <w:gridCol w:w="1810"/>
        <w:gridCol w:w="1816"/>
      </w:tblGrid>
      <w:tr w14:paraId="08E7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7" w:type="dxa"/>
            <w:vAlign w:val="center"/>
          </w:tcPr>
          <w:p w14:paraId="397ECAEB">
            <w:pPr>
              <w:pStyle w:val="45"/>
              <w:rPr>
                <w:rFonts w:hint="eastAsia"/>
                <w:color w:val="auto"/>
              </w:rPr>
            </w:pPr>
            <w:r>
              <w:rPr>
                <w:rFonts w:hint="eastAsia"/>
                <w:color w:val="auto"/>
              </w:rPr>
              <w:t>室外温度（℃）</w:t>
            </w:r>
          </w:p>
        </w:tc>
        <w:tc>
          <w:tcPr>
            <w:tcW w:w="1857" w:type="dxa"/>
            <w:vAlign w:val="center"/>
          </w:tcPr>
          <w:p w14:paraId="503B7D1A">
            <w:pPr>
              <w:pStyle w:val="45"/>
              <w:rPr>
                <w:rFonts w:hint="eastAsia"/>
                <w:color w:val="auto"/>
              </w:rPr>
            </w:pPr>
            <w:r>
              <w:rPr>
                <w:rFonts w:hint="eastAsia"/>
                <w:color w:val="auto"/>
              </w:rPr>
              <w:t>15～40</w:t>
            </w:r>
          </w:p>
        </w:tc>
        <w:tc>
          <w:tcPr>
            <w:tcW w:w="1857" w:type="dxa"/>
            <w:vAlign w:val="center"/>
          </w:tcPr>
          <w:p w14:paraId="153B1F39">
            <w:pPr>
              <w:pStyle w:val="45"/>
              <w:rPr>
                <w:rFonts w:hint="eastAsia"/>
                <w:color w:val="auto"/>
              </w:rPr>
            </w:pPr>
            <w:r>
              <w:rPr>
                <w:rFonts w:hint="eastAsia"/>
                <w:color w:val="auto"/>
              </w:rPr>
              <w:t>5～15</w:t>
            </w:r>
          </w:p>
        </w:tc>
        <w:tc>
          <w:tcPr>
            <w:tcW w:w="1857" w:type="dxa"/>
            <w:vAlign w:val="center"/>
          </w:tcPr>
          <w:p w14:paraId="182979D8">
            <w:pPr>
              <w:pStyle w:val="45"/>
              <w:rPr>
                <w:rFonts w:hint="eastAsia"/>
                <w:color w:val="auto"/>
              </w:rPr>
            </w:pPr>
            <w:r>
              <w:rPr>
                <w:rFonts w:hint="eastAsia"/>
                <w:color w:val="auto"/>
              </w:rPr>
              <w:t>-5～5</w:t>
            </w:r>
          </w:p>
        </w:tc>
        <w:tc>
          <w:tcPr>
            <w:tcW w:w="1858" w:type="dxa"/>
            <w:vAlign w:val="center"/>
          </w:tcPr>
          <w:p w14:paraId="0A34066C">
            <w:pPr>
              <w:pStyle w:val="45"/>
              <w:rPr>
                <w:rFonts w:hint="eastAsia"/>
                <w:color w:val="auto"/>
              </w:rPr>
            </w:pPr>
            <w:r>
              <w:rPr>
                <w:rFonts w:hint="eastAsia"/>
                <w:color w:val="auto"/>
              </w:rPr>
              <w:t>-20～-5</w:t>
            </w:r>
          </w:p>
        </w:tc>
      </w:tr>
      <w:tr w14:paraId="6BEBB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57" w:type="dxa"/>
            <w:vAlign w:val="center"/>
          </w:tcPr>
          <w:p w14:paraId="266FC5A6">
            <w:pPr>
              <w:pStyle w:val="45"/>
              <w:rPr>
                <w:rFonts w:hint="eastAsia"/>
                <w:color w:val="auto"/>
              </w:rPr>
            </w:pPr>
            <w:r>
              <w:rPr>
                <w:rFonts w:hint="eastAsia"/>
                <w:color w:val="auto"/>
              </w:rPr>
              <w:t>静置时间（h）</w:t>
            </w:r>
          </w:p>
        </w:tc>
        <w:tc>
          <w:tcPr>
            <w:tcW w:w="1857" w:type="dxa"/>
            <w:vAlign w:val="center"/>
          </w:tcPr>
          <w:p w14:paraId="28FE3CE9">
            <w:pPr>
              <w:pStyle w:val="45"/>
              <w:rPr>
                <w:rFonts w:hint="eastAsia"/>
                <w:color w:val="auto"/>
              </w:rPr>
            </w:pPr>
            <w:r>
              <w:rPr>
                <w:rFonts w:hint="eastAsia"/>
                <w:color w:val="auto"/>
              </w:rPr>
              <w:t>≥0.5</w:t>
            </w:r>
          </w:p>
        </w:tc>
        <w:tc>
          <w:tcPr>
            <w:tcW w:w="1857" w:type="dxa"/>
            <w:vAlign w:val="center"/>
          </w:tcPr>
          <w:p w14:paraId="3C7374B0">
            <w:pPr>
              <w:pStyle w:val="45"/>
              <w:rPr>
                <w:rFonts w:hint="eastAsia"/>
                <w:color w:val="auto"/>
              </w:rPr>
            </w:pPr>
            <w:r>
              <w:rPr>
                <w:rFonts w:hint="eastAsia"/>
                <w:color w:val="auto"/>
              </w:rPr>
              <w:t>≥1</w:t>
            </w:r>
          </w:p>
        </w:tc>
        <w:tc>
          <w:tcPr>
            <w:tcW w:w="1857" w:type="dxa"/>
            <w:vAlign w:val="center"/>
          </w:tcPr>
          <w:p w14:paraId="345046B3">
            <w:pPr>
              <w:pStyle w:val="45"/>
              <w:rPr>
                <w:rFonts w:hint="eastAsia"/>
                <w:color w:val="auto"/>
              </w:rPr>
            </w:pPr>
            <w:r>
              <w:rPr>
                <w:rFonts w:hint="eastAsia"/>
                <w:color w:val="auto"/>
              </w:rPr>
              <w:t>≥2</w:t>
            </w:r>
          </w:p>
        </w:tc>
        <w:tc>
          <w:tcPr>
            <w:tcW w:w="1858" w:type="dxa"/>
            <w:vAlign w:val="center"/>
          </w:tcPr>
          <w:p w14:paraId="06B514CD">
            <w:pPr>
              <w:pStyle w:val="45"/>
              <w:rPr>
                <w:rFonts w:hint="eastAsia"/>
                <w:color w:val="auto"/>
              </w:rPr>
            </w:pPr>
            <w:r>
              <w:rPr>
                <w:rFonts w:hint="eastAsia"/>
                <w:color w:val="auto"/>
              </w:rPr>
              <w:t>≥4</w:t>
            </w:r>
          </w:p>
        </w:tc>
      </w:tr>
    </w:tbl>
    <w:p w14:paraId="4C370A09">
      <w:pPr>
        <w:rPr>
          <w:color w:val="auto"/>
        </w:rPr>
      </w:pPr>
      <w:r>
        <w:rPr>
          <w:rFonts w:hint="eastAsia"/>
          <w:color w:val="auto"/>
        </w:rPr>
        <w:t>5、阀部件安装施工工艺</w:t>
      </w:r>
    </w:p>
    <w:p w14:paraId="7688D182">
      <w:pPr>
        <w:ind w:firstLineChars="0"/>
        <w:rPr>
          <w:color w:val="auto"/>
        </w:rPr>
      </w:pPr>
      <w:r>
        <w:rPr>
          <w:rFonts w:hint="eastAsia"/>
          <w:color w:val="auto"/>
        </w:rPr>
        <w:t>1）阀门安装前，应仔细核对型号与规格是否符合设计要求。检查阀杆和阀盘是否灵活，有无卡住和歪斜现象。并按有关规定对阀门进行强度试验和严密性试验，不合格者不得进行安装。</w:t>
      </w:r>
    </w:p>
    <w:p w14:paraId="79DA6B0C">
      <w:pPr>
        <w:ind w:firstLineChars="0"/>
        <w:rPr>
          <w:color w:val="auto"/>
        </w:rPr>
      </w:pPr>
      <w:r>
        <w:rPr>
          <w:rFonts w:hint="eastAsia"/>
          <w:color w:val="auto"/>
        </w:rPr>
        <w:t>2）阀门安装应进出口方向正确、连接牢固、紧密、启闭灵活、有效，安装朝向合理，便于操作维修，表面洁净。截止阀和止回阀安装时，必须注意阀体所标介质流动方向，止回阀还须注意安装适用位置。</w:t>
      </w:r>
    </w:p>
    <w:p w14:paraId="4B49B142">
      <w:pPr>
        <w:ind w:firstLineChars="0"/>
        <w:rPr>
          <w:color w:val="auto"/>
        </w:rPr>
      </w:pPr>
      <w:r>
        <w:rPr>
          <w:rFonts w:hint="eastAsia"/>
          <w:color w:val="auto"/>
        </w:rPr>
        <w:t>3）水平管道上的阀门，阀杆宜垂直向上或向左右偏</w:t>
      </w:r>
      <w:r>
        <w:rPr>
          <w:color w:val="auto"/>
        </w:rPr>
        <w:t>45</w:t>
      </w:r>
      <w:r>
        <w:rPr>
          <w:rFonts w:hint="eastAsia"/>
          <w:color w:val="auto"/>
        </w:rPr>
        <w:t>°，也可水平安装，但不宜向下；垂直管道上的阀门阀杆，必须顺着操作巡回线方向安装。</w:t>
      </w:r>
    </w:p>
    <w:p w14:paraId="6521FB3B">
      <w:pPr>
        <w:ind w:firstLineChars="0"/>
        <w:rPr>
          <w:color w:val="auto"/>
        </w:rPr>
      </w:pPr>
      <w:r>
        <w:rPr>
          <w:rFonts w:hint="eastAsia"/>
          <w:color w:val="auto"/>
        </w:rPr>
        <w:t>4）阀门安装时应保持关闭状态，并注意阀门的特性及介质流动方向。</w:t>
      </w:r>
    </w:p>
    <w:p w14:paraId="63AFE07F">
      <w:pPr>
        <w:ind w:firstLineChars="0"/>
        <w:rPr>
          <w:color w:val="auto"/>
        </w:rPr>
      </w:pPr>
      <w:r>
        <w:rPr>
          <w:rFonts w:hint="eastAsia"/>
          <w:color w:val="auto"/>
        </w:rPr>
        <w:t>5）对带操作机构和传动装置的阀门，应在阀门安装好后，再安装操作机构和传动装置。且在安装前先对它们进行清洗，安装完后还应进行调试，使其动作灵活、指示准确。</w:t>
      </w:r>
    </w:p>
    <w:p w14:paraId="6D444EB6">
      <w:pPr>
        <w:pStyle w:val="5"/>
        <w:rPr>
          <w:color w:val="auto"/>
        </w:rPr>
      </w:pPr>
      <w:bookmarkStart w:id="202" w:name="_Toc8616"/>
      <w:r>
        <w:rPr>
          <w:rFonts w:hint="eastAsia"/>
          <w:color w:val="auto"/>
        </w:rPr>
        <w:t>通风空调工程</w:t>
      </w:r>
      <w:bookmarkEnd w:id="202"/>
    </w:p>
    <w:p w14:paraId="708C8F81">
      <w:pPr>
        <w:pStyle w:val="6"/>
        <w:ind w:firstLine="480"/>
        <w:rPr>
          <w:color w:val="auto"/>
        </w:rPr>
      </w:pPr>
      <w:r>
        <w:rPr>
          <w:rFonts w:hint="eastAsia"/>
          <w:color w:val="auto"/>
        </w:rPr>
        <w:t>通风空调工程概况</w:t>
      </w:r>
    </w:p>
    <w:p w14:paraId="5B6A3D93">
      <w:pPr>
        <w:rPr>
          <w:color w:val="auto"/>
        </w:rPr>
      </w:pPr>
      <w:r>
        <w:rPr>
          <w:rFonts w:hint="eastAsia"/>
          <w:color w:val="auto"/>
        </w:rPr>
        <w:t>1、公共大堂、报告厅、展厅、食堂</w:t>
      </w:r>
      <w:r>
        <w:rPr>
          <w:color w:val="auto"/>
        </w:rPr>
        <w:t>等</w:t>
      </w:r>
      <w:r>
        <w:rPr>
          <w:rFonts w:hint="eastAsia"/>
          <w:color w:val="auto"/>
        </w:rPr>
        <w:t>大空间</w:t>
      </w:r>
      <w:r>
        <w:rPr>
          <w:color w:val="auto"/>
        </w:rPr>
        <w:t>采用全空气低速空调系统</w:t>
      </w:r>
      <w:r>
        <w:rPr>
          <w:rFonts w:hint="eastAsia"/>
          <w:color w:val="auto"/>
        </w:rPr>
        <w:t>，新风量根据二氧化碳浓度进行变新风调节，全空气系统过渡季节加大新风量运行，最大新风比不低于50%</w:t>
      </w:r>
      <w:r>
        <w:rPr>
          <w:color w:val="auto"/>
        </w:rPr>
        <w:t>。空调箱装设</w:t>
      </w:r>
      <w:r>
        <w:rPr>
          <w:rFonts w:hint="eastAsia"/>
          <w:color w:val="auto"/>
        </w:rPr>
        <w:t>混合段</w:t>
      </w:r>
      <w:r>
        <w:rPr>
          <w:color w:val="auto"/>
        </w:rPr>
        <w:t>、粗/中效空气过滤器、冷水盘管、光触媒净化杀菌</w:t>
      </w:r>
      <w:r>
        <w:rPr>
          <w:rFonts w:hint="eastAsia"/>
          <w:color w:val="auto"/>
        </w:rPr>
        <w:t>段、</w:t>
      </w:r>
      <w:r>
        <w:rPr>
          <w:color w:val="auto"/>
        </w:rPr>
        <w:t>送风机</w:t>
      </w:r>
      <w:r>
        <w:rPr>
          <w:rFonts w:hint="eastAsia"/>
          <w:color w:val="auto"/>
        </w:rPr>
        <w:t>段</w:t>
      </w:r>
      <w:r>
        <w:rPr>
          <w:color w:val="auto"/>
        </w:rPr>
        <w:t>等。</w:t>
      </w:r>
      <w:r>
        <w:rPr>
          <w:rFonts w:hint="eastAsia"/>
          <w:color w:val="auto"/>
        </w:rPr>
        <w:t>同时送</w:t>
      </w:r>
      <w:r>
        <w:rPr>
          <w:color w:val="auto"/>
        </w:rPr>
        <w:t>风机设变频</w:t>
      </w:r>
      <w:r>
        <w:rPr>
          <w:rFonts w:hint="eastAsia"/>
          <w:color w:val="auto"/>
        </w:rPr>
        <w:t>装置</w:t>
      </w:r>
      <w:r>
        <w:rPr>
          <w:color w:val="auto"/>
        </w:rPr>
        <w:t>对系统进行</w:t>
      </w:r>
      <w:r>
        <w:rPr>
          <w:rFonts w:hint="eastAsia"/>
          <w:color w:val="auto"/>
        </w:rPr>
        <w:t>粗</w:t>
      </w:r>
      <w:r>
        <w:rPr>
          <w:color w:val="auto"/>
        </w:rPr>
        <w:t>调节及负荷调节。</w:t>
      </w:r>
      <w:r>
        <w:rPr>
          <w:rFonts w:hint="eastAsia"/>
          <w:color w:val="auto"/>
        </w:rPr>
        <w:t>过滤</w:t>
      </w:r>
      <w:r>
        <w:rPr>
          <w:color w:val="auto"/>
        </w:rPr>
        <w:t>等级</w:t>
      </w:r>
      <w:r>
        <w:rPr>
          <w:rFonts w:hint="eastAsia"/>
          <w:color w:val="auto"/>
        </w:rPr>
        <w:t>为</w:t>
      </w:r>
      <w:r>
        <w:rPr>
          <w:color w:val="auto"/>
        </w:rPr>
        <w:t>G4+F7。</w:t>
      </w:r>
    </w:p>
    <w:p w14:paraId="15C91808">
      <w:pPr>
        <w:rPr>
          <w:color w:val="auto"/>
        </w:rPr>
      </w:pPr>
      <w:r>
        <w:rPr>
          <w:rFonts w:hint="eastAsia"/>
          <w:color w:val="auto"/>
        </w:rPr>
        <w:t>2、办公</w:t>
      </w:r>
      <w:r>
        <w:rPr>
          <w:color w:val="auto"/>
        </w:rPr>
        <w:t>、</w:t>
      </w:r>
      <w:r>
        <w:rPr>
          <w:rFonts w:hint="eastAsia"/>
          <w:color w:val="auto"/>
        </w:rPr>
        <w:t>会议、教室等</w:t>
      </w:r>
      <w:r>
        <w:rPr>
          <w:color w:val="auto"/>
        </w:rPr>
        <w:t>房</w:t>
      </w:r>
      <w:r>
        <w:rPr>
          <w:rFonts w:hint="eastAsia"/>
          <w:color w:val="auto"/>
        </w:rPr>
        <w:t>间</w:t>
      </w:r>
      <w:r>
        <w:rPr>
          <w:color w:val="auto"/>
        </w:rPr>
        <w:t>采用风机盘管</w:t>
      </w:r>
      <w:r>
        <w:rPr>
          <w:rFonts w:hint="eastAsia"/>
          <w:color w:val="auto"/>
        </w:rPr>
        <w:t>加新风</w:t>
      </w:r>
      <w:r>
        <w:rPr>
          <w:color w:val="auto"/>
        </w:rPr>
        <w:t>系统。新风机组包括送风机、</w:t>
      </w:r>
      <w:r>
        <w:rPr>
          <w:rFonts w:hint="eastAsia"/>
          <w:color w:val="auto"/>
        </w:rPr>
        <w:t>排风机、</w:t>
      </w:r>
      <w:r>
        <w:rPr>
          <w:color w:val="auto"/>
        </w:rPr>
        <w:t>粗/中效空气过滤器、</w:t>
      </w:r>
      <w:r>
        <w:rPr>
          <w:rFonts w:hint="eastAsia"/>
          <w:color w:val="auto"/>
        </w:rPr>
        <w:t>热管热回收装置、</w:t>
      </w:r>
      <w:r>
        <w:rPr>
          <w:color w:val="auto"/>
        </w:rPr>
        <w:t>冷水盘管</w:t>
      </w:r>
      <w:r>
        <w:rPr>
          <w:rFonts w:hint="eastAsia"/>
          <w:color w:val="auto"/>
        </w:rPr>
        <w:t>、</w:t>
      </w:r>
      <w:r>
        <w:rPr>
          <w:color w:val="auto"/>
        </w:rPr>
        <w:t>光触媒净化杀菌装置等。</w:t>
      </w:r>
      <w:r>
        <w:rPr>
          <w:rFonts w:hint="eastAsia"/>
          <w:color w:val="auto"/>
        </w:rPr>
        <w:t>教室新风量根据教室使用情况进行变新风调节。空调系统可分室控制，外区办公、会议、教室等在过渡季节可利用可开启外窗实现自然通风。</w:t>
      </w:r>
    </w:p>
    <w:p w14:paraId="5EABA666">
      <w:pPr>
        <w:rPr>
          <w:color w:val="auto"/>
        </w:rPr>
      </w:pPr>
      <w:r>
        <w:rPr>
          <w:rFonts w:hint="eastAsia"/>
          <w:color w:val="auto"/>
        </w:rPr>
        <w:t>3、无特殊工艺要求的实验室区域采用风机盘管加独立变频新风系统。实验室通风柜或生物安全通风柜系统运行时所需的实验室补风，拟采用各独立新风系统对实验室所需补风的冷、热处理。通风柜排风与新风空调箱联动控制，保证实验室区域处于负压。有特殊工艺需求的房间空调由专业设计团队进行深化</w:t>
      </w:r>
      <w:r>
        <w:rPr>
          <w:color w:val="auto"/>
        </w:rPr>
        <w:t>。</w:t>
      </w:r>
    </w:p>
    <w:p w14:paraId="7A1B796F">
      <w:pPr>
        <w:rPr>
          <w:color w:val="auto"/>
        </w:rPr>
      </w:pPr>
      <w:r>
        <w:rPr>
          <w:rFonts w:hint="eastAsia"/>
          <w:color w:val="auto"/>
        </w:rPr>
        <w:t>4、散发有毒、</w:t>
      </w:r>
      <w:r>
        <w:rPr>
          <w:color w:val="auto"/>
        </w:rPr>
        <w:t>有害、有异味区域</w:t>
      </w:r>
      <w:r>
        <w:rPr>
          <w:rFonts w:hint="eastAsia"/>
          <w:color w:val="auto"/>
        </w:rPr>
        <w:t>，以及有洁净要求的区域的空调系统均</w:t>
      </w:r>
      <w:r>
        <w:rPr>
          <w:color w:val="auto"/>
        </w:rPr>
        <w:t>独立设置</w:t>
      </w:r>
      <w:r>
        <w:rPr>
          <w:rFonts w:hint="eastAsia"/>
          <w:color w:val="auto"/>
        </w:rPr>
        <w:t>。预留实验室、有毒、有害气体排放土建井道，并由专业设计团队进行深化设计</w:t>
      </w:r>
      <w:r>
        <w:rPr>
          <w:color w:val="auto"/>
        </w:rPr>
        <w:t>。</w:t>
      </w:r>
    </w:p>
    <w:p w14:paraId="0B0E8420">
      <w:pPr>
        <w:rPr>
          <w:color w:val="auto"/>
        </w:rPr>
      </w:pPr>
      <w:r>
        <w:rPr>
          <w:rFonts w:hint="eastAsia"/>
          <w:color w:val="auto"/>
        </w:rPr>
        <w:t>5、</w:t>
      </w:r>
      <w:r>
        <w:rPr>
          <w:color w:val="auto"/>
        </w:rPr>
        <w:t>物业管理用房</w:t>
      </w:r>
      <w:r>
        <w:rPr>
          <w:rFonts w:hint="eastAsia"/>
          <w:color w:val="auto"/>
        </w:rPr>
        <w:t>、安保机房、消控中心、考试监控等运行时间特殊的房间</w:t>
      </w:r>
      <w:r>
        <w:rPr>
          <w:color w:val="auto"/>
        </w:rPr>
        <w:t>采用</w:t>
      </w:r>
      <w:r>
        <w:rPr>
          <w:rFonts w:hint="eastAsia"/>
          <w:color w:val="auto"/>
        </w:rPr>
        <w:t>分体空调或</w:t>
      </w:r>
      <w:r>
        <w:rPr>
          <w:color w:val="auto"/>
        </w:rPr>
        <w:t>多联机系统。</w:t>
      </w:r>
      <w:r>
        <w:rPr>
          <w:rFonts w:hint="eastAsia"/>
          <w:color w:val="auto"/>
        </w:rPr>
        <w:t>新风</w:t>
      </w:r>
      <w:r>
        <w:rPr>
          <w:color w:val="auto"/>
        </w:rPr>
        <w:t>经过全热交换器处理后送至室内</w:t>
      </w:r>
      <w:r>
        <w:rPr>
          <w:rFonts w:hint="eastAsia"/>
          <w:color w:val="auto"/>
        </w:rPr>
        <w:t>。</w:t>
      </w:r>
    </w:p>
    <w:p w14:paraId="46EF6936">
      <w:pPr>
        <w:rPr>
          <w:color w:val="auto"/>
        </w:rPr>
      </w:pPr>
      <w:r>
        <w:rPr>
          <w:rFonts w:hint="eastAsia"/>
          <w:color w:val="auto"/>
        </w:rPr>
        <w:t>6、</w:t>
      </w:r>
      <w:r>
        <w:rPr>
          <w:color w:val="auto"/>
        </w:rPr>
        <w:t>垃圾间</w:t>
      </w:r>
      <w:r>
        <w:rPr>
          <w:rFonts w:hint="eastAsia"/>
          <w:color w:val="auto"/>
        </w:rPr>
        <w:t>、汇聚机房、通信中心机房、有线电视机房、广播电视机房、弱电间、多媒体控制机房</w:t>
      </w:r>
      <w:r>
        <w:rPr>
          <w:color w:val="auto"/>
        </w:rPr>
        <w:t>采用分体空调器</w:t>
      </w:r>
      <w:r>
        <w:rPr>
          <w:rFonts w:hint="eastAsia"/>
          <w:color w:val="auto"/>
        </w:rPr>
        <w:t>或多联机空调系统</w:t>
      </w:r>
      <w:r>
        <w:rPr>
          <w:color w:val="auto"/>
        </w:rPr>
        <w:t>供冷</w:t>
      </w:r>
      <w:r>
        <w:rPr>
          <w:rFonts w:hint="eastAsia"/>
          <w:color w:val="auto"/>
        </w:rPr>
        <w:t>。</w:t>
      </w:r>
    </w:p>
    <w:p w14:paraId="69A40F30">
      <w:pPr>
        <w:rPr>
          <w:color w:val="auto"/>
        </w:rPr>
      </w:pPr>
      <w:r>
        <w:rPr>
          <w:rFonts w:hint="eastAsia"/>
          <w:color w:val="auto"/>
        </w:rPr>
        <w:t>7、计算机网络中心机房采用机房专用恒温恒湿空调，空调系统由专业供应单位进行深化设计，本次设计仅预留电气条件及室外机安装位置。</w:t>
      </w:r>
    </w:p>
    <w:p w14:paraId="55E784B8">
      <w:pPr>
        <w:pStyle w:val="6"/>
        <w:ind w:firstLine="480"/>
        <w:rPr>
          <w:color w:val="auto"/>
        </w:rPr>
      </w:pPr>
      <w:r>
        <w:rPr>
          <w:rFonts w:hint="eastAsia"/>
          <w:color w:val="auto"/>
        </w:rPr>
        <w:t>风管施工工艺流程</w:t>
      </w:r>
    </w:p>
    <w:p w14:paraId="2DDB7058">
      <w:pPr>
        <w:rPr>
          <w:color w:val="auto"/>
        </w:rPr>
      </w:pPr>
      <w:r>
        <w:rPr>
          <w:rFonts w:hint="eastAsia"/>
          <w:color w:val="auto"/>
        </w:rPr>
        <w:t>1、风管制作工艺流程</w:t>
      </w:r>
    </w:p>
    <w:p w14:paraId="5671B037">
      <w:pPr>
        <w:ind w:firstLine="0" w:firstLineChars="0"/>
        <w:jc w:val="center"/>
        <w:rPr>
          <w:color w:val="auto"/>
        </w:rPr>
      </w:pPr>
      <w:r>
        <w:rPr>
          <w:rFonts w:hint="eastAsia"/>
          <w:color w:val="auto"/>
        </w:rPr>
        <w:drawing>
          <wp:inline distT="0" distB="0" distL="0" distR="0">
            <wp:extent cx="5615940" cy="1943735"/>
            <wp:effectExtent l="0" t="0" r="381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5615940" cy="1943735"/>
                    </a:xfrm>
                    <a:prstGeom prst="rect">
                      <a:avLst/>
                    </a:prstGeom>
                    <a:noFill/>
                    <a:ln>
                      <a:noFill/>
                    </a:ln>
                  </pic:spPr>
                </pic:pic>
              </a:graphicData>
            </a:graphic>
          </wp:inline>
        </w:drawing>
      </w:r>
    </w:p>
    <w:p w14:paraId="62821C6C">
      <w:pPr>
        <w:pStyle w:val="53"/>
        <w:rPr>
          <w:color w:val="auto"/>
        </w:rPr>
      </w:pPr>
      <w:r>
        <w:rPr>
          <w:rFonts w:hint="eastAsia"/>
          <w:color w:val="auto"/>
        </w:rPr>
        <w:t>风管制作工艺流程</w:t>
      </w:r>
    </w:p>
    <w:p w14:paraId="34895166">
      <w:pPr>
        <w:rPr>
          <w:color w:val="auto"/>
        </w:rPr>
      </w:pPr>
      <w:r>
        <w:rPr>
          <w:rFonts w:hint="eastAsia"/>
          <w:color w:val="auto"/>
        </w:rPr>
        <w:t>2、风管安装施工工艺流程</w:t>
      </w:r>
    </w:p>
    <w:p w14:paraId="13047AB1">
      <w:pPr>
        <w:rPr>
          <w:color w:val="auto"/>
        </w:rPr>
      </w:pPr>
      <w:r>
        <w:rPr>
          <w:rFonts w:hint="eastAsia"/>
          <w:color w:val="auto"/>
        </w:rPr>
        <w:t>确定标高→制作吊架→设置吊点→安装吊架→预检→风管法兰连接(垫料穿螺丝)→风管排列→安装就位找平找正→风管严密性检验→验收</w:t>
      </w:r>
    </w:p>
    <w:p w14:paraId="2DE39A77">
      <w:pPr>
        <w:rPr>
          <w:color w:val="auto"/>
        </w:rPr>
      </w:pPr>
      <w:r>
        <w:rPr>
          <w:rFonts w:hint="eastAsia"/>
          <w:color w:val="auto"/>
        </w:rPr>
        <w:t>3、风机设备安装施工工艺流程</w:t>
      </w:r>
    </w:p>
    <w:p w14:paraId="0FA9899F">
      <w:pPr>
        <w:rPr>
          <w:color w:val="auto"/>
        </w:rPr>
      </w:pPr>
      <w:r>
        <w:rPr>
          <w:rFonts w:hint="eastAsia"/>
          <w:color w:val="auto"/>
        </w:rPr>
        <w:t>开箱检查→支吊架制作加工→支吊架安装→风机安装→单机试运转</w:t>
      </w:r>
    </w:p>
    <w:p w14:paraId="761149B0">
      <w:pPr>
        <w:rPr>
          <w:color w:val="auto"/>
        </w:rPr>
      </w:pPr>
      <w:r>
        <w:rPr>
          <w:rFonts w:hint="eastAsia"/>
          <w:color w:val="auto"/>
        </w:rPr>
        <w:t>4、V</w:t>
      </w:r>
      <w:r>
        <w:rPr>
          <w:color w:val="auto"/>
        </w:rPr>
        <w:t>RV</w:t>
      </w:r>
      <w:r>
        <w:rPr>
          <w:rFonts w:hint="eastAsia"/>
          <w:color w:val="auto"/>
        </w:rPr>
        <w:t>空调系统施工工艺流程</w:t>
      </w:r>
    </w:p>
    <w:p w14:paraId="1044D63B">
      <w:pPr>
        <w:rPr>
          <w:color w:val="auto"/>
        </w:rPr>
      </w:pPr>
      <w:r>
        <w:rPr>
          <w:rFonts w:hint="eastAsia"/>
          <w:color w:val="auto"/>
        </w:rPr>
        <w:t>室内机安装→冷媒管安装→冷凝水管安装→空调风管安装→保温绝热→室外机安装→气密性试验→真空除湿→追加充填冷媒→系统调试</w:t>
      </w:r>
    </w:p>
    <w:p w14:paraId="3BDB617D">
      <w:pPr>
        <w:pStyle w:val="6"/>
        <w:ind w:firstLine="480"/>
        <w:rPr>
          <w:color w:val="auto"/>
        </w:rPr>
      </w:pPr>
      <w:r>
        <w:rPr>
          <w:rFonts w:hint="eastAsia"/>
          <w:color w:val="auto"/>
        </w:rPr>
        <w:t>镀锌钢板施工工艺</w:t>
      </w:r>
    </w:p>
    <w:p w14:paraId="6A37B9E5">
      <w:pPr>
        <w:rPr>
          <w:color w:val="auto"/>
        </w:rPr>
      </w:pPr>
      <w:r>
        <w:rPr>
          <w:rFonts w:hint="eastAsia"/>
          <w:color w:val="auto"/>
        </w:rPr>
        <w:t>1、镀锌钢板风管制作加工施工工艺</w:t>
      </w:r>
    </w:p>
    <w:p w14:paraId="76E37CF3">
      <w:pPr>
        <w:ind w:firstLineChars="0"/>
        <w:rPr>
          <w:color w:val="auto"/>
        </w:rPr>
      </w:pPr>
      <w:r>
        <w:rPr>
          <w:rFonts w:hint="eastAsia"/>
          <w:color w:val="auto"/>
        </w:rPr>
        <w:t>1）风管加工：根据设计要求、图纸会审纪要，并结合现场实测数据绘制风管加工草图。依照风管施工图（或放样图）把风管的表面形状按实际的大小铺在板料上；按划线形状用机械剪刀和手工剪刀进行剪切。板材下料后在轧口之前，必须用倒角机或剪刀进行倒角工作。风管板材的咬接采用单咬口或转角咬口，咬接缝涂密封胶。板料咬口后，将划好的折方线放在折方机上，置于下模的中心线。操作时使机械上刀片中心线与下模中心线重合，折成所需要的角度。制作圆风管时，将咬口两端拍成圆弧状，放在卷圆机上卷圆。折方或卷圆后的钢板用合口机或手工进行合缝。合口时需用木锤进行合口，不得使用铁锤。</w:t>
      </w:r>
    </w:p>
    <w:p w14:paraId="103D72A9">
      <w:pPr>
        <w:ind w:firstLineChars="0"/>
        <w:rPr>
          <w:color w:val="auto"/>
        </w:rPr>
      </w:pPr>
      <w:r>
        <w:rPr>
          <w:rFonts w:hint="eastAsia"/>
          <w:color w:val="auto"/>
        </w:rPr>
        <w:t>2）法兰加工：方法兰由四根角钢组焊而成，制作法兰前需将角钢进行除锈处理。下料调直后放在冲床上冲击铆钉孔及螺栓孔。冲孔后的角钢放在焊接平台上进行焊接。角钢焊接完成后刷樟丹防锈漆两遍，灰色调和漆两遍。</w:t>
      </w:r>
    </w:p>
    <w:p w14:paraId="206484F4">
      <w:pPr>
        <w:ind w:firstLineChars="0"/>
        <w:rPr>
          <w:color w:val="auto"/>
        </w:rPr>
      </w:pPr>
      <w:r>
        <w:rPr>
          <w:rFonts w:hint="eastAsia"/>
          <w:color w:val="auto"/>
        </w:rPr>
        <w:t>3）风管的加固：风管的加固可采用楞筋、立筋、角钢（内外加固）、扁钢、加固筋和管内支撑等形式。矩形风管边长大于630mm、保温风管边长大于800mm，管段长度大于1250mm或低压风管单边平面积大于1.2㎡,中、高压风管大于1.0㎡,均应采取加固措施。圆形风管</w:t>
      </w:r>
      <w:r>
        <w:rPr>
          <w:color w:val="auto"/>
        </w:rPr>
        <w:t>(</w:t>
      </w:r>
      <w:r>
        <w:rPr>
          <w:rFonts w:hint="eastAsia"/>
          <w:color w:val="auto"/>
        </w:rPr>
        <w:t>不包括螺旋风管</w:t>
      </w:r>
      <w:r>
        <w:rPr>
          <w:color w:val="auto"/>
        </w:rPr>
        <w:t>)</w:t>
      </w:r>
      <w:r>
        <w:rPr>
          <w:rFonts w:hint="eastAsia"/>
          <w:color w:val="auto"/>
        </w:rPr>
        <w:t>直径大于等于</w:t>
      </w:r>
      <w:r>
        <w:rPr>
          <w:color w:val="auto"/>
        </w:rPr>
        <w:t>800mm</w:t>
      </w:r>
      <w:r>
        <w:rPr>
          <w:rFonts w:hint="eastAsia"/>
          <w:color w:val="auto"/>
        </w:rPr>
        <w:t>，且其管段长度大于</w:t>
      </w:r>
      <w:r>
        <w:rPr>
          <w:color w:val="auto"/>
        </w:rPr>
        <w:t xml:space="preserve">1250mm </w:t>
      </w:r>
      <w:r>
        <w:rPr>
          <w:rFonts w:hint="eastAsia"/>
          <w:color w:val="auto"/>
        </w:rPr>
        <w:t>或总表面积大于</w:t>
      </w:r>
      <w:r>
        <w:rPr>
          <w:color w:val="auto"/>
        </w:rPr>
        <w:t>4</w:t>
      </w:r>
      <w:r>
        <w:rPr>
          <w:rFonts w:hint="eastAsia"/>
          <w:color w:val="auto"/>
        </w:rPr>
        <w:t>㎡均应采取加固措施。</w:t>
      </w:r>
    </w:p>
    <w:p w14:paraId="4B4D4A06">
      <w:pPr>
        <w:ind w:firstLineChars="0"/>
        <w:rPr>
          <w:color w:val="auto"/>
        </w:rPr>
      </w:pPr>
      <w:r>
        <w:rPr>
          <w:rFonts w:hint="eastAsia"/>
          <w:color w:val="auto"/>
        </w:rPr>
        <w:t>4）风管与法兰组合成形：风管与扁钢法兰可用翻边连接；与角钢法兰连接时，风管壁厚小于或等于1.5mm可采用翻边铆接。风管壁厚大于1.5mm可采用翻边点焊和沿风管管口周边满焊。风管与法兰铆接前先进行技术质量复核，合格后将法兰套在风管上，管端留出6～9mm左右翻边量，管折方线与法兰平面应垂直，然后使用液压铆钉钳或手动夹眼钳用铆钉将风管与法兰铆固，并留出四周翻边。翻边应平整，不应遮住螺孔，四角应铲平，不应出现豁口，以免漏风。</w:t>
      </w:r>
    </w:p>
    <w:p w14:paraId="6F1DA9A9">
      <w:pPr>
        <w:ind w:firstLineChars="0"/>
        <w:rPr>
          <w:color w:val="auto"/>
        </w:rPr>
      </w:pPr>
      <w:r>
        <w:rPr>
          <w:rFonts w:hint="eastAsia"/>
          <w:color w:val="auto"/>
        </w:rPr>
        <w:t>5）风管与小部件（嘴子、短支管等）连接处、三通、四通分支处要严密、缝隙处应利用密封胶堵严以免漏风。</w:t>
      </w:r>
    </w:p>
    <w:p w14:paraId="60029E4C">
      <w:pPr>
        <w:ind w:firstLineChars="0"/>
        <w:rPr>
          <w:color w:val="auto"/>
        </w:rPr>
      </w:pPr>
      <w:r>
        <w:rPr>
          <w:rFonts w:hint="eastAsia"/>
          <w:color w:val="auto"/>
        </w:rPr>
        <w:t>6）矩形风管弯管制作，一般采用曲率半径为一个平面边长的内外同心弧形弯管（风管弯头及三通转弯半径均为1倍D，以管中心计，D为风管直径或边长）。当采用其他形式的弯管，平面边长大于500mm时，必须设置弯管导流片。</w:t>
      </w:r>
    </w:p>
    <w:p w14:paraId="5F7FA4A5">
      <w:pPr>
        <w:ind w:firstLineChars="0"/>
        <w:rPr>
          <w:color w:val="auto"/>
        </w:rPr>
      </w:pPr>
      <w:r>
        <w:rPr>
          <w:rFonts w:hint="eastAsia"/>
          <w:color w:val="auto"/>
        </w:rPr>
        <w:t>7）风管成品检验后，应按图中主干管、支管系统的顺序写出连接号码，合理堆放码好。</w:t>
      </w:r>
    </w:p>
    <w:p w14:paraId="3EDC4261">
      <w:pPr>
        <w:rPr>
          <w:color w:val="auto"/>
        </w:rPr>
      </w:pPr>
      <w:r>
        <w:rPr>
          <w:color w:val="auto"/>
        </w:rPr>
        <w:t>2</w:t>
      </w:r>
      <w:r>
        <w:rPr>
          <w:rFonts w:hint="eastAsia"/>
          <w:color w:val="auto"/>
        </w:rPr>
        <w:t>、镀锌钢板风管安装施工工艺</w:t>
      </w:r>
    </w:p>
    <w:p w14:paraId="22EB676B">
      <w:pPr>
        <w:ind w:firstLineChars="0"/>
        <w:rPr>
          <w:color w:val="auto"/>
        </w:rPr>
      </w:pPr>
      <w:r>
        <w:rPr>
          <w:rFonts w:hint="eastAsia"/>
          <w:color w:val="auto"/>
        </w:rPr>
        <w:t>1）风管连接：为保证法兰接口的严密性，法兰之间应有垫料。法兰连接时，把两个法兰先对正，穿上螺栓并戴上螺母，暂时不要上紧。然后用尖冲塞进穿不上螺栓的螺孔中，把两个螺孔撬正，直到所有螺栓都穿上后，再把螺栓拧紧。为了避免螺栓滑扣，紧螺栓时应按十字交叉逐步均匀地拧紧。连接好的风管，应以两端法兰为准，拉线检查风管连接是否平直。</w:t>
      </w:r>
    </w:p>
    <w:p w14:paraId="3BEB4817">
      <w:pPr>
        <w:ind w:firstLineChars="0"/>
        <w:rPr>
          <w:color w:val="auto"/>
        </w:rPr>
      </w:pPr>
      <w:r>
        <w:rPr>
          <w:rFonts w:hint="eastAsia"/>
          <w:color w:val="auto"/>
        </w:rPr>
        <w:t>2）风管安装：根据施工现场情况，可以在地面连成一定的长度，然后采用吊装的方法就位；也可以把风管一节一节地放在支架上逐节连接。一般安装顺序是先干管后支管。风管分节安装：将风管分节用绳索拉到脚手架上，然后抬到支架上对正法兰逐节安装。</w:t>
      </w:r>
    </w:p>
    <w:p w14:paraId="4C397A7D">
      <w:pPr>
        <w:ind w:firstLineChars="0"/>
        <w:rPr>
          <w:color w:val="auto"/>
        </w:rPr>
      </w:pPr>
      <w:r>
        <w:rPr>
          <w:rFonts w:hint="eastAsia"/>
          <w:color w:val="auto"/>
        </w:rPr>
        <w:t>3）风阀及风管部件安装：风阀的安装同风管的安装，将其法兰与风管或设备的法兰对正，加上密封垫片，上紧螺栓，使其与风管或设备连接牢固、严密。安装完的风阀，应在阀体外壳上有明显和准确的开启方向、开启程度的标志。防火阀安装前，检查其型号和位置是否符合设计要求、有无产品合格证，防火阀易熔片要迎气流方向安装，为防止易熔片脱落，易熔片在系统安装后再装，安装后做动作试验，防火阀直径或长边尺寸大于等于</w:t>
      </w:r>
      <w:r>
        <w:rPr>
          <w:color w:val="auto"/>
        </w:rPr>
        <w:t>630</w:t>
      </w:r>
      <w:r>
        <w:rPr>
          <w:rFonts w:hint="eastAsia"/>
          <w:color w:val="auto"/>
        </w:rPr>
        <w:t>mm</w:t>
      </w:r>
      <w:r>
        <w:rPr>
          <w:color w:val="auto"/>
        </w:rPr>
        <w:t xml:space="preserve"> </w:t>
      </w:r>
      <w:r>
        <w:rPr>
          <w:rFonts w:hint="eastAsia"/>
          <w:color w:val="auto"/>
        </w:rPr>
        <w:t>时，需单独设支架。</w:t>
      </w:r>
    </w:p>
    <w:p w14:paraId="541CE8F9">
      <w:pPr>
        <w:ind w:firstLineChars="0"/>
        <w:rPr>
          <w:color w:val="auto"/>
        </w:rPr>
      </w:pPr>
      <w:r>
        <w:rPr>
          <w:rFonts w:hint="eastAsia"/>
          <w:color w:val="auto"/>
        </w:rPr>
        <w:t>4）柔性短管安装：柔性短管安装应松紧适当，不得扭曲。安装在风机吸入口的柔性短管可安装得绷紧一些，防止风机启动后被吸入而减少截面尺寸。</w:t>
      </w:r>
    </w:p>
    <w:p w14:paraId="742270F2">
      <w:pPr>
        <w:ind w:firstLineChars="0"/>
        <w:rPr>
          <w:color w:val="auto"/>
        </w:rPr>
      </w:pPr>
      <w:r>
        <w:rPr>
          <w:rFonts w:hint="eastAsia"/>
          <w:color w:val="auto"/>
        </w:rPr>
        <w:t>5）风口安装：风口安装应横平、竖直、严密、牢固，表面平整。带风量调节阀的风口安装时，应先安装调节阀框，后安装风口的叶片框。同一方向的风口，其调节装置应设在同一侧。散流器风口安装时，应注意风口预留孔洞要比喉口尺寸大，留出扩散板的安装位置。排烟口与送风口的安装部位应符合设计要求，与风管或混凝土风道的连接应牢固、严密。风口与风管连接如下图所示：</w:t>
      </w:r>
    </w:p>
    <w:p w14:paraId="6853E19B">
      <w:pPr>
        <w:ind w:firstLine="0" w:firstLineChars="0"/>
        <w:jc w:val="center"/>
        <w:rPr>
          <w:color w:val="auto"/>
        </w:rPr>
      </w:pPr>
      <w:r>
        <w:rPr>
          <w:color w:val="auto"/>
        </w:rPr>
        <w:drawing>
          <wp:inline distT="0" distB="0" distL="0" distR="0">
            <wp:extent cx="2719705" cy="2073910"/>
            <wp:effectExtent l="0" t="0" r="4445" b="2540"/>
            <wp:docPr id="43" name="图片 43" descr="无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无标题1"/>
                    <pic:cNvPicPr>
                      <a:picLocks noChangeAspect="1" noChangeArrowheads="1"/>
                    </pic:cNvPicPr>
                  </pic:nvPicPr>
                  <pic:blipFill>
                    <a:blip r:embed="rId149">
                      <a:extLst>
                        <a:ext uri="{28A0092B-C50C-407E-A947-70E740481C1C}">
                          <a14:useLocalDpi xmlns:a14="http://schemas.microsoft.com/office/drawing/2010/main" val="0"/>
                        </a:ext>
                      </a:extLst>
                    </a:blip>
                    <a:srcRect t="8864"/>
                    <a:stretch>
                      <a:fillRect/>
                    </a:stretch>
                  </pic:blipFill>
                  <pic:spPr>
                    <a:xfrm>
                      <a:off x="0" y="0"/>
                      <a:ext cx="2724444" cy="2077687"/>
                    </a:xfrm>
                    <a:prstGeom prst="rect">
                      <a:avLst/>
                    </a:prstGeom>
                    <a:noFill/>
                    <a:ln>
                      <a:noFill/>
                    </a:ln>
                  </pic:spPr>
                </pic:pic>
              </a:graphicData>
            </a:graphic>
          </wp:inline>
        </w:drawing>
      </w:r>
    </w:p>
    <w:p w14:paraId="7502F483">
      <w:pPr>
        <w:ind w:firstLine="0" w:firstLineChars="0"/>
        <w:jc w:val="center"/>
        <w:rPr>
          <w:color w:val="auto"/>
        </w:rPr>
      </w:pPr>
      <w:r>
        <w:rPr>
          <w:color w:val="auto"/>
        </w:rPr>
        <w:drawing>
          <wp:inline distT="0" distB="0" distL="0" distR="0">
            <wp:extent cx="2488565" cy="1943735"/>
            <wp:effectExtent l="0" t="0" r="6985" b="0"/>
            <wp:docPr id="42" name="图片 42" descr="无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无标题2"/>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a:xfrm>
                      <a:off x="0" y="0"/>
                      <a:ext cx="2492728" cy="1946990"/>
                    </a:xfrm>
                    <a:prstGeom prst="rect">
                      <a:avLst/>
                    </a:prstGeom>
                    <a:noFill/>
                    <a:ln>
                      <a:noFill/>
                    </a:ln>
                  </pic:spPr>
                </pic:pic>
              </a:graphicData>
            </a:graphic>
          </wp:inline>
        </w:drawing>
      </w:r>
    </w:p>
    <w:p w14:paraId="0D6B3370">
      <w:pPr>
        <w:pStyle w:val="53"/>
        <w:rPr>
          <w:color w:val="auto"/>
        </w:rPr>
      </w:pPr>
      <w:r>
        <w:rPr>
          <w:rFonts w:hint="eastAsia"/>
          <w:color w:val="auto"/>
        </w:rPr>
        <w:t>风口与风管连接示意图</w:t>
      </w:r>
    </w:p>
    <w:p w14:paraId="64A10E40">
      <w:pPr>
        <w:ind w:firstLineChars="0"/>
        <w:rPr>
          <w:color w:val="auto"/>
        </w:rPr>
      </w:pPr>
      <w:r>
        <w:rPr>
          <w:rFonts w:hint="eastAsia"/>
          <w:color w:val="auto"/>
        </w:rPr>
        <w:t>6）风管系统严密性试验：本工程风管系统严密性试验采用漏光法检测。漏光法检测是采用光线对小孔的强穿透力，对风管系统严密程度进行定性检测。其试验方法是在一定长度的风管上，在黑暗的环境下，在风管内用一个电压不高于36V、功率在100W以上的带保护罩的灯泡，从风管的一端缓缓移向另一端，试验时若在风管外能观察到光线，则说明风管有漏光点，应对风管的漏风处进行修补。风管的漏光法检测如下图所示：</w:t>
      </w:r>
    </w:p>
    <w:p w14:paraId="11ACA0CB">
      <w:pPr>
        <w:ind w:firstLine="0" w:firstLineChars="0"/>
        <w:jc w:val="center"/>
        <w:rPr>
          <w:color w:val="auto"/>
        </w:rPr>
      </w:pPr>
      <w:r>
        <w:rPr>
          <w:color w:val="auto"/>
        </w:rPr>
        <w:drawing>
          <wp:inline distT="0" distB="0" distL="0" distR="0">
            <wp:extent cx="5615940" cy="1336040"/>
            <wp:effectExtent l="0" t="0" r="3810" b="0"/>
            <wp:docPr id="40" name="图片 40" descr="漏光法检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漏光法检测图"/>
                    <pic:cNvPicPr>
                      <a:picLocks noChangeAspect="1" noChangeArrowheads="1"/>
                    </pic:cNvPicPr>
                  </pic:nvPicPr>
                  <pic:blipFill>
                    <a:blip r:embed="rId151" cstate="print">
                      <a:extLst>
                        <a:ext uri="{28A0092B-C50C-407E-A947-70E740481C1C}">
                          <a14:useLocalDpi xmlns:a14="http://schemas.microsoft.com/office/drawing/2010/main" val="0"/>
                        </a:ext>
                      </a:extLst>
                    </a:blip>
                    <a:srcRect t="12508" b="34834"/>
                    <a:stretch>
                      <a:fillRect/>
                    </a:stretch>
                  </pic:blipFill>
                  <pic:spPr>
                    <a:xfrm>
                      <a:off x="0" y="0"/>
                      <a:ext cx="5615940" cy="1336040"/>
                    </a:xfrm>
                    <a:prstGeom prst="rect">
                      <a:avLst/>
                    </a:prstGeom>
                    <a:noFill/>
                    <a:ln>
                      <a:noFill/>
                    </a:ln>
                  </pic:spPr>
                </pic:pic>
              </a:graphicData>
            </a:graphic>
          </wp:inline>
        </w:drawing>
      </w:r>
    </w:p>
    <w:p w14:paraId="26A142AC">
      <w:pPr>
        <w:pStyle w:val="53"/>
        <w:rPr>
          <w:color w:val="auto"/>
        </w:rPr>
      </w:pPr>
      <w:r>
        <w:rPr>
          <w:rFonts w:hint="eastAsia"/>
          <w:color w:val="auto"/>
        </w:rPr>
        <w:t>风管的漏光法检测</w:t>
      </w:r>
    </w:p>
    <w:p w14:paraId="1387796F">
      <w:pPr>
        <w:rPr>
          <w:color w:val="auto"/>
        </w:rPr>
      </w:pPr>
      <w:r>
        <w:rPr>
          <w:rFonts w:hint="eastAsia"/>
          <w:color w:val="auto"/>
        </w:rPr>
        <w:t>3、风机安装施工工艺</w:t>
      </w:r>
    </w:p>
    <w:p w14:paraId="4F4A4C99">
      <w:pPr>
        <w:ind w:firstLineChars="0"/>
        <w:rPr>
          <w:color w:val="auto"/>
        </w:rPr>
      </w:pPr>
      <w:r>
        <w:rPr>
          <w:rFonts w:hint="eastAsia"/>
          <w:color w:val="auto"/>
        </w:rPr>
        <w:t>1）通风机开箱检查应符合下列规定：按设备装箱清单，核对叶轮、机壳和其它部位的主要尺寸，进、出风口的位置方向是否符合设计要求，做好检查记录。叶轮旋转方向应符合设备技术文件的规定。进、出风口应有盖板严密遮盖。检查各切削加工面，机壳的防锈情况和转子是否发生变形或锈蚀、碰损等。</w:t>
      </w:r>
    </w:p>
    <w:p w14:paraId="7069690A">
      <w:pPr>
        <w:ind w:firstLineChars="0"/>
        <w:rPr>
          <w:color w:val="auto"/>
        </w:rPr>
      </w:pPr>
      <w:r>
        <w:rPr>
          <w:rFonts w:hint="eastAsia"/>
          <w:color w:val="auto"/>
        </w:rPr>
        <w:t>2）通风机的机轴必须保持水平度，风机与电动机用联轴节连接时，两轴中心线应在同一直线上。通风机与电动机用三角皮带传动时进行找正，以保证电动机与通风机的轴线互相平行，并使两个皮带轮的中心线相重合。三角皮带拉紧程度一般可用手敲打已装好的皮带中间，以稍有弹跳为准。通风机与电动机安装皮带轮时，操作者应紧密配合，防止将手碰伤。挂皮带时不要把手指入皮带轮内，防止发生事故。风机与电动机的传动装置外露部分应安装防护罩。</w:t>
      </w:r>
    </w:p>
    <w:p w14:paraId="16EF8E36">
      <w:pPr>
        <w:ind w:firstLineChars="0"/>
        <w:rPr>
          <w:color w:val="auto"/>
        </w:rPr>
      </w:pPr>
      <w:r>
        <w:rPr>
          <w:rFonts w:hint="eastAsia"/>
          <w:color w:val="auto"/>
        </w:rPr>
        <w:t>3）</w:t>
      </w:r>
      <w:r>
        <w:rPr>
          <w:color w:val="auto"/>
        </w:rPr>
        <w:t>风机试运转</w:t>
      </w:r>
      <w:r>
        <w:rPr>
          <w:rFonts w:hint="eastAsia"/>
          <w:color w:val="auto"/>
        </w:rPr>
        <w:t>：</w:t>
      </w:r>
      <w:r>
        <w:rPr>
          <w:color w:val="auto"/>
        </w:rPr>
        <w:t>经过全面检查</w:t>
      </w:r>
      <w:r>
        <w:rPr>
          <w:rFonts w:hint="eastAsia"/>
          <w:color w:val="auto"/>
        </w:rPr>
        <w:t>，</w:t>
      </w:r>
      <w:r>
        <w:rPr>
          <w:color w:val="auto"/>
        </w:rPr>
        <w:t>手动盘车，供应电源相序正确后方可送电试运转，运转前必须加上适度的润滑油；并检查各项安全措施；叶轮旋转方向必须正确；在额定转速下试运转时间不得少于2h</w:t>
      </w:r>
      <w:r>
        <w:rPr>
          <w:rFonts w:hint="eastAsia"/>
          <w:color w:val="auto"/>
        </w:rPr>
        <w:t>，试</w:t>
      </w:r>
      <w:r>
        <w:rPr>
          <w:color w:val="auto"/>
        </w:rPr>
        <w:t>运转后，再检查风机</w:t>
      </w:r>
      <w:r>
        <w:rPr>
          <w:rFonts w:hint="eastAsia"/>
          <w:color w:val="auto"/>
        </w:rPr>
        <w:t>各部件有无</w:t>
      </w:r>
      <w:r>
        <w:rPr>
          <w:color w:val="auto"/>
        </w:rPr>
        <w:t>损坏现象，</w:t>
      </w:r>
      <w:r>
        <w:rPr>
          <w:rFonts w:hint="eastAsia"/>
          <w:color w:val="auto"/>
        </w:rPr>
        <w:t>并</w:t>
      </w:r>
      <w:r>
        <w:rPr>
          <w:color w:val="auto"/>
        </w:rPr>
        <w:t>做好记录。</w:t>
      </w:r>
    </w:p>
    <w:p w14:paraId="7F2F5E8B">
      <w:pPr>
        <w:rPr>
          <w:color w:val="auto"/>
        </w:rPr>
      </w:pPr>
      <w:r>
        <w:rPr>
          <w:rFonts w:hint="eastAsia"/>
          <w:color w:val="auto"/>
        </w:rPr>
        <w:t>4、V</w:t>
      </w:r>
      <w:r>
        <w:rPr>
          <w:color w:val="auto"/>
        </w:rPr>
        <w:t>RV</w:t>
      </w:r>
      <w:r>
        <w:rPr>
          <w:rFonts w:hint="eastAsia"/>
          <w:color w:val="auto"/>
        </w:rPr>
        <w:t>空调系统施工工艺</w:t>
      </w:r>
    </w:p>
    <w:p w14:paraId="574AEBC9">
      <w:pPr>
        <w:ind w:firstLineChars="0"/>
        <w:rPr>
          <w:color w:val="auto"/>
        </w:rPr>
      </w:pPr>
      <w:r>
        <w:rPr>
          <w:rFonts w:hint="eastAsia"/>
          <w:color w:val="auto"/>
        </w:rPr>
        <w:t>1）</w:t>
      </w:r>
      <w:r>
        <w:rPr>
          <w:color w:val="auto"/>
        </w:rPr>
        <w:t>室内机安装</w:t>
      </w:r>
      <w:r>
        <w:rPr>
          <w:rFonts w:hint="eastAsia"/>
          <w:color w:val="auto"/>
        </w:rPr>
        <w:t>：</w:t>
      </w:r>
      <w:r>
        <w:rPr>
          <w:color w:val="auto"/>
        </w:rPr>
        <w:t>开箱检查机组有无损伤，随机附件和技术资料是否齐全，并有专人保管</w:t>
      </w:r>
      <w:r>
        <w:rPr>
          <w:rFonts w:hint="eastAsia"/>
          <w:color w:val="auto"/>
        </w:rPr>
        <w:t>。</w:t>
      </w:r>
      <w:r>
        <w:rPr>
          <w:color w:val="auto"/>
        </w:rPr>
        <w:t>吊架安装平稳、牢固，吊杆不应自由摆动</w:t>
      </w:r>
      <w:r>
        <w:rPr>
          <w:rFonts w:hint="eastAsia"/>
          <w:color w:val="auto"/>
        </w:rPr>
        <w:t>。</w:t>
      </w:r>
      <w:r>
        <w:rPr>
          <w:color w:val="auto"/>
        </w:rPr>
        <w:t>吊杆与托盘相连应采用双螺母紧固，下面加弹簧减振垫圈。</w:t>
      </w:r>
    </w:p>
    <w:p w14:paraId="7044706F">
      <w:pPr>
        <w:ind w:firstLineChars="0"/>
        <w:rPr>
          <w:color w:val="auto"/>
        </w:rPr>
      </w:pPr>
      <w:r>
        <w:rPr>
          <w:rFonts w:hint="eastAsia"/>
          <w:color w:val="auto"/>
        </w:rPr>
        <w:t>2）冷媒管安装：</w:t>
      </w:r>
      <w:r>
        <w:rPr>
          <w:color w:val="auto"/>
        </w:rPr>
        <w:t>冷媒铜管内部应保持清洁，在施工前可用氮气吹洗，两端应封口，防止灰尘或异物进入管内。冷媒铜管在施工前应确认无变形、压痕、折扁、损伤等情况，否则不得使用</w:t>
      </w:r>
      <w:r>
        <w:rPr>
          <w:rFonts w:hint="eastAsia"/>
          <w:color w:val="auto"/>
        </w:rPr>
        <w:t>。</w:t>
      </w:r>
      <w:r>
        <w:rPr>
          <w:rFonts w:hAnsi="宋体" w:cs="宋体"/>
          <w:color w:val="auto"/>
          <w:szCs w:val="24"/>
        </w:rPr>
        <w:t>检查分歧管型号，确认型号和流量符合空调性能和设计要求。分歧管可以水平安装也可以垂直安装，水平安装两分歧管支管必须在同一水平面上，不能在同一竖直面上。</w:t>
      </w:r>
      <w:r>
        <w:rPr>
          <w:rFonts w:hAnsi="宋体" w:cs="宋体"/>
          <w:color w:val="auto"/>
        </w:rPr>
        <w:t>铜管弯头距分歧管的距离应在0.5米以上，两分歧管间距应在1米以上。冷媒管与分歧管管径不同时，应调整分歧管侧的管</w:t>
      </w:r>
      <w:r>
        <w:rPr>
          <w:rFonts w:hint="eastAsia" w:hAnsi="宋体" w:cs="宋体"/>
          <w:color w:val="auto"/>
        </w:rPr>
        <w:t>。</w:t>
      </w:r>
    </w:p>
    <w:p w14:paraId="0C9A3A2E">
      <w:pPr>
        <w:ind w:firstLineChars="0"/>
        <w:rPr>
          <w:rFonts w:hint="eastAsia" w:hAnsi="宋体" w:cs="宋体"/>
          <w:color w:val="auto"/>
          <w:szCs w:val="24"/>
        </w:rPr>
      </w:pPr>
      <w:r>
        <w:rPr>
          <w:rFonts w:hint="eastAsia"/>
          <w:color w:val="auto"/>
        </w:rPr>
        <w:t>3）冷凝水管安装：</w:t>
      </w:r>
      <w:r>
        <w:rPr>
          <w:color w:val="auto"/>
        </w:rPr>
        <w:t>室内机与冷凝水管应用透明胶管连接，长度</w:t>
      </w:r>
      <w:r>
        <w:rPr>
          <w:rFonts w:hint="eastAsia"/>
          <w:color w:val="auto"/>
        </w:rPr>
        <w:t>≤</w:t>
      </w:r>
      <w:r>
        <w:rPr>
          <w:color w:val="auto"/>
        </w:rPr>
        <w:t>300mm，胶管用吼箍固定，不能用铁丝绑扎，不能作为找平、找正的异径连接管使用。水平支管与水平干管连接时，应尽量从水平干管的上部连接，如水平连接易使冷凝水产生回流。两水平支管不能直接对接，而应错开一定距离。冷凝水管安装完毕后，做2次满水试验和1次排水试验，满水试验管道应无渗漏，排水试验室内机接水盘应无积水现象。</w:t>
      </w:r>
    </w:p>
    <w:p w14:paraId="13B6A0E6">
      <w:pPr>
        <w:ind w:firstLineChars="0"/>
        <w:rPr>
          <w:color w:val="auto"/>
        </w:rPr>
      </w:pPr>
      <w:r>
        <w:rPr>
          <w:rFonts w:hint="eastAsia"/>
          <w:color w:val="auto"/>
        </w:rPr>
        <w:t>4）室外机安装：</w:t>
      </w:r>
      <w:r>
        <w:rPr>
          <w:color w:val="auto"/>
        </w:rPr>
        <w:t>机组吊装运输时应保持直立，不得倾倒，否则会导致机组损坏。机组开箱检查是否有漏油和损伤现象，检查随机附件和技术资料是否齐全并交专人保管。室外机应摆放整齐，面板朝向一致</w:t>
      </w:r>
      <w:r>
        <w:rPr>
          <w:rFonts w:hint="eastAsia"/>
          <w:color w:val="auto"/>
        </w:rPr>
        <w:t>。</w:t>
      </w:r>
      <w:r>
        <w:rPr>
          <w:rFonts w:hAnsi="宋体" w:cs="宋体"/>
          <w:color w:val="auto"/>
        </w:rPr>
        <w:t>机组与基础之间加10mm厚的减振橡胶，机组与基础用螺栓固定。同一行外机间距在20mm以上，施工现场条件允许，考虑到散热效果和检修方便可适当增大到200mm。两行外机间应留有1000mm以上的维修空间。外机与冷媒管焊接时，对机组截止阀采取冷却措施，防止焊接的高温损坏阀体内的密封材料。机组上方2米内有障碍物时，加装导风管将排风引出。</w:t>
      </w:r>
    </w:p>
    <w:p w14:paraId="60475525">
      <w:pPr>
        <w:pStyle w:val="5"/>
        <w:rPr>
          <w:color w:val="auto"/>
        </w:rPr>
      </w:pPr>
      <w:bookmarkStart w:id="203" w:name="_Toc5239"/>
      <w:r>
        <w:rPr>
          <w:rFonts w:hint="eastAsia"/>
          <w:color w:val="auto"/>
        </w:rPr>
        <w:t>强电工程</w:t>
      </w:r>
      <w:bookmarkEnd w:id="203"/>
    </w:p>
    <w:p w14:paraId="2B9A521F">
      <w:pPr>
        <w:pStyle w:val="6"/>
        <w:ind w:firstLine="480"/>
        <w:rPr>
          <w:color w:val="auto"/>
        </w:rPr>
      </w:pPr>
      <w:r>
        <w:rPr>
          <w:rFonts w:hint="eastAsia"/>
          <w:color w:val="auto"/>
        </w:rPr>
        <w:t>强电工程范围</w:t>
      </w:r>
    </w:p>
    <w:p w14:paraId="5A4D3565">
      <w:pPr>
        <w:rPr>
          <w:color w:val="auto"/>
        </w:rPr>
      </w:pPr>
      <w:r>
        <w:rPr>
          <w:rFonts w:hint="eastAsia"/>
          <w:color w:val="auto"/>
        </w:rPr>
        <w:t>高低压变配电站及变配电系统（10kV/0.4kV）</w:t>
      </w:r>
    </w:p>
    <w:p w14:paraId="5F063E21">
      <w:pPr>
        <w:rPr>
          <w:color w:val="auto"/>
        </w:rPr>
      </w:pPr>
      <w:r>
        <w:rPr>
          <w:rFonts w:hint="eastAsia"/>
          <w:color w:val="auto"/>
        </w:rPr>
        <w:t>电力、空调、照明配电系统</w:t>
      </w:r>
    </w:p>
    <w:p w14:paraId="0D8A5B0C">
      <w:pPr>
        <w:rPr>
          <w:color w:val="auto"/>
        </w:rPr>
      </w:pPr>
      <w:r>
        <w:rPr>
          <w:rFonts w:hint="eastAsia"/>
          <w:color w:val="auto"/>
        </w:rPr>
        <w:t>火灾自动报警及消防联动系统（FAS）</w:t>
      </w:r>
    </w:p>
    <w:p w14:paraId="0FD393C9">
      <w:pPr>
        <w:rPr>
          <w:color w:val="auto"/>
        </w:rPr>
      </w:pPr>
      <w:r>
        <w:rPr>
          <w:rFonts w:hint="eastAsia"/>
          <w:color w:val="auto"/>
        </w:rPr>
        <w:t>消防应急照明和疏散指示系统</w:t>
      </w:r>
    </w:p>
    <w:p w14:paraId="42D930E1">
      <w:pPr>
        <w:rPr>
          <w:color w:val="auto"/>
        </w:rPr>
      </w:pPr>
      <w:r>
        <w:rPr>
          <w:rFonts w:hint="eastAsia"/>
          <w:color w:val="auto"/>
        </w:rPr>
        <w:t>消防电源监控系统</w:t>
      </w:r>
    </w:p>
    <w:p w14:paraId="2134FDAF">
      <w:pPr>
        <w:rPr>
          <w:color w:val="auto"/>
        </w:rPr>
      </w:pPr>
      <w:r>
        <w:rPr>
          <w:rFonts w:hint="eastAsia"/>
          <w:color w:val="auto"/>
        </w:rPr>
        <w:t>电气火灾监控系统</w:t>
      </w:r>
    </w:p>
    <w:p w14:paraId="08F4E32B">
      <w:pPr>
        <w:rPr>
          <w:color w:val="auto"/>
        </w:rPr>
      </w:pPr>
      <w:r>
        <w:rPr>
          <w:rFonts w:hint="eastAsia"/>
          <w:color w:val="auto"/>
        </w:rPr>
        <w:t>电力监控系统</w:t>
      </w:r>
    </w:p>
    <w:p w14:paraId="35BB8BC3">
      <w:pPr>
        <w:rPr>
          <w:color w:val="auto"/>
        </w:rPr>
      </w:pPr>
      <w:r>
        <w:rPr>
          <w:rFonts w:hint="eastAsia"/>
          <w:color w:val="auto"/>
        </w:rPr>
        <w:t>能耗监测系统</w:t>
      </w:r>
    </w:p>
    <w:p w14:paraId="76ED98F2">
      <w:pPr>
        <w:rPr>
          <w:color w:val="auto"/>
        </w:rPr>
      </w:pPr>
      <w:r>
        <w:rPr>
          <w:rFonts w:hint="eastAsia"/>
          <w:color w:val="auto"/>
        </w:rPr>
        <w:t>防火门监控系统</w:t>
      </w:r>
    </w:p>
    <w:p w14:paraId="14116557">
      <w:pPr>
        <w:rPr>
          <w:color w:val="auto"/>
        </w:rPr>
      </w:pPr>
      <w:r>
        <w:rPr>
          <w:rFonts w:hint="eastAsia"/>
          <w:color w:val="auto"/>
        </w:rPr>
        <w:t>智能照明控制系统</w:t>
      </w:r>
    </w:p>
    <w:p w14:paraId="7A6983F5">
      <w:pPr>
        <w:rPr>
          <w:color w:val="auto"/>
        </w:rPr>
      </w:pPr>
      <w:r>
        <w:rPr>
          <w:rFonts w:hint="eastAsia"/>
          <w:color w:val="auto"/>
        </w:rPr>
        <w:t>建筑设备监控系统（BAS）</w:t>
      </w:r>
    </w:p>
    <w:p w14:paraId="3CF8478A">
      <w:pPr>
        <w:rPr>
          <w:color w:val="auto"/>
        </w:rPr>
      </w:pPr>
      <w:r>
        <w:rPr>
          <w:rFonts w:hint="eastAsia"/>
          <w:color w:val="auto"/>
        </w:rPr>
        <w:t>建筑物防雷、接地系统及安全防护措施</w:t>
      </w:r>
    </w:p>
    <w:p w14:paraId="1BDD4497">
      <w:pPr>
        <w:pStyle w:val="6"/>
        <w:ind w:firstLine="480"/>
        <w:rPr>
          <w:color w:val="auto"/>
        </w:rPr>
      </w:pPr>
      <w:r>
        <w:rPr>
          <w:rFonts w:hint="eastAsia"/>
          <w:color w:val="auto"/>
        </w:rPr>
        <w:t>施工工艺流程</w:t>
      </w:r>
    </w:p>
    <w:p w14:paraId="129D04F6">
      <w:pPr>
        <w:rPr>
          <w:color w:val="auto"/>
        </w:rPr>
      </w:pPr>
      <w:r>
        <w:rPr>
          <w:rFonts w:hint="eastAsia"/>
          <w:color w:val="auto"/>
        </w:rPr>
        <w:t>1、电气暗配管施工工艺流程</w:t>
      </w:r>
    </w:p>
    <w:p w14:paraId="2CD41C5F">
      <w:pPr>
        <w:ind w:firstLine="0" w:firstLineChars="0"/>
        <w:jc w:val="center"/>
        <w:rPr>
          <w:color w:val="auto"/>
        </w:rPr>
      </w:pPr>
      <w:r>
        <w:rPr>
          <w:color w:val="auto"/>
        </w:rPr>
        <w:drawing>
          <wp:inline distT="0" distB="0" distL="0" distR="0">
            <wp:extent cx="4838065" cy="914400"/>
            <wp:effectExtent l="0" t="0" r="0" b="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4838065" cy="914400"/>
                    </a:xfrm>
                    <a:prstGeom prst="rect">
                      <a:avLst/>
                    </a:prstGeom>
                    <a:noFill/>
                    <a:ln>
                      <a:noFill/>
                    </a:ln>
                  </pic:spPr>
                </pic:pic>
              </a:graphicData>
            </a:graphic>
          </wp:inline>
        </w:drawing>
      </w:r>
    </w:p>
    <w:p w14:paraId="60513B88">
      <w:pPr>
        <w:pStyle w:val="53"/>
        <w:rPr>
          <w:color w:val="auto"/>
        </w:rPr>
      </w:pPr>
      <w:r>
        <w:rPr>
          <w:rFonts w:hint="eastAsia"/>
          <w:color w:val="auto"/>
        </w:rPr>
        <w:t>电气暗配管施工工艺流程</w:t>
      </w:r>
    </w:p>
    <w:p w14:paraId="2765B423">
      <w:pPr>
        <w:rPr>
          <w:color w:val="auto"/>
        </w:rPr>
      </w:pPr>
      <w:r>
        <w:rPr>
          <w:rFonts w:hint="eastAsia"/>
          <w:color w:val="auto"/>
        </w:rPr>
        <w:t>2、电气明配管施工工艺流程</w:t>
      </w:r>
    </w:p>
    <w:p w14:paraId="03BC737E">
      <w:pPr>
        <w:ind w:firstLine="0" w:firstLineChars="0"/>
        <w:jc w:val="center"/>
        <w:rPr>
          <w:color w:val="auto"/>
        </w:rPr>
      </w:pPr>
      <w:r>
        <w:rPr>
          <w:color w:val="auto"/>
        </w:rPr>
        <w:drawing>
          <wp:inline distT="0" distB="0" distL="0" distR="0">
            <wp:extent cx="4850765" cy="91440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4850765" cy="914400"/>
                    </a:xfrm>
                    <a:prstGeom prst="rect">
                      <a:avLst/>
                    </a:prstGeom>
                    <a:noFill/>
                    <a:ln>
                      <a:noFill/>
                    </a:ln>
                  </pic:spPr>
                </pic:pic>
              </a:graphicData>
            </a:graphic>
          </wp:inline>
        </w:drawing>
      </w:r>
    </w:p>
    <w:p w14:paraId="6FA754E7">
      <w:pPr>
        <w:pStyle w:val="53"/>
        <w:rPr>
          <w:color w:val="auto"/>
        </w:rPr>
      </w:pPr>
      <w:r>
        <w:rPr>
          <w:rFonts w:hint="eastAsia"/>
          <w:color w:val="auto"/>
        </w:rPr>
        <w:t>电气明配管施工工艺流程</w:t>
      </w:r>
    </w:p>
    <w:p w14:paraId="0171219A">
      <w:pPr>
        <w:rPr>
          <w:color w:val="auto"/>
        </w:rPr>
      </w:pPr>
      <w:r>
        <w:rPr>
          <w:rFonts w:hint="eastAsia"/>
          <w:color w:val="auto"/>
        </w:rPr>
        <w:t>3、管内穿线施工工艺流程</w:t>
      </w:r>
    </w:p>
    <w:p w14:paraId="6C22B1D6">
      <w:pPr>
        <w:ind w:firstLine="0" w:firstLineChars="0"/>
        <w:jc w:val="center"/>
        <w:rPr>
          <w:color w:val="auto"/>
        </w:rPr>
      </w:pPr>
      <w:r>
        <w:rPr>
          <w:color w:val="auto"/>
        </w:rPr>
        <w:drawing>
          <wp:inline distT="0" distB="0" distL="0" distR="0">
            <wp:extent cx="4850765" cy="9144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4850765" cy="914400"/>
                    </a:xfrm>
                    <a:prstGeom prst="rect">
                      <a:avLst/>
                    </a:prstGeom>
                    <a:noFill/>
                    <a:ln>
                      <a:noFill/>
                    </a:ln>
                  </pic:spPr>
                </pic:pic>
              </a:graphicData>
            </a:graphic>
          </wp:inline>
        </w:drawing>
      </w:r>
    </w:p>
    <w:p w14:paraId="0A0D54FC">
      <w:pPr>
        <w:ind w:firstLine="0" w:firstLineChars="0"/>
        <w:jc w:val="center"/>
        <w:rPr>
          <w:color w:val="auto"/>
        </w:rPr>
      </w:pPr>
      <w:r>
        <w:rPr>
          <w:rFonts w:hint="eastAsia"/>
          <w:color w:val="auto"/>
        </w:rPr>
        <w:t>管内穿线施工工艺流程</w:t>
      </w:r>
    </w:p>
    <w:p w14:paraId="3C81F853">
      <w:pPr>
        <w:rPr>
          <w:color w:val="auto"/>
        </w:rPr>
      </w:pPr>
      <w:r>
        <w:rPr>
          <w:rFonts w:hint="eastAsia"/>
          <w:color w:val="auto"/>
        </w:rPr>
        <w:t>4、灯具安装施工工艺流程</w:t>
      </w:r>
    </w:p>
    <w:p w14:paraId="61206B81">
      <w:pPr>
        <w:ind w:firstLine="0" w:firstLineChars="0"/>
        <w:jc w:val="center"/>
        <w:rPr>
          <w:color w:val="auto"/>
        </w:rPr>
      </w:pPr>
      <w:r>
        <w:rPr>
          <w:color w:val="auto"/>
        </w:rPr>
        <w:drawing>
          <wp:inline distT="0" distB="0" distL="0" distR="0">
            <wp:extent cx="4572000" cy="379730"/>
            <wp:effectExtent l="0" t="0" r="0" b="127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a:xfrm>
                      <a:off x="0" y="0"/>
                      <a:ext cx="4572000" cy="379730"/>
                    </a:xfrm>
                    <a:prstGeom prst="rect">
                      <a:avLst/>
                    </a:prstGeom>
                    <a:noFill/>
                    <a:ln>
                      <a:noFill/>
                    </a:ln>
                  </pic:spPr>
                </pic:pic>
              </a:graphicData>
            </a:graphic>
          </wp:inline>
        </w:drawing>
      </w:r>
    </w:p>
    <w:p w14:paraId="33C92E86">
      <w:pPr>
        <w:pStyle w:val="53"/>
        <w:rPr>
          <w:color w:val="auto"/>
        </w:rPr>
      </w:pPr>
      <w:r>
        <w:rPr>
          <w:rFonts w:hint="eastAsia"/>
          <w:color w:val="auto"/>
        </w:rPr>
        <w:t>灯具安装施工工艺流程</w:t>
      </w:r>
    </w:p>
    <w:p w14:paraId="480A8B6B">
      <w:pPr>
        <w:rPr>
          <w:color w:val="auto"/>
        </w:rPr>
      </w:pPr>
      <w:r>
        <w:rPr>
          <w:rFonts w:hint="eastAsia"/>
          <w:color w:val="auto"/>
        </w:rPr>
        <w:t>5、配电柜安装施工工艺流程</w:t>
      </w:r>
    </w:p>
    <w:p w14:paraId="57935F50">
      <w:pPr>
        <w:ind w:firstLine="0" w:firstLineChars="0"/>
        <w:jc w:val="center"/>
        <w:rPr>
          <w:color w:val="auto"/>
        </w:rPr>
      </w:pPr>
      <w:r>
        <w:rPr>
          <w:color w:val="auto"/>
        </w:rPr>
        <w:drawing>
          <wp:inline distT="0" distB="0" distL="0" distR="0">
            <wp:extent cx="4114800" cy="914400"/>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4114800" cy="914400"/>
                    </a:xfrm>
                    <a:prstGeom prst="rect">
                      <a:avLst/>
                    </a:prstGeom>
                    <a:noFill/>
                    <a:ln>
                      <a:noFill/>
                    </a:ln>
                  </pic:spPr>
                </pic:pic>
              </a:graphicData>
            </a:graphic>
          </wp:inline>
        </w:drawing>
      </w:r>
    </w:p>
    <w:p w14:paraId="4BBC58ED">
      <w:pPr>
        <w:pStyle w:val="53"/>
        <w:rPr>
          <w:color w:val="auto"/>
        </w:rPr>
      </w:pPr>
      <w:r>
        <w:rPr>
          <w:rFonts w:hint="eastAsia"/>
          <w:color w:val="auto"/>
        </w:rPr>
        <w:t>配电柜安装施工工艺流程</w:t>
      </w:r>
    </w:p>
    <w:p w14:paraId="13AC6646">
      <w:pPr>
        <w:rPr>
          <w:color w:val="auto"/>
        </w:rPr>
      </w:pPr>
      <w:r>
        <w:rPr>
          <w:rFonts w:hint="eastAsia"/>
          <w:color w:val="auto"/>
        </w:rPr>
        <w:t>6、配电箱安装施工工艺流程</w:t>
      </w:r>
    </w:p>
    <w:p w14:paraId="57DC4DAA">
      <w:pPr>
        <w:ind w:firstLine="0" w:firstLineChars="0"/>
        <w:jc w:val="center"/>
        <w:rPr>
          <w:color w:val="auto"/>
        </w:rPr>
      </w:pPr>
      <w:r>
        <w:rPr>
          <w:color w:val="auto"/>
        </w:rPr>
        <w:drawing>
          <wp:inline distT="0" distB="0" distL="0" distR="0">
            <wp:extent cx="4408170" cy="1234440"/>
            <wp:effectExtent l="0" t="0" r="0" b="381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a:xfrm>
                      <a:off x="0" y="0"/>
                      <a:ext cx="4417586" cy="1237179"/>
                    </a:xfrm>
                    <a:prstGeom prst="rect">
                      <a:avLst/>
                    </a:prstGeom>
                    <a:noFill/>
                    <a:ln>
                      <a:noFill/>
                    </a:ln>
                  </pic:spPr>
                </pic:pic>
              </a:graphicData>
            </a:graphic>
          </wp:inline>
        </w:drawing>
      </w:r>
    </w:p>
    <w:p w14:paraId="399C627A">
      <w:pPr>
        <w:pStyle w:val="53"/>
        <w:rPr>
          <w:color w:val="auto"/>
        </w:rPr>
      </w:pPr>
      <w:r>
        <w:rPr>
          <w:rFonts w:hint="eastAsia"/>
          <w:color w:val="auto"/>
        </w:rPr>
        <w:t>配电箱安装施工工艺流程</w:t>
      </w:r>
    </w:p>
    <w:p w14:paraId="3F7AB57E">
      <w:pPr>
        <w:rPr>
          <w:color w:val="auto"/>
        </w:rPr>
      </w:pPr>
      <w:r>
        <w:rPr>
          <w:rFonts w:hint="eastAsia"/>
          <w:color w:val="auto"/>
        </w:rPr>
        <w:t>7、电缆桥架及线槽安装施工工艺流程</w:t>
      </w:r>
    </w:p>
    <w:p w14:paraId="61916E13">
      <w:pPr>
        <w:ind w:firstLine="0" w:firstLineChars="0"/>
        <w:jc w:val="center"/>
        <w:rPr>
          <w:color w:val="auto"/>
        </w:rPr>
      </w:pPr>
      <w:r>
        <w:rPr>
          <w:color w:val="auto"/>
        </w:rPr>
        <w:object>
          <v:shape id="_x0000_i1032" o:spt="75" type="#_x0000_t75" style="height:39.2pt;width:362.75pt;" o:ole="t" filled="f" o:preferrelative="t" stroked="f" coordsize="21600,21600">
            <v:path/>
            <v:fill on="f" focussize="0,0"/>
            <v:stroke on="f" joinstyle="miter"/>
            <v:imagedata r:id="rId159" o:title=""/>
            <o:lock v:ext="edit" aspectratio="t"/>
            <w10:wrap type="none"/>
            <w10:anchorlock/>
          </v:shape>
          <o:OLEObject Type="Embed" ProgID="Visio.Drawing.11" ShapeID="_x0000_i1032" DrawAspect="Content" ObjectID="_1468075732" r:id="rId158">
            <o:LockedField>false</o:LockedField>
          </o:OLEObject>
        </w:object>
      </w:r>
    </w:p>
    <w:p w14:paraId="2338BDCC">
      <w:pPr>
        <w:pStyle w:val="53"/>
        <w:rPr>
          <w:color w:val="auto"/>
        </w:rPr>
      </w:pPr>
      <w:r>
        <w:rPr>
          <w:rFonts w:hint="eastAsia"/>
          <w:color w:val="auto"/>
        </w:rPr>
        <w:t>电缆桥架及线槽安装施工工艺流程</w:t>
      </w:r>
    </w:p>
    <w:p w14:paraId="52D60E5B">
      <w:pPr>
        <w:rPr>
          <w:color w:val="auto"/>
        </w:rPr>
      </w:pPr>
      <w:r>
        <w:rPr>
          <w:rFonts w:hint="eastAsia"/>
          <w:color w:val="auto"/>
        </w:rPr>
        <w:t>8、电缆敷设施工工艺流程</w:t>
      </w:r>
    </w:p>
    <w:p w14:paraId="78F18B54">
      <w:pPr>
        <w:ind w:firstLine="0" w:firstLineChars="0"/>
        <w:jc w:val="center"/>
        <w:rPr>
          <w:color w:val="auto"/>
        </w:rPr>
      </w:pPr>
      <w:r>
        <w:rPr>
          <w:color w:val="auto"/>
        </w:rPr>
        <w:object>
          <v:shape id="_x0000_i1033" o:spt="75" type="#_x0000_t75" style="height:67.45pt;width:351.8pt;" o:ole="t" filled="f" o:preferrelative="t" stroked="f" coordsize="21600,21600">
            <v:path/>
            <v:fill on="f" focussize="0,0"/>
            <v:stroke on="f" joinstyle="miter"/>
            <v:imagedata r:id="rId161" o:title=""/>
            <o:lock v:ext="edit" aspectratio="t"/>
            <w10:wrap type="none"/>
            <w10:anchorlock/>
          </v:shape>
          <o:OLEObject Type="Embed" ProgID="Visio.Drawing.11" ShapeID="_x0000_i1033" DrawAspect="Content" ObjectID="_1468075733" r:id="rId160">
            <o:LockedField>false</o:LockedField>
          </o:OLEObject>
        </w:object>
      </w:r>
    </w:p>
    <w:p w14:paraId="657B0049">
      <w:pPr>
        <w:pStyle w:val="53"/>
        <w:rPr>
          <w:color w:val="auto"/>
        </w:rPr>
      </w:pPr>
      <w:r>
        <w:rPr>
          <w:rFonts w:hint="eastAsia"/>
          <w:color w:val="auto"/>
        </w:rPr>
        <w:t>电缆敷设施工工艺流程</w:t>
      </w:r>
    </w:p>
    <w:p w14:paraId="3AC6EA94">
      <w:pPr>
        <w:rPr>
          <w:color w:val="auto"/>
        </w:rPr>
      </w:pPr>
      <w:r>
        <w:rPr>
          <w:rFonts w:hint="eastAsia"/>
          <w:color w:val="auto"/>
        </w:rPr>
        <w:t>9、防雷接地施工工艺流程</w:t>
      </w:r>
    </w:p>
    <w:p w14:paraId="7C22057B">
      <w:pPr>
        <w:ind w:firstLine="0" w:firstLineChars="0"/>
        <w:jc w:val="center"/>
        <w:rPr>
          <w:color w:val="auto"/>
        </w:rPr>
      </w:pPr>
      <w:r>
        <w:rPr>
          <w:rFonts w:ascii="宋体" w:hAnsi="宋体"/>
          <w:color w:val="auto"/>
        </w:rPr>
        <w:drawing>
          <wp:inline distT="0" distB="0" distL="0" distR="0">
            <wp:extent cx="5471160" cy="2409825"/>
            <wp:effectExtent l="0" t="0" r="0" b="9525"/>
            <wp:docPr id="46" name="图片 46"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lip_image00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a:xfrm>
                      <a:off x="0" y="0"/>
                      <a:ext cx="5471160" cy="2409825"/>
                    </a:xfrm>
                    <a:prstGeom prst="rect">
                      <a:avLst/>
                    </a:prstGeom>
                    <a:noFill/>
                    <a:ln>
                      <a:noFill/>
                    </a:ln>
                  </pic:spPr>
                </pic:pic>
              </a:graphicData>
            </a:graphic>
          </wp:inline>
        </w:drawing>
      </w:r>
    </w:p>
    <w:p w14:paraId="40393818">
      <w:pPr>
        <w:pStyle w:val="53"/>
        <w:rPr>
          <w:color w:val="auto"/>
        </w:rPr>
      </w:pPr>
      <w:r>
        <w:rPr>
          <w:rFonts w:hint="eastAsia"/>
          <w:color w:val="auto"/>
        </w:rPr>
        <w:t>防雷接地施工工艺流程</w:t>
      </w:r>
    </w:p>
    <w:p w14:paraId="6E29C6A9">
      <w:pPr>
        <w:pStyle w:val="6"/>
        <w:ind w:firstLine="480"/>
        <w:rPr>
          <w:color w:val="auto"/>
        </w:rPr>
      </w:pPr>
      <w:r>
        <w:rPr>
          <w:rFonts w:hint="eastAsia"/>
          <w:color w:val="auto"/>
        </w:rPr>
        <w:t>电气配管施工</w:t>
      </w:r>
    </w:p>
    <w:p w14:paraId="53B72858">
      <w:pPr>
        <w:rPr>
          <w:color w:val="auto"/>
        </w:rPr>
      </w:pPr>
      <w:r>
        <w:rPr>
          <w:rFonts w:hint="eastAsia"/>
          <w:color w:val="auto"/>
        </w:rPr>
        <w:t>1、电气配管施工工艺</w:t>
      </w:r>
    </w:p>
    <w:p w14:paraId="7282941B">
      <w:pPr>
        <w:ind w:firstLineChars="0"/>
        <w:rPr>
          <w:rFonts w:hint="default" w:eastAsia="宋体"/>
          <w:color w:val="auto"/>
          <w:lang w:val="en-US" w:eastAsia="zh-CN"/>
        </w:rPr>
      </w:pPr>
      <w:r>
        <w:rPr>
          <w:rFonts w:hint="eastAsia"/>
          <w:color w:val="auto"/>
          <w:lang w:val="en-US" w:eastAsia="zh-CN"/>
        </w:rPr>
        <w:t>暗配管工艺如下：</w:t>
      </w:r>
    </w:p>
    <w:p w14:paraId="3493A7FD">
      <w:pPr>
        <w:ind w:firstLineChars="0"/>
        <w:rPr>
          <w:color w:val="auto"/>
        </w:rPr>
      </w:pPr>
      <w:r>
        <w:rPr>
          <w:rFonts w:hint="eastAsia"/>
          <w:color w:val="auto"/>
        </w:rPr>
        <w:t>1）本工程的电气导管敷设采用热浸镀锌钢管、J</w:t>
      </w:r>
      <w:r>
        <w:rPr>
          <w:color w:val="auto"/>
        </w:rPr>
        <w:t>DG</w:t>
      </w:r>
      <w:r>
        <w:rPr>
          <w:rFonts w:hint="eastAsia"/>
          <w:color w:val="auto"/>
        </w:rPr>
        <w:t>电线管、P</w:t>
      </w:r>
      <w:r>
        <w:rPr>
          <w:color w:val="auto"/>
        </w:rPr>
        <w:t>VC</w:t>
      </w:r>
      <w:r>
        <w:rPr>
          <w:rFonts w:hint="eastAsia"/>
          <w:color w:val="auto"/>
        </w:rPr>
        <w:t>阻燃电线管。</w:t>
      </w:r>
    </w:p>
    <w:p w14:paraId="1FA05D98">
      <w:pPr>
        <w:ind w:firstLineChars="0"/>
        <w:rPr>
          <w:color w:val="auto"/>
        </w:rPr>
      </w:pPr>
      <w:r>
        <w:rPr>
          <w:rFonts w:hint="eastAsia"/>
          <w:color w:val="auto"/>
        </w:rPr>
        <w:t>2）管道切割：热镀锌钢管和J</w:t>
      </w:r>
      <w:r>
        <w:rPr>
          <w:color w:val="auto"/>
        </w:rPr>
        <w:t>DG</w:t>
      </w:r>
      <w:r>
        <w:rPr>
          <w:rFonts w:hint="eastAsia"/>
          <w:color w:val="auto"/>
        </w:rPr>
        <w:t>电线管选用钢锯或砂轮切割机切管，管子断口处应平齐不歪斜。P</w:t>
      </w:r>
      <w:r>
        <w:rPr>
          <w:color w:val="auto"/>
        </w:rPr>
        <w:t>VC</w:t>
      </w:r>
      <w:r>
        <w:rPr>
          <w:rFonts w:hint="eastAsia"/>
          <w:color w:val="auto"/>
        </w:rPr>
        <w:t>阻燃电线管直径在20mm以下的管路可以使用专用的剪管器进行剪切，对于直径在20mm以上的管路可使用钢锯锯断，用钢锉把管口内外的毛刺修整平齐。</w:t>
      </w:r>
    </w:p>
    <w:p w14:paraId="66334B09">
      <w:pPr>
        <w:ind w:firstLineChars="0"/>
        <w:rPr>
          <w:color w:val="auto"/>
        </w:rPr>
      </w:pPr>
      <w:r>
        <w:rPr>
          <w:rFonts w:hint="eastAsia"/>
          <w:color w:val="auto"/>
        </w:rPr>
        <w:t>3）管道弯曲：管径大于32mm的钢管须采用液压弯机弯制，25mm以下的钢管采用手动弯管机弯制。钢管弯曲处不能出现凹凸和裂缝。P</w:t>
      </w:r>
      <w:r>
        <w:rPr>
          <w:color w:val="auto"/>
        </w:rPr>
        <w:t>VC</w:t>
      </w:r>
      <w:r>
        <w:rPr>
          <w:rFonts w:hint="eastAsia"/>
          <w:color w:val="auto"/>
        </w:rPr>
        <w:t>阻燃电线管直径在25mm以下的管路，使用配套的弯管弹簧。对于直径在32mm以上的管路，使用热煨法。</w:t>
      </w:r>
    </w:p>
    <w:p w14:paraId="58D288A9">
      <w:pPr>
        <w:ind w:firstLineChars="0"/>
        <w:rPr>
          <w:color w:val="auto"/>
        </w:rPr>
      </w:pPr>
      <w:r>
        <w:rPr>
          <w:rFonts w:hint="eastAsia"/>
          <w:color w:val="auto"/>
        </w:rPr>
        <w:t>4）箱盒定位：根据设计图要求确定盒、箱轴线位置，以土建弹出的水平线为基准，挂线找平，线坠找正，标出盒箱位置。</w:t>
      </w:r>
    </w:p>
    <w:p w14:paraId="709D69FD">
      <w:pPr>
        <w:ind w:firstLineChars="0"/>
        <w:rPr>
          <w:rFonts w:hint="eastAsia"/>
          <w:color w:val="auto"/>
        </w:rPr>
      </w:pPr>
      <w:r>
        <w:rPr>
          <w:rFonts w:hint="eastAsia"/>
          <w:color w:val="auto"/>
        </w:rPr>
        <w:t>5）管路敷设：电气管路敷设时有下列情况时须加装接线盒：直线段超过30m；有一个转弯且超过20m；有两个转弯且超过15m；有3个转弯且超过8m。钢管进出线盒处，用锁紧螺母固定牢固。管子进入箱盒螺纹应外露2～3扣，并且孔与管相对应，严禁将其它孔敲落。P</w:t>
      </w:r>
      <w:r>
        <w:rPr>
          <w:color w:val="auto"/>
        </w:rPr>
        <w:t>VC</w:t>
      </w:r>
      <w:r>
        <w:rPr>
          <w:rFonts w:hint="eastAsia"/>
          <w:color w:val="auto"/>
        </w:rPr>
        <w:t>阻燃电线管连接管口平齐光滑；管与管、管与盒（箱）等器件采用插入法连接时，连接处结合面涂专用胶合剂，接口牢固密封；盒接头与各管路连接，把盒接头的另一端插入箱盒，并用配套的锁母固定。管路的固定间距不大于1m，管路的保护层大于20mm。多根管子进入配电箱时，应排列整齐，进入箱内的</w:t>
      </w:r>
    </w:p>
    <w:p w14:paraId="2F8BFF01">
      <w:pPr>
        <w:ind w:firstLineChars="0"/>
        <w:rPr>
          <w:color w:val="auto"/>
        </w:rPr>
      </w:pPr>
      <w:r>
        <w:rPr>
          <w:rFonts w:hint="eastAsia"/>
          <w:color w:val="auto"/>
        </w:rPr>
        <w:t>管口高度一致；暗配管施工后，应将管口用管堵塞牢，防止混凝土块、杂物进入管内。</w:t>
      </w:r>
    </w:p>
    <w:p w14:paraId="6C7F2480">
      <w:pPr>
        <w:ind w:firstLineChars="0"/>
        <w:rPr>
          <w:rFonts w:hint="default" w:eastAsia="宋体"/>
          <w:color w:val="auto"/>
          <w:lang w:val="en-US" w:eastAsia="zh-CN"/>
        </w:rPr>
      </w:pPr>
      <w:r>
        <w:rPr>
          <w:rFonts w:hint="eastAsia"/>
          <w:color w:val="auto"/>
          <w:lang w:val="en-US" w:eastAsia="zh-CN"/>
        </w:rPr>
        <w:t>明配管工艺如下：</w:t>
      </w:r>
    </w:p>
    <w:p w14:paraId="1CC156FB">
      <w:pPr>
        <w:ind w:firstLineChars="0"/>
        <w:rPr>
          <w:rFonts w:hint="eastAsia"/>
          <w:color w:val="auto"/>
        </w:rPr>
      </w:pPr>
      <w:r>
        <w:rPr>
          <w:rFonts w:hint="eastAsia"/>
          <w:color w:val="auto"/>
        </w:rPr>
        <w:t>管材及支吊架加工</w:t>
      </w:r>
    </w:p>
    <w:p w14:paraId="31460A7D">
      <w:pPr>
        <w:ind w:firstLineChars="0"/>
        <w:rPr>
          <w:rFonts w:hint="eastAsia"/>
          <w:color w:val="auto"/>
        </w:rPr>
      </w:pPr>
      <w:r>
        <w:rPr>
          <w:rFonts w:hint="eastAsia"/>
          <w:color w:val="auto"/>
        </w:rPr>
        <w:t>（1）管道切割</w:t>
      </w:r>
    </w:p>
    <w:p w14:paraId="287853F3">
      <w:pPr>
        <w:ind w:firstLineChars="0"/>
        <w:rPr>
          <w:rFonts w:hint="eastAsia"/>
          <w:color w:val="auto"/>
        </w:rPr>
      </w:pPr>
      <w:r>
        <w:rPr>
          <w:rFonts w:hint="eastAsia"/>
          <w:color w:val="auto"/>
        </w:rPr>
        <w:t>选用钢锯或砂轮切割机切管，切管的长度要测量准确，管子断口处应平齐不歪斜，将管口上的毛刺用半圆锉处理光滑，再将管内的铁屑处理干净。</w:t>
      </w:r>
    </w:p>
    <w:p w14:paraId="46C29741">
      <w:pPr>
        <w:ind w:firstLineChars="0"/>
        <w:rPr>
          <w:rFonts w:hint="eastAsia"/>
          <w:color w:val="auto"/>
        </w:rPr>
      </w:pPr>
      <w:r>
        <w:rPr>
          <w:rFonts w:hint="eastAsia"/>
          <w:color w:val="auto"/>
        </w:rPr>
        <w:t>（2）管道套丝</w:t>
      </w:r>
    </w:p>
    <w:p w14:paraId="6B25C66B">
      <w:pPr>
        <w:ind w:firstLineChars="0"/>
        <w:rPr>
          <w:rFonts w:hint="eastAsia"/>
          <w:color w:val="auto"/>
        </w:rPr>
      </w:pPr>
      <w:r>
        <w:rPr>
          <w:rFonts w:hint="eastAsia"/>
          <w:color w:val="auto"/>
        </w:rPr>
        <w:t>采用套丝板、套丝机，根据管外径选择相应的板牙，将管子用台虎钳或压力钳固定，再把绞板套在管端，先慢慢用力，套上扣后再均匀用力，套几扣及时用毛刷涂抹机油，保证丝扣完整不断扣、乱扣，用套丝机套丝时，应注意随套随浇冷却液。管径在20mm及以下时，应分成二板套成，管径在25mm及以上时，应分三板套成。</w:t>
      </w:r>
    </w:p>
    <w:p w14:paraId="6CF1F562">
      <w:pPr>
        <w:ind w:firstLineChars="0"/>
        <w:rPr>
          <w:rFonts w:hint="eastAsia"/>
          <w:color w:val="auto"/>
        </w:rPr>
      </w:pPr>
      <w:r>
        <w:rPr>
          <w:rFonts w:hint="eastAsia"/>
          <w:color w:val="auto"/>
        </w:rPr>
        <w:t>（3）管道弯曲</w:t>
      </w:r>
    </w:p>
    <w:p w14:paraId="3284226A">
      <w:pPr>
        <w:ind w:firstLineChars="0"/>
        <w:rPr>
          <w:rFonts w:hint="eastAsia"/>
          <w:color w:val="auto"/>
        </w:rPr>
      </w:pPr>
      <w:r>
        <w:rPr>
          <w:rFonts w:hint="eastAsia"/>
          <w:color w:val="auto"/>
        </w:rPr>
        <w:t>直径大于DG32的钢管须采用液压弯机弯制，DG25以下的钢管采用手动弯管机弯制。钢管弯曲处不能出现凹凸和裂缝。</w:t>
      </w:r>
    </w:p>
    <w:p w14:paraId="67B2C79B">
      <w:pPr>
        <w:ind w:firstLineChars="0"/>
        <w:rPr>
          <w:rFonts w:hint="eastAsia"/>
          <w:color w:val="auto"/>
        </w:rPr>
      </w:pPr>
      <w:r>
        <w:rPr>
          <w:rFonts w:hint="eastAsia"/>
          <w:color w:val="auto"/>
        </w:rPr>
        <w:t>（4）支吊架制作</w:t>
      </w:r>
    </w:p>
    <w:p w14:paraId="5E186FEF">
      <w:pPr>
        <w:ind w:firstLineChars="0"/>
        <w:rPr>
          <w:rFonts w:hint="eastAsia"/>
          <w:color w:val="auto"/>
        </w:rPr>
      </w:pPr>
      <w:r>
        <w:rPr>
          <w:rFonts w:hint="eastAsia"/>
          <w:color w:val="auto"/>
        </w:rPr>
        <w:t>支架、吊架的材料应符合招标文件及设计要求，其规格及加工尺寸应符合设计图及标准图集规定。</w:t>
      </w:r>
    </w:p>
    <w:p w14:paraId="55CCA1B5">
      <w:pPr>
        <w:ind w:firstLineChars="0"/>
        <w:rPr>
          <w:rFonts w:hint="eastAsia"/>
          <w:color w:val="auto"/>
        </w:rPr>
      </w:pPr>
      <w:r>
        <w:rPr>
          <w:rFonts w:hint="eastAsia"/>
          <w:color w:val="auto"/>
        </w:rPr>
        <w:t>（5）测定盒箱位置</w:t>
      </w:r>
    </w:p>
    <w:p w14:paraId="02B8F0A2">
      <w:pPr>
        <w:ind w:firstLineChars="0"/>
        <w:rPr>
          <w:rFonts w:hint="eastAsia"/>
          <w:color w:val="auto"/>
        </w:rPr>
      </w:pPr>
      <w:r>
        <w:rPr>
          <w:rFonts w:hint="eastAsia"/>
          <w:color w:val="auto"/>
        </w:rPr>
        <w:t>根据设计图要求确定盒、箱轴线位置，以土建弹出的水平线为基准，挂线找平，线坠找正，标出盒箱位置。</w:t>
      </w:r>
    </w:p>
    <w:p w14:paraId="61DD7AD3">
      <w:pPr>
        <w:ind w:firstLineChars="0"/>
        <w:rPr>
          <w:rFonts w:hint="eastAsia"/>
          <w:color w:val="auto"/>
        </w:rPr>
      </w:pPr>
      <w:r>
        <w:rPr>
          <w:rFonts w:hint="eastAsia"/>
          <w:color w:val="auto"/>
        </w:rPr>
        <w:t>（6）固定盒箱</w:t>
      </w:r>
    </w:p>
    <w:p w14:paraId="197338DB">
      <w:pPr>
        <w:ind w:firstLineChars="0"/>
        <w:rPr>
          <w:rFonts w:hint="eastAsia"/>
          <w:color w:val="auto"/>
        </w:rPr>
      </w:pPr>
      <w:r>
        <w:rPr>
          <w:rFonts w:hint="eastAsia"/>
          <w:color w:val="auto"/>
        </w:rPr>
        <w:t>暗配管：固定盒、箱要求平整牢固，坐标正确。</w:t>
      </w:r>
    </w:p>
    <w:p w14:paraId="6A2EBFEB">
      <w:pPr>
        <w:ind w:firstLineChars="0"/>
        <w:rPr>
          <w:rFonts w:hint="eastAsia"/>
          <w:color w:val="auto"/>
        </w:rPr>
      </w:pPr>
      <w:r>
        <w:rPr>
          <w:rFonts w:hint="eastAsia"/>
          <w:color w:val="auto"/>
        </w:rPr>
        <w:t>明配管：在近盒箱100～150mm处加稳固支架，将管固定在支架上，盒箱安装应牢固平整，开孔整齐并与管径相吻合。</w:t>
      </w:r>
    </w:p>
    <w:p w14:paraId="3A6908BA">
      <w:pPr>
        <w:ind w:firstLineChars="0"/>
        <w:rPr>
          <w:rFonts w:hint="eastAsia"/>
          <w:color w:val="auto"/>
        </w:rPr>
      </w:pPr>
      <w:r>
        <w:rPr>
          <w:rFonts w:hint="eastAsia"/>
          <w:color w:val="auto"/>
        </w:rPr>
        <w:t>（7）支吊架固定</w:t>
      </w:r>
    </w:p>
    <w:p w14:paraId="7BD7D55C">
      <w:pPr>
        <w:ind w:firstLineChars="0"/>
        <w:rPr>
          <w:rFonts w:hint="eastAsia"/>
          <w:color w:val="auto"/>
        </w:rPr>
      </w:pPr>
      <w:r>
        <w:rPr>
          <w:rFonts w:hint="eastAsia"/>
          <w:color w:val="auto"/>
        </w:rPr>
        <w:t>固定点的间距应均匀，固定点与终端、转弯中点、电气器具或接线盒边缘的距离为300mm，固定点之间的最大距离应满足规范要求。</w:t>
      </w:r>
    </w:p>
    <w:p w14:paraId="7619E729">
      <w:pPr>
        <w:ind w:firstLineChars="0"/>
        <w:rPr>
          <w:rFonts w:hint="eastAsia"/>
          <w:color w:val="auto"/>
        </w:rPr>
      </w:pPr>
      <w:r>
        <w:rPr>
          <w:rFonts w:hint="eastAsia"/>
          <w:color w:val="auto"/>
        </w:rPr>
        <w:t>根据测定的盒箱位置，弹出管路的垂直、水平方向线，按照规范规定的固定点间距，确定支架、吊架的具体位置。</w:t>
      </w:r>
    </w:p>
    <w:p w14:paraId="117CD912">
      <w:pPr>
        <w:ind w:firstLineChars="0"/>
        <w:rPr>
          <w:rFonts w:hint="eastAsia"/>
          <w:color w:val="auto"/>
        </w:rPr>
      </w:pPr>
      <w:r>
        <w:rPr>
          <w:rFonts w:hint="eastAsia"/>
          <w:color w:val="auto"/>
        </w:rPr>
        <w:t>（8）管路敷设</w:t>
      </w:r>
    </w:p>
    <w:p w14:paraId="44D029F4">
      <w:pPr>
        <w:ind w:firstLineChars="0"/>
        <w:rPr>
          <w:rFonts w:hint="eastAsia"/>
          <w:color w:val="auto"/>
        </w:rPr>
      </w:pPr>
      <w:r>
        <w:rPr>
          <w:rFonts w:hint="eastAsia"/>
          <w:color w:val="auto"/>
        </w:rPr>
        <w:t>钢管采用丝扣连接，套丝后要对管口进行打磨、清扫，施工过程中要尽量减少弯头。</w:t>
      </w:r>
    </w:p>
    <w:p w14:paraId="0FD7BB88">
      <w:pPr>
        <w:ind w:firstLineChars="0"/>
        <w:rPr>
          <w:rFonts w:hint="eastAsia"/>
          <w:color w:val="auto"/>
        </w:rPr>
      </w:pPr>
      <w:r>
        <w:rPr>
          <w:rFonts w:hint="eastAsia"/>
          <w:color w:val="auto"/>
        </w:rPr>
        <w:t>电气管路敷设时有下列情况时须加装过路接线盒：a、直线段超过30m；b、有一个转弯且超过20m；c、有两个转弯且超过15m；d、有3个转弯且超过8m。</w:t>
      </w:r>
    </w:p>
    <w:p w14:paraId="5BAC6AF5">
      <w:pPr>
        <w:ind w:firstLineChars="0"/>
        <w:rPr>
          <w:rFonts w:hint="eastAsia"/>
          <w:color w:val="auto"/>
        </w:rPr>
      </w:pPr>
      <w:r>
        <w:rPr>
          <w:rFonts w:hint="eastAsia"/>
          <w:color w:val="auto"/>
        </w:rPr>
        <w:t>沿建筑物楼板、墙面明敷设的焊管和电线管，需按水平和垂直方向整齐排列，并以鞍型夹予以固定，固定间距不得超过1.2米。</w:t>
      </w:r>
    </w:p>
    <w:p w14:paraId="7033F91F">
      <w:pPr>
        <w:ind w:firstLineChars="0"/>
        <w:rPr>
          <w:rFonts w:hint="eastAsia"/>
          <w:color w:val="auto"/>
        </w:rPr>
      </w:pPr>
      <w:r>
        <w:rPr>
          <w:rFonts w:hint="eastAsia"/>
          <w:color w:val="auto"/>
        </w:rPr>
        <w:t>钢管进出线盒处，用锁紧螺母固定牢固。管子进入箱盒螺纹应外露2～3扣，并且孔与管相对应，严禁将其它孔敲落。多根管子进入配电箱时，应排列整齐，进入箱内的管口高度一致。</w:t>
      </w:r>
    </w:p>
    <w:p w14:paraId="65ED9734">
      <w:pPr>
        <w:ind w:firstLineChars="0"/>
        <w:rPr>
          <w:rFonts w:hint="eastAsia"/>
          <w:color w:val="auto"/>
        </w:rPr>
      </w:pPr>
      <w:r>
        <w:rPr>
          <w:rFonts w:hint="eastAsia"/>
          <w:color w:val="auto"/>
        </w:rPr>
        <w:t>暗配管施工后，应将管口用管堵塞牢，防止混凝土块、杂物进入管内。</w:t>
      </w:r>
    </w:p>
    <w:p w14:paraId="76617160">
      <w:pPr>
        <w:ind w:firstLineChars="0"/>
        <w:rPr>
          <w:rFonts w:hint="eastAsia"/>
          <w:color w:val="auto"/>
        </w:rPr>
      </w:pPr>
      <w:r>
        <w:rPr>
          <w:rFonts w:hint="eastAsia"/>
          <w:color w:val="auto"/>
        </w:rPr>
        <w:t>管路经金属软管引入设备或电气器具时，金属软管的长度在照明工程中不得超过1.2m（吊顶内敷设长度不超过0.8m），动力工程中不得超过0.8m。</w:t>
      </w:r>
    </w:p>
    <w:p w14:paraId="203D53E5">
      <w:pPr>
        <w:ind w:firstLineChars="0"/>
        <w:rPr>
          <w:rFonts w:hint="eastAsia"/>
          <w:color w:val="auto"/>
        </w:rPr>
      </w:pPr>
      <w:r>
        <w:rPr>
          <w:rFonts w:hint="eastAsia"/>
          <w:color w:val="auto"/>
        </w:rPr>
        <w:t>（9）管路接地</w:t>
      </w:r>
    </w:p>
    <w:p w14:paraId="30D69EF2">
      <w:pPr>
        <w:ind w:firstLineChars="0"/>
        <w:rPr>
          <w:color w:val="auto"/>
        </w:rPr>
      </w:pPr>
      <w:r>
        <w:rPr>
          <w:rFonts w:hint="eastAsia"/>
          <w:color w:val="auto"/>
        </w:rPr>
        <w:t>管路的接地采用接地卡与专用接地线，且与就近的等电位接地体联结。</w:t>
      </w:r>
    </w:p>
    <w:p w14:paraId="48FD51F3">
      <w:pPr>
        <w:rPr>
          <w:color w:val="auto"/>
        </w:rPr>
      </w:pPr>
      <w:r>
        <w:rPr>
          <w:rFonts w:hint="eastAsia"/>
          <w:color w:val="auto"/>
        </w:rPr>
        <w:t>2、管内穿线施工工艺</w:t>
      </w:r>
    </w:p>
    <w:p w14:paraId="393DA32E">
      <w:pPr>
        <w:ind w:firstLineChars="0"/>
        <w:rPr>
          <w:color w:val="auto"/>
        </w:rPr>
      </w:pPr>
      <w:r>
        <w:rPr>
          <w:rFonts w:hint="eastAsia"/>
          <w:color w:val="auto"/>
        </w:rPr>
        <w:t>1）清扫管路：配管完毕后，在穿线之前，必须对所有的管路进行清扫。清扫管路的目的是清除管路中的灰尘、泥水等杂物。</w:t>
      </w:r>
    </w:p>
    <w:p w14:paraId="0CA9F5A1">
      <w:pPr>
        <w:ind w:firstLineChars="0"/>
        <w:rPr>
          <w:color w:val="auto"/>
        </w:rPr>
      </w:pPr>
      <w:r>
        <w:rPr>
          <w:rFonts w:hint="eastAsia"/>
          <w:color w:val="auto"/>
        </w:rPr>
        <w:t>2）放线、断线：放线前应根据施工图对导线的规格、型号进行核对，并用对应电压等级的兆欧表进行通断测试；剪断导线时，导线的预留长度应按规范要求进行预留。</w:t>
      </w:r>
    </w:p>
    <w:p w14:paraId="6F40D3C3">
      <w:pPr>
        <w:ind w:firstLineChars="0"/>
        <w:rPr>
          <w:color w:val="auto"/>
        </w:rPr>
      </w:pPr>
      <w:r>
        <w:rPr>
          <w:rFonts w:hint="eastAsia"/>
          <w:color w:val="auto"/>
        </w:rPr>
        <w:t>3）带线与导线绑扎：当导线根数较少时，可将导线前端的绝缘层削去，然后将线芯直接插入带线的盘圈内并折回压实，绑扎牢固；当导线根数较多或导线截面较大时，可将导线前端的绝缘层削去，然后将线芯斜错排列在带线上，用绑线缠绕绑扎牢固。</w:t>
      </w:r>
    </w:p>
    <w:p w14:paraId="2508DB79">
      <w:pPr>
        <w:ind w:firstLineChars="0"/>
        <w:rPr>
          <w:color w:val="auto"/>
        </w:rPr>
      </w:pPr>
      <w:r>
        <w:rPr>
          <w:rFonts w:hint="eastAsia"/>
          <w:color w:val="auto"/>
        </w:rPr>
        <w:t>4）管内穿线：在穿线前，应检查钢管（电线管）各个管口的护口是否齐全，如有遗漏和破损，均应补齐和更换。穿线时应注意：同一交流回路的导线必须穿在同一管内；不同回路，不同电压和交流与直流的导线，不得穿入同一管内。导线在变形缝、补偿装置处应活动自如，导线应留有一定的余量。</w:t>
      </w:r>
    </w:p>
    <w:p w14:paraId="5FD87FB4">
      <w:pPr>
        <w:rPr>
          <w:color w:val="auto"/>
        </w:rPr>
      </w:pPr>
      <w:r>
        <w:rPr>
          <w:rFonts w:hint="eastAsia"/>
          <w:color w:val="auto"/>
        </w:rPr>
        <w:t>3、灯具安装施工工艺</w:t>
      </w:r>
    </w:p>
    <w:p w14:paraId="0FA818ED">
      <w:pPr>
        <w:ind w:firstLineChars="0"/>
        <w:rPr>
          <w:color w:val="auto"/>
        </w:rPr>
      </w:pPr>
      <w:r>
        <w:rPr>
          <w:rFonts w:hint="eastAsia"/>
          <w:color w:val="auto"/>
        </w:rPr>
        <w:t>1）灯具检查：灯具进场后，必须对灯具进行严格检查验收，检查灯具与设计的技术要求是否相符；检查灯具的外观，涂层是否完整，有无损伤，附件是否齐全；查验灯具的合格证等其它证件是否齐全。对灯具的绝缘电阻、内部接线等性能进行现场抽样检测。</w:t>
      </w:r>
    </w:p>
    <w:p w14:paraId="3ED0EB3A">
      <w:pPr>
        <w:ind w:firstLineChars="0"/>
        <w:rPr>
          <w:color w:val="auto"/>
        </w:rPr>
      </w:pPr>
      <w:r>
        <w:rPr>
          <w:rFonts w:hint="eastAsia"/>
          <w:color w:val="auto"/>
        </w:rPr>
        <w:t>2）灯具组装：将灯具的灯体和灯架进行组装，根据灯具的接线图，将灯具的电源线及控制线正确连接，灯具内的导线应在端子板上压接牢固。</w:t>
      </w:r>
    </w:p>
    <w:p w14:paraId="6FDCF393">
      <w:pPr>
        <w:ind w:firstLineChars="0"/>
        <w:rPr>
          <w:color w:val="auto"/>
        </w:rPr>
      </w:pPr>
      <w:r>
        <w:rPr>
          <w:rFonts w:hint="eastAsia"/>
          <w:color w:val="auto"/>
        </w:rPr>
        <w:t>3）灯具安装：灯具在安装前，应熟悉灯具的形式及连接构造，以便确定支架安装的位置和嵌入开口位置的大小。嵌入式日光灯具安装时，应根据设计图纸的不同区域的灯具形式，采用编号加以标注。并进一步明确不同吊顶区域的灯具样式，便于准确的安装。灯具的电源线不能贴在灯具外壳上，灯线应留有余量，灯罩的边框应压住罩面板或遮盖面板的板缝，并应与顶棚面板贴紧。</w:t>
      </w:r>
    </w:p>
    <w:p w14:paraId="0A7930A3">
      <w:pPr>
        <w:rPr>
          <w:color w:val="auto"/>
        </w:rPr>
      </w:pPr>
      <w:r>
        <w:rPr>
          <w:rFonts w:hint="eastAsia"/>
          <w:color w:val="auto"/>
        </w:rPr>
        <w:t>4、开关插座安装施工工艺</w:t>
      </w:r>
    </w:p>
    <w:p w14:paraId="664B95C9">
      <w:pPr>
        <w:ind w:firstLineChars="0"/>
        <w:rPr>
          <w:color w:val="auto"/>
        </w:rPr>
      </w:pPr>
      <w:r>
        <w:rPr>
          <w:rFonts w:hint="eastAsia"/>
          <w:color w:val="auto"/>
        </w:rPr>
        <w:t>1）安装前应先清理开关、插座盒内的夹渣、夹块等杂物，因预埋过深（≥3.5mm）的个别箱盒要重新安装，加装套盒。</w:t>
      </w:r>
    </w:p>
    <w:p w14:paraId="7CBE1F2D">
      <w:pPr>
        <w:ind w:firstLineChars="0"/>
        <w:rPr>
          <w:color w:val="auto"/>
        </w:rPr>
      </w:pPr>
      <w:r>
        <w:rPr>
          <w:rFonts w:hint="eastAsia"/>
          <w:color w:val="auto"/>
        </w:rPr>
        <w:t>2）同一室内成排安装的开关、插座的高差不应大于0.5mm，暗开关之间留有一定的距离，并距门框0.15～0.20m。开关位置应与灯位相对应，开关向上为开，向下为关，暗装插座、开关的面板应端正、并紧贴墙面。</w:t>
      </w:r>
    </w:p>
    <w:p w14:paraId="24BEF56A">
      <w:pPr>
        <w:ind w:firstLineChars="0"/>
        <w:rPr>
          <w:color w:val="auto"/>
        </w:rPr>
      </w:pPr>
      <w:r>
        <w:rPr>
          <w:rFonts w:hint="eastAsia"/>
          <w:color w:val="auto"/>
        </w:rPr>
        <w:t>3）电器灯具的相线应经开关控制，单相二孔插座横装时，面对插座的右孔接相线，左孔接零线；竖装时，面对插座的上孔接相线，下孔接零线。单相三孔插座，上孔为保护接地线，左孔为工作零线，右孔为相线。</w:t>
      </w:r>
    </w:p>
    <w:p w14:paraId="4CD9A4EB">
      <w:pPr>
        <w:ind w:firstLineChars="0"/>
        <w:rPr>
          <w:color w:val="auto"/>
        </w:rPr>
      </w:pPr>
      <w:r>
        <w:rPr>
          <w:rFonts w:hint="eastAsia"/>
          <w:color w:val="auto"/>
        </w:rPr>
        <w:t>4）先将盒内甩出的导线留出维修长度，注意不要碰伤线芯，再将线芯直接接入线孔内，并用顶丝将其压紧，然后将开关或插座推入盒内，并与墙面平齐，并上紧固定螺丝。</w:t>
      </w:r>
    </w:p>
    <w:p w14:paraId="5498BB2A">
      <w:pPr>
        <w:ind w:firstLineChars="0"/>
        <w:rPr>
          <w:color w:val="auto"/>
        </w:rPr>
      </w:pPr>
      <w:r>
        <w:rPr>
          <w:rFonts w:hint="eastAsia"/>
          <w:color w:val="auto"/>
        </w:rPr>
        <w:t>5）器具试电：灯具、开关插座试电，必须先对线路的绝缘进行摇测，检查配电箱内的元器件正常后才能进行。灯具送电时，应逐一进行，以检查照明开关是否控制灵活、正确。灯具送电后，用照度计在各区域测试照明照度，检查实际照度是否符合设计要求。插座送电时，用测相仪检查相线、地线、零线是否接线正确，漏电保护开关是否动作灵敏、可靠。</w:t>
      </w:r>
    </w:p>
    <w:p w14:paraId="02511467">
      <w:pPr>
        <w:rPr>
          <w:color w:val="auto"/>
        </w:rPr>
      </w:pPr>
      <w:r>
        <w:rPr>
          <w:rFonts w:hint="eastAsia"/>
          <w:color w:val="auto"/>
        </w:rPr>
        <w:t>5、配电箱、配电柜安装施工工艺</w:t>
      </w:r>
    </w:p>
    <w:p w14:paraId="7B88543C">
      <w:pPr>
        <w:ind w:firstLineChars="0"/>
        <w:rPr>
          <w:color w:val="auto"/>
        </w:rPr>
      </w:pPr>
      <w:r>
        <w:rPr>
          <w:rFonts w:hint="eastAsia"/>
          <w:color w:val="auto"/>
        </w:rPr>
        <w:t>1）设备运输：配电箱（柜）的运输吊装：配电箱（柜）的吊装、水平转运任务量很大，在实施前要进行合理的计划，设备垂直运输可以采用外用电梯或塔吊，配电箱（柜）的水平转运可以采用液压叉车。设备运输、吊装时应道路要事先清理，保证平整畅通。汽车运输时，用麻绳将设备与车身固定牢，开车要平稳；箱（柜）顶部有吊环者，吊索应穿在吊环内；无吊环者吊索应挂在四角主要承力结构处，不得将吊索吊在设备部件上，吊索的绳长应一致，以防柜体变形或损坏部件。</w:t>
      </w:r>
    </w:p>
    <w:p w14:paraId="38147112">
      <w:pPr>
        <w:ind w:firstLineChars="0"/>
        <w:rPr>
          <w:color w:val="auto"/>
        </w:rPr>
      </w:pPr>
      <w:r>
        <w:rPr>
          <w:rFonts w:hint="eastAsia"/>
          <w:color w:val="auto"/>
        </w:rPr>
        <w:t>2）弹线定位：根据设计要求找出配电箱（柜）位置，并按照箱（柜）的外形尺寸进行弹线定位，弹线定位的目的是找出预埋件或者膨胀螺栓的位置。</w:t>
      </w:r>
    </w:p>
    <w:p w14:paraId="03427FE8">
      <w:pPr>
        <w:ind w:firstLineChars="0"/>
        <w:rPr>
          <w:color w:val="auto"/>
        </w:rPr>
      </w:pPr>
      <w:r>
        <w:rPr>
          <w:rFonts w:hint="eastAsia"/>
          <w:color w:val="auto"/>
        </w:rPr>
        <w:t>3）挂墙明装：在混凝土墙上采用金属膨胀螺栓固定配电箱时应根据弹线定位的要求找出准确的固定点位置，用电钻或冲击钻在固定点位置钻孔，其孔径应刚好将金属膨胀螺栓的胀管部分埋入墙内，且孔洞平直不得歪斜。</w:t>
      </w:r>
    </w:p>
    <w:p w14:paraId="29319BE2">
      <w:pPr>
        <w:ind w:firstLineChars="0"/>
        <w:rPr>
          <w:color w:val="auto"/>
        </w:rPr>
      </w:pPr>
      <w:r>
        <w:rPr>
          <w:rFonts w:hint="eastAsia"/>
          <w:color w:val="auto"/>
        </w:rPr>
        <w:t>4）嵌墙安装：在混凝土墙上施工时应注意结构配合时期在墙体内预留比箱体稍大的预留洞，安装箱体时根据墙面具体做法确定出墙距离，稳住箱体后用水泥砂浆填实周边缝隙，标高符合设计要求，接地正确，配电箱箱盖紧贴墙面，涂层完整。</w:t>
      </w:r>
    </w:p>
    <w:p w14:paraId="6F35F435">
      <w:pPr>
        <w:ind w:firstLineChars="0"/>
        <w:rPr>
          <w:color w:val="auto"/>
        </w:rPr>
      </w:pPr>
      <w:r>
        <w:rPr>
          <w:rFonts w:hint="eastAsia"/>
          <w:color w:val="auto"/>
        </w:rPr>
        <w:t>5）落地式配电柜安装：落地柜在基础型钢上安装，基础型钢应按配电柜实际尺寸下料制作，长及宽度应与柜体底部框架相适配。配电柜的金属框架必须接地可靠，活动门和框架的接地端子应用镀锡编织铜线相连，且应有标识。</w:t>
      </w:r>
    </w:p>
    <w:p w14:paraId="03E69490">
      <w:pPr>
        <w:ind w:firstLineChars="0"/>
        <w:rPr>
          <w:color w:val="auto"/>
        </w:rPr>
      </w:pPr>
      <w:r>
        <w:rPr>
          <w:rFonts w:hint="eastAsia"/>
          <w:color w:val="auto"/>
        </w:rPr>
        <w:t>6）配电箱（柜）内接线：箱内配线整齐，绑扎成束，无绞接现象，在活动部位应用长钉固定，盘面引出及引进导线应留有适当余度，以利于检修。回路编号齐全，标识正确。导线连接紧密，不伤芯线，不断股。垫圈下螺丝两侧压的导线截面积相同，同一端子上导线连接不多于2根，防松垫圈等零件齐全。照明箱内，分别设置零线（N）和保护地线（PE）汇流排，零线和保护地线经汇流排配出。</w:t>
      </w:r>
    </w:p>
    <w:p w14:paraId="3FDDFCCE">
      <w:pPr>
        <w:ind w:firstLineChars="0"/>
        <w:rPr>
          <w:color w:val="auto"/>
        </w:rPr>
      </w:pPr>
      <w:r>
        <w:rPr>
          <w:rFonts w:hint="eastAsia"/>
          <w:color w:val="auto"/>
        </w:rPr>
        <w:t>7）配电箱通电试运行：配电箱安装完毕，且各回路的绝缘电阻测试合格后方允许通电试运行。通电后应仔细检查和巡视，检查灯具的控制是否灵活、准确，开关与灯具控制顺序相对应。如果发现问题，必须先断电，然后查找原因进行修复。</w:t>
      </w:r>
    </w:p>
    <w:p w14:paraId="42382FEC">
      <w:pPr>
        <w:ind w:firstLineChars="0"/>
        <w:rPr>
          <w:color w:val="auto"/>
        </w:rPr>
      </w:pPr>
      <w:r>
        <w:rPr>
          <w:rFonts w:hint="eastAsia"/>
          <w:color w:val="auto"/>
        </w:rPr>
        <w:t>8）配电箱、柜安装调试完毕后，最后在箱内分配开关下方用标签标上每个回路所控制的具体负荷、设备名称、位置，以便用户使用检修方便。</w:t>
      </w:r>
    </w:p>
    <w:p w14:paraId="00933659">
      <w:pPr>
        <w:rPr>
          <w:color w:val="auto"/>
        </w:rPr>
      </w:pPr>
      <w:r>
        <w:rPr>
          <w:rFonts w:hint="eastAsia"/>
          <w:color w:val="auto"/>
        </w:rPr>
        <w:t>6、电缆桥架及线槽安装施工工艺</w:t>
      </w:r>
    </w:p>
    <w:p w14:paraId="5A14B555">
      <w:pPr>
        <w:rPr>
          <w:rFonts w:hint="eastAsia"/>
          <w:color w:val="auto"/>
        </w:rPr>
      </w:pPr>
      <w:r>
        <w:rPr>
          <w:rFonts w:hint="eastAsia"/>
          <w:color w:val="auto"/>
        </w:rPr>
        <w:t>（1）桥架走向定位</w:t>
      </w:r>
    </w:p>
    <w:p w14:paraId="731480C8">
      <w:pPr>
        <w:rPr>
          <w:rFonts w:hint="eastAsia"/>
          <w:color w:val="auto"/>
        </w:rPr>
      </w:pPr>
      <w:r>
        <w:rPr>
          <w:rFonts w:hint="eastAsia"/>
          <w:color w:val="auto"/>
        </w:rPr>
        <w:t>根据深化设计图中桥架的分布进行弹线定位。对于桥架较密集的变配房，从地板上弹线，然后用红外线射灯定位投射到顶板来确定支架的固定点。其它部位从顶板上放线以确定支架的位置。</w:t>
      </w:r>
    </w:p>
    <w:p w14:paraId="49E33E04">
      <w:pPr>
        <w:rPr>
          <w:rFonts w:hint="eastAsia"/>
          <w:color w:val="auto"/>
        </w:rPr>
      </w:pPr>
      <w:r>
        <w:rPr>
          <w:rFonts w:hint="eastAsia"/>
          <w:color w:val="auto"/>
        </w:rPr>
        <w:t>（2）支架安装</w:t>
      </w:r>
    </w:p>
    <w:p w14:paraId="32CA5442">
      <w:pPr>
        <w:rPr>
          <w:rFonts w:hint="eastAsia"/>
          <w:color w:val="auto"/>
        </w:rPr>
      </w:pPr>
      <w:r>
        <w:rPr>
          <w:rFonts w:hint="eastAsia"/>
          <w:color w:val="auto"/>
        </w:rPr>
        <w:t>依据施工图设计及综合平衡深化设计确定标高及桥架位置走向，进行定位，然后依照测量尺寸制作支架。支架的整体外观应成排成线、长短一致。水平支架间距为1m，竖向支架间距为1m。</w:t>
      </w:r>
    </w:p>
    <w:p w14:paraId="0E440414">
      <w:pPr>
        <w:rPr>
          <w:rFonts w:hint="eastAsia"/>
          <w:color w:val="auto"/>
        </w:rPr>
      </w:pPr>
      <w:r>
        <w:rPr>
          <w:rFonts w:hint="eastAsia"/>
          <w:color w:val="auto"/>
        </w:rPr>
        <w:t>（3）桥架安装</w:t>
      </w:r>
    </w:p>
    <w:p w14:paraId="531FAFB1">
      <w:pPr>
        <w:rPr>
          <w:rFonts w:hint="eastAsia"/>
          <w:color w:val="auto"/>
        </w:rPr>
      </w:pPr>
      <w:r>
        <w:rPr>
          <w:rFonts w:hint="eastAsia"/>
          <w:color w:val="auto"/>
        </w:rPr>
        <w:t>桥架安装应平直整齐，水平或垂直安装允许偏差为其长度的2‰，全长允许偏差为20mm；桥架连接处牢固可靠，接口应平直、严密，桥架应齐全、平整、无翘角、外层无损伤。根据深化设计图，对各楼层的桥架的弯头、三通等配件进行编号，并将弱电与低压桥架进行标识。</w:t>
      </w:r>
    </w:p>
    <w:p w14:paraId="3EA062C0">
      <w:pPr>
        <w:rPr>
          <w:rFonts w:hint="eastAsia"/>
          <w:color w:val="auto"/>
        </w:rPr>
      </w:pPr>
      <w:r>
        <w:rPr>
          <w:rFonts w:hint="eastAsia"/>
          <w:color w:val="auto"/>
        </w:rPr>
        <w:t>桥架敷设直线段长度超过30m时，以及跨越塔楼和裙楼的桥架均安装伸缩节，且伸缩灵活。桥架之间的连接采用半圆头镀锌螺栓，且半圆头应在桥架内侧，接口应平整、无扭曲、凸起和凹陷。</w:t>
      </w:r>
    </w:p>
    <w:p w14:paraId="27059A63">
      <w:pPr>
        <w:rPr>
          <w:rFonts w:hint="eastAsia"/>
          <w:color w:val="auto"/>
        </w:rPr>
      </w:pPr>
      <w:r>
        <w:rPr>
          <w:rFonts w:hint="eastAsia"/>
          <w:color w:val="auto"/>
        </w:rPr>
        <w:t>本工程桥架转弯及分支处均选用成品配件，且弯头的弯曲半径根据桥架内敷设的最大电缆转弯半径来制定。</w:t>
      </w:r>
    </w:p>
    <w:p w14:paraId="17BCEA55">
      <w:pPr>
        <w:rPr>
          <w:rFonts w:hint="eastAsia"/>
          <w:color w:val="auto"/>
        </w:rPr>
      </w:pPr>
      <w:r>
        <w:rPr>
          <w:rFonts w:hint="eastAsia"/>
          <w:color w:val="auto"/>
        </w:rPr>
        <w:t>1)桥架水平安装：为确保电缆的顺利敷设，水平安装桥架的顶部距顶板最小距离为200mm，采用共用支架的桥架各层之间的最小间距为150mm。宽度在150～1000mm的桥架水平安装时，支架均采用型钢制作，桥架宽度在150mm以下的选用成品支架固定。</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8"/>
        <w:gridCol w:w="3014"/>
        <w:gridCol w:w="3018"/>
      </w:tblGrid>
      <w:tr w14:paraId="24C01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1" w:type="pct"/>
            <w:noWrap w:val="0"/>
            <w:vAlign w:val="center"/>
          </w:tcPr>
          <w:p w14:paraId="2592AFF9">
            <w:pPr>
              <w:pStyle w:val="45"/>
              <w:rPr>
                <w:rFonts w:hint="eastAsia"/>
                <w:color w:val="auto"/>
              </w:rPr>
            </w:pPr>
            <w:r>
              <w:rPr>
                <w:rFonts w:hint="eastAsia"/>
                <w:color w:val="auto"/>
              </w:rPr>
              <w:t>桥架宽度(mm)</w:t>
            </w:r>
          </w:p>
        </w:tc>
        <w:tc>
          <w:tcPr>
            <w:tcW w:w="1663" w:type="pct"/>
            <w:noWrap w:val="0"/>
            <w:vAlign w:val="center"/>
          </w:tcPr>
          <w:p w14:paraId="7C63FEB1">
            <w:pPr>
              <w:pStyle w:val="45"/>
              <w:rPr>
                <w:rFonts w:hint="eastAsia"/>
                <w:color w:val="auto"/>
              </w:rPr>
            </w:pPr>
            <w:r>
              <w:rPr>
                <w:rFonts w:hint="eastAsia"/>
                <w:color w:val="auto"/>
              </w:rPr>
              <w:t>吊杆规格</w:t>
            </w:r>
          </w:p>
        </w:tc>
        <w:tc>
          <w:tcPr>
            <w:tcW w:w="1665" w:type="pct"/>
            <w:noWrap w:val="0"/>
            <w:vAlign w:val="center"/>
          </w:tcPr>
          <w:p w14:paraId="6093B60C">
            <w:pPr>
              <w:pStyle w:val="45"/>
              <w:rPr>
                <w:rFonts w:hint="eastAsia"/>
                <w:color w:val="auto"/>
              </w:rPr>
            </w:pPr>
            <w:r>
              <w:rPr>
                <w:rFonts w:hint="eastAsia"/>
                <w:color w:val="auto"/>
              </w:rPr>
              <w:t>吊梁规格</w:t>
            </w:r>
          </w:p>
        </w:tc>
      </w:tr>
      <w:tr w14:paraId="51B1C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1" w:type="pct"/>
            <w:noWrap w:val="0"/>
            <w:vAlign w:val="center"/>
          </w:tcPr>
          <w:p w14:paraId="036C3B11">
            <w:pPr>
              <w:pStyle w:val="45"/>
              <w:rPr>
                <w:rFonts w:hint="eastAsia"/>
                <w:color w:val="auto"/>
              </w:rPr>
            </w:pPr>
            <w:r>
              <w:rPr>
                <w:rFonts w:hint="eastAsia"/>
                <w:color w:val="auto"/>
              </w:rPr>
              <w:t>800～1000</w:t>
            </w:r>
          </w:p>
        </w:tc>
        <w:tc>
          <w:tcPr>
            <w:tcW w:w="1663" w:type="pct"/>
            <w:noWrap w:val="0"/>
            <w:vAlign w:val="center"/>
          </w:tcPr>
          <w:p w14:paraId="0AB11A99">
            <w:pPr>
              <w:pStyle w:val="45"/>
              <w:rPr>
                <w:rFonts w:hint="eastAsia"/>
                <w:color w:val="auto"/>
              </w:rPr>
            </w:pPr>
            <w:r>
              <w:rPr>
                <w:rFonts w:hint="eastAsia"/>
                <w:color w:val="auto"/>
              </w:rPr>
              <w:t>L50×50×5</w:t>
            </w:r>
          </w:p>
        </w:tc>
        <w:tc>
          <w:tcPr>
            <w:tcW w:w="1665" w:type="pct"/>
            <w:noWrap w:val="0"/>
            <w:vAlign w:val="center"/>
          </w:tcPr>
          <w:p w14:paraId="35BA2F47">
            <w:pPr>
              <w:pStyle w:val="45"/>
              <w:rPr>
                <w:rFonts w:hint="eastAsia"/>
                <w:color w:val="auto"/>
              </w:rPr>
            </w:pPr>
            <w:r>
              <w:rPr>
                <w:rFonts w:hint="eastAsia"/>
                <w:color w:val="auto"/>
              </w:rPr>
              <w:t>L50×50×5</w:t>
            </w:r>
          </w:p>
        </w:tc>
      </w:tr>
      <w:tr w14:paraId="749E1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1" w:type="pct"/>
            <w:noWrap w:val="0"/>
            <w:vAlign w:val="center"/>
          </w:tcPr>
          <w:p w14:paraId="328F2160">
            <w:pPr>
              <w:pStyle w:val="45"/>
              <w:rPr>
                <w:rFonts w:hint="eastAsia"/>
                <w:color w:val="auto"/>
              </w:rPr>
            </w:pPr>
            <w:r>
              <w:rPr>
                <w:rFonts w:hint="eastAsia"/>
                <w:color w:val="auto"/>
              </w:rPr>
              <w:t>400～600</w:t>
            </w:r>
          </w:p>
        </w:tc>
        <w:tc>
          <w:tcPr>
            <w:tcW w:w="1663" w:type="pct"/>
            <w:noWrap w:val="0"/>
            <w:vAlign w:val="center"/>
          </w:tcPr>
          <w:p w14:paraId="5CF21E10">
            <w:pPr>
              <w:pStyle w:val="45"/>
              <w:rPr>
                <w:rFonts w:hint="eastAsia"/>
                <w:color w:val="auto"/>
              </w:rPr>
            </w:pPr>
            <w:r>
              <w:rPr>
                <w:rFonts w:hint="eastAsia"/>
                <w:color w:val="auto"/>
              </w:rPr>
              <w:t>L40×40×4</w:t>
            </w:r>
          </w:p>
        </w:tc>
        <w:tc>
          <w:tcPr>
            <w:tcW w:w="1665" w:type="pct"/>
            <w:noWrap w:val="0"/>
            <w:vAlign w:val="center"/>
          </w:tcPr>
          <w:p w14:paraId="04F0BD85">
            <w:pPr>
              <w:pStyle w:val="45"/>
              <w:rPr>
                <w:rFonts w:hint="eastAsia"/>
                <w:color w:val="auto"/>
              </w:rPr>
            </w:pPr>
            <w:r>
              <w:rPr>
                <w:rFonts w:hint="eastAsia"/>
                <w:color w:val="auto"/>
              </w:rPr>
              <w:t>L40×40×4</w:t>
            </w:r>
          </w:p>
        </w:tc>
      </w:tr>
      <w:tr w14:paraId="5080F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71" w:type="pct"/>
            <w:noWrap w:val="0"/>
            <w:vAlign w:val="center"/>
          </w:tcPr>
          <w:p w14:paraId="4195C326">
            <w:pPr>
              <w:pStyle w:val="45"/>
              <w:rPr>
                <w:rFonts w:hint="eastAsia"/>
                <w:color w:val="auto"/>
              </w:rPr>
            </w:pPr>
            <w:r>
              <w:rPr>
                <w:rFonts w:hint="eastAsia"/>
                <w:color w:val="auto"/>
              </w:rPr>
              <w:t>100～300</w:t>
            </w:r>
          </w:p>
        </w:tc>
        <w:tc>
          <w:tcPr>
            <w:tcW w:w="1663" w:type="pct"/>
            <w:noWrap w:val="0"/>
            <w:vAlign w:val="center"/>
          </w:tcPr>
          <w:p w14:paraId="55CE95E6">
            <w:pPr>
              <w:pStyle w:val="45"/>
              <w:rPr>
                <w:rFonts w:hint="eastAsia"/>
                <w:color w:val="auto"/>
              </w:rPr>
            </w:pPr>
            <w:r>
              <w:rPr>
                <w:rFonts w:hint="eastAsia"/>
                <w:color w:val="auto"/>
              </w:rPr>
              <w:t>Φ10通丝杆</w:t>
            </w:r>
          </w:p>
        </w:tc>
        <w:tc>
          <w:tcPr>
            <w:tcW w:w="1665" w:type="pct"/>
            <w:noWrap w:val="0"/>
            <w:vAlign w:val="center"/>
          </w:tcPr>
          <w:p w14:paraId="116D67A7">
            <w:pPr>
              <w:pStyle w:val="45"/>
              <w:rPr>
                <w:rFonts w:hint="eastAsia"/>
                <w:color w:val="auto"/>
              </w:rPr>
            </w:pPr>
            <w:r>
              <w:rPr>
                <w:rFonts w:hint="eastAsia"/>
                <w:color w:val="auto"/>
              </w:rPr>
              <w:t>L30×30×3</w:t>
            </w:r>
          </w:p>
        </w:tc>
      </w:tr>
    </w:tbl>
    <w:p w14:paraId="22D2965D">
      <w:pPr>
        <w:rPr>
          <w:rFonts w:hint="eastAsia"/>
          <w:color w:val="auto"/>
        </w:rPr>
      </w:pPr>
      <w:r>
        <w:rPr>
          <w:rFonts w:hint="eastAsia"/>
          <w:color w:val="auto"/>
        </w:rPr>
        <w:t>注:防晃支架根据现场的实际情况布置，均采用型钢制作。</w:t>
      </w:r>
    </w:p>
    <w:p w14:paraId="673008B2">
      <w:pPr>
        <w:rPr>
          <w:rFonts w:hint="eastAsia"/>
          <w:color w:val="auto"/>
        </w:rPr>
      </w:pPr>
      <w:r>
        <w:rPr>
          <w:rFonts w:hint="eastAsia"/>
          <w:color w:val="auto"/>
        </w:rPr>
        <w:t>在各层的公共区域内的主干桥架采用共用支架安装。强电井内的桥架根据深化设计图来确定桥架的支架样式。桥架安装穿越防火分区时用防火枕或防火泥封堵。</w:t>
      </w:r>
    </w:p>
    <w:p w14:paraId="04F2DFA7">
      <w:pPr>
        <w:rPr>
          <w:rFonts w:hint="eastAsia"/>
          <w:color w:val="auto"/>
        </w:rPr>
      </w:pPr>
      <w:r>
        <w:rPr>
          <w:rFonts w:hint="eastAsia"/>
          <w:color w:val="auto"/>
        </w:rPr>
        <w:t>2）桥架垂直安装：垂直桥架主要集中在强电井内，因电井内的墙体为高标号的混凝土墙体，在前期结构预留预埋时，电井内预埋铁件（10mm×100mm×100mm）作为桥架固定支架的焊接连接点，竖向支架采用8#镀锌槽钢与预留钢板焊接，桥架与槽钢支架采用螺栓连接。</w:t>
      </w:r>
    </w:p>
    <w:p w14:paraId="1AA49A9B">
      <w:pPr>
        <w:rPr>
          <w:rFonts w:hint="eastAsia"/>
          <w:color w:val="auto"/>
        </w:rPr>
      </w:pPr>
      <w:r>
        <w:rPr>
          <w:rFonts w:hint="eastAsia"/>
          <w:color w:val="auto"/>
        </w:rPr>
        <w:t>由金属桥架引出的金属管线，接头处应用锁母固定。在电线或电缆引出的管口部位应安装塑料护口，避免出线口的电线或电缆遭受损伤。</w:t>
      </w:r>
    </w:p>
    <w:p w14:paraId="52D3098D">
      <w:pPr>
        <w:rPr>
          <w:rFonts w:hint="eastAsia"/>
          <w:color w:val="auto"/>
        </w:rPr>
      </w:pPr>
      <w:r>
        <w:rPr>
          <w:rFonts w:hint="eastAsia"/>
          <w:color w:val="auto"/>
        </w:rPr>
        <w:t>3）桥架接地</w:t>
      </w:r>
    </w:p>
    <w:p w14:paraId="585A8116">
      <w:pPr>
        <w:rPr>
          <w:rFonts w:hint="eastAsia"/>
          <w:color w:val="auto"/>
        </w:rPr>
      </w:pPr>
      <w:r>
        <w:rPr>
          <w:rFonts w:hint="eastAsia"/>
          <w:color w:val="auto"/>
        </w:rPr>
        <w:t>在配电室引至强电井内的桥架内敷设1根25×4镀锌扁铜，将变配电室接地干线与强电竖井的接地干线电气连通。电缆桥架及其支架全长应不少于两处与接地干线连接。</w:t>
      </w:r>
    </w:p>
    <w:p w14:paraId="438B6C31">
      <w:pPr>
        <w:rPr>
          <w:color w:val="auto"/>
        </w:rPr>
      </w:pPr>
      <w:r>
        <w:rPr>
          <w:rFonts w:hint="eastAsia"/>
          <w:color w:val="auto"/>
        </w:rPr>
        <w:t>7、电缆敷设施工工艺</w:t>
      </w:r>
    </w:p>
    <w:p w14:paraId="56C270A3">
      <w:pPr>
        <w:ind w:firstLineChars="0"/>
        <w:rPr>
          <w:color w:val="auto"/>
        </w:rPr>
      </w:pPr>
      <w:r>
        <w:rPr>
          <w:rFonts w:hint="eastAsia"/>
          <w:color w:val="auto"/>
        </w:rPr>
        <w:t>1）电缆敷设顺序：先大后小，每放一根，固定一根，固定顺序为由上而下。检查电缆竖井通道，做好电缆敷设的准备工作。将电缆盘由首层经吊装设备吊装孔运至相应的设备层。在各楼层所需位置分别设置卷扬机，固定好吊点，调整好位置。按照测量回路长度从电缆绞盘上截取相应长度电缆，固定在电缆放线盘上，从放线盘的上端引出和牵引钢丝绳夹紧后缓慢提升施放。电缆机械辅助敷设如下图：</w:t>
      </w:r>
    </w:p>
    <w:tbl>
      <w:tblPr>
        <w:tblStyle w:val="29"/>
        <w:tblW w:w="9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8"/>
        <w:gridCol w:w="3287"/>
      </w:tblGrid>
      <w:tr w14:paraId="3BCB4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5" w:type="dxa"/>
            <w:gridSpan w:val="2"/>
          </w:tcPr>
          <w:p w14:paraId="7C67F913">
            <w:pPr>
              <w:pStyle w:val="45"/>
              <w:ind w:left="480" w:hanging="480"/>
              <w:rPr>
                <w:rFonts w:hint="eastAsia"/>
                <w:color w:val="auto"/>
              </w:rPr>
            </w:pPr>
            <w:r>
              <w:rPr>
                <w:rFonts w:hint="eastAsia"/>
                <w:color w:val="auto"/>
              </w:rPr>
              <w:t>卷扬机敷设电缆示意图1</w:t>
            </w:r>
          </w:p>
        </w:tc>
      </w:tr>
      <w:tr w14:paraId="3E3E1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8" w:type="dxa"/>
          </w:tcPr>
          <w:p w14:paraId="7FBA07FC">
            <w:pPr>
              <w:pStyle w:val="45"/>
              <w:ind w:left="480" w:hanging="480"/>
              <w:rPr>
                <w:rFonts w:hint="eastAsia"/>
                <w:color w:val="auto"/>
              </w:rPr>
            </w:pPr>
            <w:r>
              <w:rPr>
                <w:color w:val="auto"/>
              </w:rPr>
              <w:drawing>
                <wp:inline distT="0" distB="0" distL="0" distR="0">
                  <wp:extent cx="3164205" cy="3190240"/>
                  <wp:effectExtent l="0" t="0" r="0" b="0"/>
                  <wp:docPr id="154"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231"/>
                          <pic:cNvPicPr>
                            <a:picLocks noChangeAspect="1"/>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3173688" cy="3199631"/>
                          </a:xfrm>
                          <a:prstGeom prst="rect">
                            <a:avLst/>
                          </a:prstGeom>
                          <a:noFill/>
                          <a:ln w="9525">
                            <a:noFill/>
                            <a:miter/>
                          </a:ln>
                        </pic:spPr>
                      </pic:pic>
                    </a:graphicData>
                  </a:graphic>
                </wp:inline>
              </w:drawing>
            </w:r>
          </w:p>
        </w:tc>
        <w:tc>
          <w:tcPr>
            <w:tcW w:w="3287" w:type="dxa"/>
          </w:tcPr>
          <w:p w14:paraId="1ED15439">
            <w:pPr>
              <w:pStyle w:val="45"/>
              <w:ind w:left="480" w:hanging="480"/>
              <w:jc w:val="left"/>
              <w:rPr>
                <w:rFonts w:hint="eastAsia"/>
                <w:color w:val="auto"/>
              </w:rPr>
            </w:pPr>
            <w:r>
              <w:rPr>
                <w:rFonts w:hint="eastAsia"/>
                <w:color w:val="auto"/>
              </w:rPr>
              <w:t>符号说明：</w:t>
            </w:r>
          </w:p>
          <w:p w14:paraId="5F98C3FB">
            <w:pPr>
              <w:pStyle w:val="45"/>
              <w:ind w:left="480" w:hanging="480"/>
              <w:jc w:val="left"/>
              <w:rPr>
                <w:rFonts w:hint="eastAsia"/>
                <w:color w:val="auto"/>
              </w:rPr>
            </w:pPr>
            <w:r>
              <w:rPr>
                <w:rFonts w:hint="eastAsia"/>
                <w:color w:val="auto"/>
              </w:rPr>
              <w:t>1-钢丝绳</w:t>
            </w:r>
          </w:p>
          <w:p w14:paraId="02A353A5">
            <w:pPr>
              <w:pStyle w:val="45"/>
              <w:ind w:left="480" w:hanging="480"/>
              <w:jc w:val="left"/>
              <w:rPr>
                <w:rFonts w:hint="eastAsia"/>
                <w:color w:val="auto"/>
              </w:rPr>
            </w:pPr>
            <w:r>
              <w:rPr>
                <w:rFonts w:hint="eastAsia"/>
                <w:color w:val="auto"/>
              </w:rPr>
              <w:t>2-膨胀螺栓</w:t>
            </w:r>
          </w:p>
          <w:p w14:paraId="4ECCA427">
            <w:pPr>
              <w:pStyle w:val="45"/>
              <w:ind w:left="480" w:hanging="480"/>
              <w:jc w:val="left"/>
              <w:rPr>
                <w:rFonts w:hint="eastAsia"/>
                <w:color w:val="auto"/>
              </w:rPr>
            </w:pPr>
            <w:r>
              <w:rPr>
                <w:rFonts w:hint="eastAsia"/>
                <w:color w:val="auto"/>
              </w:rPr>
              <w:t>3-槽钢</w:t>
            </w:r>
          </w:p>
          <w:p w14:paraId="1BC24364">
            <w:pPr>
              <w:pStyle w:val="45"/>
              <w:ind w:left="480" w:hanging="480"/>
              <w:jc w:val="left"/>
              <w:rPr>
                <w:rFonts w:hint="eastAsia"/>
                <w:color w:val="auto"/>
              </w:rPr>
            </w:pPr>
            <w:r>
              <w:rPr>
                <w:rFonts w:hint="eastAsia"/>
                <w:color w:val="auto"/>
              </w:rPr>
              <w:t>4-固定卷扬机用钢丝绳</w:t>
            </w:r>
          </w:p>
          <w:p w14:paraId="06A007EE">
            <w:pPr>
              <w:pStyle w:val="45"/>
              <w:ind w:left="480" w:hanging="480"/>
              <w:jc w:val="left"/>
              <w:rPr>
                <w:rFonts w:hint="eastAsia"/>
                <w:color w:val="auto"/>
              </w:rPr>
            </w:pPr>
            <w:r>
              <w:rPr>
                <w:rFonts w:hint="eastAsia"/>
                <w:color w:val="auto"/>
              </w:rPr>
              <w:t>5-卷扬机</w:t>
            </w:r>
          </w:p>
          <w:p w14:paraId="445CFC91">
            <w:pPr>
              <w:pStyle w:val="45"/>
              <w:ind w:left="480" w:hanging="480"/>
              <w:jc w:val="left"/>
              <w:rPr>
                <w:rFonts w:hint="eastAsia"/>
                <w:color w:val="auto"/>
              </w:rPr>
            </w:pPr>
            <w:r>
              <w:rPr>
                <w:rFonts w:hint="eastAsia"/>
                <w:color w:val="auto"/>
              </w:rPr>
              <w:t>6-钢丝绳</w:t>
            </w:r>
          </w:p>
          <w:p w14:paraId="3E522EFA">
            <w:pPr>
              <w:pStyle w:val="45"/>
              <w:ind w:left="480" w:hanging="480"/>
              <w:jc w:val="left"/>
              <w:rPr>
                <w:rFonts w:hint="eastAsia"/>
                <w:color w:val="auto"/>
              </w:rPr>
            </w:pPr>
            <w:r>
              <w:rPr>
                <w:rFonts w:hint="eastAsia"/>
                <w:color w:val="auto"/>
              </w:rPr>
              <w:t>7-滑轮</w:t>
            </w:r>
          </w:p>
          <w:p w14:paraId="71E100AA">
            <w:pPr>
              <w:pStyle w:val="45"/>
              <w:ind w:left="480" w:hanging="480"/>
              <w:jc w:val="left"/>
              <w:rPr>
                <w:rFonts w:hint="eastAsia"/>
                <w:color w:val="auto"/>
              </w:rPr>
            </w:pPr>
            <w:r>
              <w:rPr>
                <w:rFonts w:hint="eastAsia"/>
                <w:color w:val="auto"/>
              </w:rPr>
              <w:t>8-导向滑轮</w:t>
            </w:r>
          </w:p>
          <w:p w14:paraId="5FE35D69">
            <w:pPr>
              <w:pStyle w:val="45"/>
              <w:ind w:left="480" w:hanging="480"/>
              <w:jc w:val="left"/>
              <w:rPr>
                <w:rFonts w:hint="eastAsia"/>
                <w:color w:val="auto"/>
              </w:rPr>
            </w:pPr>
            <w:r>
              <w:rPr>
                <w:rFonts w:hint="eastAsia"/>
                <w:color w:val="auto"/>
              </w:rPr>
              <w:t>9-电缆夹具</w:t>
            </w:r>
          </w:p>
          <w:p w14:paraId="30837577">
            <w:pPr>
              <w:pStyle w:val="45"/>
              <w:ind w:left="480" w:hanging="480"/>
              <w:jc w:val="left"/>
              <w:rPr>
                <w:rFonts w:hint="eastAsia"/>
                <w:color w:val="auto"/>
              </w:rPr>
            </w:pPr>
            <w:r>
              <w:rPr>
                <w:rFonts w:hint="eastAsia"/>
                <w:color w:val="auto"/>
              </w:rPr>
              <w:t>10-电缆</w:t>
            </w:r>
          </w:p>
        </w:tc>
      </w:tr>
      <w:tr w14:paraId="6214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45" w:type="dxa"/>
            <w:gridSpan w:val="2"/>
          </w:tcPr>
          <w:p w14:paraId="6EA243EE">
            <w:pPr>
              <w:pStyle w:val="45"/>
              <w:ind w:left="480" w:hanging="480"/>
              <w:rPr>
                <w:rFonts w:hint="eastAsia"/>
                <w:color w:val="auto"/>
              </w:rPr>
            </w:pPr>
            <w:r>
              <w:rPr>
                <w:rFonts w:hint="eastAsia"/>
                <w:color w:val="auto"/>
              </w:rPr>
              <w:t>卷扬机敷设电缆示意图2</w:t>
            </w:r>
          </w:p>
        </w:tc>
      </w:tr>
      <w:tr w14:paraId="40FB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58" w:type="dxa"/>
          </w:tcPr>
          <w:p w14:paraId="58C8A121">
            <w:pPr>
              <w:pStyle w:val="45"/>
              <w:ind w:left="480" w:hanging="480"/>
              <w:rPr>
                <w:rFonts w:hint="eastAsia"/>
                <w:color w:val="auto"/>
              </w:rPr>
            </w:pPr>
            <w:r>
              <w:rPr>
                <w:color w:val="auto"/>
              </w:rPr>
              <w:drawing>
                <wp:inline distT="0" distB="0" distL="0" distR="0">
                  <wp:extent cx="2941955" cy="3182620"/>
                  <wp:effectExtent l="0" t="0" r="0" b="0"/>
                  <wp:docPr id="44"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33"/>
                          <pic:cNvPicPr>
                            <a:picLocks noChangeAspect="1"/>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2947999" cy="3189199"/>
                          </a:xfrm>
                          <a:prstGeom prst="rect">
                            <a:avLst/>
                          </a:prstGeom>
                          <a:noFill/>
                          <a:ln w="9525">
                            <a:noFill/>
                            <a:miter/>
                          </a:ln>
                        </pic:spPr>
                      </pic:pic>
                    </a:graphicData>
                  </a:graphic>
                </wp:inline>
              </w:drawing>
            </w:r>
          </w:p>
        </w:tc>
        <w:tc>
          <w:tcPr>
            <w:tcW w:w="3287" w:type="dxa"/>
          </w:tcPr>
          <w:p w14:paraId="23DA5C3C">
            <w:pPr>
              <w:rPr>
                <w:color w:val="auto"/>
              </w:rPr>
            </w:pPr>
            <w:r>
              <w:rPr>
                <w:rFonts w:hint="eastAsia"/>
                <w:color w:val="auto"/>
              </w:rPr>
              <w:t>符号说明：</w:t>
            </w:r>
          </w:p>
          <w:p w14:paraId="0B113D32">
            <w:pPr>
              <w:rPr>
                <w:color w:val="auto"/>
              </w:rPr>
            </w:pPr>
            <w:r>
              <w:rPr>
                <w:rFonts w:hint="eastAsia"/>
                <w:color w:val="auto"/>
              </w:rPr>
              <w:t>1-钢丝绳</w:t>
            </w:r>
          </w:p>
          <w:p w14:paraId="2F656103">
            <w:pPr>
              <w:rPr>
                <w:color w:val="auto"/>
              </w:rPr>
            </w:pPr>
            <w:r>
              <w:rPr>
                <w:rFonts w:hint="eastAsia"/>
                <w:color w:val="auto"/>
              </w:rPr>
              <w:t>2-膨胀螺栓</w:t>
            </w:r>
          </w:p>
          <w:p w14:paraId="5F476C41">
            <w:pPr>
              <w:rPr>
                <w:color w:val="auto"/>
              </w:rPr>
            </w:pPr>
            <w:r>
              <w:rPr>
                <w:rFonts w:hint="eastAsia"/>
                <w:color w:val="auto"/>
              </w:rPr>
              <w:t>3-槽钢</w:t>
            </w:r>
          </w:p>
          <w:p w14:paraId="5210F458">
            <w:pPr>
              <w:rPr>
                <w:color w:val="auto"/>
              </w:rPr>
            </w:pPr>
            <w:r>
              <w:rPr>
                <w:rFonts w:hint="eastAsia"/>
                <w:color w:val="auto"/>
              </w:rPr>
              <w:t>4-固定卷扬机用钢丝绳</w:t>
            </w:r>
          </w:p>
          <w:p w14:paraId="6F7AC209">
            <w:pPr>
              <w:rPr>
                <w:color w:val="auto"/>
              </w:rPr>
            </w:pPr>
            <w:r>
              <w:rPr>
                <w:rFonts w:hint="eastAsia"/>
                <w:color w:val="auto"/>
              </w:rPr>
              <w:t>5-卷扬机</w:t>
            </w:r>
          </w:p>
          <w:p w14:paraId="5372CCF4">
            <w:pPr>
              <w:rPr>
                <w:color w:val="auto"/>
              </w:rPr>
            </w:pPr>
            <w:r>
              <w:rPr>
                <w:rFonts w:hint="eastAsia"/>
                <w:color w:val="auto"/>
              </w:rPr>
              <w:t>6-钢丝绳</w:t>
            </w:r>
          </w:p>
          <w:p w14:paraId="762D85E1">
            <w:pPr>
              <w:rPr>
                <w:color w:val="auto"/>
              </w:rPr>
            </w:pPr>
            <w:r>
              <w:rPr>
                <w:rFonts w:hint="eastAsia"/>
                <w:color w:val="auto"/>
              </w:rPr>
              <w:t>7-滑轮</w:t>
            </w:r>
          </w:p>
          <w:p w14:paraId="4B75EF64">
            <w:pPr>
              <w:rPr>
                <w:color w:val="auto"/>
              </w:rPr>
            </w:pPr>
            <w:r>
              <w:rPr>
                <w:rFonts w:hint="eastAsia"/>
                <w:color w:val="auto"/>
              </w:rPr>
              <w:t>8-导向滑轮</w:t>
            </w:r>
          </w:p>
          <w:p w14:paraId="066DA37A">
            <w:pPr>
              <w:rPr>
                <w:color w:val="auto"/>
              </w:rPr>
            </w:pPr>
            <w:r>
              <w:rPr>
                <w:rFonts w:hint="eastAsia"/>
                <w:color w:val="auto"/>
              </w:rPr>
              <w:t>9-电缆放线架</w:t>
            </w:r>
          </w:p>
          <w:p w14:paraId="3725321F">
            <w:pPr>
              <w:rPr>
                <w:color w:val="auto"/>
              </w:rPr>
            </w:pPr>
            <w:r>
              <w:rPr>
                <w:rFonts w:hint="eastAsia"/>
                <w:color w:val="auto"/>
              </w:rPr>
              <w:t>10-电缆放线盘</w:t>
            </w:r>
          </w:p>
          <w:p w14:paraId="2900AEF2">
            <w:pPr>
              <w:rPr>
                <w:color w:val="auto"/>
              </w:rPr>
            </w:pPr>
            <w:r>
              <w:rPr>
                <w:rFonts w:hint="eastAsia"/>
                <w:color w:val="auto"/>
              </w:rPr>
              <w:t>11-电缆</w:t>
            </w:r>
          </w:p>
          <w:p w14:paraId="1A445208">
            <w:pPr>
              <w:rPr>
                <w:color w:val="auto"/>
              </w:rPr>
            </w:pPr>
            <w:r>
              <w:rPr>
                <w:rFonts w:hint="eastAsia"/>
                <w:color w:val="auto"/>
              </w:rPr>
              <w:t>12-电缆滑轮</w:t>
            </w:r>
          </w:p>
          <w:p w14:paraId="4A0BC7C2">
            <w:pPr>
              <w:rPr>
                <w:color w:val="auto"/>
              </w:rPr>
            </w:pPr>
            <w:r>
              <w:rPr>
                <w:rFonts w:hint="eastAsia"/>
                <w:color w:val="auto"/>
              </w:rPr>
              <w:t>13-电缆夹具</w:t>
            </w:r>
          </w:p>
        </w:tc>
      </w:tr>
    </w:tbl>
    <w:p w14:paraId="032971B6">
      <w:pPr>
        <w:ind w:firstLineChars="0"/>
        <w:rPr>
          <w:color w:val="auto"/>
        </w:rPr>
      </w:pPr>
      <w:r>
        <w:rPr>
          <w:rFonts w:hint="eastAsia"/>
          <w:color w:val="auto"/>
        </w:rPr>
        <w:t>2）将电缆顶端用一个专用金属网套固定，通过回转接头同卷扬机钢丝绳连接；检查各个环节是否准备好，检查无误后点动卷扬机将电缆提升，在提升过程中，卷扬机只能是点动，底部电缆放线盘用人力转动，必须保证有足够的长度供卷扬机提升，电动卷扬机处和电缆放线架处必须有专人负责指挥，且人手一部对讲机，以便遇到危险时及时停止点动卷扬机。</w:t>
      </w:r>
    </w:p>
    <w:p w14:paraId="67FBFCC6">
      <w:pPr>
        <w:ind w:firstLineChars="0"/>
        <w:rPr>
          <w:color w:val="auto"/>
        </w:rPr>
      </w:pPr>
      <w:r>
        <w:rPr>
          <w:rFonts w:hint="eastAsia"/>
          <w:color w:val="auto"/>
        </w:rPr>
        <w:t>3）卷扬机和电缆的布置：在电缆转弯时设导向滑轮，在每层的桥架预留洞口边设置防止电缆偏向的电缆导向滑轮，电缆敷设前，应先对卷扬机等起重设施进行120%负荷试验。电缆敷设中，电缆每提升或下降一层，每层用钢丝绳与电缆专用的夹具将电缆与钢丝绳牢固地绑扎在一起，将电缆上的拉力均匀地分布到钢丝绳各段。电缆楼层安排工人看护，人员之间保持通讯畅通。卷扬机亦与结构可靠固定。机械敷设电缆的速度控制在15m/min以下。</w:t>
      </w:r>
    </w:p>
    <w:p w14:paraId="491D37D6">
      <w:pPr>
        <w:ind w:firstLineChars="0"/>
        <w:rPr>
          <w:color w:val="auto"/>
        </w:rPr>
      </w:pPr>
      <w:r>
        <w:rPr>
          <w:rFonts w:hint="eastAsia"/>
          <w:color w:val="auto"/>
        </w:rPr>
        <w:t>4）电缆支架架设地点的选择，以敷设方便为原则，一般应在电缆起止点附近为宜。架设时，应注意电缆轴的转动方向，电缆应从盘的上端引出，不应使电缆在支架及地面摩擦拖拉，防止电缆绞拧、绝缘破皮等机械损伤。</w:t>
      </w:r>
    </w:p>
    <w:p w14:paraId="00F3D98C">
      <w:pPr>
        <w:ind w:firstLineChars="0"/>
        <w:rPr>
          <w:color w:val="auto"/>
        </w:rPr>
      </w:pPr>
      <w:r>
        <w:rPr>
          <w:rFonts w:hint="eastAsia"/>
          <w:color w:val="auto"/>
        </w:rPr>
        <w:t>5）电缆头制作：剥除电缆绝缘保护层，根据电缆头工艺尺寸剥除电缆外绝缘保护层，注意保持电缆清洁，在电缆分叉处缠绕填冲胶后，套热缩电缆终端套。电缆芯线压接线鼻子。根据线鼻子的深度，剥去电缆芯线绝缘，并在芯线上涂上凡士林，将线芯插入接线鼻子内，用压线钳压紧接线鼻子，压接好接线端子后再套入分支套，从中间往两边加热收缩。根据不同的相位，使用黄、绿、红、黑、淡蓝色等热缩管护套至接线鼻子的压接部位。将做好终端头的电缆固定在预先做好的电缆支架上，并将芯线分开。根据接线端子的型号，选用螺栓将电缆接线端子压接在设备上。</w:t>
      </w:r>
    </w:p>
    <w:p w14:paraId="25ED8A4E">
      <w:pPr>
        <w:ind w:firstLineChars="0"/>
        <w:rPr>
          <w:color w:val="auto"/>
        </w:rPr>
      </w:pPr>
      <w:r>
        <w:rPr>
          <w:rFonts w:hint="eastAsia"/>
          <w:color w:val="auto"/>
        </w:rPr>
        <w:t>6）电缆固定及标识：桥架内电缆应排列整齐，固定点一致。电缆固定采用尼龙扎带，间距1m以内，每20m用金属电缆卡做加强固定。沿电缆桥架敷设的电缆在其两端、拐弯处、交叉处应挂标志牌，直线段每间隔20m增设标志牌。标志牌规格应一致，并有防腐性能，挂设应牢固。标志牌上应注明电缆编号、规格、型号、电压等级及起始位置。</w:t>
      </w:r>
    </w:p>
    <w:p w14:paraId="24DF9FE4">
      <w:pPr>
        <w:rPr>
          <w:color w:val="auto"/>
        </w:rPr>
      </w:pPr>
      <w:r>
        <w:rPr>
          <w:rFonts w:hint="eastAsia"/>
          <w:color w:val="auto"/>
        </w:rPr>
        <w:t>8、防雷接地施工工艺</w:t>
      </w:r>
    </w:p>
    <w:p w14:paraId="3205ACBB">
      <w:pPr>
        <w:ind w:firstLineChars="0"/>
        <w:rPr>
          <w:bCs/>
          <w:color w:val="auto"/>
        </w:rPr>
      </w:pPr>
      <w:bookmarkStart w:id="204" w:name="_Toc6249"/>
      <w:bookmarkStart w:id="205" w:name="_Toc416698013"/>
      <w:r>
        <w:rPr>
          <w:rFonts w:hint="eastAsia"/>
          <w:bCs/>
          <w:color w:val="auto"/>
        </w:rPr>
        <w:t>1）基础接地</w:t>
      </w:r>
      <w:r>
        <w:rPr>
          <w:bCs/>
          <w:color w:val="auto"/>
        </w:rPr>
        <w:t>焊接</w:t>
      </w:r>
      <w:bookmarkEnd w:id="204"/>
      <w:bookmarkEnd w:id="205"/>
      <w:r>
        <w:rPr>
          <w:rFonts w:hint="eastAsia"/>
          <w:bCs/>
          <w:color w:val="auto"/>
        </w:rPr>
        <w:t>：</w:t>
      </w:r>
      <w:r>
        <w:rPr>
          <w:rFonts w:hint="eastAsia"/>
          <w:color w:val="auto"/>
        </w:rPr>
        <w:t>基础接地利用建筑物基础底板内两根主筋（</w:t>
      </w:r>
      <w:r>
        <w:rPr>
          <w:rFonts w:hint="eastAsia" w:ascii="MS Gothic" w:hAnsi="MS Gothic" w:eastAsia="MS Gothic" w:cs="MS Gothic"/>
          <w:color w:val="auto"/>
        </w:rPr>
        <w:t>∅</w:t>
      </w:r>
      <w:r>
        <w:rPr>
          <w:rFonts w:hint="eastAsia"/>
          <w:color w:val="auto"/>
        </w:rPr>
        <w:t>≥</w:t>
      </w:r>
      <w:r>
        <w:rPr>
          <w:color w:val="auto"/>
        </w:rPr>
        <w:t>16mm</w:t>
      </w:r>
      <w:r>
        <w:rPr>
          <w:rFonts w:hint="eastAsia"/>
          <w:color w:val="auto"/>
        </w:rPr>
        <w:t>）通长焊接成闭合回路，并与所有柱内作防雷引下线或辅助接地线的主筋可靠连接。</w:t>
      </w:r>
      <w:r>
        <w:rPr>
          <w:rFonts w:hint="eastAsia"/>
          <w:bCs/>
          <w:color w:val="auto"/>
        </w:rPr>
        <w:t>按设计图尺寸位置要求，标好位置，将底板基础梁钢筋中两根主筋（底板钢筋十字交接处应可靠焊接）各自搭接焊好贯通形成方形回路，再利用圆钢将基础底梁上下两层钢筋主筋搭接焊形成一个完整的电气闭合回路。将柱主筋（对角两根）底部与底板上下两层筋搭接焊，并将两根主筋用色漆做好标记，以便引出和检查。</w:t>
      </w:r>
      <w:bookmarkStart w:id="206" w:name="_Toc416698014"/>
    </w:p>
    <w:p w14:paraId="1EC05B4A">
      <w:pPr>
        <w:pStyle w:val="49"/>
        <w:rPr>
          <w:rFonts w:hint="eastAsia"/>
          <w:color w:val="auto"/>
        </w:rPr>
      </w:pPr>
      <w:r>
        <w:rPr>
          <w:color w:val="auto"/>
        </w:rPr>
        <w:drawing>
          <wp:inline distT="0" distB="0" distL="0" distR="0">
            <wp:extent cx="1572895" cy="2022475"/>
            <wp:effectExtent l="381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65">
                      <a:extLst>
                        <a:ext uri="{28A0092B-C50C-407E-A947-70E740481C1C}">
                          <a14:useLocalDpi xmlns:a14="http://schemas.microsoft.com/office/drawing/2010/main" val="0"/>
                        </a:ext>
                      </a:extLst>
                    </a:blip>
                    <a:srcRect l="17976" t="6648" r="64211" b="48013"/>
                    <a:stretch>
                      <a:fillRect/>
                    </a:stretch>
                  </pic:blipFill>
                  <pic:spPr>
                    <a:xfrm rot="5400000">
                      <a:off x="0" y="0"/>
                      <a:ext cx="1572895" cy="2022475"/>
                    </a:xfrm>
                    <a:prstGeom prst="rect">
                      <a:avLst/>
                    </a:prstGeom>
                    <a:noFill/>
                    <a:ln>
                      <a:noFill/>
                    </a:ln>
                  </pic:spPr>
                </pic:pic>
              </a:graphicData>
            </a:graphic>
          </wp:inline>
        </w:drawing>
      </w:r>
    </w:p>
    <w:p w14:paraId="547ADD71">
      <w:pPr>
        <w:pStyle w:val="53"/>
        <w:rPr>
          <w:color w:val="auto"/>
        </w:rPr>
      </w:pPr>
      <w:r>
        <w:rPr>
          <w:rFonts w:hint="eastAsia"/>
          <w:color w:val="auto"/>
        </w:rPr>
        <w:t>利用基础钢筋接地焊接大样图</w:t>
      </w:r>
    </w:p>
    <w:p w14:paraId="088E190D">
      <w:pPr>
        <w:ind w:firstLineChars="0"/>
        <w:rPr>
          <w:bCs/>
          <w:color w:val="auto"/>
        </w:rPr>
      </w:pPr>
      <w:r>
        <w:rPr>
          <w:rFonts w:hint="eastAsia"/>
          <w:bCs/>
          <w:color w:val="auto"/>
        </w:rPr>
        <w:t>2）</w:t>
      </w:r>
      <w:r>
        <w:rPr>
          <w:bCs/>
          <w:color w:val="auto"/>
        </w:rPr>
        <w:t>避雷引下线的焊接</w:t>
      </w:r>
      <w:bookmarkEnd w:id="206"/>
      <w:r>
        <w:rPr>
          <w:rFonts w:hint="eastAsia"/>
          <w:bCs/>
          <w:color w:val="auto"/>
        </w:rPr>
        <w:t>：</w:t>
      </w:r>
      <w:r>
        <w:rPr>
          <w:color w:val="auto"/>
        </w:rPr>
        <w:t>利用建筑物柱内主筋及桩主筋作为引下线，在结构钢筋施工完后，应做标志，并应按设计要求施工，应经检查确认记录后再支模。本工程</w:t>
      </w:r>
      <w:r>
        <w:rPr>
          <w:rFonts w:hint="eastAsia"/>
          <w:color w:val="auto"/>
        </w:rPr>
        <w:t>利用框架柱或剪力墙2根Φ1</w:t>
      </w:r>
      <w:r>
        <w:rPr>
          <w:color w:val="auto"/>
        </w:rPr>
        <w:t>6</w:t>
      </w:r>
      <w:r>
        <w:rPr>
          <w:rFonts w:hint="eastAsia"/>
          <w:color w:val="auto"/>
        </w:rPr>
        <w:t>或4根小于Φ1</w:t>
      </w:r>
      <w:r>
        <w:rPr>
          <w:color w:val="auto"/>
        </w:rPr>
        <w:t>6</w:t>
      </w:r>
      <w:r>
        <w:rPr>
          <w:rFonts w:hint="eastAsia"/>
          <w:color w:val="auto"/>
        </w:rPr>
        <w:t>钢筋作为防雷引下线</w:t>
      </w:r>
      <w:r>
        <w:rPr>
          <w:color w:val="auto"/>
        </w:rPr>
        <w:t>，上伸出女儿墙或伸至屋面与避雷带相连。</w:t>
      </w:r>
      <w:r>
        <w:rPr>
          <w:rFonts w:hint="eastAsia"/>
          <w:color w:val="auto"/>
        </w:rPr>
        <w:t>引下线钢筋与钢筋采用土建施工的绑扎或螺丝扣的机械连接</w:t>
      </w:r>
      <w:r>
        <w:rPr>
          <w:color w:val="auto"/>
        </w:rPr>
        <w:t>，引下线上端与避雷带焊接，下端与接地装置焊接，双面施焊，焊接面</w:t>
      </w:r>
      <w:r>
        <w:rPr>
          <w:rFonts w:hint="eastAsia"/>
          <w:color w:val="auto"/>
        </w:rPr>
        <w:t>≥</w:t>
      </w:r>
      <w:r>
        <w:rPr>
          <w:color w:val="auto"/>
        </w:rPr>
        <w:t>6D，焊接牢固。相邻的两处引下线间距不大于18米</w:t>
      </w:r>
      <w:r>
        <w:rPr>
          <w:rFonts w:hint="eastAsia"/>
          <w:color w:val="auto"/>
        </w:rPr>
        <w:t>。</w:t>
      </w:r>
      <w:r>
        <w:rPr>
          <w:bCs/>
          <w:color w:val="auto"/>
        </w:rPr>
        <w:t>被利用来做引下线的主筋必须做有明显的标记，焊接符合施工规范要求。</w:t>
      </w:r>
    </w:p>
    <w:p w14:paraId="4E63AD30">
      <w:pPr>
        <w:pStyle w:val="49"/>
        <w:rPr>
          <w:rFonts w:hint="eastAsia"/>
          <w:color w:val="auto"/>
        </w:rPr>
      </w:pPr>
      <w:r>
        <w:rPr>
          <w:color w:val="auto"/>
        </w:rPr>
        <w:drawing>
          <wp:inline distT="0" distB="0" distL="0" distR="0">
            <wp:extent cx="4572000" cy="289814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166">
                      <a:grayscl/>
                      <a:extLst>
                        <a:ext uri="{28A0092B-C50C-407E-A947-70E740481C1C}">
                          <a14:useLocalDpi xmlns:a14="http://schemas.microsoft.com/office/drawing/2010/main" val="0"/>
                        </a:ext>
                      </a:extLst>
                    </a:blip>
                    <a:srcRect/>
                    <a:stretch>
                      <a:fillRect/>
                    </a:stretch>
                  </pic:blipFill>
                  <pic:spPr>
                    <a:xfrm>
                      <a:off x="0" y="0"/>
                      <a:ext cx="4572000" cy="2898140"/>
                    </a:xfrm>
                    <a:prstGeom prst="rect">
                      <a:avLst/>
                    </a:prstGeom>
                    <a:noFill/>
                    <a:ln>
                      <a:noFill/>
                    </a:ln>
                  </pic:spPr>
                </pic:pic>
              </a:graphicData>
            </a:graphic>
          </wp:inline>
        </w:drawing>
      </w:r>
    </w:p>
    <w:p w14:paraId="60F7DD62">
      <w:pPr>
        <w:pStyle w:val="53"/>
        <w:rPr>
          <w:color w:val="auto"/>
        </w:rPr>
      </w:pPr>
      <w:r>
        <w:rPr>
          <w:rFonts w:hint="eastAsia"/>
          <w:color w:val="auto"/>
        </w:rPr>
        <w:t>基础接地与防雷引下线焊接示意图</w:t>
      </w:r>
    </w:p>
    <w:p w14:paraId="1FF4D55D">
      <w:pPr>
        <w:pStyle w:val="49"/>
        <w:rPr>
          <w:rFonts w:hint="eastAsia"/>
          <w:color w:val="auto"/>
        </w:rPr>
      </w:pPr>
      <w:r>
        <w:rPr>
          <w:color w:val="auto"/>
        </w:rPr>
        <w:drawing>
          <wp:inline distT="0" distB="0" distL="0" distR="0">
            <wp:extent cx="3502660" cy="1743710"/>
            <wp:effectExtent l="0" t="0" r="2540" b="889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167">
                      <a:grayscl/>
                      <a:extLst>
                        <a:ext uri="{28A0092B-C50C-407E-A947-70E740481C1C}">
                          <a14:useLocalDpi xmlns:a14="http://schemas.microsoft.com/office/drawing/2010/main" val="0"/>
                        </a:ext>
                      </a:extLst>
                    </a:blip>
                    <a:srcRect/>
                    <a:stretch>
                      <a:fillRect/>
                    </a:stretch>
                  </pic:blipFill>
                  <pic:spPr>
                    <a:xfrm>
                      <a:off x="0" y="0"/>
                      <a:ext cx="3502660" cy="1743710"/>
                    </a:xfrm>
                    <a:prstGeom prst="rect">
                      <a:avLst/>
                    </a:prstGeom>
                    <a:noFill/>
                    <a:ln>
                      <a:noFill/>
                    </a:ln>
                  </pic:spPr>
                </pic:pic>
              </a:graphicData>
            </a:graphic>
          </wp:inline>
        </w:drawing>
      </w:r>
    </w:p>
    <w:p w14:paraId="0EAA25AF">
      <w:pPr>
        <w:pStyle w:val="53"/>
        <w:rPr>
          <w:color w:val="auto"/>
        </w:rPr>
      </w:pPr>
      <w:r>
        <w:rPr>
          <w:rFonts w:hint="eastAsia"/>
          <w:color w:val="auto"/>
        </w:rPr>
        <w:t>柱筋与基础钢筋焊接大样图</w:t>
      </w:r>
    </w:p>
    <w:p w14:paraId="30745655">
      <w:pPr>
        <w:pStyle w:val="49"/>
        <w:rPr>
          <w:rFonts w:hint="eastAsia"/>
          <w:color w:val="auto"/>
        </w:rPr>
      </w:pPr>
      <w:r>
        <w:rPr>
          <w:color w:val="auto"/>
        </w:rPr>
        <w:drawing>
          <wp:inline distT="0" distB="0" distL="0" distR="0">
            <wp:extent cx="1550035" cy="200723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165">
                      <a:extLst>
                        <a:ext uri="{28A0092B-C50C-407E-A947-70E740481C1C}">
                          <a14:useLocalDpi xmlns:a14="http://schemas.microsoft.com/office/drawing/2010/main" val="0"/>
                        </a:ext>
                      </a:extLst>
                    </a:blip>
                    <a:srcRect l="17976" t="6648" r="64211" b="48013"/>
                    <a:stretch>
                      <a:fillRect/>
                    </a:stretch>
                  </pic:blipFill>
                  <pic:spPr>
                    <a:xfrm>
                      <a:off x="0" y="0"/>
                      <a:ext cx="1550035" cy="2007235"/>
                    </a:xfrm>
                    <a:prstGeom prst="rect">
                      <a:avLst/>
                    </a:prstGeom>
                    <a:noFill/>
                    <a:ln>
                      <a:noFill/>
                    </a:ln>
                  </pic:spPr>
                </pic:pic>
              </a:graphicData>
            </a:graphic>
          </wp:inline>
        </w:drawing>
      </w:r>
    </w:p>
    <w:p w14:paraId="7A20D7B6">
      <w:pPr>
        <w:pStyle w:val="53"/>
        <w:rPr>
          <w:color w:val="auto"/>
        </w:rPr>
      </w:pPr>
      <w:r>
        <w:rPr>
          <w:rFonts w:hint="eastAsia"/>
          <w:color w:val="auto"/>
        </w:rPr>
        <w:t>防雷引下线焊接大样图</w:t>
      </w:r>
    </w:p>
    <w:p w14:paraId="59006357">
      <w:pPr>
        <w:ind w:firstLineChars="0"/>
        <w:rPr>
          <w:bCs/>
          <w:color w:val="auto"/>
        </w:rPr>
      </w:pPr>
      <w:bookmarkStart w:id="207" w:name="_Toc416698015"/>
      <w:r>
        <w:rPr>
          <w:rFonts w:hint="eastAsia"/>
          <w:bCs/>
          <w:color w:val="auto"/>
        </w:rPr>
        <w:t>3）预留接地预埋件做法</w:t>
      </w:r>
      <w:bookmarkEnd w:id="207"/>
      <w:r>
        <w:rPr>
          <w:rFonts w:hint="eastAsia"/>
          <w:bCs/>
          <w:color w:val="auto"/>
        </w:rPr>
        <w:t>：</w:t>
      </w:r>
      <w:r>
        <w:rPr>
          <w:rFonts w:hint="eastAsia"/>
          <w:color w:val="auto"/>
        </w:rPr>
        <w:t>引下线距室外地坪上0</w:t>
      </w:r>
      <w:r>
        <w:rPr>
          <w:color w:val="auto"/>
        </w:rPr>
        <w:t>.5m</w:t>
      </w:r>
      <w:r>
        <w:rPr>
          <w:rFonts w:hint="eastAsia"/>
          <w:color w:val="auto"/>
        </w:rPr>
        <w:t>埋设一块</w:t>
      </w:r>
      <w:r>
        <w:rPr>
          <w:color w:val="auto"/>
        </w:rPr>
        <w:t>100</w:t>
      </w:r>
      <w:r>
        <w:rPr>
          <w:rFonts w:hint="eastAsia"/>
          <w:color w:val="auto"/>
        </w:rPr>
        <w:t>×</w:t>
      </w:r>
      <w:r>
        <w:rPr>
          <w:color w:val="auto"/>
        </w:rPr>
        <w:t>100</w:t>
      </w:r>
      <w:r>
        <w:rPr>
          <w:rFonts w:hint="eastAsia"/>
          <w:color w:val="auto"/>
        </w:rPr>
        <w:t>×</w:t>
      </w:r>
      <w:r>
        <w:rPr>
          <w:color w:val="auto"/>
        </w:rPr>
        <w:t>8</w:t>
      </w:r>
      <w:r>
        <w:rPr>
          <w:rFonts w:hint="eastAsia"/>
          <w:color w:val="auto"/>
        </w:rPr>
        <w:t>钢板，与两根主钢筋作π型焊接，供测量接地电阻用。</w:t>
      </w:r>
    </w:p>
    <w:p w14:paraId="7EEFF51E">
      <w:pPr>
        <w:pStyle w:val="49"/>
        <w:rPr>
          <w:rFonts w:hint="eastAsia"/>
          <w:color w:val="auto"/>
        </w:rPr>
      </w:pPr>
      <w:r>
        <w:rPr>
          <w:color w:val="auto"/>
        </w:rPr>
        <w:drawing>
          <wp:inline distT="0" distB="0" distL="0" distR="0">
            <wp:extent cx="2378710" cy="168148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168">
                      <a:extLst>
                        <a:ext uri="{28A0092B-C50C-407E-A947-70E740481C1C}">
                          <a14:useLocalDpi xmlns:a14="http://schemas.microsoft.com/office/drawing/2010/main" val="0"/>
                        </a:ext>
                      </a:extLst>
                    </a:blip>
                    <a:srcRect l="37312" t="31978" r="31979" b="31593"/>
                    <a:stretch>
                      <a:fillRect/>
                    </a:stretch>
                  </pic:blipFill>
                  <pic:spPr>
                    <a:xfrm>
                      <a:off x="0" y="0"/>
                      <a:ext cx="2378710" cy="1681480"/>
                    </a:xfrm>
                    <a:prstGeom prst="rect">
                      <a:avLst/>
                    </a:prstGeom>
                    <a:noFill/>
                    <a:ln>
                      <a:noFill/>
                    </a:ln>
                  </pic:spPr>
                </pic:pic>
              </a:graphicData>
            </a:graphic>
          </wp:inline>
        </w:drawing>
      </w:r>
    </w:p>
    <w:p w14:paraId="569B6B0B">
      <w:pPr>
        <w:pStyle w:val="53"/>
        <w:rPr>
          <w:color w:val="auto"/>
        </w:rPr>
      </w:pPr>
      <w:r>
        <w:rPr>
          <w:rFonts w:hint="eastAsia"/>
          <w:color w:val="auto"/>
        </w:rPr>
        <w:t>接地预埋件做法大样图</w:t>
      </w:r>
    </w:p>
    <w:p w14:paraId="23667B9C">
      <w:pPr>
        <w:ind w:firstLineChars="0"/>
        <w:rPr>
          <w:color w:val="auto"/>
        </w:rPr>
      </w:pPr>
      <w:r>
        <w:rPr>
          <w:rFonts w:hint="eastAsia"/>
          <w:color w:val="auto"/>
        </w:rPr>
        <w:t>4）</w:t>
      </w:r>
      <w:r>
        <w:rPr>
          <w:color w:val="auto"/>
        </w:rPr>
        <w:t>等电位联结</w:t>
      </w:r>
      <w:r>
        <w:rPr>
          <w:rFonts w:hint="eastAsia"/>
          <w:color w:val="auto"/>
        </w:rPr>
        <w:t>：本工程采用总等电位联结，总等电位板（</w:t>
      </w:r>
      <w:r>
        <w:rPr>
          <w:color w:val="auto"/>
        </w:rPr>
        <w:t>MEB</w:t>
      </w:r>
      <w:r>
        <w:rPr>
          <w:rFonts w:hint="eastAsia"/>
          <w:color w:val="auto"/>
        </w:rPr>
        <w:t>）由镀锌钢板制成，应将建筑物内保护干线、设备进线总管、建筑物金属构件进行联结。带浴盆或淋浴的卫生间做局部等电位联结，将卫生间内的金属给水管、金属排水管、金属热水管、金属浴盆、强排式燃气热水器金属外壳及电源插座PE线等分别用LEB线与LEB端子板相连接。</w:t>
      </w:r>
    </w:p>
    <w:p w14:paraId="2DA0D7C1">
      <w:pPr>
        <w:ind w:firstLineChars="0"/>
        <w:rPr>
          <w:color w:val="auto"/>
        </w:rPr>
      </w:pPr>
      <w:r>
        <w:rPr>
          <w:rFonts w:hint="eastAsia"/>
          <w:color w:val="auto"/>
        </w:rPr>
        <w:t>5）</w:t>
      </w:r>
      <w:r>
        <w:rPr>
          <w:color w:val="auto"/>
        </w:rPr>
        <w:t>避雷带安装</w:t>
      </w:r>
      <w:r>
        <w:rPr>
          <w:rFonts w:hint="eastAsia"/>
          <w:color w:val="auto"/>
        </w:rPr>
        <w:t>：本工程屋面明敷</w:t>
      </w:r>
      <w:r>
        <w:rPr>
          <w:color w:val="auto"/>
        </w:rPr>
        <w:t>-4</w:t>
      </w:r>
      <w:r>
        <w:rPr>
          <w:rFonts w:hint="eastAsia"/>
          <w:color w:val="auto"/>
        </w:rPr>
        <w:t>×</w:t>
      </w:r>
      <w:r>
        <w:rPr>
          <w:color w:val="auto"/>
        </w:rPr>
        <w:t>25</w:t>
      </w:r>
      <w:r>
        <w:rPr>
          <w:rFonts w:hint="eastAsia"/>
          <w:color w:val="auto"/>
        </w:rPr>
        <w:t>热镀锌扁钢作为接闪器，网格不大于</w:t>
      </w:r>
      <w:r>
        <w:rPr>
          <w:color w:val="auto"/>
        </w:rPr>
        <w:t>10m</w:t>
      </w:r>
      <w:r>
        <w:rPr>
          <w:rFonts w:hint="eastAsia"/>
          <w:color w:val="auto"/>
        </w:rPr>
        <w:t>×</w:t>
      </w:r>
      <w:r>
        <w:rPr>
          <w:color w:val="auto"/>
        </w:rPr>
        <w:t>10m</w:t>
      </w:r>
      <w:r>
        <w:rPr>
          <w:rFonts w:hint="eastAsia"/>
          <w:color w:val="auto"/>
        </w:rPr>
        <w:t>或</w:t>
      </w:r>
      <w:r>
        <w:rPr>
          <w:color w:val="auto"/>
        </w:rPr>
        <w:t>12m</w:t>
      </w:r>
      <w:r>
        <w:rPr>
          <w:rFonts w:hint="eastAsia"/>
          <w:color w:val="auto"/>
        </w:rPr>
        <w:t>×</w:t>
      </w:r>
      <w:r>
        <w:rPr>
          <w:color w:val="auto"/>
        </w:rPr>
        <w:t>8m</w:t>
      </w:r>
      <w:r>
        <w:rPr>
          <w:rFonts w:hint="eastAsia"/>
          <w:color w:val="auto"/>
        </w:rPr>
        <w:t>，女儿墙上避雷带采用Φ1</w:t>
      </w:r>
      <w:r>
        <w:rPr>
          <w:color w:val="auto"/>
        </w:rPr>
        <w:t>2</w:t>
      </w:r>
      <w:r>
        <w:rPr>
          <w:rFonts w:hint="eastAsia"/>
          <w:color w:val="auto"/>
        </w:rPr>
        <w:t>热镀锌圆钢明装。屋面金属支架、爬梯和风机等均应与避雷带可靠联接。所有突出屋面的金属物体应采用镀锌圆钢与避雷带焊接连通形成可靠的电气连接。女儿墙上避雷带</w:t>
      </w:r>
      <w:r>
        <w:rPr>
          <w:color w:val="auto"/>
        </w:rPr>
        <w:t>支持卡间距为水平1米、垂直段1.5米，高度大于女儿墙压顶宽度的一半，并大于100mm，转角处支持点间距为0.3～0.5m。搭接长度应大于6d，应双面焊、无虚缝、裂痕和咬肉等现象。</w:t>
      </w:r>
      <w:r>
        <w:rPr>
          <w:rFonts w:hint="eastAsia"/>
          <w:bCs/>
          <w:color w:val="auto"/>
        </w:rPr>
        <w:t>避雷带平直、牢固，不应有高低起伏和弯曲现象，各间距布置均匀，美观整齐。</w:t>
      </w:r>
      <w:r>
        <w:rPr>
          <w:color w:val="auto"/>
        </w:rPr>
        <w:t>屋面上的照明灯以及所有非带电金属构件等均应与防雷装置可靠连接,竖直敷设的金属管道及金属物的顶端和底端与防雷装置可靠连接。</w:t>
      </w:r>
    </w:p>
    <w:p w14:paraId="0E81D6EA">
      <w:pPr>
        <w:pStyle w:val="49"/>
        <w:rPr>
          <w:rFonts w:hint="eastAsia"/>
          <w:color w:val="auto"/>
        </w:rPr>
      </w:pPr>
      <w:r>
        <w:rPr>
          <w:color w:val="auto"/>
        </w:rPr>
        <w:drawing>
          <wp:inline distT="0" distB="0" distL="0" distR="0">
            <wp:extent cx="2828290" cy="206121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69">
                      <a:extLst>
                        <a:ext uri="{28A0092B-C50C-407E-A947-70E740481C1C}">
                          <a14:useLocalDpi xmlns:a14="http://schemas.microsoft.com/office/drawing/2010/main" val="0"/>
                        </a:ext>
                      </a:extLst>
                    </a:blip>
                    <a:srcRect l="25925" t="7202" r="22227" b="29640"/>
                    <a:stretch>
                      <a:fillRect/>
                    </a:stretch>
                  </pic:blipFill>
                  <pic:spPr>
                    <a:xfrm>
                      <a:off x="0" y="0"/>
                      <a:ext cx="2828290" cy="2061210"/>
                    </a:xfrm>
                    <a:prstGeom prst="rect">
                      <a:avLst/>
                    </a:prstGeom>
                    <a:noFill/>
                    <a:ln>
                      <a:noFill/>
                    </a:ln>
                  </pic:spPr>
                </pic:pic>
              </a:graphicData>
            </a:graphic>
          </wp:inline>
        </w:drawing>
      </w:r>
      <w:r>
        <w:rPr>
          <w:color w:val="auto"/>
        </w:rPr>
        <w:drawing>
          <wp:inline distT="0" distB="0" distL="0" distR="0">
            <wp:extent cx="2061210" cy="1960245"/>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170">
                      <a:extLst>
                        <a:ext uri="{28A0092B-C50C-407E-A947-70E740481C1C}">
                          <a14:useLocalDpi xmlns:a14="http://schemas.microsoft.com/office/drawing/2010/main" val="0"/>
                        </a:ext>
                      </a:extLst>
                    </a:blip>
                    <a:srcRect l="33865" t="6526" r="51054" b="69525"/>
                    <a:stretch>
                      <a:fillRect/>
                    </a:stretch>
                  </pic:blipFill>
                  <pic:spPr>
                    <a:xfrm>
                      <a:off x="0" y="0"/>
                      <a:ext cx="2061210" cy="1960245"/>
                    </a:xfrm>
                    <a:prstGeom prst="rect">
                      <a:avLst/>
                    </a:prstGeom>
                    <a:noFill/>
                    <a:ln>
                      <a:noFill/>
                    </a:ln>
                  </pic:spPr>
                </pic:pic>
              </a:graphicData>
            </a:graphic>
          </wp:inline>
        </w:drawing>
      </w:r>
    </w:p>
    <w:p w14:paraId="261E93A5">
      <w:pPr>
        <w:pStyle w:val="53"/>
        <w:rPr>
          <w:color w:val="auto"/>
        </w:rPr>
      </w:pPr>
      <w:r>
        <w:rPr>
          <w:rFonts w:hint="eastAsia"/>
          <w:color w:val="auto"/>
        </w:rPr>
        <w:t xml:space="preserve"> 屋面避雷带安装平面图      </w:t>
      </w:r>
      <w:r>
        <w:rPr>
          <w:color w:val="auto"/>
        </w:rPr>
        <w:t xml:space="preserve">    </w:t>
      </w:r>
      <w:r>
        <w:rPr>
          <w:rFonts w:hint="eastAsia"/>
          <w:color w:val="auto"/>
        </w:rPr>
        <w:t>避雷带在女儿墙上安装大样图</w:t>
      </w:r>
    </w:p>
    <w:p w14:paraId="7E12E31A">
      <w:pPr>
        <w:pStyle w:val="49"/>
        <w:rPr>
          <w:rFonts w:hint="eastAsia"/>
          <w:color w:val="auto"/>
        </w:rPr>
      </w:pPr>
      <w:r>
        <w:rPr>
          <w:color w:val="auto"/>
        </w:rPr>
        <w:drawing>
          <wp:inline distT="0" distB="0" distL="0" distR="0">
            <wp:extent cx="2472055" cy="165036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170">
                      <a:extLst>
                        <a:ext uri="{28A0092B-C50C-407E-A947-70E740481C1C}">
                          <a14:useLocalDpi xmlns:a14="http://schemas.microsoft.com/office/drawing/2010/main" val="0"/>
                        </a:ext>
                      </a:extLst>
                    </a:blip>
                    <a:srcRect l="28099" t="37917" r="49179" b="36697"/>
                    <a:stretch>
                      <a:fillRect/>
                    </a:stretch>
                  </pic:blipFill>
                  <pic:spPr>
                    <a:xfrm>
                      <a:off x="0" y="0"/>
                      <a:ext cx="2472055" cy="1650365"/>
                    </a:xfrm>
                    <a:prstGeom prst="rect">
                      <a:avLst/>
                    </a:prstGeom>
                    <a:noFill/>
                    <a:ln>
                      <a:noFill/>
                    </a:ln>
                  </pic:spPr>
                </pic:pic>
              </a:graphicData>
            </a:graphic>
          </wp:inline>
        </w:drawing>
      </w:r>
      <w:r>
        <w:rPr>
          <w:rFonts w:hint="eastAsia"/>
          <w:color w:val="auto"/>
        </w:rPr>
        <w:drawing>
          <wp:inline distT="0" distB="0" distL="0" distR="0">
            <wp:extent cx="2704465" cy="1340485"/>
            <wp:effectExtent l="0" t="0" r="635"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171">
                      <a:extLst>
                        <a:ext uri="{28A0092B-C50C-407E-A947-70E740481C1C}">
                          <a14:useLocalDpi xmlns:a14="http://schemas.microsoft.com/office/drawing/2010/main" val="0"/>
                        </a:ext>
                      </a:extLst>
                    </a:blip>
                    <a:srcRect l="11586" t="8800" r="11224" b="13771"/>
                    <a:stretch>
                      <a:fillRect/>
                    </a:stretch>
                  </pic:blipFill>
                  <pic:spPr>
                    <a:xfrm>
                      <a:off x="0" y="0"/>
                      <a:ext cx="2704465" cy="1340485"/>
                    </a:xfrm>
                    <a:prstGeom prst="rect">
                      <a:avLst/>
                    </a:prstGeom>
                    <a:noFill/>
                    <a:ln>
                      <a:noFill/>
                    </a:ln>
                  </pic:spPr>
                </pic:pic>
              </a:graphicData>
            </a:graphic>
          </wp:inline>
        </w:drawing>
      </w:r>
    </w:p>
    <w:p w14:paraId="359F4532">
      <w:pPr>
        <w:pStyle w:val="53"/>
        <w:rPr>
          <w:color w:val="auto"/>
        </w:rPr>
      </w:pPr>
      <w:r>
        <w:rPr>
          <w:rFonts w:hint="eastAsia"/>
          <w:color w:val="auto"/>
        </w:rPr>
        <w:t xml:space="preserve"> </w:t>
      </w:r>
      <w:r>
        <w:rPr>
          <w:color w:val="auto"/>
        </w:rPr>
        <w:t xml:space="preserve"> </w:t>
      </w:r>
      <w:r>
        <w:rPr>
          <w:rFonts w:hint="eastAsia"/>
          <w:color w:val="auto"/>
        </w:rPr>
        <w:t>避雷带支架图                     避雷带过伸缩缝大样图</w:t>
      </w:r>
    </w:p>
    <w:p w14:paraId="4934DF59">
      <w:pPr>
        <w:rPr>
          <w:color w:val="auto"/>
        </w:rPr>
      </w:pPr>
    </w:p>
    <w:p w14:paraId="4A2A471B">
      <w:pPr>
        <w:pStyle w:val="5"/>
        <w:rPr>
          <w:color w:val="auto"/>
        </w:rPr>
      </w:pPr>
      <w:bookmarkStart w:id="208" w:name="_Hlk36827566"/>
      <w:bookmarkStart w:id="209" w:name="_Toc2181"/>
      <w:r>
        <w:rPr>
          <w:rFonts w:hint="eastAsia"/>
          <w:color w:val="auto"/>
        </w:rPr>
        <w:t>弱电</w:t>
      </w:r>
      <w:bookmarkEnd w:id="208"/>
      <w:r>
        <w:rPr>
          <w:rFonts w:hint="eastAsia"/>
          <w:color w:val="auto"/>
        </w:rPr>
        <w:t>工程</w:t>
      </w:r>
      <w:bookmarkEnd w:id="209"/>
    </w:p>
    <w:p w14:paraId="52F6A6DE">
      <w:pPr>
        <w:pStyle w:val="6"/>
        <w:ind w:firstLine="480"/>
        <w:rPr>
          <w:color w:val="auto"/>
        </w:rPr>
      </w:pPr>
      <w:r>
        <w:rPr>
          <w:rFonts w:hint="eastAsia"/>
          <w:color w:val="auto"/>
        </w:rPr>
        <w:t>弱电工程概况</w:t>
      </w:r>
    </w:p>
    <w:p w14:paraId="5B6C82E4">
      <w:pPr>
        <w:rPr>
          <w:color w:val="auto"/>
        </w:rPr>
      </w:pPr>
      <w:r>
        <w:rPr>
          <w:rFonts w:hint="eastAsia"/>
          <w:color w:val="auto"/>
        </w:rPr>
        <w:t>本工程信息化智能化集成系统可分为通讯网络系统、综合安防系统、信息管理系统、数字化教学系统及系统集成。信息化智能化集成系统结构有着如下的特点：首先采用先进的、符合标准的技术和设备；同时所有的系统均采用集散式的构造方式，既具有分散于各个子系统的终端或设备，又通过网络集中到一个管理或控制中心，中心提供公共信息资源，或者对各子系统提供集中安全监控、信息管理等；最后，所有的信息化智能化集成系统的子系统都既可独立，又可以在计算机网络的基础上实现集中管理。把信息化智能化集成系统进行细分，各子系统主要包括以下几个：</w:t>
      </w:r>
    </w:p>
    <w:p w14:paraId="6CE64269">
      <w:pPr>
        <w:rPr>
          <w:color w:val="auto"/>
        </w:rPr>
      </w:pPr>
      <w:r>
        <w:rPr>
          <w:rFonts w:hint="eastAsia"/>
          <w:color w:val="auto"/>
        </w:rPr>
        <w:t>1、通讯网络系统</w:t>
      </w:r>
    </w:p>
    <w:p w14:paraId="588EB153">
      <w:pPr>
        <w:rPr>
          <w:color w:val="auto"/>
        </w:rPr>
      </w:pPr>
      <w:r>
        <w:rPr>
          <w:rFonts w:hint="eastAsia"/>
          <w:color w:val="auto"/>
        </w:rPr>
        <w:t>综合布线系统；计算机网络系统；程控交换系统；电视系统；</w:t>
      </w:r>
    </w:p>
    <w:p w14:paraId="7535AEAA">
      <w:pPr>
        <w:rPr>
          <w:color w:val="auto"/>
        </w:rPr>
      </w:pPr>
      <w:r>
        <w:rPr>
          <w:color w:val="auto"/>
        </w:rPr>
        <w:t>2</w:t>
      </w:r>
      <w:r>
        <w:rPr>
          <w:rFonts w:hint="eastAsia"/>
          <w:color w:val="auto"/>
        </w:rPr>
        <w:t>、公共安全防范系统</w:t>
      </w:r>
    </w:p>
    <w:p w14:paraId="277AB715">
      <w:pPr>
        <w:rPr>
          <w:color w:val="auto"/>
        </w:rPr>
      </w:pPr>
      <w:r>
        <w:rPr>
          <w:rFonts w:hint="eastAsia"/>
          <w:color w:val="auto"/>
        </w:rPr>
        <w:t>视频监控系统；防盗报警系统；无线对讲系统；门禁管理系统；车库管理系统；访客管理；周界报警</w:t>
      </w:r>
    </w:p>
    <w:p w14:paraId="29CE55E8">
      <w:pPr>
        <w:rPr>
          <w:color w:val="auto"/>
        </w:rPr>
      </w:pPr>
      <w:r>
        <w:rPr>
          <w:rFonts w:hint="eastAsia"/>
          <w:color w:val="auto"/>
        </w:rPr>
        <w:t>3、信息管理系统</w:t>
      </w:r>
    </w:p>
    <w:p w14:paraId="6BC25E60">
      <w:pPr>
        <w:rPr>
          <w:color w:val="auto"/>
        </w:rPr>
      </w:pPr>
      <w:r>
        <w:rPr>
          <w:rFonts w:hint="eastAsia"/>
          <w:color w:val="auto"/>
        </w:rPr>
        <w:t>校园一卡通系统；背景音乐系统；电子公告与查询系统；</w:t>
      </w:r>
    </w:p>
    <w:p w14:paraId="1AAB7274">
      <w:pPr>
        <w:rPr>
          <w:color w:val="auto"/>
        </w:rPr>
      </w:pPr>
      <w:r>
        <w:rPr>
          <w:rFonts w:hint="eastAsia"/>
          <w:color w:val="auto"/>
        </w:rPr>
        <w:t>4、系统集成</w:t>
      </w:r>
    </w:p>
    <w:p w14:paraId="3E527D12">
      <w:pPr>
        <w:rPr>
          <w:color w:val="auto"/>
        </w:rPr>
      </w:pPr>
      <w:r>
        <w:rPr>
          <w:rFonts w:hint="eastAsia"/>
          <w:color w:val="auto"/>
        </w:rPr>
        <w:t>建筑设备管理系统；机房工程；</w:t>
      </w:r>
    </w:p>
    <w:p w14:paraId="7D94E677">
      <w:pPr>
        <w:rPr>
          <w:color w:val="auto"/>
        </w:rPr>
      </w:pPr>
      <w:r>
        <w:rPr>
          <w:rFonts w:hint="eastAsia"/>
          <w:color w:val="auto"/>
        </w:rPr>
        <w:t>5、智慧教育</w:t>
      </w:r>
    </w:p>
    <w:p w14:paraId="545A55A5">
      <w:pPr>
        <w:rPr>
          <w:color w:val="auto"/>
        </w:rPr>
      </w:pPr>
      <w:r>
        <w:rPr>
          <w:rFonts w:hint="eastAsia"/>
          <w:color w:val="auto"/>
        </w:rPr>
        <w:t>资源平台，教学录播，互动录播，微课，班班通，校园广播，听力考试，智慧教室</w:t>
      </w:r>
    </w:p>
    <w:p w14:paraId="289482DE">
      <w:pPr>
        <w:rPr>
          <w:color w:val="auto"/>
        </w:rPr>
      </w:pPr>
      <w:r>
        <w:rPr>
          <w:rFonts w:hint="eastAsia"/>
          <w:color w:val="auto"/>
        </w:rPr>
        <w:t>6、智慧办公</w:t>
      </w:r>
    </w:p>
    <w:p w14:paraId="646D5603">
      <w:pPr>
        <w:rPr>
          <w:color w:val="auto"/>
        </w:rPr>
      </w:pPr>
      <w:r>
        <w:rPr>
          <w:rFonts w:hint="eastAsia"/>
          <w:color w:val="auto"/>
        </w:rPr>
        <w:t>无纸化会议，远程会议，数字化会议，专业扩声</w:t>
      </w:r>
    </w:p>
    <w:p w14:paraId="5189A959">
      <w:pPr>
        <w:pStyle w:val="6"/>
        <w:ind w:firstLine="480"/>
        <w:rPr>
          <w:color w:val="auto"/>
        </w:rPr>
      </w:pPr>
      <w:r>
        <w:rPr>
          <w:rFonts w:hint="eastAsia"/>
          <w:color w:val="auto"/>
        </w:rPr>
        <w:t>施工工艺流程</w:t>
      </w:r>
    </w:p>
    <w:p w14:paraId="2932A9A1">
      <w:pPr>
        <w:rPr>
          <w:color w:val="auto"/>
        </w:rPr>
      </w:pPr>
      <w:r>
        <w:rPr>
          <w:rFonts w:hint="eastAsia"/>
          <w:color w:val="auto"/>
        </w:rPr>
        <w:t>预留预埋→电缆桥架及线槽安装→缆线检验→缆线敷设→机架安装→配线设备安装→各类接线模块安装→信息插座、末端设备安装→机房控制设备安装→缆线终接</w:t>
      </w:r>
    </w:p>
    <w:p w14:paraId="17A2475A">
      <w:pPr>
        <w:rPr>
          <w:color w:val="auto"/>
        </w:rPr>
      </w:pPr>
      <w:r>
        <w:rPr>
          <w:rFonts w:hint="eastAsia"/>
          <w:color w:val="auto"/>
        </w:rPr>
        <w:t>1、预留预埋：线管不应有折扁和裂缝，管内应无杂物和毛刺线管严禁采用割刀或电气焊断管，切断口应平整、光滑。线管弯曲半径不得小于管外径的</w:t>
      </w:r>
      <w:r>
        <w:rPr>
          <w:color w:val="auto"/>
        </w:rPr>
        <w:t>6</w:t>
      </w:r>
      <w:r>
        <w:rPr>
          <w:rFonts w:hint="eastAsia"/>
          <w:color w:val="auto"/>
        </w:rPr>
        <w:t>倍，暗管的转弯角度不得小于</w:t>
      </w:r>
      <w:r>
        <w:rPr>
          <w:color w:val="auto"/>
        </w:rPr>
        <w:t>90</w:t>
      </w:r>
      <w:r>
        <w:rPr>
          <w:rFonts w:hint="eastAsia"/>
          <w:color w:val="auto"/>
        </w:rPr>
        <w:t>°，每根暗管的转弯不得多于两个，也不得出现</w:t>
      </w:r>
      <w:r>
        <w:rPr>
          <w:color w:val="auto"/>
        </w:rPr>
        <w:t>S</w:t>
      </w:r>
      <w:r>
        <w:rPr>
          <w:rFonts w:hint="eastAsia"/>
          <w:color w:val="auto"/>
        </w:rPr>
        <w:t>弯弯曲布管。</w:t>
      </w:r>
    </w:p>
    <w:p w14:paraId="47981492">
      <w:pPr>
        <w:rPr>
          <w:color w:val="auto"/>
        </w:rPr>
      </w:pPr>
      <w:r>
        <w:rPr>
          <w:rFonts w:hint="eastAsia"/>
          <w:color w:val="auto"/>
        </w:rPr>
        <w:t>2、电缆桥架及线槽安装：桥架及线槽的安装位置应符合设计要求，支、吊架安装应垂直、牢固、整齐、无歪斜现象，其间距应符合设计要求。金属桥架、线槽节间应安装牢固，且电气接触良好。</w:t>
      </w:r>
    </w:p>
    <w:p w14:paraId="305A0CD1">
      <w:pPr>
        <w:rPr>
          <w:color w:val="auto"/>
        </w:rPr>
      </w:pPr>
      <w:r>
        <w:rPr>
          <w:rFonts w:hint="eastAsia"/>
          <w:color w:val="auto"/>
        </w:rPr>
        <w:t>3、缆线检验：工程采用的对绞电缆和光缆的规格、型号及性能应符合设计的要求。光缆开盘后应检查其外观质量，并应测试和记录光纤衰减常数和光纤长度。光纤调度软纤（光跳线）检验应符合下列要求：光纤调度软纤应具有经防火处理的光纤保护包皮，两端活动连接器（活接头）端面的保护措施应正确。每根光纤调度软纤中光纤的类型应有明显的标识。</w:t>
      </w:r>
    </w:p>
    <w:p w14:paraId="09AA775C">
      <w:pPr>
        <w:rPr>
          <w:color w:val="auto"/>
        </w:rPr>
      </w:pPr>
      <w:r>
        <w:rPr>
          <w:rFonts w:hint="eastAsia"/>
          <w:color w:val="auto"/>
        </w:rPr>
        <w:t>4、缆线敷设：缆线布放前应设计要求进行核对，布放时缆线的两端应贴有标签。缆线的布放应顺直，不得有扭绞、打圈、挤压和损伤现象。电缆线、信号电缆、对绞电缆、光缆及建筑物内其它弱电系统的缆线应分离布放。通讯、计算机、楼宇自控、电视监控、广播与卫星电视、火灾报警等系统的信号及控制缆线在同一路由敷设时，宜采用金属电缆线槽分离布放，各系统缆线间距及线槽接地应符合设计要求。缆线的弯曲半径应符合下列规定：非屏蔽</w:t>
      </w:r>
      <w:r>
        <w:rPr>
          <w:color w:val="auto"/>
        </w:rPr>
        <w:t>4</w:t>
      </w:r>
      <w:r>
        <w:rPr>
          <w:rFonts w:hint="eastAsia"/>
          <w:color w:val="auto"/>
        </w:rPr>
        <w:t>对对绞电缆的弯曲半径不应小于电缆外径的</w:t>
      </w:r>
      <w:r>
        <w:rPr>
          <w:color w:val="auto"/>
        </w:rPr>
        <w:t>4</w:t>
      </w:r>
      <w:r>
        <w:rPr>
          <w:rFonts w:hint="eastAsia"/>
          <w:color w:val="auto"/>
        </w:rPr>
        <w:t>倍，在施工过程中不应小于</w:t>
      </w:r>
      <w:r>
        <w:rPr>
          <w:color w:val="auto"/>
        </w:rPr>
        <w:t>8</w:t>
      </w:r>
      <w:r>
        <w:rPr>
          <w:rFonts w:hint="eastAsia"/>
          <w:color w:val="auto"/>
        </w:rPr>
        <w:t>倍；非屏蔽对绞电缆的弯曲半径不应小于电缆外径的</w:t>
      </w:r>
      <w:r>
        <w:rPr>
          <w:color w:val="auto"/>
        </w:rPr>
        <w:t>10</w:t>
      </w:r>
      <w:r>
        <w:rPr>
          <w:rFonts w:hint="eastAsia"/>
          <w:color w:val="auto"/>
        </w:rPr>
        <w:t>倍主干对绞电缆的弯曲半径不应小于电缆外径的</w:t>
      </w:r>
      <w:r>
        <w:rPr>
          <w:color w:val="auto"/>
        </w:rPr>
        <w:t>10</w:t>
      </w:r>
      <w:r>
        <w:rPr>
          <w:rFonts w:hint="eastAsia"/>
          <w:color w:val="auto"/>
        </w:rPr>
        <w:t>倍；光缆弯曲半径在施工过程中不应小于光缆外径的</w:t>
      </w:r>
      <w:r>
        <w:rPr>
          <w:color w:val="auto"/>
        </w:rPr>
        <w:t>20</w:t>
      </w:r>
      <w:r>
        <w:rPr>
          <w:rFonts w:hint="eastAsia"/>
          <w:color w:val="auto"/>
        </w:rPr>
        <w:t>倍；缆线布放牵引过程中，吊挂缆线的支点间距不应大于</w:t>
      </w:r>
      <w:r>
        <w:rPr>
          <w:color w:val="auto"/>
        </w:rPr>
        <w:t>1.5m</w:t>
      </w:r>
      <w:r>
        <w:rPr>
          <w:rFonts w:hint="eastAsia"/>
          <w:color w:val="auto"/>
        </w:rPr>
        <w:t>；布放缆线的牵引力，不应大于缆线允许张力的</w:t>
      </w:r>
      <w:r>
        <w:rPr>
          <w:color w:val="auto"/>
        </w:rPr>
        <w:t>80%</w:t>
      </w:r>
      <w:r>
        <w:rPr>
          <w:rFonts w:hint="eastAsia"/>
          <w:color w:val="auto"/>
        </w:rPr>
        <w:t>，光缆瞬间最大牵引力不应超过光缆的允许张力。以牵引方式敷设光缆时，主要牵引力应加在光缆的加强芯上；机械布放缆线牵引时，应根据缆线牵引的长度、布放环境、牵引张力等；因素确定集中牵引或分散牵引方式，缆线不得有扭曲、超张现象光缆布放时，光缆盘转动应与光缆布放同步，光缆牵引的速度宜为</w:t>
      </w:r>
      <w:r>
        <w:rPr>
          <w:color w:val="auto"/>
        </w:rPr>
        <w:t>15m/min</w:t>
      </w:r>
      <w:r>
        <w:rPr>
          <w:rFonts w:hint="eastAsia"/>
          <w:color w:val="auto"/>
        </w:rPr>
        <w:t>；光缆出盘处应保持松驰的弧度，光缆不得出现背扣现象。</w:t>
      </w:r>
    </w:p>
    <w:p w14:paraId="6BB1B832">
      <w:pPr>
        <w:rPr>
          <w:color w:val="auto"/>
        </w:rPr>
      </w:pPr>
      <w:r>
        <w:rPr>
          <w:rFonts w:hint="eastAsia"/>
          <w:color w:val="auto"/>
        </w:rPr>
        <w:t>5、机架安装：机架的安装应符合产品的技术规定。机架上的各种零件不得脱落或损坏，漆面不得有损伤或脱落，各种标志应完整、清晰。机架的安装应牢固，且应符合防震的有关技术要求。机架前的施工空间不应小于</w:t>
      </w:r>
      <w:r>
        <w:rPr>
          <w:color w:val="auto"/>
        </w:rPr>
        <w:t>1.5m</w:t>
      </w:r>
      <w:r>
        <w:rPr>
          <w:rFonts w:hint="eastAsia"/>
          <w:color w:val="auto"/>
        </w:rPr>
        <w:t>，机架背面距墙尺寸不应小于</w:t>
      </w:r>
      <w:r>
        <w:rPr>
          <w:color w:val="auto"/>
        </w:rPr>
        <w:t>0.8m</w:t>
      </w:r>
      <w:r>
        <w:rPr>
          <w:rFonts w:hint="eastAsia"/>
          <w:color w:val="auto"/>
        </w:rPr>
        <w:t>。壁挂式机框底面距地面的高度宜为</w:t>
      </w:r>
      <w:r>
        <w:rPr>
          <w:color w:val="auto"/>
        </w:rPr>
        <w:t>300-800mm</w:t>
      </w:r>
      <w:r>
        <w:rPr>
          <w:rFonts w:hint="eastAsia"/>
          <w:color w:val="auto"/>
        </w:rPr>
        <w:t>。几个机架并排在一起，面板应在同一平面上并与基准线平行，前后偏差不得大于３毫米。</w:t>
      </w:r>
    </w:p>
    <w:p w14:paraId="1BF443B6">
      <w:pPr>
        <w:rPr>
          <w:color w:val="auto"/>
        </w:rPr>
      </w:pPr>
      <w:r>
        <w:rPr>
          <w:color w:val="auto"/>
        </w:rPr>
        <w:t>6</w:t>
      </w:r>
      <w:r>
        <w:rPr>
          <w:rFonts w:hint="eastAsia"/>
          <w:color w:val="auto"/>
        </w:rPr>
        <w:t>、配线设备安装：采用下走线方式时，架底位置应与电缆上线孔相对应。配线设备机架垂直误差不应大于</w:t>
      </w:r>
      <w:r>
        <w:rPr>
          <w:color w:val="auto"/>
        </w:rPr>
        <w:t>3mm</w:t>
      </w:r>
      <w:r>
        <w:rPr>
          <w:rFonts w:hint="eastAsia"/>
          <w:color w:val="auto"/>
        </w:rPr>
        <w:t>，底座水平误差每米不应大于</w:t>
      </w:r>
      <w:r>
        <w:rPr>
          <w:color w:val="auto"/>
        </w:rPr>
        <w:t>2mm</w:t>
      </w:r>
      <w:r>
        <w:rPr>
          <w:rFonts w:hint="eastAsia"/>
          <w:color w:val="auto"/>
        </w:rPr>
        <w:t>。接线端子各种标志应齐全。交接箱或暗线箱应暗设在墙体内，箱底距地面高度应为</w:t>
      </w:r>
      <w:r>
        <w:rPr>
          <w:color w:val="auto"/>
        </w:rPr>
        <w:t>500-1000mm</w:t>
      </w:r>
      <w:r>
        <w:rPr>
          <w:rFonts w:hint="eastAsia"/>
          <w:color w:val="auto"/>
        </w:rPr>
        <w:t>。</w:t>
      </w:r>
    </w:p>
    <w:p w14:paraId="04D6662D">
      <w:pPr>
        <w:rPr>
          <w:color w:val="auto"/>
        </w:rPr>
      </w:pPr>
      <w:r>
        <w:rPr>
          <w:color w:val="auto"/>
        </w:rPr>
        <w:t>7</w:t>
      </w:r>
      <w:r>
        <w:rPr>
          <w:rFonts w:hint="eastAsia"/>
          <w:color w:val="auto"/>
        </w:rPr>
        <w:t>、各类接线模块安装：各类接线模块安装应完整，固定螺丝必须紧固，标志应齐全。</w:t>
      </w:r>
    </w:p>
    <w:p w14:paraId="301A83A5">
      <w:pPr>
        <w:rPr>
          <w:color w:val="auto"/>
        </w:rPr>
      </w:pPr>
      <w:r>
        <w:rPr>
          <w:color w:val="auto"/>
        </w:rPr>
        <w:t>8</w:t>
      </w:r>
      <w:r>
        <w:rPr>
          <w:rFonts w:hint="eastAsia"/>
          <w:color w:val="auto"/>
        </w:rPr>
        <w:t>、信息插座安装：安装在活动地板上时，信息插座应固定在接线盒内，接线盒盖应能开启，且应防水、防尘。安装在墙体内时，距地面高度宜为</w:t>
      </w:r>
      <w:r>
        <w:rPr>
          <w:color w:val="auto"/>
        </w:rPr>
        <w:t>300mm</w:t>
      </w:r>
      <w:r>
        <w:rPr>
          <w:rFonts w:hint="eastAsia"/>
          <w:color w:val="auto"/>
        </w:rPr>
        <w:t>，如地面为活动地板时，应附加地板高度。信息插座的固定必须牢固。信息插座应有标签，应采用颜色、图形或文字表示所连接的终端设备。</w:t>
      </w:r>
    </w:p>
    <w:p w14:paraId="04392CBC">
      <w:pPr>
        <w:rPr>
          <w:color w:val="auto"/>
        </w:rPr>
      </w:pPr>
      <w:r>
        <w:rPr>
          <w:color w:val="auto"/>
        </w:rPr>
        <w:t>9</w:t>
      </w:r>
      <w:r>
        <w:rPr>
          <w:rFonts w:hint="eastAsia"/>
          <w:color w:val="auto"/>
        </w:rPr>
        <w:t>、摄像机安装：</w:t>
      </w:r>
      <w:bookmarkStart w:id="210" w:name="_Hlk36834154"/>
      <w:r>
        <w:rPr>
          <w:rFonts w:hint="eastAsia"/>
          <w:color w:val="auto"/>
        </w:rPr>
        <w:t>摄像机</w:t>
      </w:r>
      <w:bookmarkEnd w:id="210"/>
      <w:r>
        <w:rPr>
          <w:rFonts w:hint="eastAsia"/>
          <w:color w:val="auto"/>
        </w:rPr>
        <w:t>镜头应避免强光直射，保证摄像管靶面不受伤损。摄像机镜头应从光源方向对准监视目标，并应避免逆光安装；当需要逆光安装时，应降低监视区域的对比度。镜头视场内，不得有遮挡监视目标的物体。摄像机宜安装在监视目标附近不易受外界损伤的地方，安装位置不应影响现场设备运行和人员正常活动。安装的高度，室内宜距地面</w:t>
      </w:r>
      <w:r>
        <w:rPr>
          <w:color w:val="auto"/>
        </w:rPr>
        <w:t>2.5</w:t>
      </w:r>
      <w:r>
        <w:rPr>
          <w:rFonts w:hint="eastAsia"/>
          <w:color w:val="auto"/>
        </w:rPr>
        <w:t>～５米或吊顶下０</w:t>
      </w:r>
      <w:r>
        <w:rPr>
          <w:color w:val="auto"/>
        </w:rPr>
        <w:t>.</w:t>
      </w:r>
      <w:r>
        <w:rPr>
          <w:rFonts w:hint="eastAsia"/>
          <w:color w:val="auto"/>
        </w:rPr>
        <w:t>２米处，室外应距地面３</w:t>
      </w:r>
      <w:r>
        <w:rPr>
          <w:color w:val="auto"/>
        </w:rPr>
        <w:t>.</w:t>
      </w:r>
      <w:r>
        <w:rPr>
          <w:rFonts w:hint="eastAsia"/>
          <w:color w:val="auto"/>
        </w:rPr>
        <w:t>５～１０米，并不得低于３</w:t>
      </w:r>
      <w:r>
        <w:rPr>
          <w:color w:val="auto"/>
        </w:rPr>
        <w:t>.</w:t>
      </w:r>
      <w:r>
        <w:rPr>
          <w:rFonts w:hint="eastAsia"/>
          <w:color w:val="auto"/>
        </w:rPr>
        <w:t>５米。电梯厢内的摄像机应安装在电梯厢顶部、电梯操作器的对角处，并应能监视电梯厢内全景。摄像机安装前应按下列要求进行检查：将摄像机逐个通电进行检测和粗调，在摄像机处于正常工作状态后，方可安装；检查云台水平、垂直转动角度，并根据设计要求定准云台转动起点方向。在搬动、架设摄像机的过程中，不得打开镜头盖。从摄像机引出的电缆宜留有１米的余量，不得影响摄像机的转动。摄像机的电缆和电源线均应固定，并不得用插头承受电缆的自重。先对摄像机进行初步安装，经通电试看、细调，检查各项功能，观察监视区域的覆盖范围和图象质量，符合要求后方可固定。</w:t>
      </w:r>
    </w:p>
    <w:p w14:paraId="2075C8F8">
      <w:pPr>
        <w:rPr>
          <w:color w:val="auto"/>
        </w:rPr>
      </w:pPr>
      <w:r>
        <w:rPr>
          <w:rFonts w:hint="eastAsia"/>
          <w:color w:val="auto"/>
        </w:rPr>
        <w:t>1</w:t>
      </w:r>
      <w:r>
        <w:rPr>
          <w:color w:val="auto"/>
        </w:rPr>
        <w:t>0</w:t>
      </w:r>
      <w:r>
        <w:rPr>
          <w:rFonts w:hint="eastAsia"/>
          <w:color w:val="auto"/>
        </w:rPr>
        <w:t>、扬声器安装：扬声器主要有吸顶式及壁挂式，在安装时充分考虑安装支架的承重力，安装的美观等要求。</w:t>
      </w:r>
    </w:p>
    <w:p w14:paraId="61AB8D10">
      <w:pPr>
        <w:rPr>
          <w:color w:val="auto"/>
        </w:rPr>
      </w:pPr>
      <w:r>
        <w:rPr>
          <w:rFonts w:hint="eastAsia"/>
          <w:color w:val="auto"/>
        </w:rPr>
        <w:t>1</w:t>
      </w:r>
      <w:r>
        <w:rPr>
          <w:color w:val="auto"/>
        </w:rPr>
        <w:t>1</w:t>
      </w:r>
      <w:r>
        <w:rPr>
          <w:rFonts w:hint="eastAsia"/>
          <w:color w:val="auto"/>
        </w:rPr>
        <w:t>、机房控制设备安装：控制台安装应符合下列规定：控制台位置应符合设计要求；控制台应安放竖直，台面水平；附件完整，无损伤，螺丝紧固，台面整洁无划痕；台内接插件和设备接触应可靠，安装应牢固；内部接线应符合设计要求，无扭曲脱落现象。</w:t>
      </w:r>
    </w:p>
    <w:p w14:paraId="0D4F76C8">
      <w:pPr>
        <w:rPr>
          <w:color w:val="auto"/>
        </w:rPr>
      </w:pPr>
      <w:r>
        <w:rPr>
          <w:rFonts w:hint="eastAsia"/>
          <w:color w:val="auto"/>
        </w:rPr>
        <w:t>1</w:t>
      </w:r>
      <w:r>
        <w:rPr>
          <w:color w:val="auto"/>
        </w:rPr>
        <w:t>2</w:t>
      </w:r>
      <w:r>
        <w:rPr>
          <w:rFonts w:hint="eastAsia"/>
          <w:color w:val="auto"/>
        </w:rPr>
        <w:t>、</w:t>
      </w:r>
      <w:bookmarkStart w:id="211" w:name="_Hlk36833055"/>
      <w:r>
        <w:rPr>
          <w:rFonts w:hint="eastAsia"/>
          <w:color w:val="auto"/>
        </w:rPr>
        <w:t>缆线终接</w:t>
      </w:r>
      <w:bookmarkEnd w:id="211"/>
      <w:r>
        <w:rPr>
          <w:rFonts w:hint="eastAsia"/>
          <w:color w:val="auto"/>
        </w:rPr>
        <w:t>：缆线在终接前，必须检查标签颜色和数字含义，并按顺序终接。缆线中间不得存在接头。缆线终接处必须卡接牢固，接触良好。缆线终接应符合设计和产品安装的技术要求。必须严格控制开路、短路、串音、极性接反和线对交错等质量问题的发生，应采取“随装随测”方法及时地发现和处理。</w:t>
      </w:r>
    </w:p>
    <w:p w14:paraId="3C8C9393">
      <w:pPr>
        <w:pStyle w:val="5"/>
        <w:rPr>
          <w:color w:val="auto"/>
        </w:rPr>
      </w:pPr>
      <w:bookmarkStart w:id="212" w:name="_Toc9313"/>
      <w:r>
        <w:rPr>
          <w:rFonts w:hint="eastAsia"/>
          <w:color w:val="auto"/>
        </w:rPr>
        <w:t>消防工程</w:t>
      </w:r>
      <w:bookmarkEnd w:id="212"/>
    </w:p>
    <w:p w14:paraId="78063BBA">
      <w:pPr>
        <w:pStyle w:val="6"/>
        <w:ind w:firstLine="480"/>
        <w:rPr>
          <w:color w:val="auto"/>
        </w:rPr>
      </w:pPr>
      <w:r>
        <w:rPr>
          <w:rFonts w:hint="eastAsia"/>
          <w:color w:val="auto"/>
        </w:rPr>
        <w:t>消防工程概况</w:t>
      </w:r>
    </w:p>
    <w:p w14:paraId="222E39CB">
      <w:pPr>
        <w:rPr>
          <w:color w:val="auto"/>
        </w:rPr>
      </w:pPr>
      <w:r>
        <w:rPr>
          <w:rFonts w:hint="eastAsia"/>
          <w:color w:val="auto"/>
        </w:rPr>
        <w:t>消防系统的设计范围包括：</w:t>
      </w:r>
    </w:p>
    <w:p w14:paraId="626BF7E3">
      <w:pPr>
        <w:rPr>
          <w:color w:val="auto"/>
        </w:rPr>
      </w:pPr>
      <w:r>
        <w:rPr>
          <w:rFonts w:hint="eastAsia"/>
          <w:color w:val="auto"/>
        </w:rPr>
        <w:t>1) 室外消火栓系统</w:t>
      </w:r>
    </w:p>
    <w:p w14:paraId="6311A2D1">
      <w:pPr>
        <w:rPr>
          <w:color w:val="auto"/>
        </w:rPr>
      </w:pPr>
      <w:r>
        <w:rPr>
          <w:rFonts w:hint="eastAsia"/>
          <w:color w:val="auto"/>
        </w:rPr>
        <w:t>2) 室内消火栓系统</w:t>
      </w:r>
    </w:p>
    <w:p w14:paraId="36A02696">
      <w:pPr>
        <w:rPr>
          <w:color w:val="auto"/>
        </w:rPr>
      </w:pPr>
      <w:r>
        <w:rPr>
          <w:rFonts w:hint="eastAsia"/>
          <w:color w:val="auto"/>
        </w:rPr>
        <w:t>3) 自动喷水灭火系统</w:t>
      </w:r>
    </w:p>
    <w:p w14:paraId="38F5093B">
      <w:pPr>
        <w:rPr>
          <w:color w:val="auto"/>
        </w:rPr>
      </w:pPr>
      <w:r>
        <w:rPr>
          <w:rFonts w:hint="eastAsia"/>
          <w:color w:val="auto"/>
        </w:rPr>
        <w:t>4) 气体灭火系统</w:t>
      </w:r>
    </w:p>
    <w:p w14:paraId="2B6FF3E0">
      <w:pPr>
        <w:rPr>
          <w:color w:val="auto"/>
        </w:rPr>
      </w:pPr>
      <w:r>
        <w:rPr>
          <w:rFonts w:hint="eastAsia"/>
          <w:color w:val="auto"/>
        </w:rPr>
        <w:t>5) 建筑灭火器配置系统</w:t>
      </w:r>
    </w:p>
    <w:p w14:paraId="00EBB13E">
      <w:pPr>
        <w:rPr>
          <w:color w:val="auto"/>
        </w:rPr>
      </w:pPr>
      <w:r>
        <w:rPr>
          <w:rFonts w:hint="eastAsia"/>
          <w:color w:val="auto"/>
        </w:rPr>
        <w:t>6) 消防应急照明和疏散指示系统</w:t>
      </w:r>
    </w:p>
    <w:p w14:paraId="6CFB5B55">
      <w:pPr>
        <w:rPr>
          <w:color w:val="auto"/>
        </w:rPr>
      </w:pPr>
      <w:r>
        <w:rPr>
          <w:rFonts w:hint="eastAsia"/>
          <w:color w:val="auto"/>
        </w:rPr>
        <w:t>7) 火灾自动报警及消防联动系统</w:t>
      </w:r>
    </w:p>
    <w:p w14:paraId="01EBB47C">
      <w:pPr>
        <w:rPr>
          <w:color w:val="auto"/>
        </w:rPr>
      </w:pPr>
      <w:r>
        <w:rPr>
          <w:rFonts w:hint="eastAsia"/>
          <w:color w:val="auto"/>
        </w:rPr>
        <w:t>8) 防火门监控系统</w:t>
      </w:r>
    </w:p>
    <w:p w14:paraId="4A77A794">
      <w:pPr>
        <w:rPr>
          <w:color w:val="auto"/>
        </w:rPr>
      </w:pPr>
      <w:r>
        <w:rPr>
          <w:rFonts w:hint="eastAsia"/>
          <w:color w:val="auto"/>
        </w:rPr>
        <w:t>9) 电气火灾监控系统</w:t>
      </w:r>
    </w:p>
    <w:p w14:paraId="6B64AAE3">
      <w:pPr>
        <w:rPr>
          <w:color w:val="auto"/>
        </w:rPr>
      </w:pPr>
      <w:r>
        <w:rPr>
          <w:rFonts w:hint="eastAsia"/>
          <w:color w:val="auto"/>
        </w:rPr>
        <w:t>10) 消防设备电源监测系统</w:t>
      </w:r>
    </w:p>
    <w:p w14:paraId="0FFCBA4F">
      <w:pPr>
        <w:rPr>
          <w:color w:val="auto"/>
        </w:rPr>
      </w:pPr>
      <w:r>
        <w:rPr>
          <w:rFonts w:hint="eastAsia"/>
          <w:color w:val="auto"/>
        </w:rPr>
        <w:t>11) 防烟、排烟设计和风管系统防火措施。</w:t>
      </w:r>
    </w:p>
    <w:p w14:paraId="6D841547">
      <w:pPr>
        <w:pStyle w:val="6"/>
        <w:ind w:firstLine="480"/>
        <w:rPr>
          <w:color w:val="auto"/>
        </w:rPr>
      </w:pPr>
      <w:r>
        <w:rPr>
          <w:rFonts w:hint="eastAsia"/>
          <w:color w:val="auto"/>
        </w:rPr>
        <w:t>施工工艺流程</w:t>
      </w:r>
    </w:p>
    <w:p w14:paraId="7F3147EA">
      <w:pPr>
        <w:rPr>
          <w:color w:val="auto"/>
        </w:rPr>
      </w:pPr>
      <w:r>
        <w:rPr>
          <w:rFonts w:hint="eastAsia"/>
          <w:color w:val="auto"/>
        </w:rPr>
        <w:t>1、消火栓系统施工工艺流程</w:t>
      </w:r>
    </w:p>
    <w:p w14:paraId="20A0D76B">
      <w:pPr>
        <w:rPr>
          <w:color w:val="auto"/>
        </w:rPr>
      </w:pPr>
      <w:r>
        <w:rPr>
          <w:rFonts w:hint="eastAsia"/>
          <w:color w:val="auto"/>
        </w:rPr>
        <w:t>安装准备→支吊架制作安装→立、干管安装→箱体及支管安装→管道压力试验</w:t>
      </w:r>
      <w:r>
        <w:rPr>
          <w:color w:val="auto"/>
        </w:rPr>
        <w:t xml:space="preserve"> </w:t>
      </w:r>
      <w:r>
        <w:rPr>
          <w:rFonts w:hint="eastAsia"/>
          <w:color w:val="auto"/>
        </w:rPr>
        <w:t>→管道冲洗→箱体配件安装→系统通水调试</w:t>
      </w:r>
    </w:p>
    <w:p w14:paraId="5574DDA4">
      <w:pPr>
        <w:ind w:firstLineChars="0"/>
        <w:rPr>
          <w:color w:val="auto"/>
        </w:rPr>
      </w:pPr>
      <w:r>
        <w:rPr>
          <w:rFonts w:hint="eastAsia"/>
          <w:color w:val="auto"/>
        </w:rPr>
        <w:t>1）消火栓给水主干管采用热镀锌加厚钢管。管径D</w:t>
      </w:r>
      <w:r>
        <w:rPr>
          <w:color w:val="auto"/>
        </w:rPr>
        <w:t>N</w:t>
      </w:r>
      <w:r>
        <w:rPr>
          <w:rFonts w:hint="eastAsia"/>
          <w:color w:val="auto"/>
        </w:rPr>
        <w:t>≤</w:t>
      </w:r>
      <w:r>
        <w:rPr>
          <w:color w:val="auto"/>
        </w:rPr>
        <w:t>50mm</w:t>
      </w:r>
      <w:r>
        <w:rPr>
          <w:rFonts w:hint="eastAsia"/>
          <w:color w:val="auto"/>
        </w:rPr>
        <w:t>采用丝扣连接；管径DN＞50mm采用沟槽连接。管道丝扣连接和沟槽连接施工工艺同衬塑钢管。</w:t>
      </w:r>
    </w:p>
    <w:p w14:paraId="7F67B823">
      <w:pPr>
        <w:ind w:firstLineChars="0"/>
        <w:rPr>
          <w:color w:val="auto"/>
        </w:rPr>
      </w:pPr>
      <w:r>
        <w:rPr>
          <w:rFonts w:hint="eastAsia"/>
          <w:color w:val="auto"/>
        </w:rPr>
        <w:t>2）消防水泵和稳压泵安装：消防水泵、稳压泵的安装，应符合现行国家标准《机械设备安装工程施工及验收规范》的有关规定。</w:t>
      </w:r>
    </w:p>
    <w:p w14:paraId="49101591">
      <w:pPr>
        <w:ind w:firstLineChars="0"/>
        <w:rPr>
          <w:color w:val="auto"/>
        </w:rPr>
      </w:pPr>
      <w:r>
        <w:rPr>
          <w:rFonts w:hint="eastAsia"/>
          <w:color w:val="auto"/>
        </w:rPr>
        <w:t>3）吸水管及附件的安装：吸水管上的控制阀应在消防水泵固定于基础上之后再进行安装，其直径不应小于消防水泵吸水口直径，吸水管水平管段上不应有气囊和漏气现象。</w:t>
      </w:r>
    </w:p>
    <w:p w14:paraId="09184973">
      <w:pPr>
        <w:ind w:firstLineChars="0"/>
        <w:rPr>
          <w:color w:val="auto"/>
        </w:rPr>
      </w:pPr>
      <w:r>
        <w:rPr>
          <w:rFonts w:hint="eastAsia"/>
          <w:color w:val="auto"/>
        </w:rPr>
        <w:t>4）消防水箱安装：消防水箱的容积、安装位置应符合设计要求。安装时，消防水箱的主要通道宽度不应小于1.0m，不锈钢消防水箱四周应设检修通道，其宽度不小于0.7m；消防水箱的溢流管、泄水管不得与生产或生活用水的排水系统直接相连。进水管和出水管的接头与不锈钢消防水箱的连接应采用焊接，焊接处应做防锈处理。</w:t>
      </w:r>
    </w:p>
    <w:p w14:paraId="03C6783A">
      <w:pPr>
        <w:ind w:firstLineChars="0"/>
        <w:rPr>
          <w:color w:val="auto"/>
        </w:rPr>
      </w:pPr>
      <w:r>
        <w:rPr>
          <w:rFonts w:hint="eastAsia"/>
          <w:color w:val="auto"/>
        </w:rPr>
        <w:t>5）消防气压给水设备安装：消防气压给水设备的气压罐其容积气压水位及工作压力应符合设计要求。消防气压给水设备上的安全阀、压力表、水位指示器等的安装应符合产品使用说明书的要求。消防气压给水设备安装位置、进水管及出水管方向应符合设计要求；安装时其四周应设检修通道，其宽度不小于0.7m；消防气压给水设备顶部至楼板或梁底的距离不得小于1.0m。</w:t>
      </w:r>
    </w:p>
    <w:p w14:paraId="6FFF0C6E">
      <w:pPr>
        <w:ind w:firstLineChars="0"/>
        <w:rPr>
          <w:color w:val="auto"/>
        </w:rPr>
      </w:pPr>
      <w:r>
        <w:rPr>
          <w:rFonts w:hint="eastAsia"/>
          <w:color w:val="auto"/>
        </w:rPr>
        <w:t>6）消防水泵接合器安装：消防水泵接合器的组装应按接口、本体、连接管、止回阀、安全阀、放空管、控制阀的顺序进行。止回阀的安装应使消防用水能从消防水泵接合器进入系统。消防水泵接合器的安装应符合下列规定：应安装在便于消防车接近的人行道或非机动车行驶地段。地上消防水泵接合器应设置与消火栓区别的固定标志。地上消防水泵接合器的安装，应使进水口与井盖底面的距离不大于0.4m，且不应小于井盖的半径。</w:t>
      </w:r>
    </w:p>
    <w:p w14:paraId="268CBD1E">
      <w:pPr>
        <w:ind w:firstLineChars="0"/>
        <w:rPr>
          <w:color w:val="auto"/>
        </w:rPr>
      </w:pPr>
      <w:r>
        <w:rPr>
          <w:rFonts w:hint="eastAsia"/>
          <w:color w:val="auto"/>
        </w:rPr>
        <w:t>7）箱体及支管安装：消火栓支管要以栓阀的标高定位甩口，核定后再稳固消火栓箱，箱体找正稳固后再把栓阀安装好，栓口朝外并不应安装在门轴侧，箱门开启灵活。</w:t>
      </w:r>
    </w:p>
    <w:p w14:paraId="003FE3C5">
      <w:pPr>
        <w:ind w:firstLineChars="0"/>
        <w:rPr>
          <w:color w:val="auto"/>
        </w:rPr>
      </w:pPr>
      <w:r>
        <w:rPr>
          <w:rFonts w:hint="eastAsia"/>
          <w:color w:val="auto"/>
        </w:rPr>
        <w:t>8）箱体配件安装：应在交工前进行。消防水龙带应折好放在挂架上卷实、盘紧放在箱内；消防水枪要竖放在箱体内侧，自救式水枪和软管应放在挂卡上或放在箱底部。</w:t>
      </w:r>
    </w:p>
    <w:p w14:paraId="2E11B510">
      <w:pPr>
        <w:rPr>
          <w:color w:val="auto"/>
        </w:rPr>
      </w:pPr>
      <w:r>
        <w:rPr>
          <w:rFonts w:hint="eastAsia"/>
          <w:color w:val="auto"/>
        </w:rPr>
        <w:t>2、自动喷水灭火系统施工工艺流程</w:t>
      </w:r>
    </w:p>
    <w:p w14:paraId="785BFF00">
      <w:pPr>
        <w:rPr>
          <w:color w:val="auto"/>
        </w:rPr>
      </w:pPr>
      <w:r>
        <w:rPr>
          <w:rFonts w:hint="eastAsia"/>
          <w:color w:val="auto"/>
        </w:rPr>
        <w:t>安装准备→干管安装→报警阀安装→立管安装→分层干支管安装→水流指示器安装→管道试压→管道冲洗→喷淋头支管安装→节流装置安装→喷淋头安装→系统通水调试</w:t>
      </w:r>
    </w:p>
    <w:p w14:paraId="7C52A991">
      <w:pPr>
        <w:ind w:firstLineChars="0"/>
        <w:rPr>
          <w:color w:val="auto"/>
        </w:rPr>
      </w:pPr>
      <w:r>
        <w:rPr>
          <w:rFonts w:hint="eastAsia"/>
          <w:color w:val="auto"/>
        </w:rPr>
        <w:t>1）喷淋管道采用内外热镀锌钢管。管径D</w:t>
      </w:r>
      <w:r>
        <w:rPr>
          <w:color w:val="auto"/>
        </w:rPr>
        <w:t>N</w:t>
      </w:r>
      <w:r>
        <w:rPr>
          <w:rFonts w:hint="eastAsia"/>
          <w:color w:val="auto"/>
        </w:rPr>
        <w:t>≤</w:t>
      </w:r>
      <w:r>
        <w:rPr>
          <w:color w:val="auto"/>
        </w:rPr>
        <w:t>50mm</w:t>
      </w:r>
      <w:r>
        <w:rPr>
          <w:rFonts w:hint="eastAsia"/>
          <w:color w:val="auto"/>
        </w:rPr>
        <w:t>采用丝扣连接；管径DN＞50mm采用沟槽连接。管道丝扣连接和沟槽连接施工工艺同衬塑钢管。</w:t>
      </w:r>
    </w:p>
    <w:p w14:paraId="0A402893">
      <w:pPr>
        <w:ind w:firstLineChars="0"/>
        <w:rPr>
          <w:color w:val="auto"/>
        </w:rPr>
      </w:pPr>
      <w:r>
        <w:rPr>
          <w:rFonts w:hint="eastAsia"/>
          <w:color w:val="auto"/>
        </w:rPr>
        <w:t>2）喷头安装：喷头安装应在系统试压、冲洗合格后进行。喷头安装时宜采用专用的弯头、三通。喷头安装时，不得对喷头进行拆装、改动，并严禁给喷头附加任何装饰性涂层。喷头安装应使用专用扳手，严禁利用喷头的框架施拧；喷头的框架、溅水盘产生变形或释放原件损伤时，应采用规格、型号相同的喷头更换。安装在易受机械损伤处的喷头，应加设喷头防护罩。</w:t>
      </w:r>
    </w:p>
    <w:p w14:paraId="5A613D7B">
      <w:pPr>
        <w:ind w:firstLineChars="0"/>
        <w:rPr>
          <w:color w:val="auto"/>
        </w:rPr>
      </w:pPr>
      <w:r>
        <w:rPr>
          <w:rFonts w:hint="eastAsia"/>
          <w:color w:val="auto"/>
        </w:rPr>
        <w:t>3）报警阀组安装：报警阀组的安装应先安装水源控制阀、报警阀，然后再进行报警阀辅助管道的连接。水源控制阀、报警阀与配水干管的连接，应使水流方向一致。报警阀组安装的位置应符合设计要求；当设计无要求时，报警阀组应安装在使于操作的明显位置，距室内地面高度宜为1.2m；正面距墙的距离不应小于1.2m。安装报警阀组的室内地面应有排水设施。报警阀附件组的安装应符合下列要求：压力表应安装在报警阀上便于观测的位置。排水管和试验阀应安装在便于操作的位置。水源控制阀安装应便于操作，且应有明显开闭标志和可靠的锁定设施。湿式报警阀组的安装应符合下列要求：应使报警阀前后的管道中能顺利的充满水；压力波动时，水力警铃不应发生误报警。报警水流通路上的过滤器应安装在延时器前，而且是便于排渣操作的位置。</w:t>
      </w:r>
    </w:p>
    <w:p w14:paraId="5F808CB8">
      <w:pPr>
        <w:ind w:firstLineChars="0"/>
        <w:rPr>
          <w:color w:val="auto"/>
        </w:rPr>
      </w:pPr>
      <w:r>
        <w:rPr>
          <w:rFonts w:hint="eastAsia"/>
          <w:color w:val="auto"/>
        </w:rPr>
        <w:t>4）其它组件安装：水力警铃应安装在公共通道或值班室附近的外墙上，且应安装检修、测试用的阀门。水力警铃和报警阀的连接应采用镀锌钢管，安装后的启动压力不应小于0.05Mpa。水流指示器应竖直安装在水平管道上侧，其动作方向应和水流方向一致；安装后的水流指示器浆片、膜片应动作灵活，不应与管壁发生碰撞。信号阀应安装在水流指示器前的管道上，与水流指示器间的距离不应小于300mm。排气阀的安装应在系统管网试压和冲洗合格后进行；排气阀应安装在配水干管顶部、配水管的末端，且应确保无渗漏。节流装置应安装在公称直径不小于50mm水平管段上；减压孔板应安装在管道内水流转弯处下游一侧的直管上，且与转弯处的距离不应小于管子公称直径的2倍。压力开关应竖直安装在通往水力警铃的管道上，且不应在安装中拆装改动。末端试水装置宜安装在系统管网末端或分区管网末端。</w:t>
      </w:r>
    </w:p>
    <w:p w14:paraId="61A36468">
      <w:pPr>
        <w:rPr>
          <w:color w:val="auto"/>
        </w:rPr>
      </w:pPr>
      <w:r>
        <w:rPr>
          <w:rFonts w:hint="eastAsia"/>
          <w:color w:val="auto"/>
        </w:rPr>
        <w:t>3、火灾自动报警系统施工工艺流程</w:t>
      </w:r>
    </w:p>
    <w:p w14:paraId="544FC365">
      <w:pPr>
        <w:rPr>
          <w:color w:val="auto"/>
        </w:rPr>
      </w:pPr>
      <w:r>
        <w:rPr>
          <w:rFonts w:hint="eastAsia"/>
          <w:color w:val="auto"/>
        </w:rPr>
        <w:t>施工准备→管道、线槽敷设→线、缆敷设→校接线及绝缘电阻测试→设备安装→单机调试→系统调试</w:t>
      </w:r>
    </w:p>
    <w:p w14:paraId="1307DCD3">
      <w:pPr>
        <w:ind w:firstLineChars="0"/>
        <w:rPr>
          <w:color w:val="auto"/>
        </w:rPr>
      </w:pPr>
      <w:r>
        <w:rPr>
          <w:rFonts w:hint="eastAsia"/>
          <w:color w:val="auto"/>
        </w:rPr>
        <w:t>1）布线：火灾自动报警系统应单独布线，系统内不同电压等级、不同电流类别的线路，不应穿在同一管内或线槽的同一槽孔内。导线在管内或线槽内，不应有接头或扭结。导线的接头，应在接线盒内焊接或用端子连接。</w:t>
      </w:r>
    </w:p>
    <w:p w14:paraId="2FAF4A0B">
      <w:pPr>
        <w:ind w:firstLineChars="0"/>
        <w:rPr>
          <w:color w:val="auto"/>
        </w:rPr>
      </w:pPr>
      <w:r>
        <w:rPr>
          <w:rFonts w:hint="eastAsia"/>
          <w:color w:val="auto"/>
        </w:rPr>
        <w:t>2）火灾探测器的安装：点型火灾探测器的安装位置，应符合下列规定：探测器至墙壁、梁边的水平距离，不应小于0.5m ；探测器周围0.5m内，不应有遮挡物。探测器至空调送风口边的水平距离，不应小于1.5m；至多孔送风顶棚孔口的水平距离，不应小于0.5m。在宽度小于3 m的内走道顶棚上设置探测器时，宜居中布置。点型感温探测器的安装间距，不应超过10 m；点型感烟探测器的安装间距，不应超过15 m。探测器距端墙的距离，不应大于探测器安装间距的一半。探测器宜水平安装，当必须倾斜安装时倾斜角不应大于45°。探测器的底座应固定牢靠，其导线连接必须可靠压接或焊接，当采用焊接时，不得使用带腐蚀性的助焊剂。同一工程中的导线，应根据不同用途选不同颜色加以区分，相同用途的导线颜色应一致。电源线正极应为红色，负极应为蓝色或黑色。探测器底座的外接导线，应留有不小于15cm的余量，入端处应有明显标志。探测器底座的穿线孔宜封堵，安装完毕后的探测器底座应采取保护措施。探测器的确认灯，应面向便于人员观察的主要入口方向。探测器在即将调试时方可安装，在安装前应妥善保管，并应采取防尘，防潮，防腐蚀措施。</w:t>
      </w:r>
    </w:p>
    <w:p w14:paraId="72B85518">
      <w:pPr>
        <w:ind w:firstLineChars="0"/>
        <w:rPr>
          <w:color w:val="auto"/>
          <w:lang w:bidi="en-US"/>
        </w:rPr>
      </w:pPr>
      <w:bookmarkStart w:id="213" w:name="_Toc12711"/>
      <w:bookmarkStart w:id="214" w:name="_Toc25508"/>
      <w:bookmarkStart w:id="215" w:name="_Toc9727"/>
      <w:r>
        <w:rPr>
          <w:rFonts w:hint="eastAsia"/>
          <w:color w:val="auto"/>
          <w:lang w:bidi="en-US"/>
        </w:rPr>
        <w:t>3）手动火灾报警按钮的安装</w:t>
      </w:r>
      <w:bookmarkEnd w:id="213"/>
      <w:bookmarkEnd w:id="214"/>
      <w:bookmarkEnd w:id="215"/>
      <w:r>
        <w:rPr>
          <w:rFonts w:hint="eastAsia"/>
          <w:color w:val="auto"/>
          <w:lang w:bidi="en-US"/>
        </w:rPr>
        <w:t>：</w:t>
      </w:r>
      <w:r>
        <w:rPr>
          <w:rFonts w:hint="eastAsia"/>
          <w:color w:val="auto"/>
        </w:rPr>
        <w:t>手动火灾报警按钮，当安装在墙上时，其底边距地(楼)面高度宜为 1.3～1.5m。手动火灾报警按钮，应安装牢固，并不得倾斜。手动火灾报警按钮的外接导线，应留有不小于15cm的余量，且在其端部应有明显标志。</w:t>
      </w:r>
    </w:p>
    <w:p w14:paraId="24A57667">
      <w:pPr>
        <w:ind w:firstLineChars="0"/>
        <w:rPr>
          <w:color w:val="auto"/>
        </w:rPr>
      </w:pPr>
      <w:r>
        <w:rPr>
          <w:rFonts w:hint="eastAsia"/>
          <w:color w:val="auto"/>
        </w:rPr>
        <w:t>4）火灾报警控制器的安装：火灾报警控制器在墙上安装时，其底边距地（楼）面高度宜为1.3～1.5m；落地安装时,其底边宜高出地坪0.1</w:t>
      </w:r>
      <w:r>
        <w:rPr>
          <w:rFonts w:hint="eastAsia"/>
          <w:color w:val="auto"/>
          <w:vertAlign w:val="subscript"/>
        </w:rPr>
        <w:t>~</w:t>
      </w:r>
      <w:r>
        <w:rPr>
          <w:rFonts w:hint="eastAsia"/>
          <w:color w:val="auto"/>
        </w:rPr>
        <w:t>0.2 m。控制器应安装牢固，不得倾斜。安装在轻质墙上时，应采取加固措施。引入控制器的电缆或导线，应符合下列要求：配线应整齐，避免交叉，并应固定牢靠；电缆芯线和所配导线的端部，均应标明编号，并与图纸一致，字迹清晰，不易退色。端子板的每个接线湍，接线不得超过2根；电缆芯和导线，应留有不小于20cm的余量；导线应绑扎成束；导线引入线穿线后，在进线管处应封堵。控制器的主电源引入线，应直接与消防电源连接，严禁使用电源插头。主电源应有明显标志。控制器的接地、应牢固，并有明显标志。</w:t>
      </w:r>
    </w:p>
    <w:p w14:paraId="7ABC0A7B">
      <w:pPr>
        <w:rPr>
          <w:color w:val="auto"/>
        </w:rPr>
      </w:pPr>
      <w:r>
        <w:rPr>
          <w:rFonts w:hint="eastAsia"/>
          <w:color w:val="auto"/>
        </w:rPr>
        <w:t>5）消防控制设备的安装：消防控制设备在安装前，应进行功能检查，不合格者,不得安装。消防控制设备的外接导线，当采用金属软管作套管时，其长度不宜大于2m，且应采用管卡固定，其固定点间距不应大于0.5m。金属软管与消防控制设备的接线盒（箱），应采用锁母固定，并应根据配管规定接地。消防控制设备外接导线的端部，应有明显标志。消防控制设备盘（柜）内不同电压等级，不同电流类别的端子，应分开，并有明显标志。</w:t>
      </w:r>
    </w:p>
    <w:p w14:paraId="1AEB1250">
      <w:pPr>
        <w:rPr>
          <w:color w:val="auto"/>
        </w:rPr>
      </w:pPr>
      <w:r>
        <w:rPr>
          <w:rFonts w:hint="eastAsia"/>
          <w:color w:val="auto"/>
        </w:rPr>
        <w:t>4、气体灭火系统施工工艺流程</w:t>
      </w:r>
    </w:p>
    <w:p w14:paraId="472A43D4">
      <w:pPr>
        <w:rPr>
          <w:color w:val="auto"/>
        </w:rPr>
      </w:pPr>
      <w:r>
        <w:rPr>
          <w:rFonts w:hint="eastAsia"/>
          <w:color w:val="auto"/>
        </w:rPr>
        <w:t>施工准备→管网安装→设备及配件安装→系统调试及功能验收</w:t>
      </w:r>
    </w:p>
    <w:p w14:paraId="3B7901C5">
      <w:pPr>
        <w:ind w:firstLineChars="0"/>
        <w:rPr>
          <w:color w:val="auto"/>
        </w:rPr>
      </w:pPr>
      <w:r>
        <w:rPr>
          <w:rFonts w:hint="eastAsia"/>
          <w:bCs/>
          <w:color w:val="auto"/>
        </w:rPr>
        <w:t>1）管网安装：</w:t>
      </w:r>
      <w:r>
        <w:rPr>
          <w:rFonts w:hint="eastAsia"/>
          <w:color w:val="auto"/>
        </w:rPr>
        <w:t>干管安装时，出瓶室的一段管应先安装好，找准尺寸后固定牢靠，管与管之间的距离应严格按照施工图纸确定，确保设备安装尺寸，然后再顺序安装其它管道。喷头支管应加固定支架，支架与喷嘴间的管道长度不应大于</w:t>
      </w:r>
      <w:r>
        <w:rPr>
          <w:color w:val="auto"/>
        </w:rPr>
        <w:t>500mm</w:t>
      </w:r>
      <w:r>
        <w:rPr>
          <w:rFonts w:hint="eastAsia"/>
          <w:color w:val="auto"/>
        </w:rPr>
        <w:t>。管网安装完应进行强度试验。</w:t>
      </w:r>
    </w:p>
    <w:p w14:paraId="2C45AFAB">
      <w:pPr>
        <w:ind w:firstLineChars="0"/>
        <w:rPr>
          <w:color w:val="auto"/>
        </w:rPr>
      </w:pPr>
      <w:r>
        <w:rPr>
          <w:rFonts w:hint="eastAsia"/>
          <w:bCs/>
          <w:color w:val="auto"/>
        </w:rPr>
        <w:t>2）设备安装：</w:t>
      </w:r>
      <w:r>
        <w:rPr>
          <w:rFonts w:hint="eastAsia"/>
          <w:color w:val="auto"/>
        </w:rPr>
        <w:t>钢瓶运输时应采取保护措施，防止碰撞、擦伤。安装时压力表观察面及产品标牌应朝外。钢瓶应排列整齐，间距符合设计要求。钢瓶重量用楼板承担，其固定一般是先在墙面上固定一根槽钢，再用抱卡将钢瓶与槽钢卡在一起。灭火剂钢瓶一般通过弯管接头，高压软管和单向阀与集流管相接。选择阀安装在集流管的排气口。压力开关一般在集流管的末端锥丝安装，或在管接头连接件上锥丝安装。喷嘴开孔规格与开孔朝向必须满足设计要求，安装时应采用专用扳手。</w:t>
      </w:r>
    </w:p>
    <w:p w14:paraId="08710971">
      <w:pPr>
        <w:rPr>
          <w:color w:val="auto"/>
        </w:rPr>
      </w:pPr>
      <w:r>
        <w:rPr>
          <w:rFonts w:hint="eastAsia"/>
          <w:bCs/>
          <w:color w:val="auto"/>
        </w:rPr>
        <w:t>3）系统调试及功能验收：</w:t>
      </w:r>
      <w:r>
        <w:rPr>
          <w:rFonts w:hint="eastAsia"/>
          <w:color w:val="auto"/>
        </w:rPr>
        <w:t>气体灭火系统安装完应按防护区总数（不足</w:t>
      </w:r>
      <w:r>
        <w:rPr>
          <w:color w:val="auto"/>
        </w:rPr>
        <w:t>10</w:t>
      </w:r>
      <w:r>
        <w:rPr>
          <w:rFonts w:hint="eastAsia"/>
          <w:color w:val="auto"/>
        </w:rPr>
        <w:t>个按</w:t>
      </w:r>
      <w:r>
        <w:rPr>
          <w:color w:val="auto"/>
        </w:rPr>
        <w:t>10</w:t>
      </w:r>
      <w:r>
        <w:rPr>
          <w:rFonts w:hint="eastAsia"/>
          <w:color w:val="auto"/>
        </w:rPr>
        <w:t>个计）的</w:t>
      </w:r>
      <w:r>
        <w:rPr>
          <w:color w:val="auto"/>
        </w:rPr>
        <w:t>10%</w:t>
      </w:r>
      <w:r>
        <w:rPr>
          <w:rFonts w:hint="eastAsia"/>
          <w:color w:val="auto"/>
        </w:rPr>
        <w:t>进行模拟喷气试验。喷气的区域应做好防护措施。试验结果应满足设计要求。</w:t>
      </w:r>
    </w:p>
    <w:p w14:paraId="7383F11D">
      <w:pPr>
        <w:pStyle w:val="5"/>
        <w:rPr>
          <w:color w:val="auto"/>
        </w:rPr>
      </w:pPr>
      <w:bookmarkStart w:id="216" w:name="_Toc4202"/>
      <w:r>
        <w:rPr>
          <w:rFonts w:hint="eastAsia"/>
          <w:color w:val="auto"/>
        </w:rPr>
        <w:t>电梯工程</w:t>
      </w:r>
      <w:bookmarkEnd w:id="216"/>
    </w:p>
    <w:p w14:paraId="27C5E72A">
      <w:pPr>
        <w:pStyle w:val="6"/>
        <w:ind w:firstLine="480"/>
        <w:rPr>
          <w:color w:val="auto"/>
        </w:rPr>
      </w:pPr>
      <w:r>
        <w:rPr>
          <w:rFonts w:hint="eastAsia"/>
          <w:color w:val="auto"/>
        </w:rPr>
        <w:t>电梯工施工流程</w:t>
      </w:r>
    </w:p>
    <w:p w14:paraId="6E41F306">
      <w:pPr>
        <w:rPr>
          <w:color w:val="auto"/>
        </w:rPr>
      </w:pPr>
      <w:r>
        <w:rPr>
          <w:rFonts w:hint="eastAsia"/>
          <w:color w:val="auto"/>
        </w:rPr>
        <w:t>设备开箱点件→水平及垂直运输→放样板线、测量→井道定线、放线→支架安装、层门地坎安装→导轨安装及调整→设备安装、各层门套安装→层门安装及调整、底坑设备安装→轿厢组装及调整→配控制线→各部分接线→拆脚手架→测绝缘、试动慢车→门刀安装→层门精确调整→整体调整→快车调试→运行数据测量→验收</w:t>
      </w:r>
    </w:p>
    <w:p w14:paraId="731512EE">
      <w:pPr>
        <w:pStyle w:val="6"/>
        <w:ind w:firstLine="480"/>
        <w:rPr>
          <w:color w:val="auto"/>
        </w:rPr>
      </w:pPr>
      <w:r>
        <w:rPr>
          <w:rFonts w:hint="eastAsia"/>
          <w:color w:val="auto"/>
        </w:rPr>
        <w:t>施工工艺</w:t>
      </w:r>
    </w:p>
    <w:p w14:paraId="0A842814">
      <w:pPr>
        <w:rPr>
          <w:color w:val="auto"/>
        </w:rPr>
      </w:pPr>
      <w:r>
        <w:rPr>
          <w:rFonts w:hint="eastAsia"/>
          <w:color w:val="auto"/>
        </w:rPr>
        <w:t>1、稳定样板架与吊线</w:t>
      </w:r>
    </w:p>
    <w:p w14:paraId="0B02453C">
      <w:pPr>
        <w:ind w:firstLineChars="0"/>
        <w:rPr>
          <w:color w:val="auto"/>
        </w:rPr>
      </w:pPr>
      <w:r>
        <w:rPr>
          <w:rFonts w:hint="eastAsia"/>
          <w:color w:val="auto"/>
        </w:rPr>
        <w:t>1）工艺流程：搭设样板架；测量井道、确定基准线；样板就位、挂基准线。</w:t>
      </w:r>
    </w:p>
    <w:p w14:paraId="7126CA96">
      <w:pPr>
        <w:ind w:firstLineChars="0"/>
        <w:rPr>
          <w:color w:val="auto"/>
        </w:rPr>
      </w:pPr>
      <w:r>
        <w:rPr>
          <w:rFonts w:hint="eastAsia"/>
          <w:color w:val="auto"/>
        </w:rPr>
        <w:t>2）搭设样板架：在井道顶板下面1.2</w:t>
      </w:r>
      <w:r>
        <w:rPr>
          <w:color w:val="auto"/>
        </w:rPr>
        <w:t>m</w:t>
      </w:r>
      <w:r>
        <w:rPr>
          <w:rFonts w:hint="eastAsia"/>
          <w:color w:val="auto"/>
        </w:rPr>
        <w:t>左右处用膨胀螺栓将角钢水平牢固地固定于井道壁上,水平度误差不得大于3／1000。</w:t>
      </w:r>
    </w:p>
    <w:p w14:paraId="7836DABE">
      <w:pPr>
        <w:ind w:firstLineChars="0"/>
        <w:rPr>
          <w:color w:val="auto"/>
        </w:rPr>
      </w:pPr>
      <w:r>
        <w:rPr>
          <w:rFonts w:hint="eastAsia"/>
          <w:color w:val="auto"/>
        </w:rPr>
        <w:t>3）测量井道，确定标准线：预放两根厅门口线测量井道。确定轿厢轨道线位置时，要根据道架高度要求，考虑安装位置有无问题。对重轨道中心线确定时应考虑对重宽度（包括对重块，最突出部分），距墙壁及轿厢应有不小于50mm的间隙。</w:t>
      </w:r>
    </w:p>
    <w:p w14:paraId="6B72ADC5">
      <w:pPr>
        <w:ind w:firstLineChars="0"/>
        <w:rPr>
          <w:color w:val="auto"/>
        </w:rPr>
      </w:pPr>
      <w:r>
        <w:rPr>
          <w:rFonts w:hint="eastAsia"/>
          <w:color w:val="auto"/>
        </w:rPr>
        <w:t>4）样板就位，挂基准线：样板加工制造；样板的木条应四面刨光、平直，按图纸要求组装，并用胶粘牢，将样板就位。</w:t>
      </w:r>
    </w:p>
    <w:p w14:paraId="29815D6C">
      <w:pPr>
        <w:rPr>
          <w:color w:val="auto"/>
        </w:rPr>
      </w:pPr>
      <w:r>
        <w:rPr>
          <w:rFonts w:hint="eastAsia"/>
          <w:color w:val="auto"/>
        </w:rPr>
        <w:t>2、导轨支架和导轨安装</w:t>
      </w:r>
    </w:p>
    <w:p w14:paraId="62E9BFA4">
      <w:pPr>
        <w:ind w:firstLineChars="0"/>
        <w:rPr>
          <w:color w:val="auto"/>
        </w:rPr>
      </w:pPr>
      <w:r>
        <w:rPr>
          <w:rFonts w:hint="eastAsia"/>
          <w:color w:val="auto"/>
        </w:rPr>
        <w:t>1）工艺流程：确定导轨支架位置；安装导轨支架；安装导轨；调整导轨。</w:t>
      </w:r>
    </w:p>
    <w:p w14:paraId="3C69D464">
      <w:pPr>
        <w:ind w:firstLineChars="0"/>
        <w:rPr>
          <w:color w:val="auto"/>
        </w:rPr>
      </w:pPr>
      <w:r>
        <w:rPr>
          <w:rFonts w:hint="eastAsia"/>
          <w:color w:val="auto"/>
        </w:rPr>
        <w:t>2）确定导轨支架的安装位置：要按照图纸要求的导轨支架间距尺寸及安装导轨支架的垂线来确定导轨支架在井壁上的位置。在确定导轨支架位置的同时，还要考虑导轨连接板（接道板）与导轨支架不能相碰。错开的净距离不小于30mm。</w:t>
      </w:r>
    </w:p>
    <w:p w14:paraId="4305C3B0">
      <w:pPr>
        <w:ind w:firstLineChars="0"/>
        <w:rPr>
          <w:color w:val="auto"/>
        </w:rPr>
      </w:pPr>
      <w:r>
        <w:rPr>
          <w:rFonts w:hint="eastAsia"/>
          <w:color w:val="auto"/>
        </w:rPr>
        <w:t>3）安装导轨支架：电梯可采用预埋铁及膨胀螺栓固定导轨支架；整个导轨支架不平度应不大于5mm；为保证导轨支架平面与导轨接触面严实，支架端面垂直误差小于lmm。</w:t>
      </w:r>
    </w:p>
    <w:p w14:paraId="4F311C17">
      <w:pPr>
        <w:ind w:firstLineChars="0"/>
        <w:rPr>
          <w:color w:val="auto"/>
        </w:rPr>
      </w:pPr>
      <w:r>
        <w:rPr>
          <w:rFonts w:hint="eastAsia"/>
          <w:color w:val="auto"/>
        </w:rPr>
        <w:t>4）安装导轨：从样板上放基准线至底坑（基准线距导轨端面中心2～3mm），并进行固定。底坑架设导轨槽钢基础座，必须找平垫实，其水平误差不大于1／1000。在顶层厅门口安装并固定一台0</w:t>
      </w:r>
      <w:r>
        <w:rPr>
          <w:color w:val="auto"/>
        </w:rPr>
        <w:t>.</w:t>
      </w:r>
      <w:r>
        <w:rPr>
          <w:rFonts w:hint="eastAsia"/>
          <w:color w:val="auto"/>
        </w:rPr>
        <w:t>5t的卷扬机．吊装导轨时要采用双钩勾住导轨连接板。若导轨较轻且提升高度不大，可采用人力，使用φ≥16尼龙绳代替卷扬吊装导轨。</w:t>
      </w:r>
    </w:p>
    <w:p w14:paraId="2A0F8070">
      <w:pPr>
        <w:ind w:firstLineChars="0"/>
        <w:rPr>
          <w:color w:val="auto"/>
        </w:rPr>
      </w:pPr>
      <w:r>
        <w:rPr>
          <w:rFonts w:hint="eastAsia"/>
          <w:color w:val="auto"/>
        </w:rPr>
        <w:t>5）调整导轨（轨道）：用钢板尺检查导轨端面于基准线的间距和中心距离，如不符合要求，应调整导轨前后距离和中心距离，然后再用找道尺进行细找。导轨接头处的全长不应有连续缝隙，局部缝隙不大于0.5mm。两导轨的侧工作面和端面接头处的台阶应不大于0.0</w:t>
      </w:r>
      <w:r>
        <w:rPr>
          <w:color w:val="auto"/>
        </w:rPr>
        <w:t>5mm</w:t>
      </w:r>
      <w:r>
        <w:rPr>
          <w:rFonts w:hint="eastAsia"/>
          <w:color w:val="auto"/>
        </w:rPr>
        <w:t>。</w:t>
      </w:r>
    </w:p>
    <w:p w14:paraId="2FBF199D">
      <w:pPr>
        <w:rPr>
          <w:color w:val="auto"/>
        </w:rPr>
      </w:pPr>
      <w:r>
        <w:rPr>
          <w:color w:val="auto"/>
        </w:rPr>
        <w:t>3</w:t>
      </w:r>
      <w:r>
        <w:rPr>
          <w:rFonts w:hint="eastAsia"/>
          <w:color w:val="auto"/>
        </w:rPr>
        <w:t>、对重安装</w:t>
      </w:r>
    </w:p>
    <w:p w14:paraId="5146561B">
      <w:pPr>
        <w:ind w:firstLineChars="0"/>
        <w:rPr>
          <w:color w:val="auto"/>
        </w:rPr>
      </w:pPr>
      <w:r>
        <w:rPr>
          <w:rFonts w:hint="eastAsia"/>
          <w:color w:val="auto"/>
        </w:rPr>
        <w:t>1）工艺流程：吊装前的准备工作→对重框架吊装就位→对重导靴安装、调整→对重块安装及固定</w:t>
      </w:r>
    </w:p>
    <w:p w14:paraId="12621AE2">
      <w:pPr>
        <w:ind w:firstLineChars="0"/>
        <w:rPr>
          <w:color w:val="auto"/>
        </w:rPr>
      </w:pPr>
      <w:r>
        <w:rPr>
          <w:rFonts w:hint="eastAsia"/>
          <w:color w:val="auto"/>
        </w:rPr>
        <w:t>2）吊装前的准备工作在脚手架上相应位置(以方便吊装对重框架和装入坨块为准)搭设操作平台。在适当高度(以方便吊装对重为准)的相对的对重导轨支架上栓上钢丝绳扣，在钢丝绳扣中央悬挂一倒链。钢丝绳扣应拴在导轨支架上，不可直接拴在导轨上，以免导轨受力后移位或变形。</w:t>
      </w:r>
    </w:p>
    <w:p w14:paraId="58AE181B">
      <w:pPr>
        <w:ind w:firstLineChars="0"/>
        <w:rPr>
          <w:color w:val="auto"/>
        </w:rPr>
      </w:pPr>
      <w:r>
        <w:rPr>
          <w:rFonts w:hint="eastAsia"/>
          <w:color w:val="auto"/>
        </w:rPr>
        <w:t>3）对重框架吊装就位：将对重框架运到操作平台上，用钢丝绳扣朝对重绳头板和倒链钩连在一起。操作倒链；缓缓将对重框架吊起到预定高度，对于一侧装有弹簧式或固定式导靴的对重框架，移动对重框架，使其导靴与该侧导轨吻合并</w:t>
      </w:r>
      <w:r>
        <w:rPr>
          <w:color w:val="auto"/>
        </w:rPr>
        <w:drawing>
          <wp:anchor distT="0" distB="0" distL="114300" distR="114300" simplePos="0" relativeHeight="251660288" behindDoc="1" locked="1" layoutInCell="1" allowOverlap="1">
            <wp:simplePos x="0" y="0"/>
            <wp:positionH relativeFrom="column">
              <wp:posOffset>3568700</wp:posOffset>
            </wp:positionH>
            <wp:positionV relativeFrom="paragraph">
              <wp:posOffset>8458200</wp:posOffset>
            </wp:positionV>
            <wp:extent cx="838200" cy="825500"/>
            <wp:effectExtent l="0" t="0" r="0" b="0"/>
            <wp:wrapNone/>
            <wp:docPr id="62" name="图片 62" descr="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66"/>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838200" cy="825500"/>
                    </a:xfrm>
                    <a:prstGeom prst="rect">
                      <a:avLst/>
                    </a:prstGeom>
                    <a:noFill/>
                    <a:ln>
                      <a:noFill/>
                    </a:ln>
                  </pic:spPr>
                </pic:pic>
              </a:graphicData>
            </a:graphic>
          </wp:anchor>
        </w:drawing>
      </w:r>
      <w:r>
        <w:rPr>
          <w:rFonts w:hint="eastAsia"/>
          <w:color w:val="auto"/>
        </w:rPr>
        <w:t>保持接触，然后轻轻放松倒链，使对重架平稳牢固地安放在事先支好的木方上，未装导靴的对重框架固定在木方上时，应使框架两侧面与导轨端面距离相等。</w:t>
      </w:r>
    </w:p>
    <w:p w14:paraId="29DFB301">
      <w:pPr>
        <w:ind w:firstLineChars="0"/>
        <w:rPr>
          <w:color w:val="auto"/>
        </w:rPr>
      </w:pPr>
      <w:r>
        <w:rPr>
          <w:rFonts w:hint="eastAsia"/>
          <w:color w:val="auto"/>
        </w:rPr>
        <w:t>4）对重导靴的安装、调试：固定式导靴安装时要保证内衬与导轨端面间隙上、下一致，若达不到要求要用垫片进行调整。在安装弹簧式导靴前，应将导靴调整螺母紧到最大限度，使导靴和导靴之间没有间隙，这样便于安装。</w:t>
      </w:r>
    </w:p>
    <w:p w14:paraId="05E2F61F">
      <w:pPr>
        <w:ind w:firstLineChars="0"/>
        <w:rPr>
          <w:color w:val="auto"/>
        </w:rPr>
      </w:pPr>
      <w:r>
        <w:rPr>
          <w:rFonts w:hint="eastAsia"/>
          <w:color w:val="auto"/>
        </w:rPr>
        <w:t>5）对重块的安装及固定：装入相应数量的对重块。按厂家设计要求装上对重块防震装置。</w:t>
      </w:r>
    </w:p>
    <w:p w14:paraId="6F08C50C">
      <w:pPr>
        <w:rPr>
          <w:color w:val="auto"/>
        </w:rPr>
      </w:pPr>
      <w:r>
        <w:rPr>
          <w:color w:val="auto"/>
        </w:rPr>
        <w:t>4</w:t>
      </w:r>
      <w:r>
        <w:rPr>
          <w:rFonts w:hint="eastAsia"/>
          <w:color w:val="auto"/>
        </w:rPr>
        <w:t>、轿厢安装</w:t>
      </w:r>
    </w:p>
    <w:p w14:paraId="3E7C49A2">
      <w:pPr>
        <w:ind w:firstLineChars="0"/>
        <w:rPr>
          <w:color w:val="auto"/>
        </w:rPr>
      </w:pPr>
      <w:r>
        <w:rPr>
          <w:rFonts w:hint="eastAsia"/>
          <w:color w:val="auto"/>
        </w:rPr>
        <w:t>1）工艺流程：准备工作→安装底梁→安装立柱→安装上梁→装轿厢底盘→安装导靴→安装围扇→安装轿门→装轿顶装置→装限位开关碰铁→安装调整超载、满载开关</w:t>
      </w:r>
    </w:p>
    <w:p w14:paraId="41219176">
      <w:pPr>
        <w:ind w:firstLineChars="0"/>
        <w:rPr>
          <w:color w:val="auto"/>
        </w:rPr>
      </w:pPr>
      <w:r>
        <w:rPr>
          <w:rFonts w:hint="eastAsia"/>
          <w:color w:val="auto"/>
        </w:rPr>
        <w:t>2）安装底粱:将梁放在架设好的木方或工字钢上。调整安全钳钳口(老虎嘴)与导轨面间隙，同时调整底梁的水平度，使其横、纵向不水平度均≤1/1000。安装安全钳锲块，锲齿距导轨侧工作面的距离调整到3～4mm，且四个锲块距导轨侧工作面间隙应一致，然后用厚垫片塞于导轨侧面与锲块之间，使其固定，同时把老虎嘴和导轨端面用木锲塞紧。</w:t>
      </w:r>
    </w:p>
    <w:p w14:paraId="3FD62BE4">
      <w:pPr>
        <w:ind w:firstLineChars="0"/>
        <w:rPr>
          <w:color w:val="auto"/>
        </w:rPr>
      </w:pPr>
      <w:r>
        <w:rPr>
          <w:rFonts w:hint="eastAsia"/>
          <w:color w:val="auto"/>
        </w:rPr>
        <w:t>3）安装立柱：将立柱与底梁连接，连接后应使立柱垂直，其不铅垂度在整个高度上≤1．5mm，不得有扭曲，若达不到要求则用垫片进行调整。</w:t>
      </w:r>
    </w:p>
    <w:p w14:paraId="165EA35F">
      <w:pPr>
        <w:ind w:firstLineChars="0"/>
        <w:rPr>
          <w:color w:val="auto"/>
        </w:rPr>
      </w:pPr>
      <w:r>
        <w:rPr>
          <w:rFonts w:hint="eastAsia"/>
          <w:color w:val="auto"/>
        </w:rPr>
        <w:t>4）安装上粱：用倒链将上梁吊起与立柱相连接，装上所有的连接螺栓。调整上梁的横、纵向水平度，使不水平度≤1/2000，然后分别紧固连接螺栓。</w:t>
      </w:r>
    </w:p>
    <w:p w14:paraId="47AE294F">
      <w:pPr>
        <w:ind w:firstLineChars="0"/>
        <w:rPr>
          <w:color w:val="auto"/>
        </w:rPr>
      </w:pPr>
      <w:r>
        <w:rPr>
          <w:rFonts w:hint="eastAsia"/>
          <w:color w:val="auto"/>
        </w:rPr>
        <w:t>5）装轿厢底盘：用倒链将轿厢底盘吊起，然后放于相应位置。将轿厢底盘与立柱、底梁用螺丝联接(但不要把螺丝拧紧)。</w:t>
      </w:r>
    </w:p>
    <w:p w14:paraId="7F73A592">
      <w:pPr>
        <w:ind w:firstLineChars="0"/>
        <w:rPr>
          <w:color w:val="auto"/>
        </w:rPr>
      </w:pPr>
      <w:r>
        <w:rPr>
          <w:rFonts w:hint="eastAsia"/>
          <w:color w:val="auto"/>
        </w:rPr>
        <w:t>6）安装导靴：要求上、下导靴中心与安全钳中心三点在同一条垂线上。不能有歪斜、偏扭现象。固定式导靴要调整其间隙一致。</w:t>
      </w:r>
    </w:p>
    <w:p w14:paraId="12A3C522">
      <w:pPr>
        <w:ind w:firstLineChars="0"/>
        <w:rPr>
          <w:color w:val="auto"/>
        </w:rPr>
      </w:pPr>
      <w:r>
        <w:rPr>
          <w:rFonts w:hint="eastAsia"/>
          <w:color w:val="auto"/>
        </w:rPr>
        <w:t>7）安装围扇：围扇底座和轿厢底盘的连接及围扇与底座之间的连接要紧密。各连接螺丝要加相应的弹簧垫片(以防因电梯的震动而使连接螺丝松动)。</w:t>
      </w:r>
    </w:p>
    <w:p w14:paraId="2FCE5CD4">
      <w:pPr>
        <w:ind w:firstLineChars="0"/>
        <w:rPr>
          <w:color w:val="auto"/>
        </w:rPr>
      </w:pPr>
      <w:r>
        <w:rPr>
          <w:rFonts w:hint="eastAsia"/>
          <w:color w:val="auto"/>
        </w:rPr>
        <w:t>8）安装轿门：轿门安装要求参见厅门安装的有关条文。</w:t>
      </w:r>
    </w:p>
    <w:p w14:paraId="1ACC02B1">
      <w:pPr>
        <w:ind w:firstLineChars="0"/>
        <w:rPr>
          <w:color w:val="auto"/>
        </w:rPr>
      </w:pPr>
      <w:r>
        <w:rPr>
          <w:rFonts w:hint="eastAsia"/>
          <w:color w:val="auto"/>
        </w:rPr>
        <w:t>9）安装轿顶装置：轿顶接线盒、线槽、电线管、安全保护开关等要按厂家安装图安装。</w:t>
      </w:r>
    </w:p>
    <w:p w14:paraId="1F8FF354">
      <w:pPr>
        <w:ind w:firstLineChars="0"/>
        <w:rPr>
          <w:color w:val="auto"/>
        </w:rPr>
      </w:pPr>
      <w:r>
        <w:rPr>
          <w:rFonts w:hint="eastAsia"/>
          <w:color w:val="auto"/>
        </w:rPr>
        <w:t>10）安装限位开关碰铁：安装前对碰铁进行检查，若有扭曲、弯曲现象要调整。碰铁安装要牢固，要采用加弹簧垫圈的螺丝固定。要求碰铁垂直，偏差不应大于1/1000，最大偏差不大于3m(碰铁的斜边除外)。</w:t>
      </w:r>
    </w:p>
    <w:p w14:paraId="7076ABBD">
      <w:pPr>
        <w:ind w:firstLineChars="0"/>
        <w:rPr>
          <w:color w:val="auto"/>
        </w:rPr>
      </w:pPr>
      <w:r>
        <w:rPr>
          <w:rFonts w:hint="eastAsia"/>
          <w:color w:val="auto"/>
        </w:rPr>
        <w:t>11）安装、调整超载满载开关：对超、满载开关进行检查，其动作应灵活，功能可靠。安装牢固。调整满载开关，应在轿厢额定载重量时可靠动作。调整超载开关，应在轿厢的额定载重量×10％时可靠动作。</w:t>
      </w:r>
    </w:p>
    <w:p w14:paraId="13A763C7">
      <w:pPr>
        <w:rPr>
          <w:color w:val="auto"/>
        </w:rPr>
      </w:pPr>
      <w:r>
        <w:rPr>
          <w:rFonts w:hint="eastAsia"/>
          <w:color w:val="auto"/>
        </w:rPr>
        <w:t>5、厅门安装</w:t>
      </w:r>
    </w:p>
    <w:p w14:paraId="17AB9559">
      <w:pPr>
        <w:ind w:firstLineChars="0"/>
        <w:rPr>
          <w:color w:val="auto"/>
        </w:rPr>
      </w:pPr>
      <w:r>
        <w:rPr>
          <w:rFonts w:hint="eastAsia"/>
          <w:color w:val="auto"/>
        </w:rPr>
        <w:t>1）工艺流程：稳装地坎→安装门立柱、上滑道、门套→安装厅门、调整厅门→机锁、电锁安装</w:t>
      </w:r>
    </w:p>
    <w:p w14:paraId="2C8D38D2">
      <w:pPr>
        <w:ind w:firstLineChars="0"/>
        <w:rPr>
          <w:color w:val="auto"/>
        </w:rPr>
      </w:pPr>
      <w:r>
        <w:rPr>
          <w:rFonts w:hint="eastAsia"/>
          <w:color w:val="auto"/>
        </w:rPr>
        <w:t>2）稳装地坎:按要求由样板放两根厅门安装基准线(高层梯最好放三条线，即门中一条线，门口两边两条线)，在厅门地坎上划出净门口宽度线及门中心线，在相应的位置上打上三个卧点，以基准线及此标志确定地坎、牛腿及牛腿支架的安装位置。</w:t>
      </w:r>
    </w:p>
    <w:p w14:paraId="40C9A0B0">
      <w:pPr>
        <w:ind w:firstLineChars="0"/>
        <w:rPr>
          <w:color w:val="auto"/>
        </w:rPr>
      </w:pPr>
      <w:r>
        <w:rPr>
          <w:rFonts w:hint="eastAsia"/>
          <w:color w:val="auto"/>
        </w:rPr>
        <w:t>3）安装门立柱、上滑道、门套：地坎砼硬结后安装门立柱。</w:t>
      </w:r>
    </w:p>
    <w:p w14:paraId="122655F5">
      <w:pPr>
        <w:ind w:firstLineChars="0"/>
        <w:rPr>
          <w:color w:val="auto"/>
        </w:rPr>
      </w:pPr>
      <w:r>
        <w:rPr>
          <w:rFonts w:hint="eastAsia"/>
          <w:color w:val="auto"/>
        </w:rPr>
        <w:t>4）安装门厅、调整厅门:将门底导脚、门滑轮装在门扇上，把柄偏心轮调到最大值。然后将门底导脚放入地坎槽，门轮挂到滑道上。在门扇和地坎间垫上6mm厚的支撑物。门滑轮架和门扇之间用专用垫片进行调整，使之达到要求，然后将滑轮架与门扇的连接螺丝进行紧固，将偏心轮调回到与滑道间距小于0.5mm，撤掉门扇和地坎间所垫之物，进行门滑道试验，达到轻快自如为合格。</w:t>
      </w:r>
    </w:p>
    <w:p w14:paraId="63BC5F8F">
      <w:pPr>
        <w:ind w:firstLineChars="0"/>
        <w:rPr>
          <w:color w:val="auto"/>
        </w:rPr>
      </w:pPr>
      <w:r>
        <w:rPr>
          <w:rFonts w:hint="eastAsia"/>
          <w:color w:val="auto"/>
        </w:rPr>
        <w:t>5）机锁、电锁、安全开关安装：安装前应对锁钩、琐臂、滚轮、弹簧等按要求进行调整，使其灵活可靠。</w:t>
      </w:r>
    </w:p>
    <w:p w14:paraId="4CAADCB2">
      <w:pPr>
        <w:rPr>
          <w:color w:val="auto"/>
        </w:rPr>
      </w:pPr>
      <w:r>
        <w:rPr>
          <w:rFonts w:hint="eastAsia"/>
          <w:color w:val="auto"/>
        </w:rPr>
        <w:t>6、井道机械设备安装</w:t>
      </w:r>
    </w:p>
    <w:p w14:paraId="51E17A25">
      <w:pPr>
        <w:ind w:firstLineChars="0"/>
        <w:rPr>
          <w:color w:val="auto"/>
        </w:rPr>
      </w:pPr>
      <w:r>
        <w:rPr>
          <w:rFonts w:hint="eastAsia"/>
          <w:color w:val="auto"/>
        </w:rPr>
        <w:t>1）工艺流程：安装缓冲器底底座→安装缓冲器→安装选层器下钢带轮、挂钢带→安装限速器绳索张紧装置、装限速绳→安装曳引绳补偿装置</w:t>
      </w:r>
    </w:p>
    <w:p w14:paraId="5217C358">
      <w:pPr>
        <w:ind w:firstLineChars="0"/>
        <w:rPr>
          <w:color w:val="auto"/>
        </w:rPr>
      </w:pPr>
      <w:r>
        <w:rPr>
          <w:rFonts w:hint="eastAsia"/>
          <w:color w:val="auto"/>
        </w:rPr>
        <w:t>2）安装缓冲器底座：首先检查缓冲器底座与缓冲器是否配套，并进行试组装。无问题时方可将缓冲器底座安装在导轨底座上。对于没有导轨底座的电梯，宜采用加工增装导轨底座。</w:t>
      </w:r>
    </w:p>
    <w:p w14:paraId="74ADE201">
      <w:pPr>
        <w:ind w:firstLineChars="0"/>
        <w:rPr>
          <w:color w:val="auto"/>
        </w:rPr>
      </w:pPr>
      <w:r>
        <w:rPr>
          <w:rFonts w:hint="eastAsia"/>
          <w:color w:val="auto"/>
        </w:rPr>
        <w:t>3）安装缓冲器：安装时缓冲器中心位置、垂直偏差、水平度偏差等指标要同时考虑。</w:t>
      </w:r>
    </w:p>
    <w:p w14:paraId="4DC434CD">
      <w:pPr>
        <w:ind w:firstLineChars="0"/>
        <w:rPr>
          <w:color w:val="auto"/>
        </w:rPr>
      </w:pPr>
      <w:r>
        <w:rPr>
          <w:rFonts w:hint="eastAsia"/>
          <w:color w:val="auto"/>
        </w:rPr>
        <w:t>4）安装选层器下钢带轮、挂钢带：把下钢带轮固定支架安装在轿厢轨道上，要求下钢带轮重坨架下面距底坑地面450±50mm。</w:t>
      </w:r>
    </w:p>
    <w:p w14:paraId="7B2A80CC">
      <w:pPr>
        <w:ind w:firstLineChars="0"/>
        <w:rPr>
          <w:color w:val="auto"/>
        </w:rPr>
      </w:pPr>
      <w:r>
        <w:rPr>
          <w:rFonts w:hint="eastAsia"/>
          <w:color w:val="auto"/>
        </w:rPr>
        <w:t>5）安装限速绳张紧装置及限速绳：安装限速绳张紧装置，其底部距底坑地平面距离可根据要求确定。</w:t>
      </w:r>
    </w:p>
    <w:p w14:paraId="289C1AA1">
      <w:pPr>
        <w:ind w:firstLineChars="0"/>
        <w:rPr>
          <w:color w:val="auto"/>
        </w:rPr>
      </w:pPr>
      <w:r>
        <w:rPr>
          <w:rFonts w:hint="eastAsia"/>
          <w:color w:val="auto"/>
        </w:rPr>
        <w:t>6）安装曳引绳补偿装置：若补偿装置为平衡链时，安装前应于井道内自然悬挂松劲后再进行安装。若电梯用补偿绳来补偿时，除按图施工外，还应注意使补偿轮的导靴与补偿轮导轨之间间隙为1～2mm。</w:t>
      </w:r>
    </w:p>
    <w:p w14:paraId="07B66A88">
      <w:pPr>
        <w:rPr>
          <w:color w:val="auto"/>
        </w:rPr>
      </w:pPr>
      <w:r>
        <w:rPr>
          <w:rFonts w:hint="eastAsia"/>
          <w:color w:val="auto"/>
        </w:rPr>
        <w:t>7、钢丝绳安装</w:t>
      </w:r>
    </w:p>
    <w:p w14:paraId="7C21A74A">
      <w:pPr>
        <w:ind w:firstLineChars="0"/>
        <w:rPr>
          <w:color w:val="auto"/>
        </w:rPr>
      </w:pPr>
      <w:r>
        <w:rPr>
          <w:rFonts w:hint="eastAsia"/>
          <w:color w:val="auto"/>
        </w:rPr>
        <w:t>1）工艺流程：确定钢丝绳长度→放开钢丝绳、剁钢丝绳→做绳头、挂钢丝绳→调整钢丝绳</w:t>
      </w:r>
    </w:p>
    <w:p w14:paraId="321BB174">
      <w:pPr>
        <w:ind w:firstLineChars="0"/>
        <w:rPr>
          <w:color w:val="auto"/>
        </w:rPr>
      </w:pPr>
      <w:r>
        <w:rPr>
          <w:rFonts w:hint="eastAsia"/>
          <w:color w:val="auto"/>
        </w:rPr>
        <w:t>2）确定钢丝绳长度：在轿厢及对重的绳头板上相应的位置分别装好一个绳头装置。绳头杆上装上双螺母，以刚好能装上开口销为准。提起绳头杆，测量轿厢绳头锥体出口至对重绳头锥体出口的长度。</w:t>
      </w:r>
    </w:p>
    <w:p w14:paraId="6B737472">
      <w:pPr>
        <w:ind w:firstLineChars="0"/>
        <w:rPr>
          <w:color w:val="auto"/>
        </w:rPr>
      </w:pPr>
      <w:r>
        <w:rPr>
          <w:rFonts w:hint="eastAsia"/>
          <w:color w:val="auto"/>
        </w:rPr>
        <w:t>3）放钢丝绳、剁钢丝绳：在清洁宽敞的地方放开钢丝绳，检查钢丝绳应无死弯、锈蚀、断丝情况。按上述方法确定钢丝绳长度后，从距剁口两端5</w:t>
      </w:r>
      <w:r>
        <w:rPr>
          <w:color w:val="auto"/>
        </w:rPr>
        <w:t>mm</w:t>
      </w:r>
      <w:r>
        <w:rPr>
          <w:rFonts w:hint="eastAsia"/>
          <w:color w:val="auto"/>
        </w:rPr>
        <w:t>处将钢丝绳用0．7～lmm的铅丝绑扎成15</w:t>
      </w:r>
      <w:r>
        <w:rPr>
          <w:color w:val="auto"/>
        </w:rPr>
        <w:t>mm</w:t>
      </w:r>
      <w:r>
        <w:rPr>
          <w:rFonts w:hint="eastAsia"/>
          <w:color w:val="auto"/>
        </w:rPr>
        <w:t>的宽度，然后留出钢丝绳在锥体内长度，再进行绑扎，然后用剁子剁断钢丝绳。</w:t>
      </w:r>
    </w:p>
    <w:p w14:paraId="47473A4A">
      <w:pPr>
        <w:ind w:firstLineChars="0"/>
        <w:rPr>
          <w:color w:val="auto"/>
        </w:rPr>
      </w:pPr>
      <w:r>
        <w:rPr>
          <w:rFonts w:hint="eastAsia"/>
          <w:color w:val="auto"/>
        </w:rPr>
        <w:t>4）挂钢丝绳、做绳头：在挂绳头之前，应先将钢丝绳放开，使之自由悬垂于井道内，消除内应力。挂绳之前若发现钢丝绳上油污、渣土较多，可用棉丝浸上煤油，拧干后对钢丝绳进行擦拭，禁止对钢丝绳直接进行清洗，防止润滑脂被洗掉。单绕式电梯先做绳头后挂钢丝绳。复绕式电梯由于绳头穿过复绕轮比较困难，所以要先挂钢丝绳后做绳头。</w:t>
      </w:r>
    </w:p>
    <w:p w14:paraId="129412E9">
      <w:pPr>
        <w:rPr>
          <w:color w:val="auto"/>
        </w:rPr>
      </w:pPr>
      <w:r>
        <w:rPr>
          <w:rFonts w:hint="eastAsia"/>
          <w:color w:val="auto"/>
        </w:rPr>
        <w:t>调整钢丝绳张力：测量调整绳头弹簧高度，使其一致，其高度误差不可大于2mm。采用此法应事先对所有弹簧进行挑选，使同一个绳头板装置上的弹簧高度一致。用100～150N(10～15kg)的弹簧秤在梯井3/4高度处(人站在轿厢顶上)将各钢丝绳横拉出同等距离，其相互的张力差不得超过5％，达不到要求时进行调整。钢绳张力调整后绳头上双螺母必须拧紧，销钉穿好劈好尾，绳头紧固后，绳头杆上丝扣需留有1/2的调整量。</w:t>
      </w:r>
    </w:p>
    <w:p w14:paraId="55A628F2">
      <w:pPr>
        <w:pStyle w:val="4"/>
        <w:ind w:firstLine="482"/>
        <w:rPr>
          <w:color w:val="auto"/>
        </w:rPr>
      </w:pPr>
      <w:bookmarkStart w:id="217" w:name="_Toc22117"/>
      <w:r>
        <w:rPr>
          <w:rFonts w:hint="eastAsia"/>
          <w:color w:val="auto"/>
        </w:rPr>
        <w:t>外线、道路及</w:t>
      </w:r>
      <w:r>
        <w:rPr>
          <w:rFonts w:hint="eastAsia"/>
          <w:color w:val="auto"/>
          <w:lang w:val="en-US" w:eastAsia="zh-CN"/>
        </w:rPr>
        <w:t>园林</w:t>
      </w:r>
      <w:r>
        <w:rPr>
          <w:rFonts w:hint="eastAsia"/>
          <w:color w:val="auto"/>
        </w:rPr>
        <w:t>工程</w:t>
      </w:r>
      <w:bookmarkEnd w:id="217"/>
    </w:p>
    <w:p w14:paraId="627D9D82">
      <w:pPr>
        <w:pStyle w:val="5"/>
        <w:rPr>
          <w:color w:val="auto"/>
        </w:rPr>
      </w:pPr>
      <w:bookmarkStart w:id="218" w:name="_Toc19294"/>
      <w:r>
        <w:rPr>
          <w:rFonts w:hint="eastAsia"/>
          <w:color w:val="auto"/>
        </w:rPr>
        <w:t>室外管网工程概况</w:t>
      </w:r>
      <w:bookmarkEnd w:id="218"/>
    </w:p>
    <w:p w14:paraId="08107D04">
      <w:pPr>
        <w:pStyle w:val="5"/>
        <w:rPr>
          <w:color w:val="auto"/>
        </w:rPr>
      </w:pPr>
      <w:bookmarkStart w:id="219" w:name="_Toc10277"/>
      <w:r>
        <w:rPr>
          <w:rFonts w:hint="eastAsia"/>
          <w:color w:val="auto"/>
        </w:rPr>
        <w:t>施工工艺流程</w:t>
      </w:r>
      <w:bookmarkEnd w:id="219"/>
    </w:p>
    <w:p w14:paraId="7B98AE6F">
      <w:pPr>
        <w:rPr>
          <w:color w:val="auto"/>
        </w:rPr>
      </w:pPr>
      <w:r>
        <w:rPr>
          <w:rFonts w:hint="eastAsia"/>
          <w:color w:val="auto"/>
        </w:rPr>
        <w:t>1、室外给水管道安装施工工艺流程</w:t>
      </w:r>
    </w:p>
    <w:p w14:paraId="2B68CA11">
      <w:pPr>
        <w:ind w:firstLine="0" w:firstLineChars="0"/>
        <w:jc w:val="center"/>
        <w:rPr>
          <w:color w:val="auto"/>
        </w:rPr>
      </w:pPr>
      <w:r>
        <w:rPr>
          <w:color w:val="auto"/>
        </w:rPr>
        <w:drawing>
          <wp:inline distT="0" distB="0" distL="0" distR="0">
            <wp:extent cx="3702050" cy="352806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173" cstate="print"/>
                    <a:srcRect/>
                    <a:stretch>
                      <a:fillRect/>
                    </a:stretch>
                  </pic:blipFill>
                  <pic:spPr>
                    <a:xfrm>
                      <a:off x="0" y="0"/>
                      <a:ext cx="3709939" cy="3535461"/>
                    </a:xfrm>
                    <a:prstGeom prst="rect">
                      <a:avLst/>
                    </a:prstGeom>
                    <a:noFill/>
                    <a:ln w="9525">
                      <a:noFill/>
                      <a:miter lim="800000"/>
                      <a:headEnd/>
                      <a:tailEnd/>
                    </a:ln>
                  </pic:spPr>
                </pic:pic>
              </a:graphicData>
            </a:graphic>
          </wp:inline>
        </w:drawing>
      </w:r>
    </w:p>
    <w:p w14:paraId="6E1CBDD2">
      <w:pPr>
        <w:pStyle w:val="53"/>
        <w:rPr>
          <w:color w:val="auto"/>
        </w:rPr>
      </w:pPr>
      <w:r>
        <w:rPr>
          <w:rFonts w:hint="eastAsia"/>
          <w:color w:val="auto"/>
        </w:rPr>
        <w:t>室外给水管道安装施工工艺流程</w:t>
      </w:r>
    </w:p>
    <w:p w14:paraId="5FAB24B6">
      <w:pPr>
        <w:rPr>
          <w:color w:val="auto"/>
        </w:rPr>
      </w:pPr>
      <w:r>
        <w:rPr>
          <w:rFonts w:hint="eastAsia"/>
          <w:color w:val="auto"/>
        </w:rPr>
        <w:t>2、室外排水管道安装施工工艺流程</w:t>
      </w:r>
    </w:p>
    <w:p w14:paraId="43AC4B09">
      <w:pPr>
        <w:ind w:firstLine="0" w:firstLineChars="0"/>
        <w:jc w:val="center"/>
        <w:rPr>
          <w:color w:val="auto"/>
        </w:rPr>
      </w:pPr>
      <w:r>
        <w:rPr>
          <w:color w:val="auto"/>
        </w:rPr>
        <w:object>
          <v:shape id="_x0000_i1034" o:spt="75" type="#_x0000_t75" style="height:271.15pt;width:162.7pt;" o:ole="t" filled="f" o:preferrelative="t" stroked="f" coordsize="21600,21600">
            <v:path/>
            <v:fill on="f" focussize="0,0"/>
            <v:stroke on="f" joinstyle="miter"/>
            <v:imagedata r:id="rId175" o:title=""/>
            <o:lock v:ext="edit" aspectratio="t"/>
            <w10:wrap type="none"/>
            <w10:anchorlock/>
          </v:shape>
          <o:OLEObject Type="Embed" ProgID="Visio.Drawing.11" ShapeID="_x0000_i1034" DrawAspect="Content" ObjectID="_1468075734" r:id="rId174">
            <o:LockedField>false</o:LockedField>
          </o:OLEObject>
        </w:object>
      </w:r>
    </w:p>
    <w:p w14:paraId="43C767D8">
      <w:pPr>
        <w:pStyle w:val="53"/>
        <w:rPr>
          <w:color w:val="auto"/>
        </w:rPr>
      </w:pPr>
      <w:r>
        <w:rPr>
          <w:rFonts w:hint="eastAsia"/>
          <w:color w:val="auto"/>
        </w:rPr>
        <w:t>室外排水管道安装施工工艺流程</w:t>
      </w:r>
    </w:p>
    <w:p w14:paraId="53E79F8F">
      <w:pPr>
        <w:pStyle w:val="5"/>
        <w:rPr>
          <w:color w:val="auto"/>
        </w:rPr>
      </w:pPr>
      <w:bookmarkStart w:id="220" w:name="_Toc28005"/>
      <w:r>
        <w:rPr>
          <w:rFonts w:hint="eastAsia"/>
          <w:color w:val="auto"/>
        </w:rPr>
        <w:t>施工工艺</w:t>
      </w:r>
      <w:bookmarkEnd w:id="220"/>
    </w:p>
    <w:p w14:paraId="77E125D6">
      <w:pPr>
        <w:rPr>
          <w:color w:val="auto"/>
        </w:rPr>
      </w:pPr>
      <w:r>
        <w:rPr>
          <w:color w:val="auto"/>
        </w:rPr>
        <w:t>1</w:t>
      </w:r>
      <w:r>
        <w:rPr>
          <w:rFonts w:hint="eastAsia"/>
          <w:color w:val="auto"/>
        </w:rPr>
        <w:t>、沟槽开挖</w:t>
      </w:r>
    </w:p>
    <w:p w14:paraId="13756A5F">
      <w:pPr>
        <w:rPr>
          <w:bCs/>
          <w:color w:val="auto"/>
          <w:lang w:bidi="en-US"/>
        </w:rPr>
      </w:pPr>
      <w:r>
        <w:rPr>
          <w:rFonts w:hint="eastAsia"/>
          <w:bCs/>
          <w:color w:val="auto"/>
          <w:lang w:bidi="en-US"/>
        </w:rPr>
        <w:t>室外管网</w:t>
      </w:r>
      <w:r>
        <w:rPr>
          <w:bCs/>
          <w:color w:val="auto"/>
          <w:lang w:bidi="en-US"/>
        </w:rPr>
        <w:t>沟槽采用机械开挖</w:t>
      </w:r>
      <w:r>
        <w:rPr>
          <w:rFonts w:hint="eastAsia"/>
          <w:bCs/>
          <w:color w:val="auto"/>
          <w:lang w:bidi="en-US"/>
        </w:rPr>
        <w:t>、人工清底</w:t>
      </w:r>
      <w:r>
        <w:rPr>
          <w:bCs/>
          <w:color w:val="auto"/>
          <w:lang w:bidi="en-US"/>
        </w:rPr>
        <w:t>。采用放坡开挖，根据回填土质情况以及坡顶荷载情况，边坡坡度为1：0.75</w:t>
      </w:r>
      <w:r>
        <w:rPr>
          <w:rFonts w:hint="eastAsia"/>
          <w:bCs/>
          <w:color w:val="auto"/>
          <w:lang w:bidi="en-US"/>
        </w:rPr>
        <w:t>。</w:t>
      </w:r>
      <w:r>
        <w:rPr>
          <w:bCs/>
          <w:color w:val="auto"/>
          <w:lang w:bidi="en-US"/>
        </w:rPr>
        <w:t>开挖过程中槽底原状地基土不得扰动，机械开挖时槽底预留200～300mm土层由人工开挖至设计高程，整平</w:t>
      </w:r>
      <w:r>
        <w:rPr>
          <w:rFonts w:hint="eastAsia"/>
          <w:bCs/>
          <w:color w:val="auto"/>
          <w:lang w:bidi="en-US"/>
        </w:rPr>
        <w:t>。</w:t>
      </w:r>
    </w:p>
    <w:p w14:paraId="1A7E7A15">
      <w:pPr>
        <w:rPr>
          <w:bCs/>
          <w:color w:val="auto"/>
          <w:lang w:bidi="en-US"/>
        </w:rPr>
      </w:pPr>
      <w:r>
        <w:rPr>
          <w:bCs/>
          <w:color w:val="auto"/>
          <w:lang w:bidi="en-US"/>
        </w:rPr>
        <w:t>开挖断面：土方开挖前根据管道轴线，用白灰洒出开挖线及</w:t>
      </w:r>
      <w:r>
        <w:rPr>
          <w:rFonts w:hint="eastAsia"/>
          <w:bCs/>
          <w:color w:val="auto"/>
          <w:lang w:bidi="en-US"/>
        </w:rPr>
        <w:t>放</w:t>
      </w:r>
      <w:r>
        <w:rPr>
          <w:bCs/>
          <w:color w:val="auto"/>
          <w:lang w:bidi="en-US"/>
        </w:rPr>
        <w:t>坡线。沟槽底开挖宽度按下式计算 B=D+2b。</w:t>
      </w:r>
    </w:p>
    <w:p w14:paraId="011E3A9E">
      <w:pPr>
        <w:rPr>
          <w:bCs/>
          <w:color w:val="auto"/>
          <w:lang w:bidi="en-US"/>
        </w:rPr>
      </w:pPr>
      <w:r>
        <w:rPr>
          <w:bCs/>
          <w:color w:val="auto"/>
          <w:lang w:bidi="en-US"/>
        </w:rPr>
        <w:t>式中B——沟槽底开挖宽度</w:t>
      </w:r>
    </w:p>
    <w:p w14:paraId="7FBB81B5">
      <w:pPr>
        <w:ind w:firstLine="960" w:firstLineChars="400"/>
        <w:rPr>
          <w:bCs/>
          <w:color w:val="auto"/>
          <w:lang w:bidi="en-US"/>
        </w:rPr>
      </w:pPr>
      <w:r>
        <w:rPr>
          <w:bCs/>
          <w:color w:val="auto"/>
          <w:lang w:bidi="en-US"/>
        </w:rPr>
        <w:t>D——管道外径</w:t>
      </w:r>
    </w:p>
    <w:p w14:paraId="576BF371">
      <w:pPr>
        <w:ind w:firstLine="960" w:firstLineChars="400"/>
        <w:rPr>
          <w:bCs/>
          <w:color w:val="auto"/>
          <w:lang w:bidi="en-US"/>
        </w:rPr>
      </w:pPr>
      <w:r>
        <w:rPr>
          <w:bCs/>
          <w:color w:val="auto"/>
          <w:lang w:bidi="en-US"/>
        </w:rPr>
        <w:t>b——管道一侧工作面宽度，对于管道外径D</w:t>
      </w:r>
      <w:r>
        <w:rPr>
          <w:rFonts w:hint="eastAsia"/>
          <w:bCs/>
          <w:color w:val="auto"/>
          <w:lang w:bidi="en-US"/>
        </w:rPr>
        <w:t>≤</w:t>
      </w:r>
      <w:r>
        <w:rPr>
          <w:bCs/>
          <w:color w:val="auto"/>
          <w:lang w:bidi="en-US"/>
        </w:rPr>
        <w:t>500mm的化学建材管道b取300mm。</w:t>
      </w:r>
    </w:p>
    <w:p w14:paraId="636710A3">
      <w:pPr>
        <w:rPr>
          <w:bCs/>
          <w:color w:val="auto"/>
          <w:lang w:bidi="en-US"/>
        </w:rPr>
      </w:pPr>
      <w:r>
        <w:rPr>
          <w:rFonts w:hint="eastAsia"/>
          <w:bCs/>
          <w:color w:val="auto"/>
          <w:lang w:bidi="en-US"/>
        </w:rPr>
        <w:t>（1）</w:t>
      </w:r>
      <w:r>
        <w:rPr>
          <w:bCs/>
          <w:color w:val="auto"/>
          <w:lang w:bidi="en-US"/>
        </w:rPr>
        <w:t>在沟槽开挖前，沟槽的断面、开挖的次序和堆土的位置由现场施工员向司机及土方队详细交底。在挖土过程中管理人员应在现场指挥并应经常检查沟槽的净空尺寸和中心位置，确保沟槽断面尺寸和中心偏移满足设计规范要求。</w:t>
      </w:r>
    </w:p>
    <w:p w14:paraId="03F62E36">
      <w:pPr>
        <w:rPr>
          <w:bCs/>
          <w:color w:val="auto"/>
          <w:lang w:bidi="en-US"/>
        </w:rPr>
      </w:pPr>
      <w:r>
        <w:rPr>
          <w:rFonts w:hint="eastAsia"/>
          <w:bCs/>
          <w:color w:val="auto"/>
          <w:lang w:bidi="en-US"/>
        </w:rPr>
        <w:t>（2）</w:t>
      </w:r>
      <w:r>
        <w:rPr>
          <w:bCs/>
          <w:color w:val="auto"/>
          <w:lang w:bidi="en-US"/>
        </w:rPr>
        <w:t>为保证沟槽槽底土壤不被扰动、破坏或超挖，在开挖至最终沟槽底标高20</w:t>
      </w:r>
      <w:r>
        <w:rPr>
          <w:rFonts w:hint="eastAsia"/>
          <w:bCs/>
          <w:color w:val="auto"/>
          <w:lang w:bidi="en-US"/>
        </w:rPr>
        <w:t>～</w:t>
      </w:r>
      <w:r>
        <w:rPr>
          <w:bCs/>
          <w:color w:val="auto"/>
          <w:lang w:bidi="en-US"/>
        </w:rPr>
        <w:t>30cm左右时，由人工挖出剩余土层，严格按照设计图纸标注标高控制开挖深度，严禁超挖。若超挖，须还填5～40mm的碎石进行基础处理，方可进行下一步施工。</w:t>
      </w:r>
    </w:p>
    <w:p w14:paraId="16577DCD">
      <w:pPr>
        <w:rPr>
          <w:bCs/>
          <w:color w:val="auto"/>
          <w:lang w:bidi="en-US"/>
        </w:rPr>
      </w:pPr>
      <w:r>
        <w:rPr>
          <w:rFonts w:hint="eastAsia"/>
          <w:bCs/>
          <w:color w:val="auto"/>
          <w:lang w:bidi="en-US"/>
        </w:rPr>
        <w:t>（3）</w:t>
      </w:r>
      <w:r>
        <w:rPr>
          <w:bCs/>
          <w:color w:val="auto"/>
          <w:lang w:bidi="en-US"/>
        </w:rPr>
        <w:t>机械、人工清挖土方应</w:t>
      </w:r>
      <w:r>
        <w:rPr>
          <w:rFonts w:hint="eastAsia"/>
          <w:bCs/>
          <w:color w:val="auto"/>
          <w:lang w:bidi="en-US"/>
        </w:rPr>
        <w:t>边</w:t>
      </w:r>
      <w:r>
        <w:rPr>
          <w:bCs/>
          <w:color w:val="auto"/>
          <w:lang w:bidi="en-US"/>
        </w:rPr>
        <w:t>出土、</w:t>
      </w:r>
      <w:r>
        <w:rPr>
          <w:rFonts w:hint="eastAsia"/>
          <w:bCs/>
          <w:color w:val="auto"/>
          <w:lang w:bidi="en-US"/>
        </w:rPr>
        <w:t>边</w:t>
      </w:r>
      <w:r>
        <w:rPr>
          <w:bCs/>
          <w:color w:val="auto"/>
          <w:lang w:bidi="en-US"/>
        </w:rPr>
        <w:t>清理，除沟槽回填用土外，其余应装车拉运至指定弃土点。临时堆土必须堆放在沟槽上口边线不小于2m以外的地方，高度不超过1.5m，成槽后注意上口两边避免出现震动荷载。大型机械设备和重型自卸汽车不得靠近沟槽，必要时可进行二次接力转运渣土。</w:t>
      </w:r>
    </w:p>
    <w:p w14:paraId="3581CD15">
      <w:pPr>
        <w:rPr>
          <w:bCs/>
          <w:color w:val="auto"/>
          <w:lang w:bidi="en-US"/>
        </w:rPr>
      </w:pPr>
      <w:r>
        <w:rPr>
          <w:rFonts w:hint="eastAsia"/>
          <w:bCs/>
          <w:color w:val="auto"/>
          <w:lang w:bidi="en-US"/>
        </w:rPr>
        <w:t>（4）</w:t>
      </w:r>
      <w:r>
        <w:rPr>
          <w:bCs/>
          <w:color w:val="auto"/>
          <w:lang w:bidi="en-US"/>
        </w:rPr>
        <w:t>雨季施工时，沟槽避免雨水浸泡，在槽底及时挖设排水沟、集水井，并配置水泵抽排水。若槽底遭雨水浸泡则应在排水后，清除遭浸泡软土层再回填碎石至设计标高。</w:t>
      </w:r>
    </w:p>
    <w:p w14:paraId="4FA56D87">
      <w:pPr>
        <w:rPr>
          <w:bCs/>
          <w:color w:val="auto"/>
          <w:lang w:bidi="en-US"/>
        </w:rPr>
      </w:pPr>
      <w:r>
        <w:rPr>
          <w:rFonts w:hint="eastAsia"/>
          <w:bCs/>
          <w:color w:val="auto"/>
          <w:lang w:bidi="en-US"/>
        </w:rPr>
        <w:t>（5）</w:t>
      </w:r>
      <w:r>
        <w:rPr>
          <w:bCs/>
          <w:color w:val="auto"/>
          <w:lang w:bidi="en-US"/>
        </w:rPr>
        <w:t>开挖后的沟槽应平整，坡度符合设计要求，偏差在规范允许范围内。沟槽开挖至设计标高后须验槽，符合设计要求后方可进行下一步工序的施工。</w:t>
      </w:r>
    </w:p>
    <w:p w14:paraId="1867B826">
      <w:pPr>
        <w:rPr>
          <w:bCs/>
          <w:color w:val="auto"/>
          <w:lang w:bidi="en-US"/>
        </w:rPr>
      </w:pPr>
      <w:r>
        <w:rPr>
          <w:rFonts w:hint="eastAsia"/>
          <w:bCs/>
          <w:color w:val="auto"/>
          <w:lang w:bidi="en-US"/>
        </w:rPr>
        <w:t>（6）</w:t>
      </w:r>
      <w:r>
        <w:rPr>
          <w:bCs/>
          <w:color w:val="auto"/>
          <w:lang w:bidi="en-US"/>
        </w:rPr>
        <w:t>沟槽开挖前观测地下水位是否满足要求，确保已达到无水作业条件，方可开挖；沟槽开挖到位后，应及时施工管道，严禁沟槽暴露时间过长。</w:t>
      </w:r>
    </w:p>
    <w:p w14:paraId="5E10570E">
      <w:pPr>
        <w:rPr>
          <w:bCs/>
          <w:color w:val="auto"/>
          <w:lang w:bidi="en-US"/>
        </w:rPr>
      </w:pPr>
      <w:r>
        <w:rPr>
          <w:rFonts w:hint="eastAsia"/>
          <w:bCs/>
          <w:color w:val="auto"/>
          <w:lang w:bidi="en-US"/>
        </w:rPr>
        <w:t>（7）</w:t>
      </w:r>
      <w:r>
        <w:rPr>
          <w:bCs/>
          <w:color w:val="auto"/>
          <w:lang w:bidi="en-US"/>
        </w:rPr>
        <w:t>沟槽开挖前应在沟槽顶部两侧设置砖砌20cm高临时拦水带，用以拦截地表水，防止其流入沟槽。</w:t>
      </w:r>
    </w:p>
    <w:p w14:paraId="33E89857">
      <w:pPr>
        <w:rPr>
          <w:color w:val="auto"/>
        </w:rPr>
      </w:pPr>
      <w:r>
        <w:rPr>
          <w:color w:val="auto"/>
        </w:rPr>
        <w:t>2</w:t>
      </w:r>
      <w:r>
        <w:rPr>
          <w:rFonts w:hint="eastAsia"/>
          <w:color w:val="auto"/>
        </w:rPr>
        <w:t>、钢丝网骨架（聚乙烯）复合管电熔连接施工工艺</w:t>
      </w:r>
    </w:p>
    <w:p w14:paraId="7D291CCA">
      <w:pPr>
        <w:rPr>
          <w:bCs/>
          <w:color w:val="auto"/>
        </w:rPr>
      </w:pPr>
      <w:r>
        <w:rPr>
          <w:rFonts w:hint="eastAsia"/>
          <w:bCs/>
          <w:color w:val="auto"/>
        </w:rPr>
        <w:t>（1）施工工艺流程：</w:t>
      </w:r>
      <w:r>
        <w:rPr>
          <w:bCs/>
          <w:color w:val="auto"/>
        </w:rPr>
        <w:t>试装</w:t>
      </w:r>
      <w:r>
        <w:rPr>
          <w:rFonts w:hint="eastAsia"/>
          <w:bCs/>
          <w:color w:val="auto"/>
        </w:rPr>
        <w:t>→</w:t>
      </w:r>
      <w:r>
        <w:rPr>
          <w:bCs/>
          <w:color w:val="auto"/>
        </w:rPr>
        <w:t>划标记</w:t>
      </w:r>
      <w:r>
        <w:rPr>
          <w:rFonts w:hint="eastAsia"/>
          <w:bCs/>
          <w:color w:val="auto"/>
        </w:rPr>
        <w:t>→</w:t>
      </w:r>
      <w:r>
        <w:rPr>
          <w:bCs/>
          <w:color w:val="auto"/>
        </w:rPr>
        <w:t>安装扶正器</w:t>
      </w:r>
      <w:r>
        <w:rPr>
          <w:rFonts w:hint="eastAsia"/>
          <w:bCs/>
          <w:color w:val="auto"/>
        </w:rPr>
        <w:t>→</w:t>
      </w:r>
      <w:r>
        <w:rPr>
          <w:bCs/>
          <w:color w:val="auto"/>
        </w:rPr>
        <w:t>去氧化层</w:t>
      </w:r>
      <w:r>
        <w:rPr>
          <w:rFonts w:hint="eastAsia"/>
          <w:bCs/>
          <w:color w:val="auto"/>
        </w:rPr>
        <w:t>→</w:t>
      </w:r>
      <w:r>
        <w:rPr>
          <w:bCs/>
          <w:color w:val="auto"/>
        </w:rPr>
        <w:t>清除残渣</w:t>
      </w:r>
      <w:r>
        <w:rPr>
          <w:rFonts w:hint="eastAsia"/>
          <w:bCs/>
          <w:color w:val="auto"/>
        </w:rPr>
        <w:t>→</w:t>
      </w:r>
      <w:r>
        <w:rPr>
          <w:bCs/>
          <w:color w:val="auto"/>
        </w:rPr>
        <w:t>酒精（或丙酮）擦洗</w:t>
      </w:r>
      <w:r>
        <w:rPr>
          <w:rFonts w:hint="eastAsia"/>
          <w:bCs/>
          <w:color w:val="auto"/>
        </w:rPr>
        <w:t>→</w:t>
      </w:r>
      <w:r>
        <w:rPr>
          <w:bCs/>
          <w:color w:val="auto"/>
        </w:rPr>
        <w:t>晾干</w:t>
      </w:r>
      <w:r>
        <w:rPr>
          <w:rFonts w:hint="eastAsia"/>
          <w:bCs/>
          <w:color w:val="auto"/>
        </w:rPr>
        <w:t>→</w:t>
      </w:r>
      <w:r>
        <w:rPr>
          <w:bCs/>
          <w:color w:val="auto"/>
        </w:rPr>
        <w:t>装配管件</w:t>
      </w:r>
      <w:r>
        <w:rPr>
          <w:rFonts w:hint="eastAsia"/>
          <w:bCs/>
          <w:color w:val="auto"/>
        </w:rPr>
        <w:t>→</w:t>
      </w:r>
      <w:r>
        <w:rPr>
          <w:bCs/>
          <w:color w:val="auto"/>
        </w:rPr>
        <w:t>调整</w:t>
      </w:r>
      <w:r>
        <w:rPr>
          <w:rFonts w:hint="eastAsia"/>
          <w:bCs/>
          <w:color w:val="auto"/>
        </w:rPr>
        <w:t>→</w:t>
      </w:r>
      <w:r>
        <w:rPr>
          <w:bCs/>
          <w:color w:val="auto"/>
        </w:rPr>
        <w:t>焊接</w:t>
      </w:r>
      <w:r>
        <w:rPr>
          <w:rFonts w:hint="eastAsia"/>
          <w:bCs/>
          <w:color w:val="auto"/>
        </w:rPr>
        <w:t>→</w:t>
      </w:r>
      <w:r>
        <w:rPr>
          <w:bCs/>
          <w:color w:val="auto"/>
        </w:rPr>
        <w:t>检验</w:t>
      </w:r>
      <w:r>
        <w:rPr>
          <w:rFonts w:hint="eastAsia"/>
          <w:bCs/>
          <w:color w:val="auto"/>
        </w:rPr>
        <w:t>→</w:t>
      </w:r>
      <w:r>
        <w:rPr>
          <w:bCs/>
          <w:color w:val="auto"/>
        </w:rPr>
        <w:t>冷却</w:t>
      </w:r>
    </w:p>
    <w:p w14:paraId="2D4273C2">
      <w:pPr>
        <w:rPr>
          <w:bCs/>
          <w:color w:val="auto"/>
        </w:rPr>
      </w:pPr>
      <w:r>
        <w:rPr>
          <w:rFonts w:hint="eastAsia"/>
          <w:bCs/>
          <w:color w:val="auto"/>
        </w:rPr>
        <w:t>（2）</w:t>
      </w:r>
      <w:r>
        <w:rPr>
          <w:bCs/>
          <w:color w:val="auto"/>
        </w:rPr>
        <w:t>试装</w:t>
      </w:r>
      <w:r>
        <w:rPr>
          <w:rFonts w:hint="eastAsia"/>
          <w:bCs/>
          <w:color w:val="auto"/>
        </w:rPr>
        <w:t>：</w:t>
      </w:r>
      <w:r>
        <w:rPr>
          <w:bCs/>
          <w:color w:val="auto"/>
        </w:rPr>
        <w:t>对管材、管件进行选配。将电熔接头用手推入管材端口试测间隙大小。如太大和太小可放置一边暂不使用，另选电熔管件校合；如无选择余地，过紧时应用手动刮削机具对管材进行刮削，直至正常配合。</w:t>
      </w:r>
    </w:p>
    <w:p w14:paraId="695FB569">
      <w:pPr>
        <w:rPr>
          <w:bCs/>
          <w:color w:val="auto"/>
        </w:rPr>
      </w:pPr>
      <w:r>
        <w:rPr>
          <w:rFonts w:hint="eastAsia"/>
          <w:bCs/>
          <w:color w:val="auto"/>
        </w:rPr>
        <w:t>（3）</w:t>
      </w:r>
      <w:r>
        <w:rPr>
          <w:bCs/>
          <w:color w:val="auto"/>
        </w:rPr>
        <w:t>划标记</w:t>
      </w:r>
      <w:r>
        <w:rPr>
          <w:rFonts w:hint="eastAsia"/>
          <w:bCs/>
          <w:color w:val="auto"/>
        </w:rPr>
        <w:t>：</w:t>
      </w:r>
      <w:r>
        <w:rPr>
          <w:bCs/>
          <w:color w:val="auto"/>
        </w:rPr>
        <w:t>用记号笔在被连接的两根管材上划记号。记号位置的确定方法如下：测量管件的承插深度尺寸；从管材端口开始，向前量取承插深度尺寸+10mm的长度，在该处划上记号。记号要清晰醒目。</w:t>
      </w:r>
    </w:p>
    <w:p w14:paraId="17BF787B">
      <w:pPr>
        <w:rPr>
          <w:bCs/>
          <w:color w:val="auto"/>
        </w:rPr>
      </w:pPr>
      <w:r>
        <w:rPr>
          <w:rFonts w:hint="eastAsia"/>
          <w:bCs/>
          <w:color w:val="auto"/>
        </w:rPr>
        <w:t>（4）</w:t>
      </w:r>
      <w:r>
        <w:rPr>
          <w:bCs/>
          <w:color w:val="auto"/>
        </w:rPr>
        <w:t>安装扶正器</w:t>
      </w:r>
      <w:r>
        <w:rPr>
          <w:rFonts w:hint="eastAsia"/>
          <w:bCs/>
          <w:color w:val="auto"/>
        </w:rPr>
        <w:t>：</w:t>
      </w:r>
      <w:r>
        <w:rPr>
          <w:bCs/>
          <w:color w:val="auto"/>
        </w:rPr>
        <w:t>将扶正器夹在管材上；扶正器的两个卡环必须位于记号之后，以免影响管材承插不到位；将扶正器的螺孔方向对正，拧紧其卡环螺母。</w:t>
      </w:r>
    </w:p>
    <w:p w14:paraId="277DB969">
      <w:pPr>
        <w:rPr>
          <w:bCs/>
          <w:color w:val="auto"/>
        </w:rPr>
      </w:pPr>
      <w:r>
        <w:rPr>
          <w:rFonts w:hint="eastAsia"/>
          <w:bCs/>
          <w:color w:val="auto"/>
        </w:rPr>
        <w:t>（5）</w:t>
      </w:r>
      <w:r>
        <w:rPr>
          <w:bCs/>
          <w:color w:val="auto"/>
        </w:rPr>
        <w:t>去氧化层</w:t>
      </w:r>
      <w:r>
        <w:rPr>
          <w:rFonts w:hint="eastAsia"/>
          <w:bCs/>
          <w:color w:val="auto"/>
        </w:rPr>
        <w:t>：</w:t>
      </w:r>
      <w:r>
        <w:rPr>
          <w:bCs/>
          <w:color w:val="auto"/>
        </w:rPr>
        <w:t>刮前应用清洁毛巾或抹布将管材表面污物去掉；用手刮刀或机械刮刀对记号内的焊接表面刮皮，以去除表面氧化层；DN110-DN200mm的管材宜采用手刮刀，DN225-DN630mm的管材由于表面积大，为提高效率，可采用机械刮刀；刮皮时，应均匀刮整个周边，面面俱到，不允许漏刮。管件内壁由于布有钢丝，一般用手工刮削。埋地安装时，允许大口径管材先在地面去氧化皮，用塑料布包好后入沟，在装扶正器。不过，应特别注意做好清洁工作。</w:t>
      </w:r>
    </w:p>
    <w:p w14:paraId="1D3EC9DD">
      <w:pPr>
        <w:rPr>
          <w:bCs/>
          <w:color w:val="auto"/>
        </w:rPr>
      </w:pPr>
      <w:r>
        <w:rPr>
          <w:rFonts w:hint="eastAsia"/>
          <w:bCs/>
          <w:color w:val="auto"/>
        </w:rPr>
        <w:t>（6）</w:t>
      </w:r>
      <w:r>
        <w:rPr>
          <w:bCs/>
          <w:color w:val="auto"/>
        </w:rPr>
        <w:t>清除残渣</w:t>
      </w:r>
      <w:r>
        <w:rPr>
          <w:rFonts w:hint="eastAsia"/>
          <w:bCs/>
          <w:color w:val="auto"/>
        </w:rPr>
        <w:t>：</w:t>
      </w:r>
      <w:r>
        <w:rPr>
          <w:bCs/>
          <w:color w:val="auto"/>
        </w:rPr>
        <w:t>刮去氧化皮后，要用清洁抹布或棉纱做好管材、管件刮削区域的内外表面的清洁，不允许有泥、油、磨削残渣等</w:t>
      </w:r>
      <w:r>
        <w:rPr>
          <w:rFonts w:hint="eastAsia"/>
          <w:bCs/>
          <w:color w:val="auto"/>
        </w:rPr>
        <w:t>脏物</w:t>
      </w:r>
      <w:r>
        <w:rPr>
          <w:bCs/>
          <w:color w:val="auto"/>
        </w:rPr>
        <w:t>附在表面。抹布在使用中弄脏时，要及时用清水洗干净才能使用。</w:t>
      </w:r>
    </w:p>
    <w:p w14:paraId="0CD2D929">
      <w:pPr>
        <w:rPr>
          <w:bCs/>
          <w:color w:val="auto"/>
        </w:rPr>
      </w:pPr>
      <w:r>
        <w:rPr>
          <w:rFonts w:hint="eastAsia"/>
          <w:bCs/>
          <w:color w:val="auto"/>
        </w:rPr>
        <w:t>（7）</w:t>
      </w:r>
      <w:r>
        <w:rPr>
          <w:bCs/>
          <w:color w:val="auto"/>
        </w:rPr>
        <w:t>酒精（或丙酮）擦洗</w:t>
      </w:r>
      <w:r>
        <w:rPr>
          <w:rFonts w:hint="eastAsia"/>
          <w:bCs/>
          <w:color w:val="auto"/>
        </w:rPr>
        <w:t>：</w:t>
      </w:r>
      <w:r>
        <w:rPr>
          <w:bCs/>
          <w:color w:val="auto"/>
        </w:rPr>
        <w:t>为确保焊接区表面无油污、汗渍及其它有机物的污染，在用抹布进行清理后，再用酒精或丙酮进行擦洗，以确保焊接区域的表面是干燥、无尘、无油污的。</w:t>
      </w:r>
    </w:p>
    <w:p w14:paraId="0FE1C460">
      <w:pPr>
        <w:rPr>
          <w:bCs/>
          <w:color w:val="auto"/>
        </w:rPr>
      </w:pPr>
      <w:r>
        <w:rPr>
          <w:rFonts w:hint="eastAsia"/>
          <w:bCs/>
          <w:color w:val="auto"/>
        </w:rPr>
        <w:t>（8）</w:t>
      </w:r>
      <w:r>
        <w:rPr>
          <w:bCs/>
          <w:color w:val="auto"/>
        </w:rPr>
        <w:t>晾干</w:t>
      </w:r>
      <w:r>
        <w:rPr>
          <w:rFonts w:hint="eastAsia"/>
          <w:bCs/>
          <w:color w:val="auto"/>
        </w:rPr>
        <w:t>：</w:t>
      </w:r>
      <w:r>
        <w:rPr>
          <w:bCs/>
          <w:color w:val="auto"/>
        </w:rPr>
        <w:t>承插连接前，应保证管材、管件连接面是干燥无水渍的。如未晾干，焊接时易产生气泡，将严重影响熔接质量。</w:t>
      </w:r>
    </w:p>
    <w:p w14:paraId="63375F7B">
      <w:pPr>
        <w:rPr>
          <w:bCs/>
          <w:color w:val="auto"/>
        </w:rPr>
      </w:pPr>
      <w:r>
        <w:rPr>
          <w:rFonts w:hint="eastAsia"/>
          <w:bCs/>
          <w:color w:val="auto"/>
        </w:rPr>
        <w:t>（9）</w:t>
      </w:r>
      <w:r>
        <w:rPr>
          <w:bCs/>
          <w:color w:val="auto"/>
        </w:rPr>
        <w:t>装配管件</w:t>
      </w:r>
      <w:r>
        <w:rPr>
          <w:rFonts w:hint="eastAsia"/>
          <w:bCs/>
          <w:color w:val="auto"/>
        </w:rPr>
        <w:t>：</w:t>
      </w:r>
      <w:r>
        <w:rPr>
          <w:bCs/>
          <w:color w:val="auto"/>
        </w:rPr>
        <w:t>看清待装管件走向，将其摆正，然后插入电熔接头；可用木锤轻击电熔接头端部四周，将电熔接头打至标记处为止，装配时，严禁敲击电源接线柱；管件（如直接件）一头装好后，将另一根已去氧化皮且做好了清洁的管材插入管件。如配合稍紧，可用木锤轻击，管材的标记处应正好进入至管件端口；在承插过程中，如果不小心将管材插入超过标记线，则应敲击管件退回至标记线；当管材规格为DN110-DN250mm时，一般用木锤或榔头敲入；DN315-DN630mm大口径管材，应采用扶正器、手摇葫芦（拉紧器）辅助承插到位。</w:t>
      </w:r>
    </w:p>
    <w:p w14:paraId="5E56CBE5">
      <w:pPr>
        <w:rPr>
          <w:bCs/>
          <w:color w:val="auto"/>
        </w:rPr>
      </w:pPr>
      <w:r>
        <w:rPr>
          <w:rFonts w:hint="eastAsia"/>
          <w:bCs/>
          <w:color w:val="auto"/>
        </w:rPr>
        <w:t>（10）</w:t>
      </w:r>
      <w:r>
        <w:rPr>
          <w:bCs/>
          <w:color w:val="auto"/>
        </w:rPr>
        <w:t>调整</w:t>
      </w:r>
      <w:r>
        <w:rPr>
          <w:rFonts w:hint="eastAsia"/>
          <w:bCs/>
          <w:color w:val="auto"/>
        </w:rPr>
        <w:t>：</w:t>
      </w:r>
      <w:r>
        <w:rPr>
          <w:bCs/>
          <w:color w:val="auto"/>
        </w:rPr>
        <w:t>管件装配后，应对管线的同心度、水平度进行调整；用目测的方法，站在离管件较远的位置（至少两根管材长度的距离）进行观察，管件连接处的水平度一般不超过15°，过大时应进行调整。</w:t>
      </w:r>
    </w:p>
    <w:p w14:paraId="42D904B4">
      <w:pPr>
        <w:rPr>
          <w:bCs/>
          <w:color w:val="auto"/>
        </w:rPr>
      </w:pPr>
      <w:r>
        <w:rPr>
          <w:rFonts w:hint="eastAsia"/>
          <w:bCs/>
          <w:color w:val="auto"/>
        </w:rPr>
        <w:t>（11）</w:t>
      </w:r>
      <w:r>
        <w:rPr>
          <w:bCs/>
          <w:color w:val="auto"/>
        </w:rPr>
        <w:t>焊接</w:t>
      </w:r>
      <w:r>
        <w:rPr>
          <w:rFonts w:hint="eastAsia"/>
          <w:bCs/>
          <w:color w:val="auto"/>
        </w:rPr>
        <w:t>：</w:t>
      </w:r>
      <w:r>
        <w:rPr>
          <w:bCs/>
          <w:color w:val="auto"/>
        </w:rPr>
        <w:t>启动焊机，按相应焊机操作规程说明书进行操作。一般应注意将输出调节旋钮逆时针调至零位；注意电压档位。缓慢调整电压、电流到设定值，一般以电压逐渐升高为准。尽快稳定电压、电流值在工艺范围内。调整参数现场焊接前，应预先进行焊接参数验证试验。焊接时，因天气、配合间隙、材料差异造成影响时，应决定是否需要进行参数调整，确保焊接质量；如在焊接过程中出现异常（如电流突然上升），则需暂停再作处理；如不能完成整套焊接参数，则需报废管件重新焊接。焊接时，应及时记录焊接参数，以便对质量进行跟踪分析。焊接完成后，将焊机输出线插头从管件接线柱上取下来，以准备焊接下一个管件（收工时，首先切断输入电源开关，再拔插头，将插头输出线装入线缆仓，盖上护盖）。</w:t>
      </w:r>
    </w:p>
    <w:p w14:paraId="1A96588A">
      <w:pPr>
        <w:rPr>
          <w:bCs/>
          <w:color w:val="auto"/>
        </w:rPr>
      </w:pPr>
      <w:r>
        <w:rPr>
          <w:rFonts w:hint="eastAsia"/>
          <w:bCs/>
          <w:color w:val="auto"/>
        </w:rPr>
        <w:t>（12）</w:t>
      </w:r>
      <w:r>
        <w:rPr>
          <w:bCs/>
          <w:color w:val="auto"/>
        </w:rPr>
        <w:t>检验</w:t>
      </w:r>
      <w:r>
        <w:rPr>
          <w:rFonts w:hint="eastAsia"/>
          <w:bCs/>
          <w:color w:val="auto"/>
        </w:rPr>
        <w:t>：</w:t>
      </w:r>
      <w:r>
        <w:rPr>
          <w:bCs/>
          <w:color w:val="auto"/>
        </w:rPr>
        <w:t>电熔管件端口处的管材或插口管件周边应有明显刮皮痕迹和明显的插入长度标记。采用钢骨架电熔管件连接时，连接处可允许局部有少量溢料</w:t>
      </w:r>
      <w:r>
        <w:rPr>
          <w:rFonts w:hint="eastAsia"/>
          <w:bCs/>
          <w:color w:val="auto"/>
        </w:rPr>
        <w:t>。</w:t>
      </w:r>
      <w:r>
        <w:rPr>
          <w:bCs/>
          <w:color w:val="auto"/>
        </w:rPr>
        <w:t>电熔管件内电阻丝不应挤出（特殊结构设计的电熔管件除外）。</w:t>
      </w:r>
    </w:p>
    <w:p w14:paraId="14CF763C">
      <w:pPr>
        <w:rPr>
          <w:bCs/>
          <w:color w:val="auto"/>
        </w:rPr>
      </w:pPr>
      <w:r>
        <w:rPr>
          <w:rFonts w:hint="eastAsia"/>
          <w:bCs/>
          <w:color w:val="auto"/>
        </w:rPr>
        <w:t>（13）</w:t>
      </w:r>
      <w:r>
        <w:rPr>
          <w:bCs/>
          <w:color w:val="auto"/>
        </w:rPr>
        <w:t>冷却</w:t>
      </w:r>
      <w:r>
        <w:rPr>
          <w:rFonts w:hint="eastAsia"/>
          <w:bCs/>
          <w:color w:val="auto"/>
        </w:rPr>
        <w:t>：</w:t>
      </w:r>
      <w:r>
        <w:rPr>
          <w:bCs/>
          <w:color w:val="auto"/>
        </w:rPr>
        <w:t>保证在冷却过程中不受任何外力作用，不得移动、转动接头部位及两侧管子，不得用水强制冷却。冷却时间与管径大小及气候条件有关。</w:t>
      </w:r>
    </w:p>
    <w:p w14:paraId="75F795F0">
      <w:pPr>
        <w:rPr>
          <w:color w:val="auto"/>
        </w:rPr>
      </w:pPr>
      <w:r>
        <w:rPr>
          <w:rFonts w:hint="eastAsia"/>
          <w:color w:val="auto"/>
        </w:rPr>
        <w:t>3、</w:t>
      </w:r>
      <w:bookmarkStart w:id="221" w:name="_Toc119212242"/>
      <w:r>
        <w:rPr>
          <w:rFonts w:hint="eastAsia"/>
          <w:color w:val="auto"/>
        </w:rPr>
        <w:t>钢筋混凝土管承插连接施工工艺</w:t>
      </w:r>
    </w:p>
    <w:p w14:paraId="36401698">
      <w:pPr>
        <w:rPr>
          <w:color w:val="auto"/>
        </w:rPr>
      </w:pPr>
      <w:r>
        <w:rPr>
          <w:rFonts w:hint="eastAsia"/>
          <w:color w:val="auto"/>
        </w:rPr>
        <w:t>（1）管道进场检验：管节安装前应进行外观检查，检查管体外观及管体的承口、插口尺寸，承口、插口工作面的平整度。用专用量径尺量并记录每根管的承口内径、插口外径及其椭圆度，承插口配合的环向间隙，应能满足选配的胶圈要求。</w:t>
      </w:r>
    </w:p>
    <w:p w14:paraId="53AF892E">
      <w:pPr>
        <w:rPr>
          <w:color w:val="auto"/>
        </w:rPr>
      </w:pPr>
      <w:r>
        <w:rPr>
          <w:rFonts w:hint="eastAsia"/>
          <w:color w:val="auto"/>
        </w:rPr>
        <w:t>（2）管道下管：采用专用高强尼龙吊装带，以免伤及管身混凝土。吊装前应找出管体重心，做出标志以满足管体吊装要求。下管时应使管节承口迎向流水方向。下管、安管不得扰动管道基础。</w:t>
      </w:r>
    </w:p>
    <w:p w14:paraId="102E79E3">
      <w:pPr>
        <w:rPr>
          <w:color w:val="auto"/>
        </w:rPr>
      </w:pPr>
      <w:r>
        <w:rPr>
          <w:rFonts w:hint="eastAsia"/>
          <w:color w:val="auto"/>
        </w:rPr>
        <w:t>（3）稳管：管道就位后，为防止滚管，应在管两侧适当加两组四个楔形混凝土垫块。管道安装时应将管道流水面中心、高程逐节调整，确保管道纵断面高程及平面位置准确。每节管就位后，应进行固定，以防止管子发生位移。稳管时，先进入管内检查对口，减少错口现象。管内底高程偏差在±l0mm内，中心偏差不超过l0mm，相邻管内底错口不大于3mm。</w:t>
      </w:r>
    </w:p>
    <w:p w14:paraId="6206BA93">
      <w:pPr>
        <w:rPr>
          <w:color w:val="auto"/>
        </w:rPr>
      </w:pPr>
      <w:r>
        <w:rPr>
          <w:rFonts w:hint="eastAsia"/>
          <w:color w:val="auto"/>
        </w:rPr>
        <w:t>（4）清理管膛、管口，将承插口内的所有杂物予以清除，并擦洗干净，然后在承口内均匀涂抹非油质润滑剂。</w:t>
      </w:r>
    </w:p>
    <w:p w14:paraId="373093B0">
      <w:pPr>
        <w:rPr>
          <w:color w:val="auto"/>
        </w:rPr>
      </w:pPr>
      <w:r>
        <w:rPr>
          <w:rFonts w:hint="eastAsia"/>
          <w:color w:val="auto"/>
        </w:rPr>
        <w:t>（5）清理胶圈：将胶圈上的粘接物清擦干净，并均匀涂抹非油质润滑剂。</w:t>
      </w:r>
    </w:p>
    <w:p w14:paraId="5D9E8B32">
      <w:pPr>
        <w:rPr>
          <w:color w:val="auto"/>
        </w:rPr>
      </w:pPr>
      <w:r>
        <w:rPr>
          <w:rFonts w:hint="eastAsia"/>
          <w:color w:val="auto"/>
        </w:rPr>
        <w:t>（6）插口上套胶圈：密封胶圈应平顺、无扭曲。安管时，胶圈应均匀滚动到位，放松外力后，回弹不得大于l0mm，把胶圈弯成心形或花形（大口径）装入承口槽内，并用手沿整个胶圈按压一遍，确保胶圈各个部分不翘不扭，均匀一致卡在槽内。橡胶圈就位后应位于承插口工作面上。</w:t>
      </w:r>
    </w:p>
    <w:p w14:paraId="264EE936">
      <w:pPr>
        <w:rPr>
          <w:color w:val="auto"/>
        </w:rPr>
      </w:pPr>
      <w:r>
        <w:rPr>
          <w:rFonts w:hint="eastAsia"/>
          <w:color w:val="auto"/>
        </w:rPr>
        <w:t>（7）顶装接口：顶装接口时，采用龙门架，对口时应在已安装稳固的管子上拴住钢丝绳，在待拉入管子承口处架上后背横梁，用钢丝绳和倒链连好绷紧对正，两侧同步拉倒链，将已套好胶圈的插口经撞口后拉入承口中。注意随时校正胶圈位置和状况。安装时，顶、拉速度应缓慢，并应有专人查胶圈滚入情况，如发现滚入不均匀，应停止顶、拉，用凿子调整胶圈位置，均匀后再继续顶、拉，使胶圈达到承插口的预定位置。管道安装应特别注意密封胶圈，不得出现“麻花”、“闷鼻”、“凹兜”、“跳井”、“外露”等现象。</w:t>
      </w:r>
    </w:p>
    <w:p w14:paraId="3C55939C">
      <w:pPr>
        <w:rPr>
          <w:color w:val="auto"/>
        </w:rPr>
      </w:pPr>
      <w:r>
        <w:rPr>
          <w:rFonts w:hint="eastAsia"/>
          <w:color w:val="auto"/>
        </w:rPr>
        <w:t>（8）检查中线、高程：每一管节安装完成后，应校对管体的轴线位置与高程，符合设计要求后，即可进行管体轴向锁定和两侧固定。</w:t>
      </w:r>
    </w:p>
    <w:p w14:paraId="3A0C9D17">
      <w:pPr>
        <w:rPr>
          <w:color w:val="auto"/>
        </w:rPr>
      </w:pPr>
      <w:r>
        <w:rPr>
          <w:rFonts w:hint="eastAsia"/>
          <w:color w:val="auto"/>
        </w:rPr>
        <w:t>（9）用探尺检查胶圈位置：检查插口推入承口的位置是否符合要求，用探尺伸入承插口间隙中检查胶圈位置是否正确。</w:t>
      </w:r>
    </w:p>
    <w:p w14:paraId="10F357E5">
      <w:pPr>
        <w:rPr>
          <w:color w:val="auto"/>
        </w:rPr>
      </w:pPr>
      <w:r>
        <w:rPr>
          <w:rFonts w:hint="eastAsia"/>
          <w:color w:val="auto"/>
        </w:rPr>
        <w:t>（10）锁管：铺管后为防止前几节管子的管口移动，可用钢丝绳和倒链锁在后面的管子上。</w:t>
      </w:r>
    </w:p>
    <w:p w14:paraId="627FAC2E">
      <w:pPr>
        <w:rPr>
          <w:color w:val="auto"/>
        </w:rPr>
      </w:pPr>
      <w:r>
        <w:rPr>
          <w:bCs/>
          <w:color w:val="auto"/>
        </w:rPr>
        <w:t>4</w:t>
      </w:r>
      <w:r>
        <w:rPr>
          <w:rFonts w:hint="eastAsia"/>
          <w:bCs/>
          <w:color w:val="auto"/>
        </w:rPr>
        <w:t>、井室砌筑</w:t>
      </w:r>
      <w:bookmarkEnd w:id="221"/>
      <w:r>
        <w:rPr>
          <w:rFonts w:hint="eastAsia"/>
          <w:bCs/>
          <w:color w:val="auto"/>
        </w:rPr>
        <w:t>：</w:t>
      </w:r>
      <w:r>
        <w:rPr>
          <w:rFonts w:hint="eastAsia"/>
          <w:color w:val="auto"/>
        </w:rPr>
        <w:t>砌筑前校核基础尺寸及高程，测放出井中及砌筑边线。灰砂砖在建筑前用水湿润，含水量为10%~15%。基础砌筑前，基垫层表面应清扫干净，淋水湿润。砌筑时须挂线施工：先挂线对中点，砌筑时经常以此垂线对中点，用钢尺检查各边尺寸、距离是否符合要求。保证方井砌筑时墙体垂直，井口方正。砌筑宜采用一铲灰，一块砖，一挤揉的砌法。砌体应分层，上下错缝，内外搭接，砌体的转角处和交接处应同时砌筑，不能同时砌筑的应用梯级槎。砌筑圆形检查井时要注意圆度。挂线校核内径，收口段每皮检查，看有无偏移。井下部干管伸入处，特别是管底两侧要用砂浆碎砖捣插密实，使其不渗漏，收口高度事先算出，按每层缩入2cm，即每圈缩入4cm计算。水泥砂浆必须在4h内用完，不得使用过夜砂浆。砌筑各种阀门井、检查井时必须配合做好施工排水。检查井的井环用1:2水泥砂浆固定。井环面应与路面标高相同；污水检查井的井底均应设流槽，井壁内外用1：2水泥砂浆批刮20mm厚。</w:t>
      </w:r>
    </w:p>
    <w:p w14:paraId="56FD3F32">
      <w:pPr>
        <w:rPr>
          <w:color w:val="auto"/>
        </w:rPr>
      </w:pPr>
      <w:r>
        <w:rPr>
          <w:rFonts w:hint="eastAsia"/>
          <w:color w:val="auto"/>
        </w:rPr>
        <w:t>5、沟槽回填</w:t>
      </w:r>
    </w:p>
    <w:p w14:paraId="4C6E3CE0">
      <w:pPr>
        <w:rPr>
          <w:color w:val="auto"/>
        </w:rPr>
      </w:pPr>
      <w:r>
        <w:rPr>
          <w:rFonts w:hint="eastAsia"/>
          <w:bCs/>
          <w:color w:val="auto"/>
          <w:lang w:bidi="en-US"/>
        </w:rPr>
        <w:t>根据设计要求，</w:t>
      </w:r>
      <w:r>
        <w:rPr>
          <w:bCs/>
          <w:color w:val="auto"/>
          <w:lang w:bidi="en-US"/>
        </w:rPr>
        <w:t>管沟回填时</w:t>
      </w:r>
      <w:r>
        <w:rPr>
          <w:rFonts w:hint="eastAsia"/>
          <w:bCs/>
          <w:color w:val="auto"/>
          <w:lang w:bidi="en-US"/>
        </w:rPr>
        <w:t>采用石粉渣回填至管顶以上</w:t>
      </w:r>
      <w:r>
        <w:rPr>
          <w:bCs/>
          <w:color w:val="auto"/>
          <w:lang w:bidi="en-US"/>
        </w:rPr>
        <w:t>30</w:t>
      </w:r>
      <w:r>
        <w:rPr>
          <w:rFonts w:hint="eastAsia"/>
          <w:bCs/>
          <w:color w:val="auto"/>
          <w:lang w:bidi="en-US"/>
        </w:rPr>
        <w:t>cm，回填压实度按下图所示要求进行控制；胸腔以外部分根据建筑地面回填要求进行。</w:t>
      </w:r>
    </w:p>
    <w:p w14:paraId="3C2243CD">
      <w:pPr>
        <w:ind w:firstLine="0" w:firstLineChars="0"/>
        <w:jc w:val="center"/>
        <w:rPr>
          <w:color w:val="auto"/>
        </w:rPr>
      </w:pPr>
      <w:r>
        <w:rPr>
          <w:color w:val="auto"/>
        </w:rPr>
        <w:drawing>
          <wp:inline distT="0" distB="0" distL="0" distR="0">
            <wp:extent cx="5615940" cy="3242945"/>
            <wp:effectExtent l="0" t="0" r="381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176">
                      <a:extLst>
                        <a:ext uri="{28A0092B-C50C-407E-A947-70E740481C1C}">
                          <a14:useLocalDpi xmlns:a14="http://schemas.microsoft.com/office/drawing/2010/main" val="0"/>
                        </a:ext>
                      </a:extLst>
                    </a:blip>
                    <a:stretch>
                      <a:fillRect/>
                    </a:stretch>
                  </pic:blipFill>
                  <pic:spPr>
                    <a:xfrm>
                      <a:off x="0" y="0"/>
                      <a:ext cx="5615940" cy="3242945"/>
                    </a:xfrm>
                    <a:prstGeom prst="rect">
                      <a:avLst/>
                    </a:prstGeom>
                  </pic:spPr>
                </pic:pic>
              </a:graphicData>
            </a:graphic>
          </wp:inline>
        </w:drawing>
      </w:r>
    </w:p>
    <w:p w14:paraId="098FF4EE">
      <w:pPr>
        <w:pStyle w:val="53"/>
        <w:rPr>
          <w:color w:val="auto"/>
        </w:rPr>
      </w:pPr>
      <w:r>
        <w:rPr>
          <w:rFonts w:hint="eastAsia"/>
          <w:color w:val="auto"/>
          <w:lang w:bidi="en-US"/>
        </w:rPr>
        <w:t>管道沟槽回填部位与压实度示意图</w:t>
      </w:r>
    </w:p>
    <w:p w14:paraId="72B3FFB0">
      <w:pPr>
        <w:rPr>
          <w:color w:val="auto"/>
          <w:lang w:bidi="en-US"/>
        </w:rPr>
      </w:pPr>
      <w:r>
        <w:rPr>
          <w:rFonts w:hint="eastAsia"/>
          <w:color w:val="auto"/>
          <w:lang w:bidi="en-US"/>
        </w:rPr>
        <w:t>管道铺设后应及时进行沟槽回填，回填前应采取措施对管道系统进行加固。回填时应先填实管底再同时回填管道两侧，然后回填至管顶0.</w:t>
      </w:r>
      <w:r>
        <w:rPr>
          <w:color w:val="auto"/>
          <w:lang w:bidi="en-US"/>
        </w:rPr>
        <w:t>3</w:t>
      </w:r>
      <w:r>
        <w:rPr>
          <w:rFonts w:hint="eastAsia"/>
          <w:color w:val="auto"/>
          <w:lang w:bidi="en-US"/>
        </w:rPr>
        <w:t>m处。回填采用</w:t>
      </w:r>
      <w:r>
        <w:rPr>
          <w:rFonts w:hint="eastAsia"/>
          <w:bCs/>
          <w:color w:val="auto"/>
          <w:lang w:bidi="en-US"/>
        </w:rPr>
        <w:t>石粉渣</w:t>
      </w:r>
      <w:r>
        <w:rPr>
          <w:rFonts w:hint="eastAsia"/>
          <w:color w:val="auto"/>
          <w:lang w:bidi="en-US"/>
        </w:rPr>
        <w:t>回填至管顶以上</w:t>
      </w:r>
      <w:r>
        <w:rPr>
          <w:color w:val="auto"/>
          <w:lang w:bidi="en-US"/>
        </w:rPr>
        <w:t>3</w:t>
      </w:r>
      <w:r>
        <w:rPr>
          <w:rFonts w:hint="eastAsia"/>
          <w:color w:val="auto"/>
          <w:lang w:bidi="en-US"/>
        </w:rPr>
        <w:t>0cm，管顶0.</w:t>
      </w:r>
      <w:r>
        <w:rPr>
          <w:color w:val="auto"/>
          <w:lang w:bidi="en-US"/>
        </w:rPr>
        <w:t>3</w:t>
      </w:r>
      <w:r>
        <w:rPr>
          <w:rFonts w:hint="eastAsia"/>
          <w:color w:val="auto"/>
          <w:lang w:bidi="en-US"/>
        </w:rPr>
        <w:t>m以上部分根据</w:t>
      </w:r>
      <w:r>
        <w:rPr>
          <w:rFonts w:hint="eastAsia"/>
          <w:bCs/>
          <w:color w:val="auto"/>
          <w:lang w:bidi="en-US"/>
        </w:rPr>
        <w:t>建筑地面回填要求</w:t>
      </w:r>
      <w:r>
        <w:rPr>
          <w:rFonts w:hint="eastAsia"/>
          <w:color w:val="auto"/>
          <w:lang w:bidi="en-US"/>
        </w:rPr>
        <w:t>进行。</w:t>
      </w:r>
      <w:r>
        <w:rPr>
          <w:color w:val="auto"/>
          <w:lang w:bidi="en-US"/>
        </w:rPr>
        <w:t>沟槽回填施工必须在管道两侧同步进行，严禁单侧回填，两侧填土填筑高差，不应超过一个上层厚度，填土应分层夯实。</w:t>
      </w:r>
    </w:p>
    <w:p w14:paraId="7E64E9BC">
      <w:pPr>
        <w:rPr>
          <w:rFonts w:ascii="宋体"/>
          <w:bCs/>
          <w:color w:val="auto"/>
          <w:lang w:bidi="en-US"/>
        </w:rPr>
      </w:pPr>
      <w:r>
        <w:rPr>
          <w:rFonts w:hint="eastAsia" w:ascii="宋体"/>
          <w:bCs/>
          <w:color w:val="auto"/>
          <w:lang w:bidi="en-US"/>
        </w:rPr>
        <w:t>（1）管道沟槽回填应符合下列规定：沟槽内砖、石、木块等杂物清除干净；沟槽内不得有积水；保持降排水系统正常运行，不得带水回填；回填前，检查管道有无损伤或变形，有损伤的管道应修复或更换；管基有效支承角范围应采用填充密实，与管壁紧密接触；管道半径以下回填时应采取防止管道上浮、位移的措施；管道回填时间宜在一昼夜中气温最低时段，从管道两侧同时回填，同时夯实；沟槽回填从管底基础部位开始到管顶以上</w:t>
      </w:r>
      <w:r>
        <w:rPr>
          <w:rFonts w:ascii="宋体"/>
          <w:bCs/>
          <w:color w:val="auto"/>
          <w:lang w:bidi="en-US"/>
        </w:rPr>
        <w:t>3</w:t>
      </w:r>
      <w:r>
        <w:rPr>
          <w:rFonts w:hint="eastAsia" w:ascii="宋体"/>
          <w:bCs/>
          <w:color w:val="auto"/>
          <w:lang w:bidi="en-US"/>
        </w:rPr>
        <w:t>00mm范围内，必须采用人工回填，严禁用推土机推土回填。管两侧</w:t>
      </w:r>
      <w:r>
        <w:rPr>
          <w:rFonts w:ascii="宋体"/>
          <w:bCs/>
          <w:color w:val="auto"/>
          <w:lang w:bidi="en-US"/>
        </w:rPr>
        <w:t>分层对称回填、夯实，不得漏夯</w:t>
      </w:r>
      <w:r>
        <w:rPr>
          <w:rFonts w:hint="eastAsia" w:ascii="宋体"/>
          <w:bCs/>
          <w:color w:val="auto"/>
          <w:lang w:bidi="en-US"/>
        </w:rPr>
        <w:t>；管顶</w:t>
      </w:r>
      <w:r>
        <w:rPr>
          <w:rFonts w:ascii="宋体"/>
          <w:bCs/>
          <w:color w:val="auto"/>
          <w:lang w:bidi="en-US"/>
        </w:rPr>
        <w:t>3</w:t>
      </w:r>
      <w:r>
        <w:rPr>
          <w:rFonts w:hint="eastAsia" w:ascii="宋体"/>
          <w:bCs/>
          <w:color w:val="auto"/>
          <w:lang w:bidi="en-US"/>
        </w:rPr>
        <w:t>00mm以上部位，可用机械从管道轴线两侧同时夯实；每层回填高度应不大于200mm</w:t>
      </w:r>
      <w:r>
        <w:rPr>
          <w:rFonts w:ascii="宋体"/>
          <w:bCs/>
          <w:color w:val="auto"/>
          <w:lang w:bidi="en-US"/>
        </w:rPr>
        <w:t>。</w:t>
      </w:r>
    </w:p>
    <w:p w14:paraId="083ADB01">
      <w:pPr>
        <w:rPr>
          <w:rFonts w:ascii="宋体"/>
          <w:bCs/>
          <w:color w:val="auto"/>
          <w:lang w:bidi="en-US"/>
        </w:rPr>
      </w:pPr>
      <w:r>
        <w:rPr>
          <w:rFonts w:hint="eastAsia" w:ascii="宋体"/>
          <w:bCs/>
          <w:color w:val="auto"/>
          <w:lang w:bidi="en-US"/>
        </w:rPr>
        <w:t>（2）井室及其他附属构筑物周围回填应符合下列规定：井室周围的回填，应与管道沟槽回填同时进行；不便同时进行时，应留台阶形接茬；井室周围回填压实时应沿井室中心对称进行，且不得漏夯；回填材料压实后应与井壁紧贴；路面范围内的井室周围，应采用石灰土、砂、砂砾等材料回填，其回填宽度不宜小于400mm；严禁在槽壁取土回填。</w:t>
      </w:r>
    </w:p>
    <w:p w14:paraId="6296A6F6">
      <w:pPr>
        <w:pStyle w:val="5"/>
        <w:numPr>
          <w:ilvl w:val="2"/>
          <w:numId w:val="1"/>
        </w:numPr>
        <w:rPr>
          <w:rFonts w:cs="宋体"/>
          <w:color w:val="auto"/>
          <w:sz w:val="24"/>
          <w:szCs w:val="24"/>
        </w:rPr>
      </w:pPr>
      <w:bookmarkStart w:id="222" w:name="_Toc7898"/>
      <w:r>
        <w:rPr>
          <w:rFonts w:hint="eastAsia"/>
          <w:color w:val="auto"/>
          <w:sz w:val="24"/>
          <w:szCs w:val="24"/>
        </w:rPr>
        <w:t>土建铺装的施工</w:t>
      </w:r>
      <w:bookmarkEnd w:id="222"/>
    </w:p>
    <w:p w14:paraId="48902294">
      <w:pPr>
        <w:pStyle w:val="6"/>
        <w:ind w:firstLine="480"/>
        <w:rPr>
          <w:color w:val="auto"/>
          <w:sz w:val="24"/>
          <w:szCs w:val="24"/>
        </w:rPr>
      </w:pPr>
      <w:r>
        <w:rPr>
          <w:rFonts w:hint="eastAsia"/>
          <w:color w:val="auto"/>
          <w:sz w:val="24"/>
          <w:szCs w:val="24"/>
        </w:rPr>
        <w:t>施工前的准备</w:t>
      </w:r>
    </w:p>
    <w:p w14:paraId="5C8B613B">
      <w:pPr>
        <w:rPr>
          <w:rFonts w:hint="eastAsia" w:ascii="宋体"/>
          <w:bCs/>
          <w:color w:val="auto"/>
          <w:lang w:bidi="en-US"/>
        </w:rPr>
      </w:pPr>
      <w:r>
        <w:rPr>
          <w:rFonts w:hint="eastAsia" w:ascii="宋体"/>
          <w:bCs/>
          <w:color w:val="auto"/>
          <w:lang w:bidi="en-US"/>
        </w:rPr>
        <w:t>1、详细熟悉设计文件：学习和领会设计思想，注意设计文件中所采用的各项技术指标、图集，有疑问之处及时与设计单位取得联系并进行确认。</w:t>
      </w:r>
    </w:p>
    <w:p w14:paraId="6A1DE9A0">
      <w:pPr>
        <w:rPr>
          <w:rFonts w:hint="eastAsia" w:ascii="宋体"/>
          <w:bCs/>
          <w:color w:val="auto"/>
          <w:lang w:bidi="en-US"/>
        </w:rPr>
      </w:pPr>
      <w:r>
        <w:rPr>
          <w:rFonts w:hint="eastAsia" w:ascii="宋体"/>
          <w:bCs/>
          <w:color w:val="auto"/>
          <w:lang w:bidi="en-US"/>
        </w:rPr>
        <w:t>2、编制详实的施工方案：根据总工程进度计划及现场各种情况，编制详实的道路铺装工程施工方案。</w:t>
      </w:r>
    </w:p>
    <w:p w14:paraId="18988D1F">
      <w:pPr>
        <w:pStyle w:val="6"/>
        <w:ind w:firstLine="480"/>
        <w:rPr>
          <w:color w:val="auto"/>
        </w:rPr>
      </w:pPr>
      <w:r>
        <w:rPr>
          <w:rFonts w:hint="eastAsia"/>
          <w:color w:val="auto"/>
        </w:rPr>
        <w:t>现场准备工作</w:t>
      </w:r>
    </w:p>
    <w:p w14:paraId="2F6AAA9D">
      <w:pPr>
        <w:rPr>
          <w:rFonts w:hint="eastAsia" w:ascii="宋体"/>
          <w:bCs/>
          <w:color w:val="auto"/>
          <w:lang w:bidi="en-US"/>
        </w:rPr>
      </w:pPr>
      <w:r>
        <w:rPr>
          <w:rFonts w:hint="eastAsia" w:ascii="宋体"/>
          <w:bCs/>
          <w:color w:val="auto"/>
          <w:lang w:bidi="en-US"/>
        </w:rPr>
        <w:t>1、在进行土方地形的施工时，应在地下管道埋设完成并验收合格后方可进行。</w:t>
      </w:r>
    </w:p>
    <w:p w14:paraId="2A202666">
      <w:pPr>
        <w:rPr>
          <w:rFonts w:hint="eastAsia" w:ascii="宋体"/>
          <w:bCs/>
          <w:color w:val="auto"/>
          <w:lang w:bidi="en-US"/>
        </w:rPr>
      </w:pPr>
      <w:r>
        <w:rPr>
          <w:rFonts w:hint="eastAsia" w:ascii="宋体"/>
          <w:bCs/>
          <w:color w:val="auto"/>
          <w:lang w:bidi="en-US"/>
        </w:rPr>
        <w:t>2、水、电通至现场，并能正常使用，施工便道通畅无阻。</w:t>
      </w:r>
    </w:p>
    <w:p w14:paraId="2E6DD6F8">
      <w:pPr>
        <w:rPr>
          <w:rFonts w:hint="eastAsia" w:ascii="宋体"/>
          <w:bCs/>
          <w:color w:val="auto"/>
          <w:lang w:bidi="en-US"/>
        </w:rPr>
      </w:pPr>
      <w:r>
        <w:rPr>
          <w:rFonts w:hint="eastAsia" w:ascii="宋体"/>
          <w:bCs/>
          <w:color w:val="auto"/>
          <w:lang w:bidi="en-US"/>
        </w:rPr>
        <w:t>3、各种材料的现场准备、运输、存放、保管工作。</w:t>
      </w:r>
    </w:p>
    <w:p w14:paraId="46DCBF9C">
      <w:pPr>
        <w:pStyle w:val="6"/>
        <w:ind w:firstLine="480"/>
        <w:rPr>
          <w:color w:val="auto"/>
        </w:rPr>
      </w:pPr>
      <w:r>
        <w:rPr>
          <w:rFonts w:hint="eastAsia"/>
          <w:color w:val="auto"/>
        </w:rPr>
        <w:t>施工放线</w:t>
      </w:r>
    </w:p>
    <w:p w14:paraId="1DAFA382">
      <w:pPr>
        <w:rPr>
          <w:rFonts w:hint="eastAsia" w:ascii="宋体"/>
          <w:bCs/>
          <w:color w:val="auto"/>
          <w:lang w:bidi="en-US"/>
        </w:rPr>
      </w:pPr>
      <w:r>
        <w:rPr>
          <w:rFonts w:hint="eastAsia" w:ascii="宋体"/>
          <w:bCs/>
          <w:color w:val="auto"/>
          <w:lang w:bidi="en-US"/>
        </w:rPr>
        <w:t>1、方格网测设：根据设计总平面图上各种建筑物、道路、管线，结合现场地形情况与施工现场总平面图，先选定方格网的主轴线、面全面布设方格网。</w:t>
      </w:r>
    </w:p>
    <w:p w14:paraId="762071EA">
      <w:pPr>
        <w:rPr>
          <w:rFonts w:hint="eastAsia" w:ascii="宋体"/>
          <w:bCs/>
          <w:color w:val="auto"/>
          <w:lang w:bidi="en-US"/>
        </w:rPr>
      </w:pPr>
      <w:r>
        <w:rPr>
          <w:rFonts w:hint="eastAsia" w:ascii="宋体"/>
          <w:bCs/>
          <w:color w:val="auto"/>
          <w:lang w:bidi="en-US"/>
        </w:rPr>
        <w:t>2、道路中线测设：将线路中心线位置测设到实地上并做好相应标志，主要内容有：测设中线上的交点和转点，测定线路转折角，测设曲线主点等。</w:t>
      </w:r>
    </w:p>
    <w:p w14:paraId="55BF06FB">
      <w:pPr>
        <w:rPr>
          <w:rFonts w:hint="eastAsia" w:ascii="宋体"/>
          <w:bCs/>
          <w:color w:val="auto"/>
          <w:lang w:bidi="en-US"/>
        </w:rPr>
      </w:pPr>
      <w:r>
        <w:rPr>
          <w:rFonts w:hint="eastAsia" w:ascii="宋体"/>
          <w:bCs/>
          <w:color w:val="auto"/>
          <w:lang w:bidi="en-US"/>
        </w:rPr>
        <w:t>（1）直线道路的中线测设：参照图纸设计中的放线图用直角坐标法，通过经纬仪、钢尺测设出各段道路中线的起点、转折点、终点等线路三主点，以及转折角复测无误后，定桩。</w:t>
      </w:r>
    </w:p>
    <w:p w14:paraId="1C7BB775">
      <w:pPr>
        <w:rPr>
          <w:rFonts w:hint="eastAsia" w:ascii="宋体"/>
          <w:bCs/>
          <w:color w:val="auto"/>
          <w:lang w:bidi="en-US"/>
        </w:rPr>
      </w:pPr>
      <w:r>
        <w:rPr>
          <w:rFonts w:hint="eastAsia" w:ascii="宋体"/>
          <w:bCs/>
          <w:color w:val="auto"/>
          <w:lang w:bidi="en-US"/>
        </w:rPr>
        <w:t>（2）曲线道路的中线测设：用经纬仪、钢尺、标杆等工具，采用直角坐标法，每间隔3米测设一个中线点，用平滑曲线连接各点，对照图纸复测无误定树桩。</w:t>
      </w:r>
    </w:p>
    <w:p w14:paraId="5139C909">
      <w:pPr>
        <w:rPr>
          <w:rFonts w:hint="eastAsia" w:ascii="宋体"/>
          <w:bCs/>
          <w:color w:val="auto"/>
          <w:lang w:bidi="en-US"/>
        </w:rPr>
      </w:pPr>
      <w:r>
        <w:rPr>
          <w:rFonts w:hint="eastAsia" w:ascii="宋体"/>
          <w:bCs/>
          <w:color w:val="auto"/>
          <w:lang w:bidi="en-US"/>
        </w:rPr>
        <w:t>3、道路铺装边线的测设</w:t>
      </w:r>
    </w:p>
    <w:p w14:paraId="30E24DB0">
      <w:pPr>
        <w:rPr>
          <w:rFonts w:hint="eastAsia" w:ascii="宋体"/>
          <w:bCs/>
          <w:color w:val="auto"/>
          <w:lang w:bidi="en-US"/>
        </w:rPr>
      </w:pPr>
      <w:r>
        <w:rPr>
          <w:rFonts w:hint="eastAsia" w:ascii="宋体"/>
          <w:bCs/>
          <w:color w:val="auto"/>
          <w:lang w:bidi="en-US"/>
        </w:rPr>
        <w:t>（1）直线道路：根据设计中道路的宽度，测设道路边线的起点转折点、终点，然后连接成线，即为道路边线。</w:t>
      </w:r>
    </w:p>
    <w:p w14:paraId="74CB3698">
      <w:pPr>
        <w:rPr>
          <w:rFonts w:hAnsi="Times New Roman" w:cstheme="minorBidi"/>
          <w:bCs/>
          <w:color w:val="auto"/>
          <w:sz w:val="24"/>
          <w:szCs w:val="21"/>
          <w:lang w:bidi="en-US"/>
        </w:rPr>
      </w:pPr>
      <w:r>
        <w:rPr>
          <w:rFonts w:hint="eastAsia" w:ascii="宋体"/>
          <w:bCs/>
          <w:color w:val="auto"/>
          <w:lang w:bidi="en-US"/>
        </w:rPr>
        <w:t>（2）曲线道路边线测设：根据道路宽度，在各个中线点垂直于曲线切线</w:t>
      </w:r>
      <w:r>
        <w:rPr>
          <w:rFonts w:hint="eastAsia" w:hAnsi="Times New Roman" w:cstheme="minorBidi"/>
          <w:bCs/>
          <w:color w:val="auto"/>
          <w:sz w:val="24"/>
          <w:szCs w:val="21"/>
          <w:lang w:bidi="en-US"/>
        </w:rPr>
        <w:t>的直线上定出边线点用平滑曲线连接各点即为道路边线。</w:t>
      </w:r>
    </w:p>
    <w:p w14:paraId="32FA675F">
      <w:pPr>
        <w:pStyle w:val="6"/>
        <w:ind w:firstLine="480"/>
        <w:rPr>
          <w:color w:val="auto"/>
        </w:rPr>
      </w:pPr>
      <w:r>
        <w:rPr>
          <w:rFonts w:hint="eastAsia"/>
          <w:color w:val="auto"/>
        </w:rPr>
        <w:t>修筑路槽</w:t>
      </w:r>
    </w:p>
    <w:p w14:paraId="4B5C6E9E">
      <w:pPr>
        <w:rPr>
          <w:rFonts w:hint="eastAsia" w:ascii="宋体"/>
          <w:bCs/>
          <w:color w:val="auto"/>
          <w:lang w:bidi="en-US"/>
        </w:rPr>
      </w:pPr>
      <w:r>
        <w:rPr>
          <w:rFonts w:hint="eastAsia" w:ascii="宋体"/>
          <w:bCs/>
          <w:color w:val="auto"/>
          <w:lang w:bidi="en-US"/>
        </w:rPr>
        <w:t>1、放平桩（横向样槽）：道路边线设定后，在路槽内开挖横向样槽，间距以3～5米为宜。放平桩后还应放纵向样槽，即在路槽中心和两侧沿线纵向开挖样槽，以便于施工人员准确施工。</w:t>
      </w:r>
    </w:p>
    <w:p w14:paraId="340C8BB3">
      <w:pPr>
        <w:rPr>
          <w:rFonts w:hint="eastAsia" w:ascii="宋体"/>
          <w:bCs/>
          <w:color w:val="auto"/>
          <w:lang w:bidi="en-US"/>
        </w:rPr>
      </w:pPr>
      <w:r>
        <w:rPr>
          <w:rFonts w:hint="eastAsia" w:ascii="宋体"/>
          <w:bCs/>
          <w:color w:val="auto"/>
          <w:lang w:bidi="en-US"/>
        </w:rPr>
        <w:t>2、开挖：平桩放好后，先由松土机沿路槽边缘线，按螺旋形驶路线，由一侧开始逐渐将全路翻松，翻松后的渣土由推土机以十字形或三字形推土方式，将渣土推到路肩上，直至将路床按设计要求挖深。</w:t>
      </w:r>
    </w:p>
    <w:p w14:paraId="605825DF">
      <w:pPr>
        <w:rPr>
          <w:rFonts w:hint="eastAsia" w:ascii="宋体"/>
          <w:bCs/>
          <w:color w:val="auto"/>
          <w:lang w:bidi="en-US"/>
        </w:rPr>
      </w:pPr>
      <w:r>
        <w:rPr>
          <w:rFonts w:hint="eastAsia" w:ascii="宋体"/>
          <w:bCs/>
          <w:color w:val="auto"/>
          <w:lang w:bidi="en-US"/>
        </w:rPr>
        <w:t>3、修整：路槽挖出后用路拱板进行检查，经过人工修整适当铲平或培填至设计标高要求。路槽范围内的管沟等应分层填土夯实。</w:t>
      </w:r>
    </w:p>
    <w:p w14:paraId="30B1BFAB">
      <w:pPr>
        <w:rPr>
          <w:rFonts w:hint="eastAsia" w:ascii="宋体"/>
          <w:bCs/>
          <w:color w:val="auto"/>
          <w:lang w:bidi="en-US"/>
        </w:rPr>
      </w:pPr>
      <w:r>
        <w:rPr>
          <w:rFonts w:hint="eastAsia" w:ascii="宋体"/>
          <w:bCs/>
          <w:color w:val="auto"/>
          <w:lang w:bidi="en-US"/>
        </w:rPr>
        <w:t>4、碾压：路槽修整后用蛙式打夯机或压路机碾压，直线路段由路边逐渐向中心，曲线路段由弯道内侧向外侧进行，以便随时掌握质量，碾压至规定密实度无明显轮迹即可。</w:t>
      </w:r>
    </w:p>
    <w:p w14:paraId="2E12CCED">
      <w:pPr>
        <w:pStyle w:val="6"/>
        <w:ind w:firstLine="480"/>
        <w:rPr>
          <w:color w:val="auto"/>
        </w:rPr>
      </w:pPr>
      <w:r>
        <w:rPr>
          <w:rFonts w:hint="eastAsia"/>
          <w:color w:val="auto"/>
        </w:rPr>
        <w:t>基层施工</w:t>
      </w:r>
    </w:p>
    <w:p w14:paraId="224C76B8">
      <w:pPr>
        <w:rPr>
          <w:rFonts w:hint="eastAsia" w:ascii="宋体"/>
          <w:bCs/>
          <w:color w:val="auto"/>
          <w:lang w:bidi="en-US"/>
        </w:rPr>
      </w:pPr>
      <w:r>
        <w:rPr>
          <w:rFonts w:hint="eastAsia" w:ascii="宋体"/>
          <w:bCs/>
          <w:color w:val="auto"/>
          <w:lang w:bidi="en-US"/>
        </w:rPr>
        <w:t>本工程土建部分基础施工内容主要为灰土垫层、级配砂石、混凝土垫层，毛石基础等</w:t>
      </w:r>
    </w:p>
    <w:p w14:paraId="6A73236B">
      <w:pPr>
        <w:rPr>
          <w:rFonts w:hint="eastAsia" w:ascii="宋体"/>
          <w:bCs/>
          <w:color w:val="auto"/>
          <w:lang w:bidi="en-US"/>
        </w:rPr>
      </w:pPr>
      <w:r>
        <w:rPr>
          <w:rFonts w:hint="eastAsia" w:ascii="宋体"/>
          <w:bCs/>
          <w:color w:val="auto"/>
          <w:lang w:bidi="en-US"/>
        </w:rPr>
        <w:t>1、灰土垫层：</w:t>
      </w:r>
    </w:p>
    <w:p w14:paraId="5E22B103">
      <w:pPr>
        <w:rPr>
          <w:rFonts w:hint="eastAsia" w:ascii="宋体"/>
          <w:bCs/>
          <w:color w:val="auto"/>
          <w:lang w:bidi="en-US"/>
        </w:rPr>
      </w:pPr>
      <w:r>
        <w:rPr>
          <w:rFonts w:hint="eastAsia" w:ascii="宋体"/>
          <w:bCs/>
          <w:color w:val="auto"/>
          <w:lang w:bidi="en-US"/>
        </w:rPr>
        <w:t>（1）工艺流程</w:t>
      </w:r>
    </w:p>
    <w:p w14:paraId="73EDA491">
      <w:pPr>
        <w:rPr>
          <w:rFonts w:hint="eastAsia" w:ascii="宋体"/>
          <w:bCs/>
          <w:color w:val="auto"/>
          <w:lang w:bidi="en-US"/>
        </w:rPr>
      </w:pPr>
      <w:r>
        <w:rPr>
          <w:rFonts w:hint="eastAsia" w:ascii="宋体"/>
          <w:bCs/>
          <w:color w:val="auto"/>
          <w:lang w:bidi="en-US"/>
        </w:rPr>
        <w:t>检验土料和石灰粉的质量并过筛—→灰土拌合—→槽底清理—→分层铺灰土—→夯打密实—→找平验收</w:t>
      </w:r>
    </w:p>
    <w:p w14:paraId="7ECF3EC4">
      <w:pPr>
        <w:rPr>
          <w:rFonts w:hint="eastAsia" w:ascii="宋体"/>
          <w:bCs/>
          <w:color w:val="auto"/>
          <w:lang w:bidi="en-US"/>
        </w:rPr>
      </w:pPr>
      <w:r>
        <w:rPr>
          <w:rFonts w:hint="eastAsia" w:ascii="宋体"/>
          <w:bCs/>
          <w:color w:val="auto"/>
          <w:lang w:bidi="en-US"/>
        </w:rPr>
        <w:t>（2）首先检查土料种类和质量以及石灰材料的质量是否符合标准，然后分别过筛。</w:t>
      </w:r>
    </w:p>
    <w:p w14:paraId="6FA7DB36">
      <w:pPr>
        <w:rPr>
          <w:rFonts w:hint="eastAsia" w:ascii="宋体"/>
          <w:bCs/>
          <w:color w:val="auto"/>
          <w:lang w:bidi="en-US"/>
        </w:rPr>
      </w:pPr>
      <w:r>
        <w:rPr>
          <w:rFonts w:hint="eastAsia" w:ascii="宋体"/>
          <w:bCs/>
          <w:color w:val="auto"/>
          <w:lang w:bidi="en-US"/>
        </w:rPr>
        <w:t>（3）灰土拌合：灰土的配合比应用体积比，除设计有特殊要求外，一般为2∶8或3∶7。拌合时必须均匀一致，至少翻拌两次，拌合好的灰土颜色应一致</w:t>
      </w:r>
    </w:p>
    <w:p w14:paraId="1591AA1F">
      <w:pPr>
        <w:rPr>
          <w:rFonts w:hint="eastAsia" w:ascii="宋体"/>
          <w:bCs/>
          <w:color w:val="auto"/>
          <w:lang w:bidi="en-US"/>
        </w:rPr>
      </w:pPr>
      <w:r>
        <w:rPr>
          <w:rFonts w:hint="eastAsia" w:ascii="宋体"/>
          <w:bCs/>
          <w:color w:val="auto"/>
          <w:lang w:bidi="en-US"/>
        </w:rPr>
        <w:t>（4）灰土施工时，应适当控制含水量。工地检验方法是：用手将灰土握紧成团，两指轻捏即碎为宜。</w:t>
      </w:r>
    </w:p>
    <w:p w14:paraId="10381259">
      <w:pPr>
        <w:rPr>
          <w:rFonts w:hint="eastAsia" w:ascii="宋体"/>
          <w:bCs/>
          <w:color w:val="auto"/>
          <w:lang w:bidi="en-US"/>
        </w:rPr>
      </w:pPr>
      <w:r>
        <w:rPr>
          <w:rFonts w:hint="eastAsia" w:ascii="宋体"/>
          <w:bCs/>
          <w:color w:val="auto"/>
          <w:lang w:bidi="en-US"/>
        </w:rPr>
        <w:t>（5）基坑（槽）底或基土表面应清理干净。</w:t>
      </w:r>
    </w:p>
    <w:p w14:paraId="5224A4D1">
      <w:pPr>
        <w:rPr>
          <w:rFonts w:hint="eastAsia" w:ascii="宋体"/>
          <w:bCs/>
          <w:color w:val="auto"/>
          <w:lang w:bidi="en-US"/>
        </w:rPr>
      </w:pPr>
      <w:r>
        <w:rPr>
          <w:rFonts w:hint="eastAsia" w:ascii="宋体"/>
          <w:bCs/>
          <w:color w:val="auto"/>
          <w:lang w:bidi="en-US"/>
        </w:rPr>
        <w:t>（6）分层铺灰土：每层的灰土铺摊厚度，可根据不同的施工方法来操作。</w:t>
      </w:r>
    </w:p>
    <w:p w14:paraId="62D3C083">
      <w:pPr>
        <w:rPr>
          <w:rFonts w:hint="eastAsia" w:ascii="宋体"/>
          <w:bCs/>
          <w:color w:val="auto"/>
          <w:lang w:bidi="en-US"/>
        </w:rPr>
      </w:pPr>
      <w:r>
        <w:rPr>
          <w:rFonts w:hint="eastAsia" w:ascii="宋体"/>
          <w:bCs/>
          <w:color w:val="auto"/>
          <w:lang w:bidi="en-US"/>
        </w:rPr>
        <w:t>（7）夯打密实：夯打的遍数应根据设计要求的干土质量密度或现场试验确定，一般不少于三遍</w:t>
      </w:r>
    </w:p>
    <w:p w14:paraId="708D5294">
      <w:pPr>
        <w:rPr>
          <w:rFonts w:hint="eastAsia" w:ascii="宋体"/>
          <w:bCs/>
          <w:color w:val="auto"/>
          <w:lang w:bidi="en-US"/>
        </w:rPr>
      </w:pPr>
      <w:r>
        <w:rPr>
          <w:rFonts w:hint="eastAsia" w:ascii="宋体"/>
          <w:bCs/>
          <w:color w:val="auto"/>
          <w:lang w:bidi="en-US"/>
        </w:rPr>
        <w:t>（8）灰土分段施工时，不得在墙角、柱基及承重窗间墙下接槎。上下两层灰土的接槎距离不得小于500mm。</w:t>
      </w:r>
    </w:p>
    <w:p w14:paraId="78A5F4AB">
      <w:pPr>
        <w:rPr>
          <w:rFonts w:hint="eastAsia" w:ascii="宋体"/>
          <w:bCs/>
          <w:color w:val="auto"/>
          <w:lang w:bidi="en-US"/>
        </w:rPr>
      </w:pPr>
      <w:r>
        <w:rPr>
          <w:rFonts w:hint="eastAsia" w:ascii="宋体"/>
          <w:bCs/>
          <w:color w:val="auto"/>
          <w:lang w:bidi="en-US"/>
        </w:rPr>
        <w:t>（9）灰土回填每层夯（压）实后，应根据规范规定进行环刀取样，测出灰土质量密度，达到设计要求时，才能进行上一层灰土的铺摊。</w:t>
      </w:r>
    </w:p>
    <w:p w14:paraId="11A83C89">
      <w:pPr>
        <w:rPr>
          <w:rFonts w:hint="eastAsia" w:ascii="宋体"/>
          <w:bCs/>
          <w:color w:val="auto"/>
          <w:lang w:bidi="en-US"/>
        </w:rPr>
      </w:pPr>
      <w:r>
        <w:rPr>
          <w:rFonts w:hint="eastAsia" w:ascii="宋体"/>
          <w:bCs/>
          <w:color w:val="auto"/>
          <w:lang w:bidi="en-US"/>
        </w:rPr>
        <w:t>（10）找平与验收：灰土最上一层完成后，应拉线或用靠尺检查高和平整度，超高处用铁锹铲平；低洼处应及时补打灰土。</w:t>
      </w:r>
    </w:p>
    <w:p w14:paraId="7E270358">
      <w:pPr>
        <w:rPr>
          <w:rFonts w:hint="eastAsia" w:ascii="宋体"/>
          <w:bCs/>
          <w:color w:val="auto"/>
          <w:lang w:bidi="en-US"/>
        </w:rPr>
      </w:pPr>
      <w:r>
        <w:rPr>
          <w:rFonts w:hint="eastAsia" w:ascii="宋体"/>
          <w:bCs/>
          <w:color w:val="auto"/>
          <w:lang w:bidi="en-US"/>
        </w:rPr>
        <w:t>（11）雨期施工</w:t>
      </w:r>
    </w:p>
    <w:p w14:paraId="39B85449">
      <w:pPr>
        <w:rPr>
          <w:rFonts w:hint="eastAsia" w:ascii="宋体"/>
          <w:bCs/>
          <w:color w:val="auto"/>
          <w:lang w:bidi="en-US"/>
        </w:rPr>
      </w:pPr>
      <w:r>
        <w:rPr>
          <w:rFonts w:hint="eastAsia" w:ascii="宋体"/>
          <w:bCs/>
          <w:color w:val="auto"/>
          <w:lang w:bidi="en-US"/>
        </w:rPr>
        <w:t>1）基坑（槽）或管沟灰土回填应继续进行，尽快完成。</w:t>
      </w:r>
    </w:p>
    <w:p w14:paraId="6F863E2C">
      <w:pPr>
        <w:rPr>
          <w:rFonts w:hint="eastAsia" w:ascii="宋体"/>
          <w:bCs/>
          <w:color w:val="auto"/>
          <w:lang w:bidi="en-US"/>
        </w:rPr>
      </w:pPr>
      <w:r>
        <w:rPr>
          <w:rFonts w:hint="eastAsia" w:ascii="宋体"/>
          <w:bCs/>
          <w:color w:val="auto"/>
          <w:lang w:bidi="en-US"/>
        </w:rPr>
        <w:t>2）雨天施工时，应采取防雨或排水措施。</w:t>
      </w:r>
    </w:p>
    <w:p w14:paraId="0C0C0D08">
      <w:pPr>
        <w:rPr>
          <w:rFonts w:hint="eastAsia" w:ascii="宋体"/>
          <w:bCs/>
          <w:color w:val="auto"/>
          <w:lang w:bidi="en-US"/>
        </w:rPr>
      </w:pPr>
      <w:r>
        <w:rPr>
          <w:rFonts w:hint="eastAsia" w:ascii="宋体"/>
          <w:bCs/>
          <w:color w:val="auto"/>
          <w:lang w:bidi="en-US"/>
        </w:rPr>
        <w:t>2、砂砾石、地瓜石基础施工工艺</w:t>
      </w:r>
    </w:p>
    <w:p w14:paraId="455CA6E0">
      <w:pPr>
        <w:rPr>
          <w:rFonts w:hint="eastAsia" w:ascii="宋体"/>
          <w:bCs/>
          <w:color w:val="auto"/>
          <w:lang w:bidi="en-US"/>
        </w:rPr>
      </w:pPr>
      <w:r>
        <w:rPr>
          <w:rFonts w:hint="eastAsia" w:ascii="宋体"/>
          <w:bCs/>
          <w:color w:val="auto"/>
          <w:lang w:bidi="en-US"/>
        </w:rPr>
        <w:t>（1）工艺流程</w:t>
      </w:r>
    </w:p>
    <w:p w14:paraId="0E7AB758">
      <w:pPr>
        <w:rPr>
          <w:rFonts w:hint="eastAsia" w:ascii="宋体"/>
          <w:bCs/>
          <w:color w:val="auto"/>
          <w:lang w:bidi="en-US"/>
        </w:rPr>
      </w:pPr>
      <w:r>
        <w:rPr>
          <w:rFonts w:hint="eastAsia" w:ascii="宋体"/>
          <w:bCs/>
          <w:color w:val="auto"/>
          <w:lang w:bidi="en-US"/>
        </w:rPr>
        <w:t>检验沙石质量—→分层铺筑沙石—→洒水—→夯实或碾压—→找平验收</w:t>
      </w:r>
    </w:p>
    <w:p w14:paraId="14D867E3">
      <w:pPr>
        <w:rPr>
          <w:rFonts w:hint="eastAsia" w:ascii="宋体"/>
          <w:bCs/>
          <w:color w:val="auto"/>
          <w:lang w:bidi="en-US"/>
        </w:rPr>
      </w:pPr>
      <w:r>
        <w:rPr>
          <w:rFonts w:hint="eastAsia" w:ascii="宋体"/>
          <w:bCs/>
          <w:color w:val="auto"/>
          <w:lang w:bidi="en-US"/>
        </w:rPr>
        <w:t>（2）对级配砂石、地瓜石进行技术鉴定。</w:t>
      </w:r>
    </w:p>
    <w:p w14:paraId="4D163CCA">
      <w:pPr>
        <w:rPr>
          <w:rFonts w:hint="eastAsia" w:ascii="宋体"/>
          <w:bCs/>
          <w:color w:val="auto"/>
          <w:lang w:bidi="en-US"/>
        </w:rPr>
      </w:pPr>
      <w:r>
        <w:rPr>
          <w:rFonts w:hint="eastAsia" w:ascii="宋体"/>
          <w:bCs/>
          <w:color w:val="auto"/>
          <w:lang w:bidi="en-US"/>
        </w:rPr>
        <w:t>（3）砂石材料铺前，最好根据材料的干湿情况，在料堆上适当洒水，以减少摊铺粗细分离的现象。虚铺厚度随颗粒级配，干湿不同情况，一般为压实厚度的1.2～1.4倍。</w:t>
      </w:r>
    </w:p>
    <w:p w14:paraId="6926FC9A">
      <w:pPr>
        <w:rPr>
          <w:rFonts w:hint="eastAsia" w:ascii="宋体"/>
          <w:bCs/>
          <w:color w:val="auto"/>
          <w:lang w:bidi="en-US"/>
        </w:rPr>
      </w:pPr>
      <w:r>
        <w:rPr>
          <w:rFonts w:hint="eastAsia" w:ascii="宋体"/>
          <w:bCs/>
          <w:color w:val="auto"/>
          <w:lang w:bidi="en-US"/>
        </w:rPr>
        <w:t>1）平地机摊铺：每30-50米左右作一标准断面，宽1～2米，撒上石灰粉，以便平地机司机准确下铲，汽车或其他运输工具把砂石料运来后，根据虚铺厚和路面宽度按每个料应铺面积进行卸料。然后用平地机摊铺和找平。平地机一般先从中间开始下正铲，两边根据路拱大小下斜铲。由铲刀刮起的成堆石子，小的可以扬开，大的用人工挖坑深埋，约刮3-5遍即可。</w:t>
      </w:r>
    </w:p>
    <w:p w14:paraId="17B59D61">
      <w:pPr>
        <w:rPr>
          <w:rFonts w:hint="eastAsia" w:ascii="宋体"/>
          <w:bCs/>
          <w:color w:val="auto"/>
          <w:lang w:bidi="en-US"/>
        </w:rPr>
      </w:pPr>
      <w:r>
        <w:rPr>
          <w:rFonts w:hint="eastAsia" w:ascii="宋体"/>
          <w:bCs/>
          <w:color w:val="auto"/>
          <w:lang w:bidi="en-US"/>
        </w:rPr>
        <w:t>2）厚度相等的木块、砖块控制摊厚度，随铺随挪动。砂砾摊铺要求均匀，如发现粗细颗粒分别集中，应掺入适当的砂或砾石处理。</w:t>
      </w:r>
    </w:p>
    <w:p w14:paraId="2D634843">
      <w:pPr>
        <w:rPr>
          <w:rFonts w:hint="eastAsia" w:ascii="宋体"/>
          <w:bCs/>
          <w:color w:val="auto"/>
          <w:lang w:bidi="en-US"/>
        </w:rPr>
      </w:pPr>
      <w:r>
        <w:rPr>
          <w:rFonts w:hint="eastAsia" w:ascii="宋体"/>
          <w:bCs/>
          <w:color w:val="auto"/>
          <w:lang w:bidi="en-US"/>
        </w:rPr>
        <w:t>（4）洒水：摊铺完一段（约200～300米）后用洒水车洒水，用水量应使砂石料全部湿润又不致造成路槽发软为度。用水量一般在5%～8%，可少洒水或洒盐水（水中掺入5%-10%氯盐，根据施工气候确定掺量）。</w:t>
      </w:r>
    </w:p>
    <w:p w14:paraId="54D80AC1">
      <w:pPr>
        <w:rPr>
          <w:rFonts w:hint="eastAsia" w:ascii="宋体"/>
          <w:bCs/>
          <w:color w:val="auto"/>
          <w:lang w:bidi="en-US"/>
        </w:rPr>
      </w:pPr>
      <w:r>
        <w:rPr>
          <w:rFonts w:hint="eastAsia" w:ascii="宋体"/>
          <w:bCs/>
          <w:color w:val="auto"/>
          <w:lang w:bidi="en-US"/>
        </w:rPr>
        <w:t>（5）夯实或碾压：洒水后待表面稍干时，即可用10～12吨压路机进行碾压。碾压每分钟60～70米，后轮重叠1/2，碾压方法与石块碎石相同。碾压1～3遍初步稳定后，用路拱板及小线检验路拱及平整度，及时去高垫低，一般掌握宁低勿高的原则。找补坑槽要求一次打齐，不要反复多次进行。如发现个别砂窝或石子成堆，应将其挖出，重调整级配合后再铺。碾压过程中应注意随时洒水，保持砂石经常湿润，以防松散推移。碾压遍数一般为8～10遍，压至密实稳定，无明显轮迹为止。</w:t>
      </w:r>
    </w:p>
    <w:p w14:paraId="7F2174D6">
      <w:pPr>
        <w:rPr>
          <w:rFonts w:hint="eastAsia" w:ascii="宋体"/>
          <w:bCs/>
          <w:color w:val="auto"/>
          <w:lang w:bidi="en-US"/>
        </w:rPr>
      </w:pPr>
      <w:r>
        <w:rPr>
          <w:rFonts w:hint="eastAsia" w:ascii="宋体"/>
          <w:bCs/>
          <w:color w:val="auto"/>
          <w:lang w:bidi="en-US"/>
        </w:rPr>
        <w:t>（6）找平和验收：</w:t>
      </w:r>
    </w:p>
    <w:p w14:paraId="418C3712">
      <w:pPr>
        <w:rPr>
          <w:rFonts w:hint="eastAsia" w:ascii="宋体"/>
          <w:bCs/>
          <w:color w:val="auto"/>
          <w:lang w:bidi="en-US"/>
        </w:rPr>
      </w:pPr>
      <w:r>
        <w:rPr>
          <w:rFonts w:hint="eastAsia" w:ascii="宋体"/>
          <w:bCs/>
          <w:color w:val="auto"/>
          <w:lang w:bidi="en-US"/>
        </w:rPr>
        <w:t>1）施工适应分层找平，夯压密实</w:t>
      </w:r>
    </w:p>
    <w:p w14:paraId="3B2974CC">
      <w:pPr>
        <w:rPr>
          <w:rFonts w:hint="eastAsia" w:ascii="宋体"/>
          <w:bCs/>
          <w:color w:val="auto"/>
          <w:lang w:bidi="en-US"/>
        </w:rPr>
      </w:pPr>
      <w:r>
        <w:rPr>
          <w:rFonts w:hint="eastAsia" w:ascii="宋体"/>
          <w:bCs/>
          <w:color w:val="auto"/>
          <w:lang w:bidi="en-US"/>
        </w:rPr>
        <w:t>2）最后一层压完成后，表面应拉线找平，并且要符合设计规定的标高。</w:t>
      </w:r>
    </w:p>
    <w:p w14:paraId="407285FC">
      <w:pPr>
        <w:rPr>
          <w:rFonts w:hint="eastAsia" w:ascii="宋体"/>
          <w:bCs/>
          <w:color w:val="auto"/>
          <w:lang w:bidi="en-US"/>
        </w:rPr>
      </w:pPr>
      <w:r>
        <w:rPr>
          <w:rFonts w:hint="eastAsia" w:ascii="宋体"/>
          <w:bCs/>
          <w:color w:val="auto"/>
          <w:lang w:bidi="en-US"/>
        </w:rPr>
        <w:t>3、毛石基础</w:t>
      </w:r>
    </w:p>
    <w:p w14:paraId="048AE027">
      <w:pPr>
        <w:rPr>
          <w:rFonts w:hint="eastAsia" w:ascii="宋体"/>
          <w:bCs/>
          <w:color w:val="auto"/>
          <w:lang w:bidi="en-US"/>
        </w:rPr>
      </w:pPr>
      <w:r>
        <w:rPr>
          <w:rFonts w:hint="eastAsia" w:ascii="宋体"/>
          <w:bCs/>
          <w:color w:val="auto"/>
          <w:lang w:bidi="en-US"/>
        </w:rPr>
        <w:t>（1）检查放线：毛石基础大放脚摆底前与砖基础大放脚一样，应及时做好基槽的检查和修正偏差和基槽边坡的修正。</w:t>
      </w:r>
    </w:p>
    <w:p w14:paraId="5EC5F635">
      <w:pPr>
        <w:rPr>
          <w:rFonts w:hint="eastAsia" w:ascii="宋体"/>
          <w:bCs/>
          <w:color w:val="auto"/>
          <w:lang w:bidi="en-US"/>
        </w:rPr>
      </w:pPr>
      <w:r>
        <w:rPr>
          <w:rFonts w:hint="eastAsia" w:ascii="宋体"/>
          <w:bCs/>
          <w:color w:val="auto"/>
          <w:lang w:bidi="en-US"/>
        </w:rPr>
        <w:t>（2）基础或垫层标高修正：毛石基础大放脚垫层标高修正同砖基础。基础大放脚垫层标高要利用皮数杆拉线，检查垫层标高是否合适，如果高低偏差值比较大，则要用C10。</w:t>
      </w:r>
    </w:p>
    <w:p w14:paraId="6B833860">
      <w:pPr>
        <w:rPr>
          <w:rFonts w:hint="eastAsia" w:ascii="宋体"/>
          <w:bCs/>
          <w:color w:val="auto"/>
          <w:lang w:bidi="en-US"/>
        </w:rPr>
      </w:pPr>
      <w:r>
        <w:rPr>
          <w:rFonts w:hint="eastAsia" w:ascii="宋体"/>
          <w:bCs/>
          <w:color w:val="auto"/>
          <w:lang w:bidi="en-US"/>
        </w:rPr>
        <w:t>细石混凝土找平，严禁在砂浆中加细石及砍砖包盒子。如偏差值比较小，可在砌筑过程中逐皮纠正。找平层修正宽度应两边各大于大放脚50mm，找平层应平整，以保证上部砖大放脚首皮砖为整块砖，且水平灰缝厚度控制在10mm左右。</w:t>
      </w:r>
    </w:p>
    <w:p w14:paraId="2416B503">
      <w:pPr>
        <w:rPr>
          <w:rFonts w:hint="eastAsia" w:ascii="宋体"/>
          <w:bCs/>
          <w:color w:val="auto"/>
          <w:lang w:bidi="en-US"/>
        </w:rPr>
      </w:pPr>
      <w:r>
        <w:rPr>
          <w:rFonts w:hint="eastAsia" w:ascii="宋体"/>
          <w:bCs/>
          <w:color w:val="auto"/>
          <w:lang w:bidi="en-US"/>
        </w:rPr>
        <w:t>（3）摆底：毛石基础大放脚，应根据放出的边线进行摆底工作。</w:t>
      </w:r>
    </w:p>
    <w:p w14:paraId="162AEA91">
      <w:pPr>
        <w:rPr>
          <w:rFonts w:hint="eastAsia" w:ascii="宋体"/>
          <w:bCs/>
          <w:color w:val="auto"/>
          <w:lang w:bidi="en-US"/>
        </w:rPr>
      </w:pPr>
      <w:r>
        <w:rPr>
          <w:rFonts w:hint="eastAsia" w:ascii="宋体"/>
          <w:bCs/>
          <w:color w:val="auto"/>
          <w:lang w:bidi="en-US"/>
        </w:rPr>
        <w:t>（4）收退：毛石级出收退，应掌握错缝搭砌的原则。</w:t>
      </w:r>
    </w:p>
    <w:p w14:paraId="0775722E">
      <w:pPr>
        <w:rPr>
          <w:rFonts w:hint="eastAsia" w:ascii="宋体"/>
          <w:bCs/>
          <w:color w:val="auto"/>
          <w:lang w:bidi="en-US"/>
        </w:rPr>
      </w:pPr>
      <w:r>
        <w:rPr>
          <w:rFonts w:hint="eastAsia" w:ascii="宋体"/>
          <w:bCs/>
          <w:color w:val="auto"/>
          <w:lang w:bidi="en-US"/>
        </w:rPr>
        <w:t>（5）正墙：毛石基础大放脚收退的正墙身处，同样应做好定位和抄平工作，并引中心线至大放脚顶面和墙角侧边再分出边线</w:t>
      </w:r>
    </w:p>
    <w:p w14:paraId="3FA9F659">
      <w:pPr>
        <w:rPr>
          <w:rFonts w:hint="eastAsia" w:ascii="宋体"/>
          <w:bCs/>
          <w:color w:val="auto"/>
          <w:lang w:bidi="en-US"/>
        </w:rPr>
      </w:pPr>
      <w:r>
        <w:rPr>
          <w:rFonts w:hint="eastAsia" w:ascii="宋体"/>
          <w:bCs/>
          <w:color w:val="auto"/>
          <w:lang w:bidi="en-US"/>
        </w:rPr>
        <w:t>（6）抹找平层和结束毛石基础。</w:t>
      </w:r>
    </w:p>
    <w:p w14:paraId="765C918A">
      <w:pPr>
        <w:pStyle w:val="6"/>
        <w:ind w:firstLine="480"/>
        <w:rPr>
          <w:color w:val="auto"/>
        </w:rPr>
      </w:pPr>
      <w:r>
        <w:rPr>
          <w:rFonts w:hint="eastAsia"/>
          <w:color w:val="auto"/>
        </w:rPr>
        <w:t>园路施工</w:t>
      </w:r>
    </w:p>
    <w:p w14:paraId="584859D6">
      <w:pPr>
        <w:rPr>
          <w:rFonts w:hint="eastAsia" w:ascii="宋体"/>
          <w:bCs/>
          <w:color w:val="auto"/>
          <w:lang w:bidi="en-US"/>
        </w:rPr>
      </w:pPr>
      <w:r>
        <w:rPr>
          <w:rFonts w:hint="eastAsia" w:ascii="宋体"/>
          <w:bCs/>
          <w:color w:val="auto"/>
          <w:lang w:bidi="en-US"/>
        </w:rPr>
        <w:t>园路工程的重点在于控制好施工面的高程，并注意与园林其他设施的有关高程相协调。在施工中，园路路基和路面基层的处理要达到设计要求的牢固和稳定性，而路面面层的铺地，则要更加精细、加强质量的要求。</w:t>
      </w:r>
    </w:p>
    <w:p w14:paraId="6AAB4693">
      <w:pPr>
        <w:rPr>
          <w:rFonts w:hint="eastAsia" w:ascii="宋体"/>
          <w:bCs/>
          <w:color w:val="auto"/>
          <w:lang w:bidi="en-US"/>
        </w:rPr>
      </w:pPr>
      <w:r>
        <w:rPr>
          <w:rFonts w:hint="eastAsia" w:ascii="宋体"/>
          <w:bCs/>
          <w:color w:val="auto"/>
          <w:lang w:bidi="en-US"/>
        </w:rPr>
        <w:t>1、灰土垫层施工：</w:t>
      </w:r>
    </w:p>
    <w:p w14:paraId="47BF5B74">
      <w:pPr>
        <w:rPr>
          <w:rFonts w:hint="eastAsia" w:ascii="宋体"/>
          <w:bCs/>
          <w:color w:val="auto"/>
          <w:lang w:bidi="en-US"/>
        </w:rPr>
      </w:pPr>
      <w:r>
        <w:rPr>
          <w:rFonts w:hint="eastAsia" w:ascii="宋体"/>
          <w:bCs/>
          <w:color w:val="auto"/>
          <w:lang w:bidi="en-US"/>
        </w:rPr>
        <w:t>（1）施工程序：铺土→铺灰→拌和与洒水→碾压→初期养护</w:t>
      </w:r>
    </w:p>
    <w:p w14:paraId="13245A1E">
      <w:pPr>
        <w:rPr>
          <w:rFonts w:hint="eastAsia" w:ascii="宋体"/>
          <w:bCs/>
          <w:color w:val="auto"/>
          <w:lang w:bidi="en-US"/>
        </w:rPr>
      </w:pPr>
      <w:r>
        <w:rPr>
          <w:rFonts w:hint="eastAsia" w:ascii="宋体"/>
          <w:bCs/>
          <w:color w:val="auto"/>
          <w:lang w:bidi="en-US"/>
        </w:rPr>
        <w:t>（2）要求石灰剂量30%，即石灰：土=3：7；</w:t>
      </w:r>
    </w:p>
    <w:p w14:paraId="74A1F6BB">
      <w:pPr>
        <w:rPr>
          <w:rFonts w:hint="eastAsia" w:ascii="宋体"/>
          <w:bCs/>
          <w:color w:val="auto"/>
          <w:lang w:bidi="en-US"/>
        </w:rPr>
      </w:pPr>
      <w:r>
        <w:rPr>
          <w:rFonts w:hint="eastAsia" w:ascii="宋体"/>
          <w:bCs/>
          <w:color w:val="auto"/>
          <w:lang w:bidi="en-US"/>
        </w:rPr>
        <w:t>（3）石灰土的压实度是影响强度的重要因素之一，因此，对石灰土必须加强压实。</w:t>
      </w:r>
    </w:p>
    <w:p w14:paraId="048348DE">
      <w:pPr>
        <w:rPr>
          <w:rFonts w:hint="eastAsia" w:ascii="宋体"/>
          <w:bCs/>
          <w:color w:val="auto"/>
          <w:lang w:bidi="en-US"/>
        </w:rPr>
      </w:pPr>
      <w:r>
        <w:rPr>
          <w:rFonts w:hint="eastAsia" w:ascii="宋体"/>
          <w:bCs/>
          <w:color w:val="auto"/>
          <w:lang w:bidi="en-US"/>
        </w:rPr>
        <w:t>2、砼垫层施工：</w:t>
      </w:r>
    </w:p>
    <w:p w14:paraId="3B8F1389">
      <w:pPr>
        <w:rPr>
          <w:rFonts w:hint="eastAsia" w:ascii="宋体"/>
          <w:bCs/>
          <w:color w:val="auto"/>
          <w:lang w:bidi="en-US"/>
        </w:rPr>
      </w:pPr>
      <w:r>
        <w:rPr>
          <w:rFonts w:hint="eastAsia" w:ascii="宋体"/>
          <w:bCs/>
          <w:color w:val="auto"/>
          <w:lang w:bidi="en-US"/>
        </w:rPr>
        <w:t>按设计材料比例、配制、浇注、振捣混凝土、施工完成后，及时开始养护。养护期通常为7天左右。</w:t>
      </w:r>
    </w:p>
    <w:p w14:paraId="7AED5305">
      <w:pPr>
        <w:rPr>
          <w:rFonts w:hint="eastAsia" w:ascii="宋体"/>
          <w:bCs/>
          <w:color w:val="auto"/>
          <w:lang w:bidi="en-US"/>
        </w:rPr>
      </w:pPr>
      <w:r>
        <w:rPr>
          <w:rFonts w:hint="eastAsia" w:ascii="宋体"/>
          <w:bCs/>
          <w:color w:val="auto"/>
          <w:lang w:bidi="en-US"/>
        </w:rPr>
        <w:t>3、面层施工：</w:t>
      </w:r>
    </w:p>
    <w:p w14:paraId="7D96E85D">
      <w:pPr>
        <w:rPr>
          <w:rFonts w:hint="eastAsia" w:ascii="宋体"/>
          <w:bCs/>
          <w:color w:val="auto"/>
          <w:lang w:bidi="en-US"/>
        </w:rPr>
      </w:pPr>
      <w:r>
        <w:rPr>
          <w:rFonts w:hint="eastAsia" w:ascii="宋体"/>
          <w:bCs/>
          <w:color w:val="auto"/>
          <w:lang w:bidi="en-US"/>
        </w:rPr>
        <w:t>常规室外铺装面层为透水砖、花岗岩、卵石、青石板面层。用浆铺法铺筑。用厚度为1.5—2.5cm的湿性结合材料，垫在路面面层混凝土垫层上面或路面基层上面作为结合层，然后在其上砌筑面层。</w:t>
      </w:r>
    </w:p>
    <w:p w14:paraId="215D3A3D">
      <w:pPr>
        <w:rPr>
          <w:rFonts w:hint="eastAsia" w:ascii="宋体"/>
          <w:bCs/>
          <w:color w:val="auto"/>
          <w:lang w:bidi="en-US"/>
        </w:rPr>
      </w:pPr>
      <w:r>
        <w:rPr>
          <w:rFonts w:hint="eastAsia" w:ascii="宋体"/>
          <w:bCs/>
          <w:color w:val="auto"/>
          <w:lang w:bidi="en-US"/>
        </w:rPr>
        <w:t>在完成的路面基层上，重新定点、放线，每10m为一施工路段，根据设计标高、路面宽度定放边桩、中桩，打好边线、中线。设置整体现浇路面边线处的施工挡板，确定砌块路面的砌块列数及拼装材料方式。</w:t>
      </w:r>
    </w:p>
    <w:p w14:paraId="108FF2C8">
      <w:pPr>
        <w:rPr>
          <w:rFonts w:hint="eastAsia" w:ascii="宋体"/>
          <w:bCs/>
          <w:color w:val="auto"/>
          <w:lang w:bidi="en-US"/>
        </w:rPr>
      </w:pPr>
      <w:r>
        <w:rPr>
          <w:rFonts w:hint="eastAsia" w:ascii="宋体"/>
          <w:bCs/>
          <w:color w:val="auto"/>
          <w:lang w:bidi="en-US"/>
        </w:rPr>
        <w:t>（1）根据设计图纸，路面及广场的铺筑应从基准点开始，并应以基准线为基准，按设计规定的图案铺筑。</w:t>
      </w:r>
    </w:p>
    <w:p w14:paraId="7D61941B">
      <w:pPr>
        <w:rPr>
          <w:rFonts w:hint="eastAsia" w:ascii="宋体"/>
          <w:bCs/>
          <w:color w:val="auto"/>
          <w:lang w:bidi="en-US"/>
        </w:rPr>
      </w:pPr>
      <w:r>
        <w:rPr>
          <w:rFonts w:hint="eastAsia" w:ascii="宋体"/>
          <w:bCs/>
          <w:color w:val="auto"/>
          <w:lang w:bidi="en-US"/>
        </w:rPr>
        <w:t>（2）铺筑时，不得站在垫层上作业，可在刚铺筑的面砖上，垫上一块0.3㎡的木板，站在木板上铺筑。</w:t>
      </w:r>
    </w:p>
    <w:p w14:paraId="237BCB84">
      <w:pPr>
        <w:rPr>
          <w:rFonts w:hint="eastAsia" w:ascii="宋体"/>
          <w:bCs/>
          <w:color w:val="auto"/>
          <w:lang w:bidi="en-US"/>
        </w:rPr>
      </w:pPr>
      <w:r>
        <w:rPr>
          <w:rFonts w:hint="eastAsia" w:ascii="宋体"/>
          <w:bCs/>
          <w:color w:val="auto"/>
          <w:lang w:bidi="en-US"/>
        </w:rPr>
        <w:t>（3）路面砖的接缝宽度应为3±1㎜的要求。铺筑到路边应产生不大于20㎜的缝隙时，可适当调整路面砖之间的接缝宽度来弥补，不宜使用水泥砂浆填补。</w:t>
      </w:r>
    </w:p>
    <w:p w14:paraId="5F3B5C98">
      <w:pPr>
        <w:rPr>
          <w:rFonts w:hint="eastAsia" w:ascii="宋体"/>
          <w:bCs/>
          <w:color w:val="auto"/>
          <w:lang w:bidi="en-US"/>
        </w:rPr>
      </w:pPr>
      <w:r>
        <w:rPr>
          <w:rFonts w:hint="eastAsia" w:ascii="宋体"/>
          <w:bCs/>
          <w:color w:val="auto"/>
          <w:lang w:bidi="en-US"/>
        </w:rPr>
        <w:t>（4）需用细石混凝土填补的地方，应在当日规定强度等级的细石混凝土填补。填补的细石混凝土的强度等级不宜小于M²0；其色彩应与路面一致。</w:t>
      </w:r>
    </w:p>
    <w:p w14:paraId="035C24AA">
      <w:pPr>
        <w:rPr>
          <w:rFonts w:hint="eastAsia" w:ascii="宋体"/>
          <w:bCs/>
          <w:color w:val="auto"/>
          <w:lang w:bidi="en-US"/>
        </w:rPr>
      </w:pPr>
      <w:r>
        <w:rPr>
          <w:rFonts w:hint="eastAsia" w:ascii="宋体"/>
          <w:bCs/>
          <w:color w:val="auto"/>
          <w:lang w:bidi="en-US"/>
        </w:rPr>
        <w:t>（5）无路缘石路面其侧向定位的施工应采用混凝土止挡法或路面砖粘结法固定地面砖。</w:t>
      </w:r>
    </w:p>
    <w:p w14:paraId="00F74163">
      <w:pPr>
        <w:rPr>
          <w:rFonts w:hint="eastAsia" w:ascii="宋体"/>
          <w:bCs/>
          <w:color w:val="auto"/>
          <w:lang w:bidi="en-US"/>
        </w:rPr>
      </w:pPr>
      <w:r>
        <w:rPr>
          <w:rFonts w:hint="eastAsia" w:ascii="宋体"/>
          <w:bCs/>
          <w:color w:val="auto"/>
          <w:lang w:bidi="en-US"/>
        </w:rPr>
        <w:t>（6）接缝应按通过路面砖基准点，应设置两条相互垂直的路面砖基准线，其中一条基准线与路缘石夹角宜为0度或45度。</w:t>
      </w:r>
    </w:p>
    <w:p w14:paraId="28942C36">
      <w:pPr>
        <w:rPr>
          <w:rFonts w:hint="eastAsia" w:ascii="宋体"/>
          <w:bCs/>
          <w:color w:val="auto"/>
          <w:lang w:bidi="en-US"/>
        </w:rPr>
      </w:pPr>
      <w:r>
        <w:rPr>
          <w:rFonts w:hint="eastAsia" w:ascii="宋体"/>
          <w:bCs/>
          <w:color w:val="auto"/>
          <w:lang w:bidi="en-US"/>
        </w:rPr>
        <w:t>（7）铺完路面砖后，应采用小型振动碾压机由路边缘向中间路面碾压2—3次。一字型铺筑时，振动碾压机前进方向应与路面砖的长度方向垂直，前时速度应与步行速度相当，并不宜使路面砖受到扰动。</w:t>
      </w:r>
    </w:p>
    <w:p w14:paraId="5770E4C4">
      <w:pPr>
        <w:rPr>
          <w:rFonts w:hint="eastAsia" w:ascii="宋体"/>
          <w:bCs/>
          <w:color w:val="auto"/>
          <w:lang w:bidi="en-US"/>
        </w:rPr>
      </w:pPr>
      <w:r>
        <w:rPr>
          <w:rFonts w:hint="eastAsia" w:ascii="宋体"/>
          <w:bCs/>
          <w:color w:val="auto"/>
          <w:lang w:bidi="en-US"/>
        </w:rPr>
        <w:t>（8）卵石排列间隙的线条要呈不规则的形状，千万不能弄成十字形或直线形，以免影响美观。卵石的疏密应保持均衡。</w:t>
      </w:r>
    </w:p>
    <w:p w14:paraId="21050DAE">
      <w:pPr>
        <w:rPr>
          <w:rFonts w:hint="eastAsia" w:ascii="宋体"/>
          <w:bCs/>
          <w:color w:val="auto"/>
          <w:lang w:bidi="en-US"/>
        </w:rPr>
      </w:pPr>
      <w:r>
        <w:rPr>
          <w:rFonts w:hint="eastAsia" w:ascii="宋体"/>
          <w:bCs/>
          <w:color w:val="auto"/>
          <w:lang w:bidi="en-US"/>
        </w:rPr>
        <w:t>（9）其他面料铺装参照有关技术规范以上几种铺装要求执行。</w:t>
      </w:r>
    </w:p>
    <w:p w14:paraId="59EA9F88">
      <w:pPr>
        <w:rPr>
          <w:rFonts w:hint="eastAsia" w:ascii="宋体"/>
          <w:bCs/>
          <w:color w:val="auto"/>
          <w:lang w:bidi="en-US"/>
        </w:rPr>
      </w:pPr>
      <w:r>
        <w:rPr>
          <w:rFonts w:hint="eastAsia" w:ascii="宋体"/>
          <w:bCs/>
          <w:color w:val="auto"/>
          <w:lang w:bidi="en-US"/>
        </w:rPr>
        <w:t>4、路缘石安装的施工要求及技术要点：</w:t>
      </w:r>
    </w:p>
    <w:p w14:paraId="18F6FDA6">
      <w:pPr>
        <w:rPr>
          <w:rFonts w:hint="eastAsia" w:ascii="宋体"/>
          <w:bCs/>
          <w:color w:val="auto"/>
          <w:lang w:bidi="en-US"/>
        </w:rPr>
      </w:pPr>
      <w:r>
        <w:rPr>
          <w:rFonts w:hint="eastAsia" w:ascii="宋体"/>
          <w:bCs/>
          <w:color w:val="auto"/>
          <w:lang w:bidi="en-US"/>
        </w:rPr>
        <w:t>（1）道牙基础应和地槽同时挖填夯实。</w:t>
      </w:r>
    </w:p>
    <w:p w14:paraId="566D8998">
      <w:pPr>
        <w:rPr>
          <w:rFonts w:hint="eastAsia" w:ascii="宋体"/>
          <w:bCs/>
          <w:color w:val="auto"/>
          <w:lang w:bidi="en-US"/>
        </w:rPr>
      </w:pPr>
      <w:r>
        <w:rPr>
          <w:rFonts w:hint="eastAsia" w:ascii="宋体"/>
          <w:bCs/>
          <w:color w:val="auto"/>
          <w:lang w:bidi="en-US"/>
        </w:rPr>
        <w:t>（2）安装平稳牢固，并用颜色相近的水泥砂浆勾缝。</w:t>
      </w:r>
    </w:p>
    <w:p w14:paraId="43446037">
      <w:pPr>
        <w:rPr>
          <w:rFonts w:hint="eastAsia" w:ascii="宋体"/>
          <w:bCs/>
          <w:color w:val="auto"/>
          <w:lang w:bidi="en-US"/>
        </w:rPr>
      </w:pPr>
      <w:r>
        <w:rPr>
          <w:rFonts w:hint="eastAsia" w:ascii="宋体"/>
          <w:bCs/>
          <w:color w:val="auto"/>
          <w:lang w:bidi="en-US"/>
        </w:rPr>
        <w:t>（3）道牙安装线性平滑，转角、曲线部位切割安装，保证接缝宽度一致。</w:t>
      </w:r>
    </w:p>
    <w:p w14:paraId="312BE936">
      <w:pPr>
        <w:rPr>
          <w:rFonts w:hint="eastAsia" w:ascii="宋体"/>
          <w:bCs/>
          <w:color w:val="auto"/>
          <w:lang w:bidi="en-US"/>
        </w:rPr>
      </w:pPr>
      <w:r>
        <w:rPr>
          <w:rFonts w:hint="eastAsia" w:ascii="宋体"/>
          <w:bCs/>
          <w:color w:val="auto"/>
          <w:lang w:bidi="en-US"/>
        </w:rPr>
        <w:t>（4）道牙基础宜与路床同时填挖碾压，以保证有整体的均匀密实度。结合层用1：3的白灰砂浆2CM。安道牙要平稳牢固，后用M10水泥砂浆勾缝。</w:t>
      </w:r>
    </w:p>
    <w:p w14:paraId="7C9E7E2D">
      <w:pPr>
        <w:pStyle w:val="5"/>
        <w:rPr>
          <w:color w:val="auto"/>
        </w:rPr>
      </w:pPr>
      <w:bookmarkStart w:id="223" w:name="_Toc2832"/>
      <w:r>
        <w:rPr>
          <w:rFonts w:hint="eastAsia"/>
          <w:color w:val="auto"/>
        </w:rPr>
        <w:t>苗木种植工程施工</w:t>
      </w:r>
      <w:bookmarkEnd w:id="223"/>
    </w:p>
    <w:p w14:paraId="675B8213">
      <w:pPr>
        <w:pStyle w:val="6"/>
        <w:ind w:firstLine="480"/>
        <w:rPr>
          <w:color w:val="auto"/>
          <w:sz w:val="24"/>
          <w:szCs w:val="24"/>
        </w:rPr>
      </w:pPr>
      <w:r>
        <w:rPr>
          <w:rFonts w:hint="eastAsia"/>
          <w:color w:val="auto"/>
          <w:sz w:val="24"/>
          <w:szCs w:val="24"/>
        </w:rPr>
        <w:t>施工工序</w:t>
      </w:r>
    </w:p>
    <w:p w14:paraId="3C9A0B50">
      <w:pPr>
        <w:rPr>
          <w:rFonts w:hint="eastAsia" w:ascii="宋体"/>
          <w:bCs/>
          <w:color w:val="auto"/>
          <w:lang w:bidi="en-US"/>
        </w:rPr>
      </w:pPr>
      <w:r>
        <w:rPr>
          <w:rFonts w:hint="eastAsia" w:ascii="宋体"/>
          <w:bCs/>
          <w:color w:val="auto"/>
          <w:lang w:bidi="en-US"/>
        </w:rPr>
        <w:t>园林绿化种植的施工顺序一般为：</w:t>
      </w:r>
    </w:p>
    <w:p w14:paraId="7CB0D1ED">
      <w:pPr>
        <w:rPr>
          <w:rFonts w:hint="eastAsia" w:ascii="宋体"/>
          <w:bCs/>
          <w:color w:val="auto"/>
          <w:lang w:bidi="en-US"/>
        </w:rPr>
      </w:pPr>
      <w:r>
        <w:rPr>
          <w:rFonts w:hint="eastAsia" w:ascii="宋体"/>
          <w:bCs/>
          <w:color w:val="auto"/>
          <w:lang w:bidi="en-US"/>
        </w:rPr>
        <w:t>地形细整—→定点放线—→乔木栽植—→灌木种植—→地被草坪栽植—→施工期养护—→养护管理期养护—→竣工验收移交</w:t>
      </w:r>
    </w:p>
    <w:p w14:paraId="26727772">
      <w:pPr>
        <w:pStyle w:val="6"/>
        <w:ind w:firstLine="480"/>
        <w:rPr>
          <w:color w:val="auto"/>
        </w:rPr>
      </w:pPr>
      <w:r>
        <w:rPr>
          <w:rFonts w:hint="eastAsia"/>
          <w:color w:val="auto"/>
        </w:rPr>
        <w:t>选材</w:t>
      </w:r>
    </w:p>
    <w:p w14:paraId="105D1E1E">
      <w:pPr>
        <w:rPr>
          <w:rFonts w:hint="eastAsia" w:ascii="宋体"/>
          <w:bCs/>
          <w:color w:val="auto"/>
          <w:lang w:bidi="en-US"/>
        </w:rPr>
      </w:pPr>
      <w:r>
        <w:rPr>
          <w:rFonts w:hint="eastAsia" w:ascii="宋体"/>
          <w:bCs/>
          <w:color w:val="auto"/>
          <w:lang w:bidi="en-US"/>
        </w:rPr>
        <w:t>1、表土、肥料、水等应符合本工程要求；</w:t>
      </w:r>
    </w:p>
    <w:p w14:paraId="5F59263C">
      <w:pPr>
        <w:rPr>
          <w:rFonts w:hint="eastAsia" w:ascii="宋体"/>
          <w:bCs/>
          <w:color w:val="auto"/>
          <w:lang w:bidi="en-US"/>
        </w:rPr>
      </w:pPr>
      <w:r>
        <w:rPr>
          <w:rFonts w:hint="eastAsia" w:ascii="宋体"/>
          <w:bCs/>
          <w:color w:val="auto"/>
          <w:lang w:bidi="en-US"/>
        </w:rPr>
        <w:t>2、植物品种</w:t>
      </w:r>
    </w:p>
    <w:p w14:paraId="7A1CB49E">
      <w:pPr>
        <w:rPr>
          <w:rFonts w:hint="eastAsia" w:ascii="宋体"/>
          <w:bCs/>
          <w:color w:val="auto"/>
          <w:lang w:bidi="en-US"/>
        </w:rPr>
      </w:pPr>
      <w:r>
        <w:rPr>
          <w:rFonts w:hint="eastAsia" w:ascii="宋体"/>
          <w:bCs/>
          <w:color w:val="auto"/>
          <w:lang w:bidi="en-US"/>
        </w:rPr>
        <w:t>（1）所有植物应考虑当地气候特点，选择在周边地区定植三年以上且符合本工程设计要求效果的苗木，带冠种植；适合于当地气候条件易于生长的、并有丰满干枝体系和苗壮的根系。植物应无缺损树节、擦破树皮或其他损伤，植物外观应显示出正常健康状态，能承受上部及根部适当的修剪。无特殊规定或图纸标明，所有植物应在苗圃采集。</w:t>
      </w:r>
    </w:p>
    <w:p w14:paraId="3A4A1606">
      <w:pPr>
        <w:rPr>
          <w:rFonts w:hint="eastAsia" w:ascii="宋体"/>
          <w:bCs/>
          <w:color w:val="auto"/>
          <w:lang w:bidi="en-US"/>
        </w:rPr>
      </w:pPr>
      <w:r>
        <w:rPr>
          <w:rFonts w:hint="eastAsia" w:ascii="宋体"/>
          <w:bCs/>
          <w:color w:val="auto"/>
          <w:lang w:bidi="en-US"/>
        </w:rPr>
        <w:t>（2）乔木应具有挺直的树干，发育良好的枝杈，根据其自然习性对称生长。不应有大于直径20cm未愈合的伤痕。</w:t>
      </w:r>
    </w:p>
    <w:p w14:paraId="473BAB23">
      <w:pPr>
        <w:rPr>
          <w:rFonts w:hint="eastAsia" w:ascii="宋体"/>
          <w:bCs/>
          <w:color w:val="auto"/>
          <w:lang w:bidi="en-US"/>
        </w:rPr>
      </w:pPr>
      <w:r>
        <w:rPr>
          <w:rFonts w:hint="eastAsia" w:ascii="宋体"/>
          <w:bCs/>
          <w:color w:val="auto"/>
          <w:lang w:bidi="en-US"/>
        </w:rPr>
        <w:t>（3）运到现场的乔木高度应符合图纸要求，其胸径（树高出地面1.2m处）应按施工图纸要求。</w:t>
      </w:r>
    </w:p>
    <w:p w14:paraId="57213814">
      <w:pPr>
        <w:rPr>
          <w:rFonts w:hint="eastAsia" w:ascii="宋体"/>
          <w:bCs/>
          <w:color w:val="auto"/>
          <w:lang w:bidi="en-US"/>
        </w:rPr>
      </w:pPr>
      <w:r>
        <w:rPr>
          <w:rFonts w:hint="eastAsia" w:ascii="宋体"/>
          <w:bCs/>
          <w:color w:val="auto"/>
          <w:lang w:bidi="en-US"/>
        </w:rPr>
        <w:t>（4）不允许采用代替品种，除非证实在承包期内的正常种植季节采集不到规定的植物。只有经监理工程师同意后，才允许种植代替品种。</w:t>
      </w:r>
    </w:p>
    <w:p w14:paraId="3071335B">
      <w:pPr>
        <w:rPr>
          <w:rFonts w:hint="eastAsia" w:ascii="宋体"/>
          <w:bCs/>
          <w:color w:val="auto"/>
          <w:lang w:bidi="en-US"/>
        </w:rPr>
      </w:pPr>
      <w:r>
        <w:rPr>
          <w:rFonts w:hint="eastAsia" w:ascii="宋体"/>
          <w:bCs/>
          <w:color w:val="auto"/>
          <w:lang w:bidi="en-US"/>
        </w:rPr>
        <w:t>地形细整</w:t>
      </w:r>
    </w:p>
    <w:p w14:paraId="01CBE69B">
      <w:pPr>
        <w:rPr>
          <w:rFonts w:hint="eastAsia" w:ascii="宋体"/>
          <w:bCs/>
          <w:color w:val="auto"/>
          <w:lang w:bidi="en-US"/>
        </w:rPr>
      </w:pPr>
      <w:r>
        <w:rPr>
          <w:rFonts w:hint="eastAsia" w:ascii="宋体"/>
          <w:bCs/>
          <w:color w:val="auto"/>
          <w:lang w:bidi="en-US"/>
        </w:rPr>
        <w:t>根据建设方提供的施工场地，对照设计施工图进行场地修整。</w:t>
      </w:r>
    </w:p>
    <w:p w14:paraId="065A72CC">
      <w:pPr>
        <w:rPr>
          <w:rFonts w:hint="eastAsia" w:ascii="宋体"/>
          <w:bCs/>
          <w:color w:val="auto"/>
          <w:lang w:bidi="en-US"/>
        </w:rPr>
      </w:pPr>
      <w:r>
        <w:rPr>
          <w:rFonts w:hint="eastAsia" w:ascii="宋体"/>
          <w:bCs/>
          <w:color w:val="auto"/>
          <w:lang w:bidi="en-US"/>
        </w:rPr>
        <w:t>1、地形要求，应使整个地形的坡面曲线保持排水通畅，堆筑地形时，根据放样标高，由里向外施工，边造型，边压实，施工过程中始终把握地形骨架，翻松碾压板结土，机械设备不得在栽植表层土上施工。</w:t>
      </w:r>
    </w:p>
    <w:p w14:paraId="56F2AF36">
      <w:pPr>
        <w:rPr>
          <w:rFonts w:hint="eastAsia" w:ascii="宋体"/>
          <w:bCs/>
          <w:color w:val="auto"/>
          <w:lang w:bidi="en-US"/>
        </w:rPr>
      </w:pPr>
      <w:r>
        <w:rPr>
          <w:rFonts w:hint="eastAsia" w:ascii="宋体"/>
          <w:bCs/>
          <w:color w:val="auto"/>
          <w:lang w:bidi="en-US"/>
        </w:rPr>
        <w:t>2、微地形粗整形完成后，人工细做覆盖面层，保持表面土质疏松，并清理杂物。人工平整时从边缘逐步向中间收拢，使整个地形坡面曲线和顺、排水通畅。回填土的含水率应控制在23%左右，不允许含有粒径超过10cm的石块，雨天停止作业，雨后及时修整和拍实边坡。若施工场地有垃圾、渣土、建筑垃圾等要进行清理。</w:t>
      </w:r>
    </w:p>
    <w:p w14:paraId="373896CE">
      <w:pPr>
        <w:rPr>
          <w:rFonts w:hint="eastAsia" w:ascii="宋体"/>
          <w:bCs/>
          <w:color w:val="auto"/>
          <w:lang w:bidi="en-US"/>
        </w:rPr>
      </w:pPr>
      <w:r>
        <w:rPr>
          <w:rFonts w:hint="eastAsia" w:ascii="宋体"/>
          <w:bCs/>
          <w:color w:val="auto"/>
          <w:lang w:bidi="en-US"/>
        </w:rPr>
        <w:t>3、必须使场地与四周道路、广场的标高合理衔接，使绿地排水通畅。</w:t>
      </w:r>
    </w:p>
    <w:p w14:paraId="10FE327B">
      <w:pPr>
        <w:rPr>
          <w:rFonts w:hint="eastAsia" w:ascii="宋体"/>
          <w:bCs/>
          <w:color w:val="auto"/>
          <w:lang w:bidi="en-US"/>
        </w:rPr>
      </w:pPr>
      <w:r>
        <w:rPr>
          <w:rFonts w:hint="eastAsia" w:ascii="宋体"/>
          <w:bCs/>
          <w:color w:val="auto"/>
          <w:lang w:bidi="en-US"/>
        </w:rPr>
        <w:t>4、种植场地种植土最低厚度必须符合下列要求。</w:t>
      </w:r>
    </w:p>
    <w:p w14:paraId="02E363C4">
      <w:pPr>
        <w:pStyle w:val="54"/>
        <w:rPr>
          <w:color w:val="auto"/>
          <w:lang w:bidi="en-US"/>
        </w:rPr>
      </w:pPr>
      <w:r>
        <w:rPr>
          <w:rFonts w:hint="eastAsia"/>
          <w:color w:val="auto"/>
          <w:lang w:bidi="en-US"/>
        </w:rPr>
        <w:t>园林植物种植必需的最低土层厚度表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1209"/>
        <w:gridCol w:w="1207"/>
        <w:gridCol w:w="1207"/>
        <w:gridCol w:w="1207"/>
        <w:gridCol w:w="1207"/>
        <w:gridCol w:w="1203"/>
      </w:tblGrid>
      <w:tr w14:paraId="4575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5" w:type="pct"/>
            <w:tcBorders>
              <w:top w:val="single" w:color="auto" w:sz="4" w:space="0"/>
              <w:left w:val="single" w:color="auto" w:sz="4" w:space="0"/>
              <w:bottom w:val="single" w:color="auto" w:sz="4" w:space="0"/>
              <w:right w:val="single" w:color="auto" w:sz="4" w:space="0"/>
            </w:tcBorders>
            <w:vAlign w:val="center"/>
          </w:tcPr>
          <w:p w14:paraId="687709D4">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植被类型</w:t>
            </w:r>
          </w:p>
        </w:tc>
        <w:tc>
          <w:tcPr>
            <w:tcW w:w="667" w:type="pct"/>
            <w:tcBorders>
              <w:top w:val="single" w:color="auto" w:sz="4" w:space="0"/>
              <w:left w:val="single" w:color="auto" w:sz="4" w:space="0"/>
              <w:bottom w:val="single" w:color="auto" w:sz="4" w:space="0"/>
              <w:right w:val="single" w:color="auto" w:sz="4" w:space="0"/>
            </w:tcBorders>
            <w:vAlign w:val="center"/>
          </w:tcPr>
          <w:p w14:paraId="39C0E9A1">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草本花卉</w:t>
            </w:r>
          </w:p>
        </w:tc>
        <w:tc>
          <w:tcPr>
            <w:tcW w:w="666" w:type="pct"/>
            <w:tcBorders>
              <w:top w:val="single" w:color="auto" w:sz="4" w:space="0"/>
              <w:left w:val="single" w:color="auto" w:sz="4" w:space="0"/>
              <w:bottom w:val="single" w:color="auto" w:sz="4" w:space="0"/>
              <w:right w:val="single" w:color="auto" w:sz="4" w:space="0"/>
            </w:tcBorders>
            <w:vAlign w:val="center"/>
          </w:tcPr>
          <w:p w14:paraId="38CF8747">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草坪地被</w:t>
            </w:r>
          </w:p>
        </w:tc>
        <w:tc>
          <w:tcPr>
            <w:tcW w:w="666" w:type="pct"/>
            <w:tcBorders>
              <w:top w:val="single" w:color="auto" w:sz="4" w:space="0"/>
              <w:left w:val="single" w:color="auto" w:sz="4" w:space="0"/>
              <w:bottom w:val="single" w:color="auto" w:sz="4" w:space="0"/>
              <w:right w:val="single" w:color="auto" w:sz="4" w:space="0"/>
            </w:tcBorders>
            <w:vAlign w:val="center"/>
          </w:tcPr>
          <w:p w14:paraId="0C8574B4">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小灌木</w:t>
            </w:r>
          </w:p>
        </w:tc>
        <w:tc>
          <w:tcPr>
            <w:tcW w:w="666" w:type="pct"/>
            <w:tcBorders>
              <w:top w:val="single" w:color="auto" w:sz="4" w:space="0"/>
              <w:left w:val="single" w:color="auto" w:sz="4" w:space="0"/>
              <w:bottom w:val="single" w:color="auto" w:sz="4" w:space="0"/>
              <w:right w:val="single" w:color="auto" w:sz="4" w:space="0"/>
            </w:tcBorders>
            <w:vAlign w:val="center"/>
          </w:tcPr>
          <w:p w14:paraId="76DAE2EC">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大灌木</w:t>
            </w:r>
          </w:p>
        </w:tc>
        <w:tc>
          <w:tcPr>
            <w:tcW w:w="666" w:type="pct"/>
            <w:tcBorders>
              <w:top w:val="single" w:color="auto" w:sz="4" w:space="0"/>
              <w:left w:val="single" w:color="auto" w:sz="4" w:space="0"/>
              <w:bottom w:val="single" w:color="auto" w:sz="4" w:space="0"/>
              <w:right w:val="single" w:color="auto" w:sz="4" w:space="0"/>
            </w:tcBorders>
            <w:vAlign w:val="center"/>
          </w:tcPr>
          <w:p w14:paraId="46406727">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浅根乔木</w:t>
            </w:r>
          </w:p>
        </w:tc>
        <w:tc>
          <w:tcPr>
            <w:tcW w:w="664" w:type="pct"/>
            <w:tcBorders>
              <w:top w:val="single" w:color="auto" w:sz="4" w:space="0"/>
              <w:left w:val="single" w:color="auto" w:sz="4" w:space="0"/>
              <w:bottom w:val="single" w:color="auto" w:sz="4" w:space="0"/>
              <w:right w:val="single" w:color="auto" w:sz="4" w:space="0"/>
            </w:tcBorders>
            <w:vAlign w:val="center"/>
          </w:tcPr>
          <w:p w14:paraId="2FC220E8">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深根乔木</w:t>
            </w:r>
          </w:p>
        </w:tc>
      </w:tr>
      <w:tr w14:paraId="7C5B3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5" w:type="pct"/>
            <w:tcBorders>
              <w:top w:val="single" w:color="auto" w:sz="4" w:space="0"/>
              <w:left w:val="single" w:color="auto" w:sz="4" w:space="0"/>
              <w:bottom w:val="single" w:color="auto" w:sz="4" w:space="0"/>
              <w:right w:val="single" w:color="auto" w:sz="4" w:space="0"/>
            </w:tcBorders>
            <w:vAlign w:val="center"/>
          </w:tcPr>
          <w:p w14:paraId="39734FC2">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土层厚度（cm）</w:t>
            </w:r>
          </w:p>
        </w:tc>
        <w:tc>
          <w:tcPr>
            <w:tcW w:w="667" w:type="pct"/>
            <w:tcBorders>
              <w:top w:val="single" w:color="auto" w:sz="4" w:space="0"/>
              <w:left w:val="single" w:color="auto" w:sz="4" w:space="0"/>
              <w:bottom w:val="single" w:color="auto" w:sz="4" w:space="0"/>
              <w:right w:val="single" w:color="auto" w:sz="4" w:space="0"/>
            </w:tcBorders>
            <w:vAlign w:val="center"/>
          </w:tcPr>
          <w:p w14:paraId="17C7A730">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30</w:t>
            </w:r>
          </w:p>
        </w:tc>
        <w:tc>
          <w:tcPr>
            <w:tcW w:w="666" w:type="pct"/>
            <w:tcBorders>
              <w:top w:val="single" w:color="auto" w:sz="4" w:space="0"/>
              <w:left w:val="single" w:color="auto" w:sz="4" w:space="0"/>
              <w:bottom w:val="single" w:color="auto" w:sz="4" w:space="0"/>
              <w:right w:val="single" w:color="auto" w:sz="4" w:space="0"/>
            </w:tcBorders>
            <w:vAlign w:val="center"/>
          </w:tcPr>
          <w:p w14:paraId="61658A84">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30</w:t>
            </w:r>
          </w:p>
        </w:tc>
        <w:tc>
          <w:tcPr>
            <w:tcW w:w="666" w:type="pct"/>
            <w:tcBorders>
              <w:top w:val="single" w:color="auto" w:sz="4" w:space="0"/>
              <w:left w:val="single" w:color="auto" w:sz="4" w:space="0"/>
              <w:bottom w:val="single" w:color="auto" w:sz="4" w:space="0"/>
              <w:right w:val="single" w:color="auto" w:sz="4" w:space="0"/>
            </w:tcBorders>
            <w:vAlign w:val="center"/>
          </w:tcPr>
          <w:p w14:paraId="0F7FDEFF">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45</w:t>
            </w:r>
          </w:p>
        </w:tc>
        <w:tc>
          <w:tcPr>
            <w:tcW w:w="666" w:type="pct"/>
            <w:tcBorders>
              <w:top w:val="single" w:color="auto" w:sz="4" w:space="0"/>
              <w:left w:val="single" w:color="auto" w:sz="4" w:space="0"/>
              <w:bottom w:val="single" w:color="auto" w:sz="4" w:space="0"/>
              <w:right w:val="single" w:color="auto" w:sz="4" w:space="0"/>
            </w:tcBorders>
            <w:vAlign w:val="center"/>
          </w:tcPr>
          <w:p w14:paraId="379A8579">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60</w:t>
            </w:r>
          </w:p>
        </w:tc>
        <w:tc>
          <w:tcPr>
            <w:tcW w:w="666" w:type="pct"/>
            <w:tcBorders>
              <w:top w:val="single" w:color="auto" w:sz="4" w:space="0"/>
              <w:left w:val="single" w:color="auto" w:sz="4" w:space="0"/>
              <w:bottom w:val="single" w:color="auto" w:sz="4" w:space="0"/>
              <w:right w:val="single" w:color="auto" w:sz="4" w:space="0"/>
            </w:tcBorders>
            <w:vAlign w:val="center"/>
          </w:tcPr>
          <w:p w14:paraId="3DFF4C92">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90</w:t>
            </w:r>
          </w:p>
        </w:tc>
        <w:tc>
          <w:tcPr>
            <w:tcW w:w="664" w:type="pct"/>
            <w:tcBorders>
              <w:top w:val="single" w:color="auto" w:sz="4" w:space="0"/>
              <w:left w:val="single" w:color="auto" w:sz="4" w:space="0"/>
              <w:bottom w:val="single" w:color="auto" w:sz="4" w:space="0"/>
              <w:right w:val="single" w:color="auto" w:sz="4" w:space="0"/>
            </w:tcBorders>
            <w:vAlign w:val="center"/>
          </w:tcPr>
          <w:p w14:paraId="0629602C">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150</w:t>
            </w:r>
          </w:p>
        </w:tc>
      </w:tr>
    </w:tbl>
    <w:p w14:paraId="52682AFA">
      <w:pPr>
        <w:rPr>
          <w:rFonts w:hint="eastAsia" w:ascii="宋体"/>
          <w:bCs/>
          <w:color w:val="auto"/>
          <w:lang w:bidi="en-US"/>
        </w:rPr>
      </w:pPr>
      <w:r>
        <w:rPr>
          <w:rFonts w:hint="eastAsia" w:ascii="宋体"/>
          <w:bCs/>
          <w:color w:val="auto"/>
          <w:lang w:bidi="en-US"/>
        </w:rPr>
        <w:t>5、对场地进行翻挖、松土、对杂草需用锄头、铁锹连根拔除、杂草很多时用除草剂进行消除，以符合植物和设计要求。</w:t>
      </w:r>
    </w:p>
    <w:p w14:paraId="01458F37">
      <w:pPr>
        <w:rPr>
          <w:rFonts w:hint="eastAsia" w:ascii="宋体"/>
          <w:bCs/>
          <w:color w:val="auto"/>
          <w:lang w:bidi="en-US"/>
        </w:rPr>
      </w:pPr>
      <w:r>
        <w:rPr>
          <w:rFonts w:hint="eastAsia" w:ascii="宋体"/>
          <w:bCs/>
          <w:color w:val="auto"/>
          <w:lang w:bidi="en-US"/>
        </w:rPr>
        <w:t>6、如果用机械整理地形，应事先与建设单位或相关单位联系，了解是否有地下管线，以免机械施工时造成管线的损坏。</w:t>
      </w:r>
    </w:p>
    <w:p w14:paraId="6493F503">
      <w:pPr>
        <w:rPr>
          <w:rFonts w:hint="eastAsia" w:ascii="宋体"/>
          <w:bCs/>
          <w:color w:val="auto"/>
          <w:lang w:bidi="en-US"/>
        </w:rPr>
      </w:pPr>
      <w:r>
        <w:rPr>
          <w:rFonts w:hint="eastAsia" w:ascii="宋体"/>
          <w:bCs/>
          <w:color w:val="auto"/>
          <w:lang w:bidi="en-US"/>
        </w:rPr>
        <w:t>7、场地整理时应考虑土壤的压实程度与设计标高的关系，土壤压实后密实度达80%以上，以免种植后，淋水下陷厉害造成场地不平整。</w:t>
      </w:r>
    </w:p>
    <w:p w14:paraId="1B2B7199">
      <w:pPr>
        <w:pStyle w:val="6"/>
        <w:ind w:firstLine="480"/>
        <w:rPr>
          <w:color w:val="auto"/>
        </w:rPr>
      </w:pPr>
      <w:r>
        <w:rPr>
          <w:rFonts w:hint="eastAsia"/>
          <w:color w:val="auto"/>
        </w:rPr>
        <w:t>定点放线</w:t>
      </w:r>
    </w:p>
    <w:p w14:paraId="6CB1C309">
      <w:pPr>
        <w:rPr>
          <w:rFonts w:hint="eastAsia" w:ascii="宋体"/>
          <w:bCs/>
          <w:color w:val="auto"/>
          <w:lang w:bidi="en-US"/>
        </w:rPr>
      </w:pPr>
      <w:r>
        <w:rPr>
          <w:rFonts w:hint="eastAsia" w:ascii="宋体"/>
          <w:bCs/>
          <w:color w:val="auto"/>
          <w:lang w:bidi="en-US"/>
        </w:rPr>
        <w:t>1、施工人员接到设计图纸后先到现场核对图纸，了解地形地貌和障碍物情况并找到定点放线的依据和方法。</w:t>
      </w:r>
    </w:p>
    <w:p w14:paraId="7A9422E8">
      <w:pPr>
        <w:rPr>
          <w:rFonts w:hint="eastAsia" w:ascii="宋体"/>
          <w:bCs/>
          <w:color w:val="auto"/>
          <w:lang w:bidi="en-US"/>
        </w:rPr>
      </w:pPr>
      <w:r>
        <w:rPr>
          <w:rFonts w:hint="eastAsia" w:ascii="宋体"/>
          <w:bCs/>
          <w:color w:val="auto"/>
          <w:lang w:bidi="en-US"/>
        </w:rPr>
        <w:t>2、首先按工程布置的图纸标出种植地段、种植位置及品种的轮廓，并进行放样，按现场监理工程师提供的水准点、坐标基准点结合图纸，确定放样基准点。</w:t>
      </w:r>
    </w:p>
    <w:p w14:paraId="200C1B30">
      <w:pPr>
        <w:rPr>
          <w:rFonts w:hint="eastAsia" w:ascii="宋体"/>
          <w:bCs/>
          <w:color w:val="auto"/>
          <w:lang w:bidi="en-US"/>
        </w:rPr>
      </w:pPr>
      <w:r>
        <w:rPr>
          <w:rFonts w:hint="eastAsia" w:ascii="宋体"/>
          <w:bCs/>
          <w:color w:val="auto"/>
          <w:lang w:bidi="en-US"/>
        </w:rPr>
        <w:t>3、用经纬仪完成施工坐标控制网放设，对所有基准点打桩定点，复杂地点及建筑用地应加密控制网。</w:t>
      </w:r>
    </w:p>
    <w:p w14:paraId="0B7BD27D">
      <w:pPr>
        <w:rPr>
          <w:rFonts w:hint="eastAsia" w:ascii="宋体"/>
          <w:bCs/>
          <w:color w:val="auto"/>
          <w:lang w:bidi="en-US"/>
        </w:rPr>
      </w:pPr>
      <w:r>
        <w:rPr>
          <w:rFonts w:hint="eastAsia" w:ascii="宋体"/>
          <w:bCs/>
          <w:color w:val="auto"/>
          <w:lang w:bidi="en-US"/>
        </w:rPr>
        <w:t>4、分别对绿化苗木栽植位置等进行放样，每次放样后，报请监理工程师进行审核，核准后、进行下一道工序的施工。</w:t>
      </w:r>
    </w:p>
    <w:p w14:paraId="2846B4EB">
      <w:pPr>
        <w:rPr>
          <w:rFonts w:hint="eastAsia" w:ascii="宋体"/>
          <w:bCs/>
          <w:color w:val="auto"/>
          <w:lang w:bidi="en-US"/>
        </w:rPr>
      </w:pPr>
      <w:r>
        <w:rPr>
          <w:rFonts w:hint="eastAsia" w:ascii="宋体"/>
          <w:bCs/>
          <w:color w:val="auto"/>
          <w:lang w:bidi="en-US"/>
        </w:rPr>
        <w:t>5、种植地段应修整到符合监理工程师指示的线形和坡度，应具有舒畅的外形。在种植中所有大土块、石块、硬土及其他杂物和不适于种植的材料，均应由承包人自行移走。处理好的表土和底土应分开，并得到监理工程师认可。</w:t>
      </w:r>
    </w:p>
    <w:p w14:paraId="3B9754FE">
      <w:pPr>
        <w:rPr>
          <w:rFonts w:hint="eastAsia" w:ascii="宋体"/>
          <w:bCs/>
          <w:color w:val="auto"/>
          <w:lang w:bidi="en-US"/>
        </w:rPr>
      </w:pPr>
      <w:r>
        <w:rPr>
          <w:rFonts w:hint="eastAsia" w:ascii="宋体"/>
          <w:bCs/>
          <w:color w:val="auto"/>
          <w:lang w:bidi="en-US"/>
        </w:rPr>
        <w:t>6、对交叉施工造成的放样破坏及时进行复样，保证施工精确度和进程。</w:t>
      </w:r>
    </w:p>
    <w:p w14:paraId="37A461E6">
      <w:pPr>
        <w:rPr>
          <w:rFonts w:hint="eastAsia" w:ascii="宋体"/>
          <w:bCs/>
          <w:color w:val="auto"/>
          <w:lang w:bidi="en-US"/>
        </w:rPr>
      </w:pPr>
      <w:r>
        <w:rPr>
          <w:rFonts w:hint="eastAsia" w:ascii="宋体"/>
          <w:bCs/>
          <w:color w:val="auto"/>
          <w:lang w:bidi="en-US"/>
        </w:rPr>
        <w:t>整个放样工序按：基准点确定—→控制网放样—→放样—→核实—→使用—→复线—→使用的途径进行。</w:t>
      </w:r>
    </w:p>
    <w:p w14:paraId="384C954A">
      <w:pPr>
        <w:pStyle w:val="6"/>
        <w:ind w:firstLine="480"/>
        <w:rPr>
          <w:color w:val="auto"/>
        </w:rPr>
      </w:pPr>
      <w:r>
        <w:rPr>
          <w:rFonts w:hint="eastAsia"/>
          <w:color w:val="auto"/>
        </w:rPr>
        <w:t>树穴开挖</w:t>
      </w:r>
    </w:p>
    <w:p w14:paraId="6D07FE76">
      <w:pPr>
        <w:rPr>
          <w:rFonts w:hint="eastAsia" w:ascii="宋体"/>
          <w:bCs/>
          <w:color w:val="auto"/>
          <w:lang w:bidi="en-US"/>
        </w:rPr>
      </w:pPr>
      <w:r>
        <w:rPr>
          <w:rFonts w:hint="eastAsia" w:ascii="宋体"/>
          <w:bCs/>
          <w:color w:val="auto"/>
          <w:lang w:bidi="en-US"/>
        </w:rPr>
        <w:t>1、挖坑挖槽的质量标准：</w:t>
      </w:r>
    </w:p>
    <w:p w14:paraId="66B9F91D">
      <w:pPr>
        <w:rPr>
          <w:rFonts w:hint="eastAsia" w:ascii="宋体"/>
          <w:bCs/>
          <w:color w:val="auto"/>
          <w:lang w:bidi="en-US"/>
        </w:rPr>
      </w:pPr>
      <w:r>
        <w:rPr>
          <w:rFonts w:hint="eastAsia" w:ascii="宋体"/>
          <w:bCs/>
          <w:color w:val="auto"/>
          <w:lang w:bidi="en-US"/>
        </w:rPr>
        <w:t>（1）挖坑挖槽的位置要准确，坑应根据根系、土球大小、土质情况而定，刨坑刨槽要直上直下桶形，不得上大下小或上小下大，不然造成窝根或填土不实。</w:t>
      </w:r>
    </w:p>
    <w:p w14:paraId="0796BE4E">
      <w:pPr>
        <w:rPr>
          <w:rFonts w:hint="eastAsia" w:ascii="宋体"/>
          <w:bCs/>
          <w:color w:val="auto"/>
          <w:lang w:bidi="en-US"/>
        </w:rPr>
      </w:pPr>
      <w:r>
        <w:rPr>
          <w:rFonts w:hint="eastAsia" w:ascii="宋体"/>
          <w:bCs/>
          <w:color w:val="auto"/>
          <w:lang w:bidi="en-US"/>
        </w:rPr>
        <w:t>（2）坑径一般可按规定的根系或土球直径大30～40厘米。</w:t>
      </w:r>
    </w:p>
    <w:p w14:paraId="3D0F77F9">
      <w:pPr>
        <w:rPr>
          <w:rFonts w:hint="eastAsia" w:ascii="宋体"/>
          <w:bCs/>
          <w:color w:val="auto"/>
          <w:lang w:bidi="en-US"/>
        </w:rPr>
      </w:pPr>
      <w:r>
        <w:rPr>
          <w:rFonts w:hint="eastAsia" w:ascii="宋体"/>
          <w:bCs/>
          <w:color w:val="auto"/>
          <w:lang w:bidi="en-US"/>
        </w:rPr>
        <w:t>2、刨坑、刨槽的规格要求</w:t>
      </w:r>
    </w:p>
    <w:p w14:paraId="157A69CB">
      <w:pPr>
        <w:rPr>
          <w:rFonts w:hint="eastAsia" w:ascii="宋体"/>
          <w:bCs/>
          <w:color w:val="auto"/>
          <w:lang w:bidi="en-US"/>
        </w:rPr>
      </w:pPr>
      <w:r>
        <w:rPr>
          <w:rFonts w:hint="eastAsia" w:ascii="宋体"/>
          <w:bCs/>
          <w:color w:val="auto"/>
          <w:lang w:bidi="en-US"/>
        </w:rPr>
        <w:t>（1）刨坑、刨槽位置要准确，坑径应根据根系、土球大小及土质情况而定，刨坑、刨槽要直上直下成桶形，不得上大或上小下大，以免造成窝根或填土不实。好土、弃土分别放置，分别放置，及时将多余的无机料和施工垃圾清理干净。</w:t>
      </w:r>
    </w:p>
    <w:p w14:paraId="14395E86">
      <w:pPr>
        <w:rPr>
          <w:rFonts w:hint="eastAsia" w:ascii="宋体"/>
          <w:bCs/>
          <w:color w:val="auto"/>
          <w:lang w:bidi="en-US"/>
        </w:rPr>
      </w:pPr>
      <w:r>
        <w:rPr>
          <w:rFonts w:hint="eastAsia" w:ascii="宋体"/>
          <w:bCs/>
          <w:color w:val="auto"/>
          <w:lang w:bidi="en-US"/>
        </w:rPr>
        <w:t>（2）坑径一般可比植物的根系或土球直径大0.2～0.3m。</w:t>
      </w:r>
    </w:p>
    <w:p w14:paraId="77EC02FB">
      <w:pPr>
        <w:rPr>
          <w:rFonts w:hint="eastAsia" w:ascii="宋体"/>
          <w:bCs/>
          <w:color w:val="auto"/>
          <w:lang w:bidi="en-US"/>
        </w:rPr>
      </w:pPr>
      <w:r>
        <w:rPr>
          <w:rFonts w:hint="eastAsia" w:ascii="宋体"/>
          <w:bCs/>
          <w:color w:val="auto"/>
          <w:lang w:bidi="en-US"/>
        </w:rPr>
        <w:t>（3）如遇土质过粘、过硬或含有有害物质如石灰、沥青等，则应适当加大坑径。</w:t>
      </w:r>
    </w:p>
    <w:p w14:paraId="343B6240">
      <w:pPr>
        <w:rPr>
          <w:rFonts w:hint="eastAsia" w:ascii="宋体"/>
          <w:bCs/>
          <w:color w:val="auto"/>
          <w:lang w:bidi="en-US"/>
        </w:rPr>
      </w:pPr>
      <w:r>
        <w:rPr>
          <w:rFonts w:hint="eastAsia" w:ascii="宋体"/>
          <w:bCs/>
          <w:color w:val="auto"/>
          <w:lang w:bidi="en-US"/>
        </w:rPr>
        <w:t>3、刨坑的操作方法：</w:t>
      </w:r>
    </w:p>
    <w:p w14:paraId="65350FE2">
      <w:pPr>
        <w:rPr>
          <w:rFonts w:hint="eastAsia" w:ascii="宋体"/>
          <w:bCs/>
          <w:color w:val="auto"/>
          <w:lang w:bidi="en-US"/>
        </w:rPr>
      </w:pPr>
      <w:r>
        <w:rPr>
          <w:rFonts w:hint="eastAsia" w:ascii="宋体"/>
          <w:bCs/>
          <w:color w:val="auto"/>
          <w:lang w:bidi="en-US"/>
        </w:rPr>
        <w:t>（1）刨坑时要找准位置，以所定位置为中心按规定坑径划一圆圈作为刨坑的范围。</w:t>
      </w:r>
    </w:p>
    <w:p w14:paraId="3FAF3AC0">
      <w:pPr>
        <w:rPr>
          <w:rFonts w:hint="eastAsia" w:ascii="宋体"/>
          <w:bCs/>
          <w:color w:val="auto"/>
          <w:lang w:bidi="en-US"/>
        </w:rPr>
      </w:pPr>
      <w:r>
        <w:rPr>
          <w:rFonts w:hint="eastAsia" w:ascii="宋体"/>
          <w:bCs/>
          <w:color w:val="auto"/>
          <w:lang w:bidi="en-US"/>
        </w:rPr>
        <w:t>（2）挖坑时应将表土与底土分别放置，如土质有好有坏亦应分开堆放。堆放位置以不影响苗木栽植为宜，刨坑到规定深度后在坑底堆土堆，以利根系舒展。</w:t>
      </w:r>
    </w:p>
    <w:p w14:paraId="406DB5EF">
      <w:pPr>
        <w:rPr>
          <w:rFonts w:hint="eastAsia" w:ascii="宋体"/>
          <w:bCs/>
          <w:color w:val="auto"/>
          <w:lang w:bidi="en-US"/>
        </w:rPr>
      </w:pPr>
      <w:r>
        <w:rPr>
          <w:rFonts w:hint="eastAsia" w:ascii="宋体"/>
          <w:bCs/>
          <w:color w:val="auto"/>
          <w:lang w:bidi="en-US"/>
        </w:rPr>
        <w:t>（3）刨坑时如发现地下管道，电缆等地下设施应停止操作，并及时向有关领导报告及时解决。</w:t>
      </w:r>
    </w:p>
    <w:p w14:paraId="4BE97807">
      <w:pPr>
        <w:rPr>
          <w:rFonts w:hint="eastAsia" w:ascii="宋体"/>
          <w:bCs/>
          <w:color w:val="auto"/>
          <w:lang w:bidi="en-US"/>
        </w:rPr>
      </w:pPr>
      <w:r>
        <w:rPr>
          <w:rFonts w:hint="eastAsia" w:ascii="宋体"/>
          <w:bCs/>
          <w:color w:val="auto"/>
          <w:lang w:bidi="en-US"/>
        </w:rPr>
        <w:t>（4）在斜坡上挖坑应先做成一平台，平台应以坑径最低处为标准做平台，然后在平台上再挖坑。</w:t>
      </w:r>
    </w:p>
    <w:p w14:paraId="56AE7517">
      <w:pPr>
        <w:rPr>
          <w:rFonts w:hint="eastAsia" w:ascii="宋体"/>
          <w:bCs/>
          <w:color w:val="auto"/>
          <w:lang w:bidi="en-US"/>
        </w:rPr>
      </w:pPr>
      <w:r>
        <w:rPr>
          <w:rFonts w:hint="eastAsia" w:ascii="宋体"/>
          <w:bCs/>
          <w:color w:val="auto"/>
          <w:lang w:bidi="en-US"/>
        </w:rPr>
        <w:t>（5）在运出植物前，应由园艺人员按起苗、调运等技术要求负责将植物挖出、包扎、打捆，以备运输；任何时候，植物根系应保持潮湿、防止过热、落叶树在裸根情况下运输时，必须将根部包涂粘泥浆，使根的全部带有泥土然后包装在稻草袋内。所有常绿树及灌木的根部，均应连同掘出的土球用草袋包装。运到工地及种植前，这些土球应结实，草包应完好。树冠应仔细捆扎以防止枝杈折断。</w:t>
      </w:r>
    </w:p>
    <w:p w14:paraId="7DCED74E">
      <w:pPr>
        <w:rPr>
          <w:rFonts w:hint="eastAsia" w:ascii="宋体"/>
          <w:bCs/>
          <w:color w:val="auto"/>
          <w:lang w:bidi="en-US"/>
        </w:rPr>
      </w:pPr>
      <w:r>
        <w:rPr>
          <w:rFonts w:hint="eastAsia" w:ascii="宋体"/>
          <w:bCs/>
          <w:color w:val="auto"/>
          <w:lang w:bidi="en-US"/>
        </w:rPr>
        <w:t>（6）植物以单株、成捆、大包或容器内装有一株或多株植物运到工地时，均应分别系有清楚的标签，标明植物名称、规格、尺寸、树龄或其他详细资料。</w:t>
      </w:r>
    </w:p>
    <w:p w14:paraId="0326D762">
      <w:pPr>
        <w:pStyle w:val="6"/>
        <w:ind w:firstLine="480"/>
        <w:rPr>
          <w:color w:val="auto"/>
        </w:rPr>
      </w:pPr>
      <w:r>
        <w:rPr>
          <w:rFonts w:hint="eastAsia"/>
          <w:color w:val="auto"/>
        </w:rPr>
        <w:t>起苗及包装</w:t>
      </w:r>
    </w:p>
    <w:p w14:paraId="04216A73">
      <w:pPr>
        <w:rPr>
          <w:rFonts w:hint="eastAsia" w:ascii="宋体"/>
          <w:bCs/>
          <w:color w:val="auto"/>
          <w:lang w:bidi="en-US"/>
        </w:rPr>
      </w:pPr>
      <w:r>
        <w:rPr>
          <w:rFonts w:hint="eastAsia" w:ascii="宋体"/>
          <w:bCs/>
          <w:color w:val="auto"/>
          <w:lang w:bidi="en-US"/>
        </w:rPr>
        <w:t>1、起苗的质量标准：为保证树木成活，提高绿化效果，要选生长健壮无病虫害，树形端正，根系发达的树苗。先在苗圃号苗并在重要苗木向阳面喷漆做标记。</w:t>
      </w:r>
    </w:p>
    <w:p w14:paraId="10FD78D4">
      <w:pPr>
        <w:rPr>
          <w:rFonts w:hint="eastAsia" w:ascii="宋体"/>
          <w:bCs/>
          <w:color w:val="auto"/>
          <w:lang w:bidi="en-US"/>
        </w:rPr>
      </w:pPr>
      <w:r>
        <w:rPr>
          <w:rFonts w:hint="eastAsia" w:ascii="宋体"/>
          <w:bCs/>
          <w:color w:val="auto"/>
          <w:lang w:bidi="en-US"/>
        </w:rPr>
        <w:t>2、乔木土球应达到其胸径的7～10倍或树高的1/3；常绿类乔木土球应达到其胸径的7-10倍或树高的1/3；灌木土球应达到其胸径的7～10倍或树高的1/3；灌木土球应达到其高度的1/2。或按设计要求规定土球大小起苗。</w:t>
      </w:r>
    </w:p>
    <w:p w14:paraId="67110637">
      <w:pPr>
        <w:rPr>
          <w:rFonts w:hint="eastAsia" w:ascii="宋体"/>
          <w:bCs/>
          <w:color w:val="auto"/>
          <w:lang w:bidi="en-US"/>
        </w:rPr>
      </w:pPr>
      <w:r>
        <w:rPr>
          <w:rFonts w:hint="eastAsia" w:ascii="宋体"/>
          <w:bCs/>
          <w:color w:val="auto"/>
          <w:lang w:bidi="en-US"/>
        </w:rPr>
        <w:t>3、掘带土球苗，应保证土球完好，土球要削平整，50厘米以上土球底要小，一般不要超过土球直径的1/3，土球包装均要严，草绳要打紧不能松脱，土球底要封严不能漏土。</w:t>
      </w:r>
    </w:p>
    <w:p w14:paraId="13285931">
      <w:pPr>
        <w:rPr>
          <w:rFonts w:hint="eastAsia" w:ascii="宋体"/>
          <w:bCs/>
          <w:color w:val="auto"/>
          <w:lang w:bidi="en-US"/>
        </w:rPr>
      </w:pPr>
      <w:r>
        <w:rPr>
          <w:rFonts w:hint="eastAsia" w:ascii="宋体"/>
          <w:bCs/>
          <w:color w:val="auto"/>
          <w:lang w:bidi="en-US"/>
        </w:rPr>
        <w:t>4、打包：土球规格在40厘米以下，土质坚硬可在坑外打包，先将蒲包放好，捧出土球放入包内，但搬运土球时不要只提树干，放入包内将包严，再按规定将草绳捆紧，土球虽在40厘米以下，但土质松软，沙性大，易散坨的和50厘米以上的土球均应在坑内打包，所用蒲包草绳应在使用前一天浸水，以增加拉力，可使草包打严，草绳勒紧，50厘米以上土球如土质松软的土球，应修好土球后先围腰绳，腰绳宽度应根据土质而定，围好腰绳再用蒲包将土球包严，用草绳将蒲包固定，进行打包，打好包后再围上腰绳，腰绳宽应根据土球大小而定。一般为6～10道，最后进行封底，封底前在顺树倒的方向坑底处先挖一小沟并将封底草绳紧紧拴在草绳上，然后将树推倒，用蒲包封严，用草绳错开勒紧，捆成双十字形或五角形。</w:t>
      </w:r>
    </w:p>
    <w:p w14:paraId="0DF2697F">
      <w:pPr>
        <w:pStyle w:val="6"/>
        <w:ind w:firstLine="480"/>
        <w:rPr>
          <w:color w:val="auto"/>
        </w:rPr>
      </w:pPr>
      <w:r>
        <w:rPr>
          <w:rFonts w:hint="eastAsia"/>
          <w:color w:val="auto"/>
        </w:rPr>
        <w:t>苗木运输及假植</w:t>
      </w:r>
    </w:p>
    <w:p w14:paraId="27C5E58F">
      <w:pPr>
        <w:rPr>
          <w:rFonts w:hint="eastAsia" w:ascii="宋体"/>
          <w:bCs/>
          <w:color w:val="auto"/>
          <w:lang w:bidi="en-US"/>
        </w:rPr>
      </w:pPr>
      <w:r>
        <w:rPr>
          <w:rFonts w:hint="eastAsia" w:ascii="宋体"/>
          <w:bCs/>
          <w:color w:val="auto"/>
          <w:lang w:bidi="en-US"/>
        </w:rPr>
        <w:t>1、装、运、卸、假植树木时均要保证树木根系，土球的完好，不得折断树木主尖、枝条，不要擦伤树皮，卸车后应立即栽植苗木，因故不能立即栽植的苗木应埋土假植保护好根系。</w:t>
      </w:r>
    </w:p>
    <w:p w14:paraId="6E04702B">
      <w:pPr>
        <w:rPr>
          <w:rFonts w:hint="eastAsia" w:ascii="宋体"/>
          <w:bCs/>
          <w:color w:val="auto"/>
          <w:lang w:bidi="en-US"/>
        </w:rPr>
      </w:pPr>
      <w:r>
        <w:rPr>
          <w:rFonts w:hint="eastAsia" w:ascii="宋体"/>
          <w:bCs/>
          <w:color w:val="auto"/>
          <w:lang w:bidi="en-US"/>
        </w:rPr>
        <w:t>2、为保证正常季节带冠移植大规格苗木必须带土球。吊运苗木时必须严格按照规程、规范操作，吊车的荷载吨位要大于土坨和树体的总重量。装车时土球（木箱）朝前，树冠向后，保证土球完整，不散坨。运输保持树木平稳，不滚动，不损伤树皮和主枝。</w:t>
      </w:r>
    </w:p>
    <w:p w14:paraId="3B501DEE">
      <w:pPr>
        <w:rPr>
          <w:rFonts w:hint="eastAsia" w:ascii="宋体"/>
          <w:bCs/>
          <w:color w:val="auto"/>
          <w:lang w:bidi="en-US"/>
        </w:rPr>
      </w:pPr>
      <w:r>
        <w:rPr>
          <w:rFonts w:hint="eastAsia" w:ascii="宋体"/>
          <w:bCs/>
          <w:color w:val="auto"/>
          <w:lang w:bidi="en-US"/>
        </w:rPr>
        <w:t>3、运苗装车前押运人员应按所需树种、规格、质量、数量认真检查核实挂牌后再装车。凡运距较远的苗木，应用草苫或湿草袋盖好根部以免风干而影响成活。</w:t>
      </w:r>
    </w:p>
    <w:p w14:paraId="0B98F421">
      <w:pPr>
        <w:rPr>
          <w:rFonts w:hint="eastAsia" w:ascii="宋体"/>
          <w:bCs/>
          <w:color w:val="auto"/>
          <w:lang w:bidi="en-US"/>
        </w:rPr>
      </w:pPr>
      <w:r>
        <w:rPr>
          <w:rFonts w:hint="eastAsia" w:ascii="宋体"/>
          <w:bCs/>
          <w:color w:val="auto"/>
          <w:lang w:bidi="en-US"/>
        </w:rPr>
        <w:t>4、苗木运到工地后按指定位置卸苗，卸苗要从上往下顺序卸车，不得从下乱抽，卸时应轻拿轻放，不许整车往下推以免砸根系和枝条。卸土球苗40厘米以下可直接搬下，但要搬动土坨不应只提树干同时保护好树体及土球不受损伤。</w:t>
      </w:r>
    </w:p>
    <w:p w14:paraId="05DA401A">
      <w:pPr>
        <w:rPr>
          <w:rFonts w:hint="eastAsia" w:ascii="宋体"/>
          <w:bCs/>
          <w:color w:val="auto"/>
          <w:lang w:bidi="en-US"/>
        </w:rPr>
      </w:pPr>
      <w:r>
        <w:rPr>
          <w:rFonts w:hint="eastAsia" w:ascii="宋体"/>
          <w:bCs/>
          <w:color w:val="auto"/>
          <w:lang w:bidi="en-US"/>
        </w:rPr>
        <w:t>5、卸车后不能立即栽植时，应临时将根部埋土或用苫布草袋盖严，也可事先挖好宽1.5～2米，深40厘米的假植沟，将苗码放整齐，一层苗一层土将根部埋严，如假植时间超过七天则应适量浇水保持土壤湿润，带土球苗临时假植应尽量集中将树直立，土球垫稳，假植时间较长则应在土球和枝叶上经常喷水以增加空气中湿度和保持土球土壤湿润，但水量不宜过大以免将土球泡软再搬运时土球变形影响成活。</w:t>
      </w:r>
    </w:p>
    <w:p w14:paraId="20D9DC12">
      <w:pPr>
        <w:rPr>
          <w:rFonts w:hint="eastAsia" w:ascii="宋体"/>
          <w:bCs/>
          <w:color w:val="auto"/>
          <w:lang w:bidi="en-US"/>
        </w:rPr>
      </w:pPr>
      <w:r>
        <w:rPr>
          <w:rFonts w:hint="eastAsia" w:ascii="宋体"/>
          <w:bCs/>
          <w:color w:val="auto"/>
          <w:lang w:bidi="en-US"/>
        </w:rPr>
        <w:t>6、苗木卸车完毕及时报请监理工程到现场对苗木进行验收。</w:t>
      </w:r>
    </w:p>
    <w:p w14:paraId="60DC61F9">
      <w:pPr>
        <w:pStyle w:val="6"/>
        <w:ind w:firstLine="480"/>
        <w:rPr>
          <w:color w:val="auto"/>
        </w:rPr>
      </w:pPr>
      <w:r>
        <w:rPr>
          <w:rFonts w:hint="eastAsia"/>
          <w:color w:val="auto"/>
        </w:rPr>
        <w:t>苗木栽植与养护管理</w:t>
      </w:r>
    </w:p>
    <w:p w14:paraId="01A77995">
      <w:pPr>
        <w:rPr>
          <w:rFonts w:hint="eastAsia" w:ascii="宋体"/>
          <w:bCs/>
          <w:color w:val="auto"/>
          <w:lang w:bidi="en-US"/>
        </w:rPr>
      </w:pPr>
      <w:r>
        <w:rPr>
          <w:rFonts w:hint="eastAsia" w:ascii="宋体"/>
          <w:bCs/>
          <w:color w:val="auto"/>
          <w:lang w:bidi="en-US"/>
        </w:rPr>
        <w:t>1、在种植时，先在坑底填约150mm厚的表土，同时要掺中腐熟的有机肥料作为底肥，注意要在底肥上覆盖一层土，不至于直接接触苗木根系而损伤根系。禁忌使用耕作层以下的深层生土（阴土）。苗木栽植前先对苗木进行自检，然后报请监理工程师进行抽检，不合格苗木不允许进场。</w:t>
      </w:r>
    </w:p>
    <w:p w14:paraId="10F000BB">
      <w:pPr>
        <w:rPr>
          <w:rFonts w:hint="eastAsia" w:ascii="宋体"/>
          <w:bCs/>
          <w:color w:val="auto"/>
          <w:lang w:bidi="en-US"/>
        </w:rPr>
      </w:pPr>
      <w:r>
        <w:rPr>
          <w:rFonts w:hint="eastAsia" w:ascii="宋体"/>
          <w:bCs/>
          <w:color w:val="auto"/>
          <w:lang w:bidi="en-US"/>
        </w:rPr>
        <w:t>2、苗木栽植前2天，对比较干旱的树穴先灌穴，待水全部渗下去后方可栽植，同时为提高成活率，可使用一定浓度的ABT生根粉以促进新根的萌发。注意先把土球上的包扎物打开，再将稀释后的溶液喷施或浇灌根部，并适量施用植保粉。</w:t>
      </w:r>
    </w:p>
    <w:p w14:paraId="6258B0DE">
      <w:pPr>
        <w:rPr>
          <w:rFonts w:hint="eastAsia" w:ascii="宋体"/>
          <w:bCs/>
          <w:color w:val="auto"/>
          <w:lang w:bidi="en-US"/>
        </w:rPr>
      </w:pPr>
      <w:r>
        <w:rPr>
          <w:rFonts w:hint="eastAsia" w:ascii="宋体"/>
          <w:bCs/>
          <w:color w:val="auto"/>
          <w:lang w:bidi="en-US"/>
        </w:rPr>
        <w:t>3、栽前对苗木进行修剪，修剪的原则是灌木保持其自然树形，短截时保持树冠内高外低，疏枝应保持外密内疏。栽后修剪时，应以疏除为主，修剪总量不超过1/4～1/3，保持主枝、侧枝分布均匀。银杏等具有明显主干的树种，在保证主枝顶芽不受伤害的前提下，重点以疏枝为主，侧枝可结合整形适当短截；元宝枫、国槐、栾树、白蜡等苗木的修剪，应保留树冠的基本骨架，保持主、侧枝先端一致，树冠整齐。修剪后较大创口应涂抹保护剂，起到杀菌、促使伤口愈合的作用。</w:t>
      </w:r>
    </w:p>
    <w:p w14:paraId="7F861D0F">
      <w:pPr>
        <w:rPr>
          <w:rFonts w:hint="eastAsia" w:ascii="宋体"/>
          <w:bCs/>
          <w:color w:val="auto"/>
          <w:lang w:bidi="en-US"/>
        </w:rPr>
      </w:pPr>
      <w:r>
        <w:rPr>
          <w:rFonts w:hint="eastAsia" w:ascii="宋体"/>
          <w:bCs/>
          <w:color w:val="auto"/>
          <w:lang w:bidi="en-US"/>
        </w:rPr>
        <w:t>4、栽植位置要符合设计图纸要求：树木高矮干径大小要搭配合理，树体要保持上下垂直，不得歪斜，树形好的一面要迎着主要观赏方向。</w:t>
      </w:r>
    </w:p>
    <w:p w14:paraId="5715B9E4">
      <w:pPr>
        <w:rPr>
          <w:rFonts w:hint="eastAsia" w:ascii="宋体"/>
          <w:bCs/>
          <w:color w:val="auto"/>
          <w:lang w:bidi="en-US"/>
        </w:rPr>
      </w:pPr>
      <w:r>
        <w:rPr>
          <w:rFonts w:hint="eastAsia" w:ascii="宋体"/>
          <w:bCs/>
          <w:color w:val="auto"/>
          <w:lang w:bidi="en-US"/>
        </w:rPr>
        <w:t>5、栽带土球苗木时，应提草绳入坑摆好位置后放稳再剪断腰绳和草包保持土球不松不散，并应尽量将包装物取出，然后填土踩实，踩实时不要直接踩压土球。</w:t>
      </w:r>
    </w:p>
    <w:p w14:paraId="778939F7">
      <w:pPr>
        <w:rPr>
          <w:rFonts w:hint="eastAsia" w:ascii="宋体"/>
          <w:bCs/>
          <w:color w:val="auto"/>
          <w:lang w:bidi="en-US"/>
        </w:rPr>
      </w:pPr>
      <w:r>
        <w:rPr>
          <w:rFonts w:hint="eastAsia" w:ascii="宋体"/>
          <w:bCs/>
          <w:color w:val="auto"/>
          <w:lang w:bidi="en-US"/>
        </w:rPr>
        <w:t>6、栽植较大规格的常绿树或落叶乔木时，应立支柱对树体进行保护，并不能使支柱与树干直接接触以免磨伤树皮，立支柱的方向应在下风口。支撑要捆绑牢靠，高度一致、整齐美观，支撑对于不同的树种应分别采用不同的支撑方式，分别有四角支撑、三角支撑和一字支撑，支撑时为了保护好树体支撑点的树皮要进行必要的缠绕保护，材料采用棕皮式或草绳等，支撑杆采用高度一致、粗细均匀的竹竿或杉木杆。</w:t>
      </w:r>
    </w:p>
    <w:p w14:paraId="6681A646">
      <w:pPr>
        <w:rPr>
          <w:rFonts w:hint="eastAsia" w:ascii="宋体"/>
          <w:bCs/>
          <w:color w:val="auto"/>
          <w:lang w:bidi="en-US"/>
        </w:rPr>
      </w:pPr>
      <w:r>
        <w:rPr>
          <w:rFonts w:hint="eastAsia" w:ascii="宋体"/>
          <w:bCs/>
          <w:color w:val="auto"/>
          <w:lang w:bidi="en-US"/>
        </w:rPr>
        <w:t>7、绿篱成块种植或色块种植时，应由中心向外顺序退植，坡式种植应由上向下种植大型块植或不同色彩丛植时，宜分区、分块种植。</w:t>
      </w:r>
    </w:p>
    <w:p w14:paraId="16D4BADA">
      <w:pPr>
        <w:rPr>
          <w:rFonts w:hint="eastAsia" w:ascii="宋体"/>
          <w:bCs/>
          <w:color w:val="auto"/>
          <w:lang w:bidi="en-US"/>
        </w:rPr>
      </w:pPr>
      <w:r>
        <w:rPr>
          <w:rFonts w:hint="eastAsia" w:ascii="宋体"/>
          <w:bCs/>
          <w:color w:val="auto"/>
          <w:lang w:bidi="en-US"/>
        </w:rPr>
        <w:t>8、栽后24小时内必须及时浇上第一遍透水，第二遍水要连续进行，第三遍水在第二遍水5～10天后进行。灌水量要充足（注意第一次浇水后将树穴下陷部位及时回填种植土并捣实）。浇完第三次透水后，进行苗木的扶直整理工作，要对苗木支撑进行修整和修改，之后根据树种性质分别确定浇水时间。</w:t>
      </w:r>
    </w:p>
    <w:p w14:paraId="7A10F47D">
      <w:pPr>
        <w:rPr>
          <w:rFonts w:hint="eastAsia" w:ascii="宋体"/>
          <w:bCs/>
          <w:color w:val="auto"/>
          <w:lang w:bidi="en-US"/>
        </w:rPr>
      </w:pPr>
      <w:r>
        <w:rPr>
          <w:rFonts w:hint="eastAsia" w:ascii="宋体"/>
          <w:bCs/>
          <w:color w:val="auto"/>
          <w:lang w:bidi="en-US"/>
        </w:rPr>
        <w:t>9、待第三遍水渗下后及时进行中耕扶植或封穴，并在树干周围堆成30cm高的土堆，以保持土壤中的水分和防止风吹树干造成空隙而影响成活，中耕封穴的同时，应将土填实并将树木扶直。</w:t>
      </w:r>
    </w:p>
    <w:p w14:paraId="7780618F">
      <w:pPr>
        <w:rPr>
          <w:rFonts w:hint="eastAsia" w:ascii="宋体"/>
          <w:bCs/>
          <w:color w:val="auto"/>
          <w:lang w:bidi="en-US"/>
        </w:rPr>
      </w:pPr>
      <w:r>
        <w:rPr>
          <w:rFonts w:hint="eastAsia" w:ascii="宋体"/>
          <w:bCs/>
          <w:color w:val="auto"/>
          <w:lang w:bidi="en-US"/>
        </w:rPr>
        <w:t>10、苗木栽植完及时报请监理工程师验收，并递交苗木养护管理的详细计划及日程。</w:t>
      </w:r>
    </w:p>
    <w:p w14:paraId="132B986C">
      <w:pPr>
        <w:pStyle w:val="6"/>
        <w:ind w:firstLine="480"/>
        <w:rPr>
          <w:color w:val="auto"/>
        </w:rPr>
      </w:pPr>
      <w:r>
        <w:rPr>
          <w:rFonts w:hint="eastAsia"/>
          <w:color w:val="auto"/>
        </w:rPr>
        <w:t>养护管理</w:t>
      </w:r>
    </w:p>
    <w:p w14:paraId="0A832940">
      <w:pPr>
        <w:rPr>
          <w:rFonts w:hint="eastAsia" w:ascii="宋体"/>
          <w:bCs/>
          <w:color w:val="auto"/>
          <w:lang w:bidi="en-US"/>
        </w:rPr>
      </w:pPr>
      <w:r>
        <w:rPr>
          <w:rFonts w:hint="eastAsia" w:ascii="宋体"/>
          <w:bCs/>
          <w:color w:val="auto"/>
          <w:lang w:bidi="en-US"/>
        </w:rPr>
        <w:t>1、根据天气情况和土壤水分状况以及苗木本身的需水量，适时浇水。</w:t>
      </w:r>
    </w:p>
    <w:p w14:paraId="64D230B3">
      <w:pPr>
        <w:rPr>
          <w:rFonts w:hint="eastAsia" w:ascii="宋体"/>
          <w:bCs/>
          <w:color w:val="auto"/>
          <w:lang w:bidi="en-US"/>
        </w:rPr>
      </w:pPr>
      <w:r>
        <w:rPr>
          <w:rFonts w:hint="eastAsia" w:ascii="宋体"/>
          <w:bCs/>
          <w:color w:val="auto"/>
          <w:lang w:bidi="en-US"/>
        </w:rPr>
        <w:t>2、经常巡逻值班，防止盗苗，发现死苗或缺苗，及时补栽。</w:t>
      </w:r>
    </w:p>
    <w:p w14:paraId="6EA3228F">
      <w:pPr>
        <w:rPr>
          <w:rFonts w:hint="eastAsia" w:ascii="宋体"/>
          <w:bCs/>
          <w:color w:val="auto"/>
          <w:lang w:bidi="en-US"/>
        </w:rPr>
      </w:pPr>
      <w:r>
        <w:rPr>
          <w:rFonts w:hint="eastAsia" w:ascii="宋体"/>
          <w:bCs/>
          <w:color w:val="auto"/>
          <w:lang w:bidi="en-US"/>
        </w:rPr>
        <w:t>3、根据病虫害发生情况，适时对苗木进行病虫害防治。</w:t>
      </w:r>
    </w:p>
    <w:p w14:paraId="2B135F48">
      <w:pPr>
        <w:pStyle w:val="4"/>
        <w:ind w:firstLine="482"/>
        <w:rPr>
          <w:color w:val="auto"/>
        </w:rPr>
      </w:pPr>
      <w:bookmarkStart w:id="224" w:name="_Toc30749"/>
      <w:r>
        <w:rPr>
          <w:rFonts w:hint="eastAsia"/>
          <w:color w:val="auto"/>
        </w:rPr>
        <w:t>季节性施工</w:t>
      </w:r>
      <w:bookmarkEnd w:id="224"/>
    </w:p>
    <w:p w14:paraId="213B1671">
      <w:pPr>
        <w:pStyle w:val="5"/>
        <w:rPr>
          <w:color w:val="auto"/>
        </w:rPr>
      </w:pPr>
      <w:bookmarkStart w:id="225" w:name="_Toc16795"/>
      <w:r>
        <w:rPr>
          <w:rFonts w:hint="eastAsia"/>
          <w:color w:val="auto"/>
        </w:rPr>
        <w:t>雨季施工措施</w:t>
      </w:r>
      <w:bookmarkEnd w:id="225"/>
    </w:p>
    <w:p w14:paraId="72D8A146">
      <w:pPr>
        <w:rPr>
          <w:color w:val="auto"/>
        </w:rPr>
      </w:pPr>
      <w:r>
        <w:rPr>
          <w:rFonts w:hint="eastAsia"/>
          <w:color w:val="auto"/>
        </w:rPr>
        <w:t>结合本工程特点，收集三亚市崖州区近年的降雨量数据，制定项目雨季施工措施，重点对项目基坑及高边坡支护阶段排水防洪措施作出分析。</w:t>
      </w:r>
    </w:p>
    <w:p w14:paraId="7BAFEB6B">
      <w:pPr>
        <w:rPr>
          <w:color w:val="auto"/>
        </w:rPr>
      </w:pPr>
      <w:r>
        <w:rPr>
          <w:rFonts w:hint="eastAsia"/>
          <w:color w:val="auto"/>
        </w:rPr>
        <w:t>本工程开工时间202</w:t>
      </w:r>
      <w:r>
        <w:rPr>
          <w:color w:val="auto"/>
        </w:rPr>
        <w:t>1</w:t>
      </w:r>
      <w:r>
        <w:rPr>
          <w:rFonts w:hint="eastAsia"/>
          <w:color w:val="auto"/>
        </w:rPr>
        <w:t>年</w:t>
      </w:r>
      <w:r>
        <w:rPr>
          <w:color w:val="auto"/>
        </w:rPr>
        <w:t>3</w:t>
      </w:r>
      <w:r>
        <w:rPr>
          <w:rFonts w:hint="eastAsia"/>
          <w:color w:val="auto"/>
        </w:rPr>
        <w:t>月，计划竣工时间为202</w:t>
      </w:r>
      <w:r>
        <w:rPr>
          <w:color w:val="auto"/>
        </w:rPr>
        <w:t>2</w:t>
      </w:r>
      <w:r>
        <w:rPr>
          <w:rFonts w:hint="eastAsia"/>
          <w:color w:val="auto"/>
        </w:rPr>
        <w:t>年</w:t>
      </w:r>
      <w:r>
        <w:rPr>
          <w:color w:val="auto"/>
        </w:rPr>
        <w:t>7</w:t>
      </w:r>
      <w:r>
        <w:rPr>
          <w:rFonts w:hint="eastAsia"/>
          <w:color w:val="auto"/>
        </w:rPr>
        <w:t>月，跨越2个雨季，项目部将在正式排水管网系统施工前，针对现场实际情况编制雨季专项施工方案，雨季施工时与当地气象部门密切联系，注意收听当地天气预报，并严格按照雨期施工方案组织施工。</w:t>
      </w:r>
    </w:p>
    <w:p w14:paraId="26E764C7">
      <w:pPr>
        <w:pStyle w:val="54"/>
        <w:rPr>
          <w:color w:val="auto"/>
        </w:rPr>
      </w:pPr>
      <w:r>
        <w:rPr>
          <w:rFonts w:hint="eastAsia"/>
          <w:color w:val="auto"/>
        </w:rPr>
        <w:t>雨季施工原则及要求</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136"/>
        <w:gridCol w:w="6158"/>
      </w:tblGrid>
      <w:tr w14:paraId="31A73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 w:type="pct"/>
            <w:vAlign w:val="center"/>
          </w:tcPr>
          <w:p w14:paraId="1611F858">
            <w:pPr>
              <w:ind w:firstLine="0" w:firstLineChars="0"/>
              <w:jc w:val="center"/>
              <w:rPr>
                <w:color w:val="auto"/>
              </w:rPr>
            </w:pPr>
            <w:r>
              <w:rPr>
                <w:rFonts w:hint="eastAsia"/>
                <w:color w:val="auto"/>
              </w:rPr>
              <w:t>序号</w:t>
            </w:r>
          </w:p>
        </w:tc>
        <w:tc>
          <w:tcPr>
            <w:tcW w:w="1179" w:type="pct"/>
            <w:vAlign w:val="center"/>
          </w:tcPr>
          <w:p w14:paraId="4A70F779">
            <w:pPr>
              <w:ind w:firstLine="0" w:firstLineChars="0"/>
              <w:jc w:val="center"/>
              <w:rPr>
                <w:color w:val="auto"/>
              </w:rPr>
            </w:pPr>
            <w:r>
              <w:rPr>
                <w:rFonts w:hint="eastAsia"/>
                <w:color w:val="auto"/>
              </w:rPr>
              <w:t>原则及要求</w:t>
            </w:r>
          </w:p>
        </w:tc>
        <w:tc>
          <w:tcPr>
            <w:tcW w:w="3398" w:type="pct"/>
            <w:vAlign w:val="center"/>
          </w:tcPr>
          <w:p w14:paraId="6AD2BCF0">
            <w:pPr>
              <w:ind w:firstLine="0" w:firstLineChars="0"/>
              <w:jc w:val="center"/>
              <w:rPr>
                <w:color w:val="auto"/>
              </w:rPr>
            </w:pPr>
            <w:r>
              <w:rPr>
                <w:rFonts w:hint="eastAsia"/>
                <w:color w:val="auto"/>
              </w:rPr>
              <w:t>具体内容</w:t>
            </w:r>
          </w:p>
        </w:tc>
      </w:tr>
      <w:tr w14:paraId="3C1C2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 w:type="pct"/>
            <w:vAlign w:val="center"/>
          </w:tcPr>
          <w:p w14:paraId="76FC9A14">
            <w:pPr>
              <w:ind w:firstLine="0" w:firstLineChars="0"/>
              <w:jc w:val="center"/>
              <w:rPr>
                <w:color w:val="auto"/>
              </w:rPr>
            </w:pPr>
            <w:r>
              <w:rPr>
                <w:rFonts w:hint="eastAsia"/>
                <w:color w:val="auto"/>
              </w:rPr>
              <w:t>1</w:t>
            </w:r>
          </w:p>
        </w:tc>
        <w:tc>
          <w:tcPr>
            <w:tcW w:w="1179" w:type="pct"/>
            <w:vAlign w:val="center"/>
          </w:tcPr>
          <w:p w14:paraId="53AFDE36">
            <w:pPr>
              <w:ind w:firstLine="0" w:firstLineChars="0"/>
              <w:jc w:val="center"/>
              <w:rPr>
                <w:color w:val="auto"/>
              </w:rPr>
            </w:pPr>
            <w:r>
              <w:rPr>
                <w:rFonts w:hint="eastAsia"/>
                <w:color w:val="auto"/>
              </w:rPr>
              <w:t>雨季施工总原则</w:t>
            </w:r>
          </w:p>
        </w:tc>
        <w:tc>
          <w:tcPr>
            <w:tcW w:w="3398" w:type="pct"/>
            <w:vAlign w:val="center"/>
          </w:tcPr>
          <w:p w14:paraId="1CEC9BA8">
            <w:pPr>
              <w:ind w:firstLine="0" w:firstLineChars="0"/>
              <w:jc w:val="center"/>
              <w:rPr>
                <w:color w:val="auto"/>
              </w:rPr>
            </w:pPr>
            <w:r>
              <w:rPr>
                <w:rFonts w:hint="eastAsia"/>
                <w:color w:val="auto"/>
              </w:rPr>
              <w:t>预防为主，做好排水、挡水、防水工作。</w:t>
            </w:r>
          </w:p>
        </w:tc>
      </w:tr>
      <w:tr w14:paraId="6082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 w:type="pct"/>
            <w:vAlign w:val="center"/>
          </w:tcPr>
          <w:p w14:paraId="201B029E">
            <w:pPr>
              <w:ind w:firstLine="0" w:firstLineChars="0"/>
              <w:jc w:val="center"/>
              <w:rPr>
                <w:color w:val="auto"/>
              </w:rPr>
            </w:pPr>
            <w:r>
              <w:rPr>
                <w:rFonts w:hint="eastAsia"/>
                <w:color w:val="auto"/>
              </w:rPr>
              <w:t>2</w:t>
            </w:r>
          </w:p>
        </w:tc>
        <w:tc>
          <w:tcPr>
            <w:tcW w:w="1179" w:type="pct"/>
            <w:vAlign w:val="center"/>
          </w:tcPr>
          <w:p w14:paraId="4740243D">
            <w:pPr>
              <w:ind w:firstLine="0" w:firstLineChars="0"/>
              <w:jc w:val="center"/>
              <w:rPr>
                <w:color w:val="auto"/>
              </w:rPr>
            </w:pPr>
            <w:r>
              <w:rPr>
                <w:rFonts w:hint="eastAsia"/>
                <w:color w:val="auto"/>
              </w:rPr>
              <w:t>雨季施工总要求</w:t>
            </w:r>
          </w:p>
        </w:tc>
        <w:tc>
          <w:tcPr>
            <w:tcW w:w="3398" w:type="pct"/>
            <w:vAlign w:val="center"/>
          </w:tcPr>
          <w:p w14:paraId="02BB24E3">
            <w:pPr>
              <w:ind w:firstLine="0" w:firstLineChars="0"/>
              <w:jc w:val="center"/>
              <w:rPr>
                <w:color w:val="auto"/>
              </w:rPr>
            </w:pPr>
            <w:r>
              <w:rPr>
                <w:rFonts w:hint="eastAsia"/>
                <w:color w:val="auto"/>
              </w:rPr>
              <w:t>室内工程雨季不影响施工，室外工程小雨不间断施工，大雨期间暂停施工，大雨过后即可施工，暴雨过后不影响施工。</w:t>
            </w:r>
          </w:p>
        </w:tc>
      </w:tr>
      <w:tr w14:paraId="04DE7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3" w:type="pct"/>
            <w:vAlign w:val="center"/>
          </w:tcPr>
          <w:p w14:paraId="124FEB54">
            <w:pPr>
              <w:ind w:firstLine="0" w:firstLineChars="0"/>
              <w:jc w:val="center"/>
              <w:rPr>
                <w:color w:val="auto"/>
              </w:rPr>
            </w:pPr>
            <w:r>
              <w:rPr>
                <w:rFonts w:hint="eastAsia"/>
                <w:color w:val="auto"/>
              </w:rPr>
              <w:t>3</w:t>
            </w:r>
          </w:p>
        </w:tc>
        <w:tc>
          <w:tcPr>
            <w:tcW w:w="1179" w:type="pct"/>
            <w:vAlign w:val="center"/>
          </w:tcPr>
          <w:p w14:paraId="1F039FB4">
            <w:pPr>
              <w:ind w:firstLine="0" w:firstLineChars="0"/>
              <w:jc w:val="center"/>
              <w:rPr>
                <w:color w:val="auto"/>
              </w:rPr>
            </w:pPr>
            <w:r>
              <w:rPr>
                <w:rFonts w:hint="eastAsia"/>
                <w:color w:val="auto"/>
              </w:rPr>
              <w:t>雨季施工总目标</w:t>
            </w:r>
          </w:p>
        </w:tc>
        <w:tc>
          <w:tcPr>
            <w:tcW w:w="3398" w:type="pct"/>
            <w:vAlign w:val="center"/>
          </w:tcPr>
          <w:p w14:paraId="691279FB">
            <w:pPr>
              <w:ind w:firstLine="0" w:firstLineChars="0"/>
              <w:jc w:val="center"/>
              <w:rPr>
                <w:color w:val="auto"/>
              </w:rPr>
            </w:pPr>
            <w:r>
              <w:rPr>
                <w:rFonts w:hint="eastAsia"/>
                <w:color w:val="auto"/>
              </w:rPr>
              <w:t>确保整个雨季正常的施工生产，确保工程实体、材料、设备、设施等不受损失，无安全责任事故。</w:t>
            </w:r>
          </w:p>
        </w:tc>
      </w:tr>
    </w:tbl>
    <w:p w14:paraId="65A91F6B">
      <w:pPr>
        <w:rPr>
          <w:color w:val="auto"/>
        </w:rPr>
      </w:pPr>
      <w:r>
        <w:rPr>
          <w:rFonts w:hint="eastAsia"/>
          <w:color w:val="auto"/>
        </w:rPr>
        <w:t>雨季施工管理流程如下：</w:t>
      </w:r>
    </w:p>
    <w:p w14:paraId="24272650">
      <w:pPr>
        <w:pStyle w:val="49"/>
        <w:rPr>
          <w:rFonts w:hint="eastAsia"/>
          <w:color w:val="auto"/>
        </w:rPr>
      </w:pPr>
      <w:r>
        <w:rPr>
          <w:color w:val="auto"/>
        </w:rPr>
        <w:drawing>
          <wp:inline distT="0" distB="0" distL="0" distR="0">
            <wp:extent cx="5270500" cy="983615"/>
            <wp:effectExtent l="0" t="0" r="6350" b="6985"/>
            <wp:docPr id="32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图片 10"/>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a:xfrm>
                      <a:off x="0" y="0"/>
                      <a:ext cx="5270500" cy="983615"/>
                    </a:xfrm>
                    <a:prstGeom prst="rect">
                      <a:avLst/>
                    </a:prstGeom>
                    <a:noFill/>
                    <a:ln>
                      <a:noFill/>
                    </a:ln>
                  </pic:spPr>
                </pic:pic>
              </a:graphicData>
            </a:graphic>
          </wp:inline>
        </w:drawing>
      </w:r>
    </w:p>
    <w:p w14:paraId="0CF587C2">
      <w:pPr>
        <w:pStyle w:val="53"/>
        <w:rPr>
          <w:color w:val="auto"/>
        </w:rPr>
      </w:pPr>
      <w:r>
        <w:rPr>
          <w:rFonts w:hint="eastAsia"/>
          <w:color w:val="auto"/>
        </w:rPr>
        <w:t>雨季施工管理流程</w:t>
      </w:r>
    </w:p>
    <w:p w14:paraId="4265D5E6">
      <w:pPr>
        <w:rPr>
          <w:color w:val="auto"/>
        </w:rPr>
      </w:pPr>
      <w:r>
        <w:rPr>
          <w:rFonts w:hint="eastAsia"/>
          <w:color w:val="auto"/>
        </w:rPr>
        <w:t>小雨不停工，大雨停工，尽量减少风雨对进度的影响。对大体积结构砼和不允许留设施工缝的重要结构砼，大雨不停工，但要采取有效的防雨措施，确保砼的施工质量。如遇暴风雨需经监理同意在适当位置留置施工缝，方可停工；对于一般性的砼(如垫层砼)，大雨允许停工，但必须对已完成的工作面作好遮雨措施。</w:t>
      </w:r>
    </w:p>
    <w:p w14:paraId="57CBA9C7">
      <w:pPr>
        <w:pStyle w:val="54"/>
        <w:rPr>
          <w:color w:val="auto"/>
        </w:rPr>
      </w:pPr>
      <w:r>
        <w:rPr>
          <w:rFonts w:hint="eastAsia"/>
          <w:color w:val="auto"/>
        </w:rPr>
        <w:t>雨季施工措施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703"/>
        <w:gridCol w:w="6589"/>
      </w:tblGrid>
      <w:tr w14:paraId="3F46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4" w:type="pct"/>
            <w:vAlign w:val="center"/>
          </w:tcPr>
          <w:p w14:paraId="3B3D0D3D">
            <w:pPr>
              <w:ind w:firstLine="0" w:firstLineChars="0"/>
              <w:rPr>
                <w:color w:val="auto"/>
              </w:rPr>
            </w:pPr>
            <w:bookmarkStart w:id="226" w:name="_Hlk27054618"/>
            <w:r>
              <w:rPr>
                <w:rFonts w:hint="eastAsia"/>
                <w:color w:val="auto"/>
              </w:rPr>
              <w:t>序号</w:t>
            </w:r>
          </w:p>
        </w:tc>
        <w:tc>
          <w:tcPr>
            <w:tcW w:w="940" w:type="pct"/>
            <w:vAlign w:val="center"/>
          </w:tcPr>
          <w:p w14:paraId="30319DC0">
            <w:pPr>
              <w:ind w:firstLine="0" w:firstLineChars="0"/>
              <w:rPr>
                <w:color w:val="auto"/>
              </w:rPr>
            </w:pPr>
            <w:r>
              <w:rPr>
                <w:rFonts w:hint="eastAsia"/>
                <w:color w:val="auto"/>
              </w:rPr>
              <w:t>分部分项</w:t>
            </w:r>
          </w:p>
        </w:tc>
        <w:tc>
          <w:tcPr>
            <w:tcW w:w="3636" w:type="pct"/>
            <w:vAlign w:val="center"/>
          </w:tcPr>
          <w:p w14:paraId="7A7D9840">
            <w:pPr>
              <w:ind w:firstLine="0" w:firstLineChars="0"/>
              <w:rPr>
                <w:color w:val="auto"/>
              </w:rPr>
            </w:pPr>
            <w:r>
              <w:rPr>
                <w:rFonts w:hint="eastAsia"/>
                <w:color w:val="auto"/>
              </w:rPr>
              <w:t>专项措施</w:t>
            </w:r>
          </w:p>
        </w:tc>
      </w:tr>
      <w:tr w14:paraId="55DA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1BA83A45">
            <w:pPr>
              <w:ind w:firstLine="0" w:firstLineChars="0"/>
              <w:rPr>
                <w:color w:val="auto"/>
              </w:rPr>
            </w:pPr>
            <w:r>
              <w:rPr>
                <w:rFonts w:hint="eastAsia"/>
                <w:color w:val="auto"/>
              </w:rPr>
              <w:t>1</w:t>
            </w:r>
          </w:p>
        </w:tc>
        <w:tc>
          <w:tcPr>
            <w:tcW w:w="940" w:type="pct"/>
            <w:vAlign w:val="center"/>
          </w:tcPr>
          <w:p w14:paraId="1FD03259">
            <w:pPr>
              <w:ind w:firstLine="0" w:firstLineChars="0"/>
              <w:rPr>
                <w:color w:val="auto"/>
              </w:rPr>
            </w:pPr>
            <w:r>
              <w:rPr>
                <w:rFonts w:hint="eastAsia"/>
                <w:color w:val="auto"/>
              </w:rPr>
              <w:t>施工测量</w:t>
            </w:r>
          </w:p>
        </w:tc>
        <w:tc>
          <w:tcPr>
            <w:tcW w:w="3636" w:type="pct"/>
            <w:vAlign w:val="center"/>
          </w:tcPr>
          <w:p w14:paraId="11284C8A">
            <w:pPr>
              <w:pStyle w:val="47"/>
              <w:ind w:firstLine="0" w:firstLineChars="0"/>
              <w:rPr>
                <w:color w:val="auto"/>
              </w:rPr>
            </w:pPr>
            <w:r>
              <w:rPr>
                <w:rFonts w:hint="eastAsia"/>
                <w:color w:val="auto"/>
              </w:rPr>
              <w:t>1、雨天不宜进行室外测量放线，雨后进行施工测量，轴线投放之前应先将工作面积水扫除干净，使投放的轴线清楚准确。</w:t>
            </w:r>
          </w:p>
          <w:p w14:paraId="520CF331">
            <w:pPr>
              <w:pStyle w:val="47"/>
              <w:ind w:firstLine="0" w:firstLineChars="0"/>
              <w:rPr>
                <w:color w:val="auto"/>
              </w:rPr>
            </w:pPr>
            <w:r>
              <w:rPr>
                <w:rFonts w:hint="eastAsia"/>
                <w:color w:val="auto"/>
              </w:rPr>
              <w:t>2、测量人员架设仪器设备时务必要对仪器进行防滑、防高空坠落措施，大风6级以上、、大雨天气严禁测量作业。</w:t>
            </w:r>
          </w:p>
        </w:tc>
      </w:tr>
      <w:bookmarkEnd w:id="226"/>
      <w:tr w14:paraId="7AEE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24" w:type="pct"/>
            <w:vAlign w:val="center"/>
          </w:tcPr>
          <w:p w14:paraId="3C6C598E">
            <w:pPr>
              <w:ind w:firstLine="0" w:firstLineChars="0"/>
              <w:rPr>
                <w:color w:val="auto"/>
              </w:rPr>
            </w:pPr>
            <w:r>
              <w:rPr>
                <w:rFonts w:hint="eastAsia"/>
                <w:color w:val="auto"/>
              </w:rPr>
              <w:t>2</w:t>
            </w:r>
          </w:p>
        </w:tc>
        <w:tc>
          <w:tcPr>
            <w:tcW w:w="940" w:type="pct"/>
            <w:vAlign w:val="center"/>
          </w:tcPr>
          <w:p w14:paraId="23B48377">
            <w:pPr>
              <w:ind w:firstLine="0" w:firstLineChars="0"/>
              <w:rPr>
                <w:color w:val="auto"/>
              </w:rPr>
            </w:pPr>
            <w:r>
              <w:rPr>
                <w:rFonts w:hint="eastAsia"/>
                <w:color w:val="auto"/>
              </w:rPr>
              <w:t>模板工程</w:t>
            </w:r>
          </w:p>
        </w:tc>
        <w:tc>
          <w:tcPr>
            <w:tcW w:w="3636" w:type="pct"/>
            <w:vAlign w:val="center"/>
          </w:tcPr>
          <w:p w14:paraId="5F242EC4">
            <w:pPr>
              <w:pStyle w:val="47"/>
              <w:ind w:firstLine="0" w:firstLineChars="0"/>
              <w:rPr>
                <w:color w:val="auto"/>
              </w:rPr>
            </w:pPr>
            <w:r>
              <w:rPr>
                <w:rFonts w:hint="eastAsia"/>
                <w:color w:val="auto"/>
              </w:rPr>
              <w:t>1、雨天使用的木模板拆下后应放平，以免变形，模板拆下后及时清理，刷脱模剂，经大雨冲刷过后应重新刷一遍。</w:t>
            </w:r>
          </w:p>
          <w:p w14:paraId="0A22FA6F">
            <w:pPr>
              <w:pStyle w:val="47"/>
              <w:ind w:firstLine="0" w:firstLineChars="0"/>
              <w:rPr>
                <w:color w:val="auto"/>
              </w:rPr>
            </w:pPr>
            <w:r>
              <w:rPr>
                <w:rFonts w:hint="eastAsia"/>
                <w:color w:val="auto"/>
              </w:rPr>
              <w:t>2、模板拼装后尽快浇筑混凝土，防止模板遇雨变形。若模板拼装后不能及时浇筑混凝土，又被雨水淋过，则浇筑混凝土前应重新进行检查，对模板支撑系统重新进行调整、加固。</w:t>
            </w:r>
          </w:p>
        </w:tc>
      </w:tr>
      <w:tr w14:paraId="17CA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1FC13AE5">
            <w:pPr>
              <w:ind w:firstLine="0" w:firstLineChars="0"/>
              <w:rPr>
                <w:color w:val="auto"/>
              </w:rPr>
            </w:pPr>
            <w:r>
              <w:rPr>
                <w:rFonts w:hint="eastAsia"/>
                <w:color w:val="auto"/>
              </w:rPr>
              <w:t>3</w:t>
            </w:r>
          </w:p>
        </w:tc>
        <w:tc>
          <w:tcPr>
            <w:tcW w:w="940" w:type="pct"/>
            <w:vAlign w:val="center"/>
          </w:tcPr>
          <w:p w14:paraId="52FD1DB6">
            <w:pPr>
              <w:ind w:firstLine="0" w:firstLineChars="0"/>
              <w:rPr>
                <w:color w:val="auto"/>
              </w:rPr>
            </w:pPr>
            <w:r>
              <w:rPr>
                <w:rFonts w:hint="eastAsia"/>
                <w:color w:val="auto"/>
              </w:rPr>
              <w:t>钢筋工程</w:t>
            </w:r>
          </w:p>
        </w:tc>
        <w:tc>
          <w:tcPr>
            <w:tcW w:w="3636" w:type="pct"/>
            <w:vAlign w:val="center"/>
          </w:tcPr>
          <w:p w14:paraId="5369A3A3">
            <w:pPr>
              <w:pStyle w:val="47"/>
              <w:ind w:firstLine="0" w:firstLineChars="0"/>
              <w:rPr>
                <w:color w:val="auto"/>
              </w:rPr>
            </w:pPr>
            <w:r>
              <w:rPr>
                <w:rFonts w:hint="eastAsia"/>
                <w:color w:val="auto"/>
              </w:rPr>
              <w:t>1、大风、雷雨天气，施工层上钢筋工程应停止，防止雷电伤人。</w:t>
            </w:r>
          </w:p>
          <w:p w14:paraId="16B779DC">
            <w:pPr>
              <w:pStyle w:val="47"/>
              <w:ind w:firstLine="0" w:firstLineChars="0"/>
              <w:rPr>
                <w:color w:val="auto"/>
              </w:rPr>
            </w:pPr>
            <w:r>
              <w:rPr>
                <w:rFonts w:hint="eastAsia"/>
                <w:color w:val="auto"/>
              </w:rPr>
              <w:t>2、钢筋在绑扎之前，要清除污物、锈蚀，雨天要对绑扎完毕未浇筑砼的钢筋进行覆盖，防止雨淋生锈。外设钢筋加工场处的钢筋也要进行必要的覆盖。雨中不宜进行焊接作业。</w:t>
            </w:r>
          </w:p>
        </w:tc>
      </w:tr>
      <w:tr w14:paraId="32E88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5701B1FD">
            <w:pPr>
              <w:ind w:firstLine="0" w:firstLineChars="0"/>
              <w:rPr>
                <w:color w:val="auto"/>
              </w:rPr>
            </w:pPr>
            <w:r>
              <w:rPr>
                <w:rFonts w:hint="eastAsia"/>
                <w:color w:val="auto"/>
              </w:rPr>
              <w:t>4</w:t>
            </w:r>
          </w:p>
        </w:tc>
        <w:tc>
          <w:tcPr>
            <w:tcW w:w="940" w:type="pct"/>
            <w:vAlign w:val="center"/>
          </w:tcPr>
          <w:p w14:paraId="77161684">
            <w:pPr>
              <w:ind w:firstLine="0" w:firstLineChars="0"/>
              <w:rPr>
                <w:color w:val="auto"/>
              </w:rPr>
            </w:pPr>
            <w:r>
              <w:rPr>
                <w:rFonts w:hint="eastAsia"/>
                <w:color w:val="auto"/>
              </w:rPr>
              <w:t>混凝土工程</w:t>
            </w:r>
          </w:p>
        </w:tc>
        <w:tc>
          <w:tcPr>
            <w:tcW w:w="3636" w:type="pct"/>
            <w:vAlign w:val="center"/>
          </w:tcPr>
          <w:p w14:paraId="256ABD77">
            <w:pPr>
              <w:pStyle w:val="47"/>
              <w:ind w:firstLine="0" w:firstLineChars="0"/>
              <w:rPr>
                <w:color w:val="auto"/>
              </w:rPr>
            </w:pPr>
            <w:r>
              <w:rPr>
                <w:rFonts w:hint="eastAsia"/>
                <w:color w:val="auto"/>
              </w:rPr>
              <w:t>1、混凝土施工应尽量避免在雨天进行，大雨和暴雨天不得浇筑混凝土，新浇混凝土及时覆盖，并将覆盖物压实，防止大风刮跑。</w:t>
            </w:r>
          </w:p>
          <w:p w14:paraId="0AF34D49">
            <w:pPr>
              <w:pStyle w:val="47"/>
              <w:ind w:firstLine="0" w:firstLineChars="0"/>
              <w:rPr>
                <w:color w:val="auto"/>
              </w:rPr>
            </w:pPr>
            <w:r>
              <w:rPr>
                <w:rFonts w:hint="eastAsia"/>
                <w:color w:val="auto"/>
              </w:rPr>
              <w:t>2、大体积混凝土浇筑前要事先了解天气预报，确保作业安全和保证混凝土质量。同时加强坍落度检测，保证混凝土强度。</w:t>
            </w:r>
          </w:p>
        </w:tc>
      </w:tr>
      <w:tr w14:paraId="17F1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1EBC6CC1">
            <w:pPr>
              <w:ind w:firstLine="0" w:firstLineChars="0"/>
              <w:rPr>
                <w:color w:val="auto"/>
              </w:rPr>
            </w:pPr>
            <w:r>
              <w:rPr>
                <w:rFonts w:hint="eastAsia"/>
                <w:color w:val="auto"/>
              </w:rPr>
              <w:t>5</w:t>
            </w:r>
          </w:p>
        </w:tc>
        <w:tc>
          <w:tcPr>
            <w:tcW w:w="940" w:type="pct"/>
            <w:vAlign w:val="center"/>
          </w:tcPr>
          <w:p w14:paraId="3DA4E6C1">
            <w:pPr>
              <w:ind w:firstLine="0" w:firstLineChars="0"/>
              <w:rPr>
                <w:color w:val="auto"/>
              </w:rPr>
            </w:pPr>
            <w:r>
              <w:rPr>
                <w:rFonts w:hint="eastAsia"/>
                <w:color w:val="auto"/>
              </w:rPr>
              <w:t>基坑及边坡支护工程</w:t>
            </w:r>
          </w:p>
        </w:tc>
        <w:tc>
          <w:tcPr>
            <w:tcW w:w="3636" w:type="pct"/>
            <w:vAlign w:val="center"/>
          </w:tcPr>
          <w:p w14:paraId="7A354E41">
            <w:pPr>
              <w:pStyle w:val="47"/>
              <w:ind w:firstLine="0" w:firstLineChars="0"/>
              <w:rPr>
                <w:color w:val="auto"/>
              </w:rPr>
            </w:pPr>
            <w:r>
              <w:rPr>
                <w:rFonts w:hint="eastAsia"/>
                <w:color w:val="auto"/>
              </w:rPr>
              <w:t>1、按要求在基坑顶设置截水沟，在基坑内布置排水管网，基坑内雨水、施工废水通过基坑底排水沟收集至集水井，并在每个集水井设置一台水泵进行抽排水泵要求一用一备原则，备用水泵放置仓库内，以便及时更换、。</w:t>
            </w:r>
          </w:p>
          <w:p w14:paraId="6A081324">
            <w:pPr>
              <w:pStyle w:val="47"/>
              <w:ind w:firstLine="0" w:firstLineChars="0"/>
              <w:rPr>
                <w:color w:val="auto"/>
              </w:rPr>
            </w:pPr>
            <w:r>
              <w:rPr>
                <w:rFonts w:hint="eastAsia"/>
                <w:color w:val="auto"/>
              </w:rPr>
              <w:t>2、在开挖过程中，在基坑内应结合施工组织，采取逐层设临时截流沟、逐层排水的方式，合理地分区、分片开挖，及时排走施工区的积水。</w:t>
            </w:r>
          </w:p>
          <w:p w14:paraId="52D32BE9">
            <w:pPr>
              <w:pStyle w:val="47"/>
              <w:ind w:firstLine="0" w:firstLineChars="0"/>
              <w:rPr>
                <w:color w:val="auto"/>
              </w:rPr>
            </w:pPr>
            <w:r>
              <w:rPr>
                <w:rFonts w:hint="eastAsia"/>
                <w:color w:val="auto"/>
              </w:rPr>
              <w:t>3、凡有可能积水的区域，应事先填筑平整。各种构件、大型模板、机具等的存放场地，以及现场材料加工生产场地，应分层碾压密实，二八灰土铺设或二八白灰炉渣、，严禁积水，防止雨季下沉。</w:t>
            </w:r>
          </w:p>
          <w:p w14:paraId="0A486FB3">
            <w:pPr>
              <w:pStyle w:val="47"/>
              <w:ind w:firstLine="0" w:firstLineChars="0"/>
              <w:rPr>
                <w:color w:val="auto"/>
              </w:rPr>
            </w:pPr>
            <w:r>
              <w:rPr>
                <w:rFonts w:hint="eastAsia"/>
                <w:color w:val="auto"/>
              </w:rPr>
              <w:t>4、降雨量较大时，边坡备好彩条塑料布防止雨水冲刷。</w:t>
            </w:r>
          </w:p>
        </w:tc>
      </w:tr>
      <w:tr w14:paraId="5B5B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3676A16A">
            <w:pPr>
              <w:ind w:firstLine="0" w:firstLineChars="0"/>
              <w:rPr>
                <w:color w:val="auto"/>
              </w:rPr>
            </w:pPr>
            <w:r>
              <w:rPr>
                <w:rFonts w:hint="eastAsia"/>
                <w:color w:val="auto"/>
              </w:rPr>
              <w:t>6</w:t>
            </w:r>
          </w:p>
        </w:tc>
        <w:tc>
          <w:tcPr>
            <w:tcW w:w="940" w:type="pct"/>
            <w:vAlign w:val="center"/>
          </w:tcPr>
          <w:p w14:paraId="001B1E14">
            <w:pPr>
              <w:ind w:firstLine="0" w:firstLineChars="0"/>
              <w:rPr>
                <w:color w:val="auto"/>
              </w:rPr>
            </w:pPr>
            <w:r>
              <w:rPr>
                <w:rFonts w:hint="eastAsia"/>
                <w:color w:val="auto"/>
              </w:rPr>
              <w:t>脚手架工程</w:t>
            </w:r>
          </w:p>
        </w:tc>
        <w:tc>
          <w:tcPr>
            <w:tcW w:w="3636" w:type="pct"/>
            <w:vAlign w:val="center"/>
          </w:tcPr>
          <w:p w14:paraId="2B5D8C14">
            <w:pPr>
              <w:pStyle w:val="47"/>
              <w:ind w:firstLine="0" w:firstLineChars="0"/>
              <w:rPr>
                <w:color w:val="auto"/>
              </w:rPr>
            </w:pPr>
            <w:r>
              <w:rPr>
                <w:rFonts w:hint="eastAsia"/>
                <w:color w:val="auto"/>
              </w:rPr>
              <w:t>1、大雨期间，不得进行脚手架的搭设和拆除；大雨、大风后应及时对脚手架进行检查修理，有安全隐患的整改合格后方可投入使用。</w:t>
            </w:r>
          </w:p>
          <w:p w14:paraId="3ED3B88E">
            <w:pPr>
              <w:pStyle w:val="47"/>
              <w:ind w:firstLine="0" w:firstLineChars="0"/>
              <w:rPr>
                <w:color w:val="auto"/>
              </w:rPr>
            </w:pPr>
            <w:r>
              <w:rPr>
                <w:rFonts w:hint="eastAsia"/>
                <w:color w:val="auto"/>
              </w:rPr>
              <w:t>2、各类架子的基础按要求夯实牢固。雨施前及雨施期间，认真检查各类架子，并注意排水，立杆下端应垫通长厚木板，架子应设扫地杆、斜撑、剪刀撑，并与建筑物拉结牢固。发现隐患及时排除。雨停以后，首先检查架子是否安全，检查合格后方可让工人进入施工现场作业。</w:t>
            </w:r>
          </w:p>
        </w:tc>
      </w:tr>
      <w:tr w14:paraId="09B0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6FB69C36">
            <w:pPr>
              <w:ind w:firstLine="0" w:firstLineChars="0"/>
              <w:rPr>
                <w:color w:val="auto"/>
              </w:rPr>
            </w:pPr>
            <w:r>
              <w:rPr>
                <w:rFonts w:hint="eastAsia"/>
                <w:color w:val="auto"/>
              </w:rPr>
              <w:t>7</w:t>
            </w:r>
          </w:p>
        </w:tc>
        <w:tc>
          <w:tcPr>
            <w:tcW w:w="940" w:type="pct"/>
            <w:vAlign w:val="center"/>
          </w:tcPr>
          <w:p w14:paraId="4B93B176">
            <w:pPr>
              <w:ind w:firstLine="0" w:firstLineChars="0"/>
              <w:rPr>
                <w:color w:val="auto"/>
              </w:rPr>
            </w:pPr>
            <w:r>
              <w:rPr>
                <w:rFonts w:hint="eastAsia"/>
                <w:color w:val="auto"/>
              </w:rPr>
              <w:t>防水工程</w:t>
            </w:r>
          </w:p>
        </w:tc>
        <w:tc>
          <w:tcPr>
            <w:tcW w:w="3636" w:type="pct"/>
            <w:vAlign w:val="center"/>
          </w:tcPr>
          <w:p w14:paraId="7C0BE0CB">
            <w:pPr>
              <w:pStyle w:val="47"/>
              <w:ind w:firstLine="0" w:firstLineChars="0"/>
              <w:rPr>
                <w:color w:val="auto"/>
              </w:rPr>
            </w:pPr>
            <w:r>
              <w:rPr>
                <w:rFonts w:hint="eastAsia"/>
                <w:color w:val="auto"/>
              </w:rPr>
              <w:t>1、底板混凝土垫层设置2‰排水坡度，承台内设置300mm×300mm集水坑，以保证垫层无明显积水。</w:t>
            </w:r>
          </w:p>
          <w:p w14:paraId="6EBBBF48">
            <w:pPr>
              <w:pStyle w:val="47"/>
              <w:ind w:firstLine="0" w:firstLineChars="0"/>
              <w:rPr>
                <w:color w:val="auto"/>
              </w:rPr>
            </w:pPr>
            <w:r>
              <w:rPr>
                <w:rFonts w:hint="eastAsia"/>
                <w:color w:val="auto"/>
              </w:rPr>
              <w:t>2、下雨前，对防水卷材搭接部位用彩条布遮盖，并用沙袋压实。</w:t>
            </w:r>
          </w:p>
          <w:p w14:paraId="33A630F5">
            <w:pPr>
              <w:pStyle w:val="47"/>
              <w:ind w:firstLine="0" w:firstLineChars="0"/>
              <w:rPr>
                <w:color w:val="auto"/>
              </w:rPr>
            </w:pPr>
            <w:r>
              <w:rPr>
                <w:rFonts w:hint="eastAsia"/>
                <w:color w:val="auto"/>
              </w:rPr>
              <w:t>3、下雨期间停止防水卷材施工。</w:t>
            </w:r>
          </w:p>
        </w:tc>
      </w:tr>
      <w:tr w14:paraId="01D8E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63A5D0BB">
            <w:pPr>
              <w:ind w:firstLine="0" w:firstLineChars="0"/>
              <w:rPr>
                <w:color w:val="auto"/>
              </w:rPr>
            </w:pPr>
            <w:r>
              <w:rPr>
                <w:rFonts w:hint="eastAsia"/>
                <w:color w:val="auto"/>
              </w:rPr>
              <w:t>8</w:t>
            </w:r>
          </w:p>
        </w:tc>
        <w:tc>
          <w:tcPr>
            <w:tcW w:w="940" w:type="pct"/>
            <w:vAlign w:val="center"/>
          </w:tcPr>
          <w:p w14:paraId="6B457205">
            <w:pPr>
              <w:ind w:firstLine="0" w:firstLineChars="0"/>
              <w:rPr>
                <w:color w:val="auto"/>
              </w:rPr>
            </w:pPr>
            <w:r>
              <w:rPr>
                <w:rFonts w:hint="eastAsia"/>
                <w:color w:val="auto"/>
              </w:rPr>
              <w:t>机电安装工程</w:t>
            </w:r>
          </w:p>
        </w:tc>
        <w:tc>
          <w:tcPr>
            <w:tcW w:w="3636" w:type="pct"/>
            <w:vAlign w:val="center"/>
          </w:tcPr>
          <w:p w14:paraId="62340CB8">
            <w:pPr>
              <w:pStyle w:val="47"/>
              <w:ind w:firstLine="0" w:firstLineChars="0"/>
              <w:rPr>
                <w:color w:val="auto"/>
              </w:rPr>
            </w:pPr>
            <w:r>
              <w:rPr>
                <w:rFonts w:hint="eastAsia"/>
                <w:color w:val="auto"/>
              </w:rPr>
              <w:t>电气墙体预埋管、盒、箱等，均要随预埋随封闭管口，防止进水。门头雨罩及挑檐部位的预埋电线管、灯口盒等，均应先做好其本身及其连接点部分的封闭，再浇灌砼，确保使用时管内不进水。</w:t>
            </w:r>
          </w:p>
        </w:tc>
      </w:tr>
      <w:tr w14:paraId="5A2A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78FE808C">
            <w:pPr>
              <w:ind w:firstLine="0" w:firstLineChars="0"/>
              <w:rPr>
                <w:color w:val="auto"/>
              </w:rPr>
            </w:pPr>
            <w:r>
              <w:rPr>
                <w:rFonts w:hint="eastAsia"/>
                <w:color w:val="auto"/>
              </w:rPr>
              <w:t>9</w:t>
            </w:r>
          </w:p>
        </w:tc>
        <w:tc>
          <w:tcPr>
            <w:tcW w:w="940" w:type="pct"/>
            <w:vAlign w:val="center"/>
          </w:tcPr>
          <w:p w14:paraId="5696766B">
            <w:pPr>
              <w:ind w:firstLine="0" w:firstLineChars="0"/>
              <w:rPr>
                <w:color w:val="auto"/>
              </w:rPr>
            </w:pPr>
            <w:r>
              <w:rPr>
                <w:rFonts w:hint="eastAsia"/>
                <w:color w:val="auto"/>
              </w:rPr>
              <w:t>装修工程</w:t>
            </w:r>
          </w:p>
        </w:tc>
        <w:tc>
          <w:tcPr>
            <w:tcW w:w="3636" w:type="pct"/>
            <w:vAlign w:val="center"/>
          </w:tcPr>
          <w:p w14:paraId="6549C581">
            <w:pPr>
              <w:pStyle w:val="47"/>
              <w:ind w:firstLine="0" w:firstLineChars="0"/>
              <w:rPr>
                <w:color w:val="auto"/>
              </w:rPr>
            </w:pPr>
            <w:r>
              <w:rPr>
                <w:rFonts w:hint="eastAsia"/>
                <w:color w:val="auto"/>
              </w:rPr>
              <w:t>本工程装修施工跨越多个雨季。堆放在现场的各种装修材料，必须有可靠的覆盖，防止雨淋。已安装好的门窗必须有专人负责，风雨天必须关闭，防止损坏，并且防止将室内抹灰和装饰面淋湿冲刷。室内装饰工程必须在屋面和楼地面完成后进行，防止上层向下层漏水。雨天不宜进行外装修施工。</w:t>
            </w:r>
          </w:p>
        </w:tc>
      </w:tr>
      <w:tr w14:paraId="176D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3767B2C7">
            <w:pPr>
              <w:ind w:firstLine="0" w:firstLineChars="0"/>
              <w:rPr>
                <w:color w:val="auto"/>
              </w:rPr>
            </w:pPr>
            <w:r>
              <w:rPr>
                <w:rFonts w:hint="eastAsia"/>
                <w:color w:val="auto"/>
              </w:rPr>
              <w:t>1</w:t>
            </w:r>
            <w:r>
              <w:rPr>
                <w:color w:val="auto"/>
              </w:rPr>
              <w:t>0</w:t>
            </w:r>
          </w:p>
        </w:tc>
        <w:tc>
          <w:tcPr>
            <w:tcW w:w="940" w:type="pct"/>
            <w:vAlign w:val="center"/>
          </w:tcPr>
          <w:p w14:paraId="20423C22">
            <w:pPr>
              <w:ind w:firstLine="0" w:firstLineChars="0"/>
              <w:rPr>
                <w:color w:val="auto"/>
              </w:rPr>
            </w:pPr>
            <w:r>
              <w:rPr>
                <w:rFonts w:hint="eastAsia"/>
                <w:color w:val="auto"/>
              </w:rPr>
              <w:t>屋面工程</w:t>
            </w:r>
          </w:p>
        </w:tc>
        <w:tc>
          <w:tcPr>
            <w:tcW w:w="3636" w:type="pct"/>
            <w:vAlign w:val="center"/>
          </w:tcPr>
          <w:p w14:paraId="2809B4E7">
            <w:pPr>
              <w:pStyle w:val="47"/>
              <w:ind w:firstLine="0" w:firstLineChars="0"/>
              <w:rPr>
                <w:color w:val="auto"/>
              </w:rPr>
            </w:pPr>
            <w:r>
              <w:rPr>
                <w:rFonts w:hint="eastAsia"/>
                <w:color w:val="auto"/>
              </w:rPr>
              <w:t>及时掌握天气情况，注意屋面材料的存放防潮，严禁在雨中进行防水作业，同时注意流水段的划分，分小段，多流水，保证突然降雨有准备时间。屋面及时安装雨落管，预防雨水对外立面的冲刷。按规定进行防水施工，防水基层严格控制含水率。</w:t>
            </w:r>
          </w:p>
        </w:tc>
      </w:tr>
    </w:tbl>
    <w:p w14:paraId="6858C3E7">
      <w:pPr>
        <w:pStyle w:val="5"/>
        <w:rPr>
          <w:color w:val="auto"/>
        </w:rPr>
      </w:pPr>
      <w:bookmarkStart w:id="227" w:name="_Toc540"/>
      <w:r>
        <w:rPr>
          <w:rFonts w:hint="eastAsia"/>
          <w:color w:val="auto"/>
        </w:rPr>
        <w:t>台风季施工措施</w:t>
      </w:r>
      <w:bookmarkEnd w:id="227"/>
    </w:p>
    <w:p w14:paraId="3060616A">
      <w:pPr>
        <w:rPr>
          <w:color w:val="auto"/>
        </w:rPr>
      </w:pPr>
      <w:r>
        <w:rPr>
          <w:rFonts w:hint="eastAsia"/>
          <w:color w:val="auto"/>
        </w:rPr>
        <w:t>三亚市位于海南省南部，4月~11月份经常有台风袭击，为确保施工正常秩序和施工质量，将不利因素影响的损失降至最小，项目部将提前做好与气象台的联系工作，气象部门发布暴雨、台风警报后，值班人员及有关单位应随时注意收听台风动向的广播，及时向项目部有关领导报。</w:t>
      </w:r>
    </w:p>
    <w:p w14:paraId="7C85F9F1">
      <w:pPr>
        <w:pStyle w:val="54"/>
        <w:rPr>
          <w:color w:val="auto"/>
        </w:rPr>
      </w:pPr>
      <w:r>
        <w:rPr>
          <w:rFonts w:hint="eastAsia"/>
          <w:color w:val="auto"/>
        </w:rPr>
        <w:t>台风季节施工措施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8"/>
        <w:gridCol w:w="1703"/>
        <w:gridCol w:w="6589"/>
      </w:tblGrid>
      <w:tr w14:paraId="3A5BE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3AD29BF8">
            <w:pPr>
              <w:ind w:firstLine="0" w:firstLineChars="0"/>
              <w:rPr>
                <w:color w:val="auto"/>
              </w:rPr>
            </w:pPr>
            <w:r>
              <w:rPr>
                <w:rFonts w:hint="eastAsia"/>
                <w:color w:val="auto"/>
              </w:rPr>
              <w:t>序号</w:t>
            </w:r>
          </w:p>
        </w:tc>
        <w:tc>
          <w:tcPr>
            <w:tcW w:w="4576" w:type="pct"/>
            <w:gridSpan w:val="2"/>
            <w:vAlign w:val="center"/>
          </w:tcPr>
          <w:p w14:paraId="3CB65807">
            <w:pPr>
              <w:ind w:firstLine="0" w:firstLineChars="0"/>
              <w:rPr>
                <w:color w:val="auto"/>
              </w:rPr>
            </w:pPr>
            <w:r>
              <w:rPr>
                <w:rFonts w:hint="eastAsia"/>
                <w:color w:val="auto"/>
              </w:rPr>
              <w:t>主要措施</w:t>
            </w:r>
          </w:p>
        </w:tc>
      </w:tr>
      <w:tr w14:paraId="154A0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723B3E17">
            <w:pPr>
              <w:ind w:firstLine="0" w:firstLineChars="0"/>
              <w:rPr>
                <w:color w:val="auto"/>
              </w:rPr>
            </w:pPr>
            <w:r>
              <w:rPr>
                <w:rFonts w:hint="eastAsia"/>
                <w:color w:val="auto"/>
              </w:rPr>
              <w:t>1</w:t>
            </w:r>
          </w:p>
        </w:tc>
        <w:tc>
          <w:tcPr>
            <w:tcW w:w="940" w:type="pct"/>
            <w:vAlign w:val="center"/>
          </w:tcPr>
          <w:p w14:paraId="65C9E00E">
            <w:pPr>
              <w:ind w:firstLine="0" w:firstLineChars="0"/>
              <w:rPr>
                <w:color w:val="auto"/>
              </w:rPr>
            </w:pPr>
            <w:r>
              <w:rPr>
                <w:rFonts w:hint="eastAsia"/>
                <w:color w:val="auto"/>
              </w:rPr>
              <w:t>应急准备</w:t>
            </w:r>
          </w:p>
        </w:tc>
        <w:tc>
          <w:tcPr>
            <w:tcW w:w="3636" w:type="pct"/>
            <w:vAlign w:val="center"/>
          </w:tcPr>
          <w:p w14:paraId="0CA561EA">
            <w:pPr>
              <w:pStyle w:val="47"/>
              <w:ind w:firstLine="0" w:firstLineChars="0"/>
              <w:rPr>
                <w:color w:val="auto"/>
              </w:rPr>
            </w:pPr>
            <w:r>
              <w:rPr>
                <w:rFonts w:hint="eastAsia"/>
                <w:color w:val="auto"/>
              </w:rPr>
              <w:t>1、成立以项目经理为首的台风应急小组，提前进行台风应急演练。</w:t>
            </w:r>
          </w:p>
          <w:p w14:paraId="3FAA05E8">
            <w:pPr>
              <w:pStyle w:val="47"/>
              <w:ind w:firstLine="0" w:firstLineChars="0"/>
              <w:rPr>
                <w:color w:val="auto"/>
              </w:rPr>
            </w:pPr>
            <w:r>
              <w:rPr>
                <w:rFonts w:hint="eastAsia"/>
                <w:color w:val="auto"/>
              </w:rPr>
              <w:t>2、提前对临时设施加固措施进行检查。</w:t>
            </w:r>
          </w:p>
          <w:p w14:paraId="78B15C16">
            <w:pPr>
              <w:pStyle w:val="47"/>
              <w:ind w:firstLine="0" w:firstLineChars="0"/>
              <w:rPr>
                <w:color w:val="auto"/>
              </w:rPr>
            </w:pPr>
            <w:r>
              <w:rPr>
                <w:rFonts w:hint="eastAsia"/>
                <w:color w:val="auto"/>
              </w:rPr>
              <w:t>3、履带吊提前趴杆；对塔吊、施工电梯、脚手架、模板板房、配电箱等进行临时加固；堆放在屋面/楼面的机具、金属板等材料及时搬到室内避风处。</w:t>
            </w:r>
          </w:p>
          <w:p w14:paraId="4726AAC8">
            <w:pPr>
              <w:pStyle w:val="47"/>
              <w:ind w:firstLine="0" w:firstLineChars="0"/>
              <w:rPr>
                <w:color w:val="auto"/>
              </w:rPr>
            </w:pPr>
            <w:r>
              <w:rPr>
                <w:rFonts w:hint="eastAsia"/>
                <w:color w:val="auto"/>
              </w:rPr>
              <w:t>4、熄灭灯火，关闭不必要的电源或煤气。</w:t>
            </w:r>
          </w:p>
          <w:p w14:paraId="31729EFD">
            <w:pPr>
              <w:pStyle w:val="47"/>
              <w:ind w:firstLine="0" w:firstLineChars="0"/>
              <w:rPr>
                <w:color w:val="auto"/>
              </w:rPr>
            </w:pPr>
            <w:r>
              <w:rPr>
                <w:rFonts w:hint="eastAsia"/>
                <w:color w:val="auto"/>
              </w:rPr>
              <w:t>5、台风期间停止一切作业。</w:t>
            </w:r>
          </w:p>
        </w:tc>
      </w:tr>
      <w:tr w14:paraId="4201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54AFD048">
            <w:pPr>
              <w:ind w:firstLine="0" w:firstLineChars="0"/>
              <w:rPr>
                <w:color w:val="auto"/>
              </w:rPr>
            </w:pPr>
            <w:r>
              <w:rPr>
                <w:rFonts w:hint="eastAsia"/>
                <w:color w:val="auto"/>
              </w:rPr>
              <w:t>2</w:t>
            </w:r>
          </w:p>
        </w:tc>
        <w:tc>
          <w:tcPr>
            <w:tcW w:w="940" w:type="pct"/>
            <w:vAlign w:val="center"/>
          </w:tcPr>
          <w:p w14:paraId="77D63677">
            <w:pPr>
              <w:ind w:firstLine="0" w:firstLineChars="0"/>
              <w:rPr>
                <w:color w:val="auto"/>
              </w:rPr>
            </w:pPr>
            <w:r>
              <w:rPr>
                <w:rFonts w:hint="eastAsia"/>
                <w:color w:val="auto"/>
              </w:rPr>
              <w:t>人员安置</w:t>
            </w:r>
          </w:p>
        </w:tc>
        <w:tc>
          <w:tcPr>
            <w:tcW w:w="3636" w:type="pct"/>
            <w:vAlign w:val="center"/>
          </w:tcPr>
          <w:p w14:paraId="6FF46B0A">
            <w:pPr>
              <w:pStyle w:val="47"/>
              <w:ind w:firstLine="0" w:firstLineChars="0"/>
              <w:rPr>
                <w:color w:val="auto"/>
              </w:rPr>
            </w:pPr>
            <w:r>
              <w:rPr>
                <w:rFonts w:hint="eastAsia"/>
                <w:color w:val="auto"/>
              </w:rPr>
              <w:t>1、提前与应急办等政府部门沟通，必要时将人员撤离至政府指定避难场所。</w:t>
            </w:r>
          </w:p>
          <w:p w14:paraId="0EBB498F">
            <w:pPr>
              <w:pStyle w:val="47"/>
              <w:ind w:firstLine="0" w:firstLineChars="0"/>
              <w:rPr>
                <w:color w:val="auto"/>
              </w:rPr>
            </w:pPr>
            <w:r>
              <w:rPr>
                <w:rFonts w:hint="eastAsia"/>
                <w:color w:val="auto"/>
              </w:rPr>
              <w:t>2、项目综合事务部负责后勤保障工作。</w:t>
            </w:r>
          </w:p>
        </w:tc>
      </w:tr>
      <w:tr w14:paraId="63BC4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4" w:type="pct"/>
            <w:vAlign w:val="center"/>
          </w:tcPr>
          <w:p w14:paraId="558567D2">
            <w:pPr>
              <w:ind w:firstLine="0" w:firstLineChars="0"/>
              <w:rPr>
                <w:color w:val="auto"/>
              </w:rPr>
            </w:pPr>
            <w:r>
              <w:rPr>
                <w:rFonts w:hint="eastAsia"/>
                <w:color w:val="auto"/>
              </w:rPr>
              <w:t>3</w:t>
            </w:r>
          </w:p>
        </w:tc>
        <w:tc>
          <w:tcPr>
            <w:tcW w:w="940" w:type="pct"/>
            <w:vAlign w:val="center"/>
          </w:tcPr>
          <w:p w14:paraId="79ECB615">
            <w:pPr>
              <w:ind w:firstLine="0" w:firstLineChars="0"/>
              <w:rPr>
                <w:color w:val="auto"/>
              </w:rPr>
            </w:pPr>
            <w:r>
              <w:rPr>
                <w:rFonts w:hint="eastAsia"/>
                <w:color w:val="auto"/>
              </w:rPr>
              <w:t>复工安排</w:t>
            </w:r>
          </w:p>
        </w:tc>
        <w:tc>
          <w:tcPr>
            <w:tcW w:w="3636" w:type="pct"/>
            <w:vAlign w:val="center"/>
          </w:tcPr>
          <w:p w14:paraId="091238D2">
            <w:pPr>
              <w:pStyle w:val="47"/>
              <w:ind w:firstLine="0" w:firstLineChars="0"/>
              <w:rPr>
                <w:color w:val="auto"/>
              </w:rPr>
            </w:pPr>
            <w:r>
              <w:rPr>
                <w:rFonts w:hint="eastAsia"/>
                <w:color w:val="auto"/>
              </w:rPr>
              <w:t>1、由安全环保部牵头，组织相关人员对现场临时设施、机械设备、施工用电等进行专项检查及修复。</w:t>
            </w:r>
          </w:p>
          <w:p w14:paraId="1B1A8710">
            <w:pPr>
              <w:pStyle w:val="47"/>
              <w:ind w:firstLine="0" w:firstLineChars="0"/>
              <w:rPr>
                <w:color w:val="auto"/>
              </w:rPr>
            </w:pPr>
            <w:r>
              <w:rPr>
                <w:rFonts w:hint="eastAsia"/>
                <w:color w:val="auto"/>
              </w:rPr>
              <w:t>2、对作业人员进行复工安全教育与交底。</w:t>
            </w:r>
          </w:p>
        </w:tc>
      </w:tr>
    </w:tbl>
    <w:p w14:paraId="4843E8F4">
      <w:pPr>
        <w:pStyle w:val="4"/>
        <w:ind w:firstLine="482"/>
        <w:rPr>
          <w:color w:val="auto"/>
        </w:rPr>
      </w:pPr>
      <w:bookmarkStart w:id="228" w:name="_Toc15576"/>
      <w:r>
        <w:rPr>
          <w:rFonts w:hint="eastAsia"/>
          <w:color w:val="auto"/>
        </w:rPr>
        <w:t>“四新”应用</w:t>
      </w:r>
      <w:bookmarkEnd w:id="228"/>
    </w:p>
    <w:p w14:paraId="704CB759">
      <w:pPr>
        <w:pStyle w:val="5"/>
        <w:rPr>
          <w:color w:val="auto"/>
        </w:rPr>
      </w:pPr>
      <w:bookmarkStart w:id="229" w:name="_Toc24151"/>
      <w:r>
        <w:rPr>
          <w:rFonts w:hint="eastAsia"/>
          <w:color w:val="auto"/>
        </w:rPr>
        <w:t>“四新”技术应用的工作目标</w:t>
      </w:r>
      <w:bookmarkEnd w:id="229"/>
    </w:p>
    <w:p w14:paraId="4A22C1F3">
      <w:pPr>
        <w:rPr>
          <w:color w:val="auto"/>
        </w:rPr>
      </w:pPr>
      <w:r>
        <w:rPr>
          <w:rFonts w:hint="eastAsia"/>
          <w:color w:val="auto"/>
        </w:rPr>
        <w:t>“四新”技术应用目标：以科学严谨的态度，积极推广应用“建筑业10项新技术”；以严谨慎重的态度，积极借鉴已应用成熟的其他“四新”技术，达到确保质量、降低成本、缩短工期、减轻劳动强度、提高工效的目的，使本工程“四新”技术应用程度达到国内同类工程中的一流水平。</w:t>
      </w:r>
    </w:p>
    <w:p w14:paraId="3277616B">
      <w:pPr>
        <w:pStyle w:val="5"/>
        <w:rPr>
          <w:color w:val="auto"/>
        </w:rPr>
      </w:pPr>
      <w:bookmarkStart w:id="230" w:name="_Toc29040"/>
      <w:r>
        <w:rPr>
          <w:rFonts w:hint="eastAsia"/>
          <w:color w:val="auto"/>
        </w:rPr>
        <w:t>拟在本工程中应用的“建筑业10项新技术”</w:t>
      </w:r>
      <w:bookmarkEnd w:id="230"/>
    </w:p>
    <w:p w14:paraId="28E10D0E">
      <w:pPr>
        <w:rPr>
          <w:color w:val="auto"/>
        </w:rPr>
      </w:pPr>
      <w:r>
        <w:rPr>
          <w:rFonts w:hint="eastAsia"/>
          <w:color w:val="auto"/>
        </w:rPr>
        <w:t>为实现本工程“四新”技术应用目标，达到确保质量、降低成本、缩短工期、减轻劳动强度、提高工效的目的，保证本工程质量、安全等各项目标的实现，拟计划在本工程中推广应用“建筑业10项新技术”中的</w:t>
      </w:r>
      <w:r>
        <w:rPr>
          <w:color w:val="auto"/>
        </w:rPr>
        <w:t>7</w:t>
      </w:r>
      <w:r>
        <w:rPr>
          <w:rFonts w:hint="eastAsia"/>
          <w:color w:val="auto"/>
        </w:rPr>
        <w:t>大项、</w:t>
      </w:r>
      <w:r>
        <w:rPr>
          <w:color w:val="auto"/>
        </w:rPr>
        <w:t>18</w:t>
      </w:r>
      <w:r>
        <w:rPr>
          <w:rFonts w:hint="eastAsia"/>
          <w:color w:val="auto"/>
        </w:rPr>
        <w:t>小项，具体详见下表所示：</w:t>
      </w:r>
    </w:p>
    <w:p w14:paraId="5CBE9AFD">
      <w:pPr>
        <w:pStyle w:val="54"/>
        <w:rPr>
          <w:color w:val="auto"/>
        </w:rPr>
      </w:pPr>
      <w:r>
        <w:rPr>
          <w:rFonts w:hint="eastAsia"/>
          <w:color w:val="auto"/>
        </w:rPr>
        <w:t>“10项新技术”拟应用一览表</w:t>
      </w:r>
    </w:p>
    <w:tbl>
      <w:tblPr>
        <w:tblStyle w:val="29"/>
        <w:tblW w:w="85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0"/>
        <w:gridCol w:w="1416"/>
        <w:gridCol w:w="4109"/>
        <w:gridCol w:w="2177"/>
      </w:tblGrid>
      <w:tr w14:paraId="5DF7D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820" w:type="dxa"/>
            <w:vAlign w:val="center"/>
          </w:tcPr>
          <w:p w14:paraId="174CD200">
            <w:pPr>
              <w:ind w:firstLine="0" w:firstLineChars="0"/>
              <w:rPr>
                <w:color w:val="auto"/>
              </w:rPr>
            </w:pPr>
            <w:r>
              <w:rPr>
                <w:color w:val="auto"/>
              </w:rPr>
              <w:t>序号</w:t>
            </w:r>
          </w:p>
        </w:tc>
        <w:tc>
          <w:tcPr>
            <w:tcW w:w="1416" w:type="dxa"/>
            <w:vAlign w:val="center"/>
          </w:tcPr>
          <w:p w14:paraId="792107AA">
            <w:pPr>
              <w:ind w:firstLine="0" w:firstLineChars="0"/>
              <w:rPr>
                <w:color w:val="auto"/>
              </w:rPr>
            </w:pPr>
            <w:r>
              <w:rPr>
                <w:rFonts w:hint="eastAsia"/>
                <w:color w:val="auto"/>
              </w:rPr>
              <w:t>类别</w:t>
            </w:r>
          </w:p>
        </w:tc>
        <w:tc>
          <w:tcPr>
            <w:tcW w:w="4109" w:type="dxa"/>
            <w:vAlign w:val="center"/>
          </w:tcPr>
          <w:p w14:paraId="032FF168">
            <w:pPr>
              <w:ind w:firstLine="0" w:firstLineChars="0"/>
              <w:rPr>
                <w:color w:val="auto"/>
              </w:rPr>
            </w:pPr>
            <w:r>
              <w:rPr>
                <w:rFonts w:hint="eastAsia"/>
                <w:color w:val="auto"/>
              </w:rPr>
              <w:t>技术名称</w:t>
            </w:r>
          </w:p>
        </w:tc>
        <w:tc>
          <w:tcPr>
            <w:tcW w:w="2177" w:type="dxa"/>
            <w:vAlign w:val="center"/>
          </w:tcPr>
          <w:p w14:paraId="614CE4F1">
            <w:pPr>
              <w:ind w:firstLine="0" w:firstLineChars="0"/>
              <w:rPr>
                <w:color w:val="auto"/>
              </w:rPr>
            </w:pPr>
            <w:r>
              <w:rPr>
                <w:rFonts w:hint="eastAsia"/>
                <w:color w:val="auto"/>
              </w:rPr>
              <w:t>应用部位</w:t>
            </w:r>
          </w:p>
        </w:tc>
      </w:tr>
      <w:tr w14:paraId="317EB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Merge w:val="restart"/>
            <w:vAlign w:val="center"/>
          </w:tcPr>
          <w:p w14:paraId="087EAA45">
            <w:pPr>
              <w:ind w:firstLine="0" w:firstLineChars="0"/>
              <w:rPr>
                <w:color w:val="auto"/>
              </w:rPr>
            </w:pPr>
            <w:r>
              <w:rPr>
                <w:rFonts w:hint="eastAsia"/>
                <w:color w:val="auto"/>
              </w:rPr>
              <w:t>1</w:t>
            </w:r>
          </w:p>
        </w:tc>
        <w:tc>
          <w:tcPr>
            <w:tcW w:w="1416" w:type="dxa"/>
            <w:vMerge w:val="restart"/>
            <w:vAlign w:val="center"/>
          </w:tcPr>
          <w:p w14:paraId="7E56DAED">
            <w:pPr>
              <w:ind w:firstLine="0" w:firstLineChars="0"/>
              <w:rPr>
                <w:color w:val="auto"/>
              </w:rPr>
            </w:pPr>
            <w:r>
              <w:rPr>
                <w:rFonts w:hint="eastAsia"/>
                <w:color w:val="auto"/>
              </w:rPr>
              <w:t>钢筋与混凝土技术</w:t>
            </w:r>
          </w:p>
        </w:tc>
        <w:tc>
          <w:tcPr>
            <w:tcW w:w="4109" w:type="dxa"/>
            <w:vAlign w:val="center"/>
          </w:tcPr>
          <w:p w14:paraId="6519A956">
            <w:pPr>
              <w:ind w:firstLine="0" w:firstLineChars="0"/>
              <w:rPr>
                <w:color w:val="auto"/>
              </w:rPr>
            </w:pPr>
            <w:r>
              <w:rPr>
                <w:rFonts w:hint="eastAsia"/>
                <w:color w:val="auto"/>
              </w:rPr>
              <w:t>混凝土裂缝控制技术</w:t>
            </w:r>
          </w:p>
        </w:tc>
        <w:tc>
          <w:tcPr>
            <w:tcW w:w="2177" w:type="dxa"/>
            <w:vAlign w:val="center"/>
          </w:tcPr>
          <w:p w14:paraId="2482302B">
            <w:pPr>
              <w:ind w:firstLine="0" w:firstLineChars="0"/>
              <w:rPr>
                <w:color w:val="auto"/>
              </w:rPr>
            </w:pPr>
            <w:r>
              <w:rPr>
                <w:rFonts w:hint="eastAsia"/>
                <w:color w:val="auto"/>
              </w:rPr>
              <w:t>混凝土结构</w:t>
            </w:r>
          </w:p>
        </w:tc>
      </w:tr>
      <w:tr w14:paraId="4C5F8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Merge w:val="continue"/>
            <w:vAlign w:val="center"/>
          </w:tcPr>
          <w:p w14:paraId="658B93CE">
            <w:pPr>
              <w:pStyle w:val="45"/>
              <w:rPr>
                <w:rFonts w:hint="eastAsia"/>
                <w:color w:val="auto"/>
              </w:rPr>
            </w:pPr>
          </w:p>
        </w:tc>
        <w:tc>
          <w:tcPr>
            <w:tcW w:w="1416" w:type="dxa"/>
            <w:vMerge w:val="continue"/>
            <w:vAlign w:val="center"/>
          </w:tcPr>
          <w:p w14:paraId="36B23422">
            <w:pPr>
              <w:pStyle w:val="45"/>
              <w:rPr>
                <w:rFonts w:hint="eastAsia"/>
                <w:color w:val="auto"/>
              </w:rPr>
            </w:pPr>
          </w:p>
        </w:tc>
        <w:tc>
          <w:tcPr>
            <w:tcW w:w="4109" w:type="dxa"/>
            <w:vAlign w:val="center"/>
          </w:tcPr>
          <w:p w14:paraId="6D86BE36">
            <w:pPr>
              <w:ind w:firstLine="0" w:firstLineChars="0"/>
              <w:rPr>
                <w:color w:val="auto"/>
              </w:rPr>
            </w:pPr>
            <w:r>
              <w:rPr>
                <w:rFonts w:hint="eastAsia"/>
                <w:color w:val="auto"/>
              </w:rPr>
              <w:t>高强高性能混凝土技术</w:t>
            </w:r>
          </w:p>
        </w:tc>
        <w:tc>
          <w:tcPr>
            <w:tcW w:w="2177" w:type="dxa"/>
            <w:vAlign w:val="center"/>
          </w:tcPr>
          <w:p w14:paraId="653C10DB">
            <w:pPr>
              <w:ind w:firstLine="0" w:firstLineChars="0"/>
              <w:rPr>
                <w:color w:val="auto"/>
              </w:rPr>
            </w:pPr>
            <w:r>
              <w:rPr>
                <w:rFonts w:hint="eastAsia"/>
                <w:color w:val="auto"/>
              </w:rPr>
              <w:t>混凝土结构</w:t>
            </w:r>
          </w:p>
        </w:tc>
      </w:tr>
      <w:tr w14:paraId="20CD3C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082A316B">
            <w:pPr>
              <w:ind w:firstLine="0" w:firstLineChars="0"/>
              <w:rPr>
                <w:color w:val="auto"/>
              </w:rPr>
            </w:pPr>
            <w:r>
              <w:rPr>
                <w:rFonts w:hint="eastAsia"/>
                <w:color w:val="auto"/>
              </w:rPr>
              <w:t>2</w:t>
            </w:r>
          </w:p>
        </w:tc>
        <w:tc>
          <w:tcPr>
            <w:tcW w:w="1416" w:type="dxa"/>
            <w:vMerge w:val="continue"/>
            <w:vAlign w:val="center"/>
          </w:tcPr>
          <w:p w14:paraId="55B68167">
            <w:pPr>
              <w:pStyle w:val="45"/>
              <w:rPr>
                <w:rFonts w:hint="eastAsia"/>
                <w:color w:val="auto"/>
              </w:rPr>
            </w:pPr>
          </w:p>
        </w:tc>
        <w:tc>
          <w:tcPr>
            <w:tcW w:w="4109" w:type="dxa"/>
            <w:vAlign w:val="center"/>
          </w:tcPr>
          <w:p w14:paraId="558F3AB6">
            <w:pPr>
              <w:ind w:firstLine="0" w:firstLineChars="0"/>
              <w:rPr>
                <w:color w:val="auto"/>
              </w:rPr>
            </w:pPr>
            <w:r>
              <w:rPr>
                <w:rFonts w:hint="eastAsia"/>
                <w:color w:val="auto"/>
              </w:rPr>
              <w:t>钢筋焊接网应用技术</w:t>
            </w:r>
          </w:p>
        </w:tc>
        <w:tc>
          <w:tcPr>
            <w:tcW w:w="2177" w:type="dxa"/>
            <w:vAlign w:val="center"/>
          </w:tcPr>
          <w:p w14:paraId="72CC4057">
            <w:pPr>
              <w:ind w:firstLine="0" w:firstLineChars="0"/>
              <w:rPr>
                <w:color w:val="auto"/>
              </w:rPr>
            </w:pPr>
            <w:r>
              <w:rPr>
                <w:rFonts w:hint="eastAsia"/>
                <w:color w:val="auto"/>
              </w:rPr>
              <w:t>楼板钢筋</w:t>
            </w:r>
          </w:p>
        </w:tc>
      </w:tr>
      <w:tr w14:paraId="34029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7CA41264">
            <w:pPr>
              <w:ind w:firstLine="0" w:firstLineChars="0"/>
              <w:rPr>
                <w:color w:val="auto"/>
              </w:rPr>
            </w:pPr>
            <w:r>
              <w:rPr>
                <w:color w:val="auto"/>
              </w:rPr>
              <w:t>3</w:t>
            </w:r>
          </w:p>
        </w:tc>
        <w:tc>
          <w:tcPr>
            <w:tcW w:w="1416" w:type="dxa"/>
            <w:vMerge w:val="continue"/>
            <w:vAlign w:val="center"/>
          </w:tcPr>
          <w:p w14:paraId="3D62840F">
            <w:pPr>
              <w:pStyle w:val="45"/>
              <w:rPr>
                <w:rFonts w:hint="eastAsia"/>
                <w:color w:val="auto"/>
              </w:rPr>
            </w:pPr>
          </w:p>
        </w:tc>
        <w:tc>
          <w:tcPr>
            <w:tcW w:w="4109" w:type="dxa"/>
            <w:vAlign w:val="center"/>
          </w:tcPr>
          <w:p w14:paraId="07710580">
            <w:pPr>
              <w:ind w:firstLine="0" w:firstLineChars="0"/>
              <w:rPr>
                <w:color w:val="auto"/>
              </w:rPr>
            </w:pPr>
            <w:r>
              <w:rPr>
                <w:rFonts w:hint="eastAsia"/>
                <w:color w:val="auto"/>
              </w:rPr>
              <w:t>大直径钢筋直螺纹连接技术</w:t>
            </w:r>
          </w:p>
        </w:tc>
        <w:tc>
          <w:tcPr>
            <w:tcW w:w="2177" w:type="dxa"/>
            <w:vAlign w:val="center"/>
          </w:tcPr>
          <w:p w14:paraId="15ECAF02">
            <w:pPr>
              <w:ind w:firstLine="0" w:firstLineChars="0"/>
              <w:rPr>
                <w:color w:val="auto"/>
              </w:rPr>
            </w:pPr>
            <w:r>
              <w:rPr>
                <w:rFonts w:hint="eastAsia"/>
                <w:color w:val="auto"/>
              </w:rPr>
              <w:t>钢筋工程</w:t>
            </w:r>
          </w:p>
        </w:tc>
      </w:tr>
      <w:tr w14:paraId="59F1D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62C1B8F5">
            <w:pPr>
              <w:ind w:firstLine="0" w:firstLineChars="0"/>
              <w:rPr>
                <w:color w:val="auto"/>
              </w:rPr>
            </w:pPr>
            <w:r>
              <w:rPr>
                <w:color w:val="auto"/>
              </w:rPr>
              <w:t>4</w:t>
            </w:r>
          </w:p>
        </w:tc>
        <w:tc>
          <w:tcPr>
            <w:tcW w:w="1416" w:type="dxa"/>
            <w:vMerge w:val="continue"/>
            <w:vAlign w:val="center"/>
          </w:tcPr>
          <w:p w14:paraId="3CE16FBD">
            <w:pPr>
              <w:pStyle w:val="45"/>
              <w:rPr>
                <w:rFonts w:hint="eastAsia"/>
                <w:color w:val="auto"/>
              </w:rPr>
            </w:pPr>
          </w:p>
        </w:tc>
        <w:tc>
          <w:tcPr>
            <w:tcW w:w="4109" w:type="dxa"/>
            <w:vAlign w:val="center"/>
          </w:tcPr>
          <w:p w14:paraId="2F886C3E">
            <w:pPr>
              <w:ind w:firstLine="0" w:firstLineChars="0"/>
              <w:rPr>
                <w:color w:val="auto"/>
              </w:rPr>
            </w:pPr>
            <w:r>
              <w:rPr>
                <w:rFonts w:hint="eastAsia"/>
                <w:color w:val="auto"/>
              </w:rPr>
              <w:t>钢筋机械锚固技术</w:t>
            </w:r>
          </w:p>
        </w:tc>
        <w:tc>
          <w:tcPr>
            <w:tcW w:w="2177" w:type="dxa"/>
            <w:vAlign w:val="center"/>
          </w:tcPr>
          <w:p w14:paraId="1FAD6469">
            <w:pPr>
              <w:ind w:firstLine="0" w:firstLineChars="0"/>
              <w:rPr>
                <w:color w:val="auto"/>
              </w:rPr>
            </w:pPr>
            <w:r>
              <w:rPr>
                <w:rFonts w:hint="eastAsia"/>
                <w:color w:val="auto"/>
              </w:rPr>
              <w:t>梁柱节点</w:t>
            </w:r>
          </w:p>
        </w:tc>
      </w:tr>
      <w:tr w14:paraId="44BE89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2E5734FE">
            <w:pPr>
              <w:ind w:firstLine="0" w:firstLineChars="0"/>
              <w:rPr>
                <w:color w:val="auto"/>
              </w:rPr>
            </w:pPr>
            <w:r>
              <w:rPr>
                <w:color w:val="auto"/>
              </w:rPr>
              <w:t>5</w:t>
            </w:r>
          </w:p>
        </w:tc>
        <w:tc>
          <w:tcPr>
            <w:tcW w:w="1416" w:type="dxa"/>
            <w:vAlign w:val="center"/>
          </w:tcPr>
          <w:p w14:paraId="6298B05D">
            <w:pPr>
              <w:ind w:firstLine="0" w:firstLineChars="0"/>
              <w:rPr>
                <w:color w:val="auto"/>
              </w:rPr>
            </w:pPr>
            <w:r>
              <w:rPr>
                <w:rFonts w:hint="eastAsia"/>
                <w:color w:val="auto"/>
              </w:rPr>
              <w:t>机电安装工程技术</w:t>
            </w:r>
          </w:p>
        </w:tc>
        <w:tc>
          <w:tcPr>
            <w:tcW w:w="4109" w:type="dxa"/>
            <w:vAlign w:val="center"/>
          </w:tcPr>
          <w:p w14:paraId="16B2D38D">
            <w:pPr>
              <w:ind w:firstLine="0" w:firstLineChars="0"/>
              <w:rPr>
                <w:color w:val="auto"/>
              </w:rPr>
            </w:pPr>
            <w:r>
              <w:rPr>
                <w:rFonts w:hint="eastAsia"/>
                <w:color w:val="auto"/>
              </w:rPr>
              <w:t>基于</w:t>
            </w:r>
            <w:r>
              <w:rPr>
                <w:color w:val="auto"/>
              </w:rPr>
              <w:t>BIM的管线综合技术</w:t>
            </w:r>
          </w:p>
        </w:tc>
        <w:tc>
          <w:tcPr>
            <w:tcW w:w="2177" w:type="dxa"/>
            <w:vAlign w:val="center"/>
          </w:tcPr>
          <w:p w14:paraId="656A940C">
            <w:pPr>
              <w:ind w:firstLine="0" w:firstLineChars="0"/>
              <w:rPr>
                <w:color w:val="auto"/>
              </w:rPr>
            </w:pPr>
            <w:r>
              <w:rPr>
                <w:rFonts w:hint="eastAsia"/>
                <w:color w:val="auto"/>
              </w:rPr>
              <w:t>机电安装</w:t>
            </w:r>
          </w:p>
        </w:tc>
      </w:tr>
      <w:tr w14:paraId="41117E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5CB441E2">
            <w:pPr>
              <w:ind w:firstLine="0" w:firstLineChars="0"/>
              <w:rPr>
                <w:color w:val="auto"/>
              </w:rPr>
            </w:pPr>
            <w:r>
              <w:rPr>
                <w:rFonts w:hint="eastAsia"/>
                <w:color w:val="auto"/>
              </w:rPr>
              <w:t>6</w:t>
            </w:r>
          </w:p>
        </w:tc>
        <w:tc>
          <w:tcPr>
            <w:tcW w:w="1416" w:type="dxa"/>
            <w:vMerge w:val="restart"/>
            <w:vAlign w:val="center"/>
          </w:tcPr>
          <w:p w14:paraId="0A505000">
            <w:pPr>
              <w:ind w:firstLine="0" w:firstLineChars="0"/>
              <w:rPr>
                <w:color w:val="auto"/>
              </w:rPr>
            </w:pPr>
            <w:r>
              <w:rPr>
                <w:rFonts w:hint="eastAsia"/>
                <w:color w:val="auto"/>
              </w:rPr>
              <w:t>绿色施工技术</w:t>
            </w:r>
          </w:p>
        </w:tc>
        <w:tc>
          <w:tcPr>
            <w:tcW w:w="4109" w:type="dxa"/>
            <w:vAlign w:val="center"/>
          </w:tcPr>
          <w:p w14:paraId="4619BBC2">
            <w:pPr>
              <w:ind w:firstLine="0" w:firstLineChars="0"/>
              <w:rPr>
                <w:color w:val="auto"/>
              </w:rPr>
            </w:pPr>
            <w:r>
              <w:rPr>
                <w:rFonts w:hint="eastAsia"/>
                <w:color w:val="auto"/>
              </w:rPr>
              <w:t>封闭降水及水收集综合利用技术</w:t>
            </w:r>
          </w:p>
        </w:tc>
        <w:tc>
          <w:tcPr>
            <w:tcW w:w="2177" w:type="dxa"/>
            <w:vAlign w:val="center"/>
          </w:tcPr>
          <w:p w14:paraId="6444DE50">
            <w:pPr>
              <w:ind w:firstLine="0" w:firstLineChars="0"/>
              <w:rPr>
                <w:color w:val="auto"/>
              </w:rPr>
            </w:pPr>
            <w:r>
              <w:rPr>
                <w:rFonts w:hint="eastAsia"/>
                <w:color w:val="auto"/>
              </w:rPr>
              <w:t>整个施工过程</w:t>
            </w:r>
          </w:p>
        </w:tc>
      </w:tr>
      <w:tr w14:paraId="21114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573F1819">
            <w:pPr>
              <w:ind w:firstLine="0" w:firstLineChars="0"/>
              <w:rPr>
                <w:color w:val="auto"/>
              </w:rPr>
            </w:pPr>
            <w:r>
              <w:rPr>
                <w:color w:val="auto"/>
              </w:rPr>
              <w:t>8</w:t>
            </w:r>
          </w:p>
        </w:tc>
        <w:tc>
          <w:tcPr>
            <w:tcW w:w="1416" w:type="dxa"/>
            <w:vMerge w:val="continue"/>
            <w:vAlign w:val="center"/>
          </w:tcPr>
          <w:p w14:paraId="2A8C544B">
            <w:pPr>
              <w:pStyle w:val="45"/>
              <w:rPr>
                <w:rFonts w:hint="eastAsia"/>
                <w:color w:val="auto"/>
              </w:rPr>
            </w:pPr>
          </w:p>
        </w:tc>
        <w:tc>
          <w:tcPr>
            <w:tcW w:w="4109" w:type="dxa"/>
            <w:vAlign w:val="center"/>
          </w:tcPr>
          <w:p w14:paraId="648A9996">
            <w:pPr>
              <w:ind w:firstLine="0" w:firstLineChars="0"/>
              <w:rPr>
                <w:color w:val="auto"/>
              </w:rPr>
            </w:pPr>
            <w:r>
              <w:rPr>
                <w:color w:val="auto"/>
              </w:rPr>
              <w:t>施工现场太阳能、空气能利用技术</w:t>
            </w:r>
          </w:p>
        </w:tc>
        <w:tc>
          <w:tcPr>
            <w:tcW w:w="2177" w:type="dxa"/>
            <w:vAlign w:val="center"/>
          </w:tcPr>
          <w:p w14:paraId="3432EF40">
            <w:pPr>
              <w:ind w:firstLine="0" w:firstLineChars="0"/>
              <w:rPr>
                <w:color w:val="auto"/>
              </w:rPr>
            </w:pPr>
            <w:r>
              <w:rPr>
                <w:rFonts w:hint="eastAsia"/>
                <w:color w:val="auto"/>
              </w:rPr>
              <w:t>临时设施</w:t>
            </w:r>
          </w:p>
        </w:tc>
      </w:tr>
      <w:tr w14:paraId="12F6ED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2F372EFA">
            <w:pPr>
              <w:ind w:firstLine="0" w:firstLineChars="0"/>
              <w:rPr>
                <w:color w:val="auto"/>
              </w:rPr>
            </w:pPr>
            <w:r>
              <w:rPr>
                <w:color w:val="auto"/>
              </w:rPr>
              <w:t>9</w:t>
            </w:r>
          </w:p>
        </w:tc>
        <w:tc>
          <w:tcPr>
            <w:tcW w:w="1416" w:type="dxa"/>
            <w:vMerge w:val="continue"/>
            <w:vAlign w:val="center"/>
          </w:tcPr>
          <w:p w14:paraId="7311F247">
            <w:pPr>
              <w:pStyle w:val="45"/>
              <w:rPr>
                <w:rFonts w:hint="eastAsia"/>
                <w:color w:val="auto"/>
              </w:rPr>
            </w:pPr>
          </w:p>
        </w:tc>
        <w:tc>
          <w:tcPr>
            <w:tcW w:w="4109" w:type="dxa"/>
            <w:vAlign w:val="center"/>
          </w:tcPr>
          <w:p w14:paraId="1288763F">
            <w:pPr>
              <w:ind w:firstLine="0" w:firstLineChars="0"/>
              <w:rPr>
                <w:color w:val="auto"/>
              </w:rPr>
            </w:pPr>
            <w:r>
              <w:rPr>
                <w:rFonts w:hint="eastAsia"/>
                <w:color w:val="auto"/>
              </w:rPr>
              <w:t>施工扬尘控制技术</w:t>
            </w:r>
          </w:p>
        </w:tc>
        <w:tc>
          <w:tcPr>
            <w:tcW w:w="2177" w:type="dxa"/>
            <w:vAlign w:val="center"/>
          </w:tcPr>
          <w:p w14:paraId="182D0A75">
            <w:pPr>
              <w:ind w:firstLine="0" w:firstLineChars="0"/>
              <w:rPr>
                <w:color w:val="auto"/>
              </w:rPr>
            </w:pPr>
            <w:r>
              <w:rPr>
                <w:rFonts w:hint="eastAsia"/>
                <w:color w:val="auto"/>
              </w:rPr>
              <w:t>扬尘监控</w:t>
            </w:r>
          </w:p>
        </w:tc>
      </w:tr>
      <w:tr w14:paraId="5D35E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2601BD16">
            <w:pPr>
              <w:ind w:firstLine="0" w:firstLineChars="0"/>
              <w:rPr>
                <w:color w:val="auto"/>
              </w:rPr>
            </w:pPr>
            <w:r>
              <w:rPr>
                <w:color w:val="auto"/>
              </w:rPr>
              <w:t>10</w:t>
            </w:r>
          </w:p>
        </w:tc>
        <w:tc>
          <w:tcPr>
            <w:tcW w:w="1416" w:type="dxa"/>
            <w:vMerge w:val="continue"/>
            <w:vAlign w:val="center"/>
          </w:tcPr>
          <w:p w14:paraId="2BBFC551">
            <w:pPr>
              <w:pStyle w:val="45"/>
              <w:rPr>
                <w:rFonts w:hint="eastAsia"/>
                <w:color w:val="auto"/>
              </w:rPr>
            </w:pPr>
          </w:p>
        </w:tc>
        <w:tc>
          <w:tcPr>
            <w:tcW w:w="4109" w:type="dxa"/>
            <w:vAlign w:val="center"/>
          </w:tcPr>
          <w:p w14:paraId="77018379">
            <w:pPr>
              <w:ind w:firstLine="0" w:firstLineChars="0"/>
              <w:rPr>
                <w:color w:val="auto"/>
              </w:rPr>
            </w:pPr>
            <w:r>
              <w:rPr>
                <w:rFonts w:hint="eastAsia"/>
                <w:color w:val="auto"/>
              </w:rPr>
              <w:t>工具式定型化临时设施技术</w:t>
            </w:r>
          </w:p>
        </w:tc>
        <w:tc>
          <w:tcPr>
            <w:tcW w:w="2177" w:type="dxa"/>
            <w:vAlign w:val="center"/>
          </w:tcPr>
          <w:p w14:paraId="101DAB00">
            <w:pPr>
              <w:ind w:firstLine="0" w:firstLineChars="0"/>
              <w:rPr>
                <w:color w:val="auto"/>
              </w:rPr>
            </w:pPr>
            <w:r>
              <w:rPr>
                <w:rFonts w:hint="eastAsia"/>
                <w:color w:val="auto"/>
              </w:rPr>
              <w:t>临时防护设施</w:t>
            </w:r>
          </w:p>
        </w:tc>
      </w:tr>
      <w:tr w14:paraId="64397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777EC578">
            <w:pPr>
              <w:ind w:firstLine="0" w:firstLineChars="0"/>
              <w:rPr>
                <w:color w:val="auto"/>
              </w:rPr>
            </w:pPr>
            <w:r>
              <w:rPr>
                <w:rFonts w:hint="eastAsia"/>
                <w:color w:val="auto"/>
              </w:rPr>
              <w:t>1</w:t>
            </w:r>
            <w:r>
              <w:rPr>
                <w:color w:val="auto"/>
              </w:rPr>
              <w:t>1</w:t>
            </w:r>
          </w:p>
        </w:tc>
        <w:tc>
          <w:tcPr>
            <w:tcW w:w="1416" w:type="dxa"/>
            <w:vMerge w:val="restart"/>
            <w:vAlign w:val="center"/>
          </w:tcPr>
          <w:p w14:paraId="556A7EDC">
            <w:pPr>
              <w:ind w:firstLine="0" w:firstLineChars="0"/>
              <w:rPr>
                <w:color w:val="auto"/>
              </w:rPr>
            </w:pPr>
            <w:r>
              <w:rPr>
                <w:rFonts w:hint="eastAsia"/>
                <w:color w:val="auto"/>
              </w:rPr>
              <w:t>防水技术与围护结构节能</w:t>
            </w:r>
          </w:p>
        </w:tc>
        <w:tc>
          <w:tcPr>
            <w:tcW w:w="4109" w:type="dxa"/>
            <w:vAlign w:val="center"/>
          </w:tcPr>
          <w:p w14:paraId="719197E8">
            <w:pPr>
              <w:ind w:firstLine="0" w:firstLineChars="0"/>
              <w:rPr>
                <w:color w:val="auto"/>
              </w:rPr>
            </w:pPr>
            <w:r>
              <w:rPr>
                <w:rFonts w:hint="eastAsia"/>
                <w:color w:val="auto"/>
              </w:rPr>
              <w:t>一体化遮阳窗</w:t>
            </w:r>
          </w:p>
        </w:tc>
        <w:tc>
          <w:tcPr>
            <w:tcW w:w="2177" w:type="dxa"/>
            <w:vAlign w:val="center"/>
          </w:tcPr>
          <w:p w14:paraId="797DA540">
            <w:pPr>
              <w:ind w:firstLine="0" w:firstLineChars="0"/>
              <w:rPr>
                <w:color w:val="auto"/>
              </w:rPr>
            </w:pPr>
            <w:r>
              <w:rPr>
                <w:rFonts w:hint="eastAsia"/>
                <w:color w:val="auto"/>
              </w:rPr>
              <w:t>凸窗</w:t>
            </w:r>
          </w:p>
        </w:tc>
      </w:tr>
      <w:tr w14:paraId="51F6FE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0CE72AE5">
            <w:pPr>
              <w:ind w:firstLine="0" w:firstLineChars="0"/>
              <w:rPr>
                <w:color w:val="auto"/>
              </w:rPr>
            </w:pPr>
            <w:r>
              <w:rPr>
                <w:color w:val="auto"/>
              </w:rPr>
              <w:t>12</w:t>
            </w:r>
          </w:p>
        </w:tc>
        <w:tc>
          <w:tcPr>
            <w:tcW w:w="1416" w:type="dxa"/>
            <w:vMerge w:val="continue"/>
            <w:vAlign w:val="center"/>
          </w:tcPr>
          <w:p w14:paraId="1B653882">
            <w:pPr>
              <w:pStyle w:val="45"/>
              <w:rPr>
                <w:rFonts w:hint="eastAsia"/>
                <w:color w:val="auto"/>
              </w:rPr>
            </w:pPr>
          </w:p>
        </w:tc>
        <w:tc>
          <w:tcPr>
            <w:tcW w:w="4109" w:type="dxa"/>
            <w:vAlign w:val="center"/>
          </w:tcPr>
          <w:p w14:paraId="1535983D">
            <w:pPr>
              <w:ind w:firstLine="0" w:firstLineChars="0"/>
              <w:rPr>
                <w:color w:val="auto"/>
              </w:rPr>
            </w:pPr>
            <w:r>
              <w:rPr>
                <w:rFonts w:hint="eastAsia"/>
                <w:color w:val="auto"/>
              </w:rPr>
              <w:t>种植屋面防水施工技术</w:t>
            </w:r>
          </w:p>
        </w:tc>
        <w:tc>
          <w:tcPr>
            <w:tcW w:w="2177" w:type="dxa"/>
            <w:vAlign w:val="center"/>
          </w:tcPr>
          <w:p w14:paraId="441E1ACD">
            <w:pPr>
              <w:ind w:firstLine="0" w:firstLineChars="0"/>
              <w:rPr>
                <w:color w:val="auto"/>
              </w:rPr>
            </w:pPr>
            <w:r>
              <w:rPr>
                <w:rFonts w:hint="eastAsia"/>
                <w:color w:val="auto"/>
              </w:rPr>
              <w:t>种植屋面</w:t>
            </w:r>
          </w:p>
        </w:tc>
      </w:tr>
      <w:tr w14:paraId="6639D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0B92CC91">
            <w:pPr>
              <w:ind w:firstLine="0" w:firstLineChars="0"/>
              <w:rPr>
                <w:color w:val="auto"/>
              </w:rPr>
            </w:pPr>
            <w:r>
              <w:rPr>
                <w:color w:val="auto"/>
              </w:rPr>
              <w:t>13</w:t>
            </w:r>
          </w:p>
        </w:tc>
        <w:tc>
          <w:tcPr>
            <w:tcW w:w="1416" w:type="dxa"/>
            <w:vAlign w:val="center"/>
          </w:tcPr>
          <w:p w14:paraId="19BE9000">
            <w:pPr>
              <w:ind w:firstLine="0" w:firstLineChars="0"/>
              <w:rPr>
                <w:color w:val="auto"/>
              </w:rPr>
            </w:pPr>
            <w:r>
              <w:rPr>
                <w:rFonts w:hint="eastAsia"/>
                <w:color w:val="auto"/>
              </w:rPr>
              <w:t>抗震、加固与监测技术</w:t>
            </w:r>
          </w:p>
        </w:tc>
        <w:tc>
          <w:tcPr>
            <w:tcW w:w="4109" w:type="dxa"/>
            <w:vAlign w:val="center"/>
          </w:tcPr>
          <w:p w14:paraId="3EA701C1">
            <w:pPr>
              <w:ind w:firstLine="0" w:firstLineChars="0"/>
              <w:rPr>
                <w:color w:val="auto"/>
              </w:rPr>
            </w:pPr>
            <w:r>
              <w:rPr>
                <w:rFonts w:hint="eastAsia"/>
                <w:color w:val="auto"/>
              </w:rPr>
              <w:t>深基坑施工监测技术</w:t>
            </w:r>
          </w:p>
        </w:tc>
        <w:tc>
          <w:tcPr>
            <w:tcW w:w="2177" w:type="dxa"/>
            <w:vAlign w:val="center"/>
          </w:tcPr>
          <w:p w14:paraId="27FB13F8">
            <w:pPr>
              <w:ind w:firstLine="0" w:firstLineChars="0"/>
              <w:rPr>
                <w:color w:val="auto"/>
              </w:rPr>
            </w:pPr>
            <w:r>
              <w:rPr>
                <w:rFonts w:hint="eastAsia"/>
                <w:color w:val="auto"/>
              </w:rPr>
              <w:t>地下室深基坑</w:t>
            </w:r>
          </w:p>
        </w:tc>
      </w:tr>
      <w:tr w14:paraId="105073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53DA6852">
            <w:pPr>
              <w:ind w:firstLine="0" w:firstLineChars="0"/>
              <w:rPr>
                <w:color w:val="auto"/>
              </w:rPr>
            </w:pPr>
            <w:r>
              <w:rPr>
                <w:color w:val="auto"/>
              </w:rPr>
              <w:t>14</w:t>
            </w:r>
          </w:p>
        </w:tc>
        <w:tc>
          <w:tcPr>
            <w:tcW w:w="1416" w:type="dxa"/>
            <w:vMerge w:val="restart"/>
            <w:vAlign w:val="center"/>
          </w:tcPr>
          <w:p w14:paraId="7CE0E1CF">
            <w:pPr>
              <w:ind w:firstLine="0" w:firstLineChars="0"/>
              <w:rPr>
                <w:color w:val="auto"/>
              </w:rPr>
            </w:pPr>
            <w:r>
              <w:rPr>
                <w:rFonts w:hint="eastAsia"/>
                <w:color w:val="auto"/>
              </w:rPr>
              <w:t>信息化技术</w:t>
            </w:r>
          </w:p>
        </w:tc>
        <w:tc>
          <w:tcPr>
            <w:tcW w:w="4109" w:type="dxa"/>
            <w:vAlign w:val="center"/>
          </w:tcPr>
          <w:p w14:paraId="5A43C21A">
            <w:pPr>
              <w:ind w:firstLine="0" w:firstLineChars="0"/>
              <w:rPr>
                <w:color w:val="auto"/>
              </w:rPr>
            </w:pPr>
            <w:r>
              <w:rPr>
                <w:rFonts w:hint="eastAsia"/>
                <w:color w:val="auto"/>
              </w:rPr>
              <w:t>基于</w:t>
            </w:r>
            <w:r>
              <w:rPr>
                <w:color w:val="auto"/>
              </w:rPr>
              <w:t>BIM的现场施工管理信息技术</w:t>
            </w:r>
          </w:p>
        </w:tc>
        <w:tc>
          <w:tcPr>
            <w:tcW w:w="2177" w:type="dxa"/>
            <w:vAlign w:val="center"/>
          </w:tcPr>
          <w:p w14:paraId="747A3BAE">
            <w:pPr>
              <w:ind w:firstLine="0" w:firstLineChars="0"/>
              <w:rPr>
                <w:color w:val="auto"/>
              </w:rPr>
            </w:pPr>
            <w:r>
              <w:rPr>
                <w:rFonts w:hint="eastAsia"/>
                <w:color w:val="auto"/>
              </w:rPr>
              <w:t>整个施工过程</w:t>
            </w:r>
          </w:p>
        </w:tc>
      </w:tr>
      <w:tr w14:paraId="15A17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795AA8D7">
            <w:pPr>
              <w:ind w:firstLine="0" w:firstLineChars="0"/>
              <w:rPr>
                <w:color w:val="auto"/>
              </w:rPr>
            </w:pPr>
            <w:r>
              <w:rPr>
                <w:color w:val="auto"/>
              </w:rPr>
              <w:t>15</w:t>
            </w:r>
          </w:p>
        </w:tc>
        <w:tc>
          <w:tcPr>
            <w:tcW w:w="1416" w:type="dxa"/>
            <w:vMerge w:val="continue"/>
            <w:vAlign w:val="center"/>
          </w:tcPr>
          <w:p w14:paraId="260C2842">
            <w:pPr>
              <w:pStyle w:val="45"/>
              <w:rPr>
                <w:rFonts w:hint="eastAsia"/>
                <w:color w:val="auto"/>
              </w:rPr>
            </w:pPr>
          </w:p>
        </w:tc>
        <w:tc>
          <w:tcPr>
            <w:tcW w:w="4109" w:type="dxa"/>
            <w:vAlign w:val="center"/>
          </w:tcPr>
          <w:p w14:paraId="3B713209">
            <w:pPr>
              <w:ind w:firstLine="0" w:firstLineChars="0"/>
              <w:rPr>
                <w:color w:val="auto"/>
              </w:rPr>
            </w:pPr>
            <w:r>
              <w:rPr>
                <w:rFonts w:hint="eastAsia"/>
                <w:color w:val="auto"/>
              </w:rPr>
              <w:t>基于大数据的项目成本分析与控制信息技术</w:t>
            </w:r>
          </w:p>
        </w:tc>
        <w:tc>
          <w:tcPr>
            <w:tcW w:w="2177" w:type="dxa"/>
            <w:vAlign w:val="center"/>
          </w:tcPr>
          <w:p w14:paraId="009956BE">
            <w:pPr>
              <w:ind w:firstLine="0" w:firstLineChars="0"/>
              <w:rPr>
                <w:color w:val="auto"/>
              </w:rPr>
            </w:pPr>
            <w:r>
              <w:rPr>
                <w:rFonts w:hint="eastAsia"/>
                <w:color w:val="auto"/>
              </w:rPr>
              <w:t>整个施工过程</w:t>
            </w:r>
          </w:p>
        </w:tc>
      </w:tr>
      <w:tr w14:paraId="07C7C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6E7F2B27">
            <w:pPr>
              <w:ind w:firstLine="0" w:firstLineChars="0"/>
              <w:rPr>
                <w:color w:val="auto"/>
              </w:rPr>
            </w:pPr>
            <w:r>
              <w:rPr>
                <w:color w:val="auto"/>
              </w:rPr>
              <w:t>16</w:t>
            </w:r>
          </w:p>
        </w:tc>
        <w:tc>
          <w:tcPr>
            <w:tcW w:w="1416" w:type="dxa"/>
            <w:vMerge w:val="continue"/>
            <w:vAlign w:val="center"/>
          </w:tcPr>
          <w:p w14:paraId="1FA7576A">
            <w:pPr>
              <w:pStyle w:val="45"/>
              <w:rPr>
                <w:rFonts w:hint="eastAsia"/>
                <w:color w:val="auto"/>
              </w:rPr>
            </w:pPr>
          </w:p>
        </w:tc>
        <w:tc>
          <w:tcPr>
            <w:tcW w:w="4109" w:type="dxa"/>
            <w:vAlign w:val="center"/>
          </w:tcPr>
          <w:p w14:paraId="71D15073">
            <w:pPr>
              <w:ind w:firstLine="0" w:firstLineChars="0"/>
              <w:rPr>
                <w:color w:val="auto"/>
              </w:rPr>
            </w:pPr>
            <w:r>
              <w:rPr>
                <w:color w:val="auto"/>
              </w:rPr>
              <w:t>基于互联网的项目多方协同管理技术</w:t>
            </w:r>
          </w:p>
        </w:tc>
        <w:tc>
          <w:tcPr>
            <w:tcW w:w="2177" w:type="dxa"/>
            <w:vAlign w:val="center"/>
          </w:tcPr>
          <w:p w14:paraId="06084EE8">
            <w:pPr>
              <w:ind w:firstLine="0" w:firstLineChars="0"/>
              <w:rPr>
                <w:color w:val="auto"/>
              </w:rPr>
            </w:pPr>
            <w:r>
              <w:rPr>
                <w:rFonts w:hint="eastAsia"/>
                <w:color w:val="auto"/>
              </w:rPr>
              <w:t>整个施工过程</w:t>
            </w:r>
          </w:p>
        </w:tc>
      </w:tr>
      <w:tr w14:paraId="4EBB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20" w:type="dxa"/>
            <w:vAlign w:val="center"/>
          </w:tcPr>
          <w:p w14:paraId="1675656E">
            <w:pPr>
              <w:ind w:firstLine="0" w:firstLineChars="0"/>
              <w:rPr>
                <w:color w:val="auto"/>
              </w:rPr>
            </w:pPr>
            <w:r>
              <w:rPr>
                <w:color w:val="auto"/>
              </w:rPr>
              <w:t>17</w:t>
            </w:r>
          </w:p>
        </w:tc>
        <w:tc>
          <w:tcPr>
            <w:tcW w:w="1416" w:type="dxa"/>
            <w:vMerge w:val="continue"/>
            <w:vAlign w:val="center"/>
          </w:tcPr>
          <w:p w14:paraId="30C0DB31">
            <w:pPr>
              <w:pStyle w:val="45"/>
              <w:rPr>
                <w:rFonts w:hint="eastAsia"/>
                <w:color w:val="auto"/>
              </w:rPr>
            </w:pPr>
          </w:p>
        </w:tc>
        <w:tc>
          <w:tcPr>
            <w:tcW w:w="4109" w:type="dxa"/>
            <w:vAlign w:val="center"/>
          </w:tcPr>
          <w:p w14:paraId="71A5C369">
            <w:pPr>
              <w:ind w:firstLine="0" w:firstLineChars="0"/>
              <w:rPr>
                <w:color w:val="auto"/>
              </w:rPr>
            </w:pPr>
            <w:r>
              <w:rPr>
                <w:rFonts w:hint="eastAsia"/>
                <w:color w:val="auto"/>
              </w:rPr>
              <w:t>基于智能化的装配式建筑产品生产与施工管理信息技术</w:t>
            </w:r>
          </w:p>
        </w:tc>
        <w:tc>
          <w:tcPr>
            <w:tcW w:w="2177" w:type="dxa"/>
            <w:vAlign w:val="center"/>
          </w:tcPr>
          <w:p w14:paraId="7F468076">
            <w:pPr>
              <w:ind w:firstLine="0" w:firstLineChars="0"/>
              <w:rPr>
                <w:color w:val="auto"/>
              </w:rPr>
            </w:pPr>
            <w:r>
              <w:rPr>
                <w:rFonts w:hint="eastAsia"/>
                <w:color w:val="auto"/>
              </w:rPr>
              <w:t>整个施工过程</w:t>
            </w:r>
          </w:p>
        </w:tc>
      </w:tr>
    </w:tbl>
    <w:p w14:paraId="7E20963F">
      <w:pPr>
        <w:pStyle w:val="4"/>
        <w:ind w:firstLine="482"/>
        <w:rPr>
          <w:color w:val="auto"/>
        </w:rPr>
      </w:pPr>
      <w:bookmarkStart w:id="231" w:name="_Toc19285"/>
      <w:r>
        <w:rPr>
          <w:rFonts w:hint="eastAsia"/>
          <w:color w:val="auto"/>
        </w:rPr>
        <w:t>智慧建造</w:t>
      </w:r>
      <w:bookmarkEnd w:id="231"/>
    </w:p>
    <w:p w14:paraId="4330FB01">
      <w:pPr>
        <w:pStyle w:val="5"/>
        <w:rPr>
          <w:color w:val="auto"/>
        </w:rPr>
      </w:pPr>
      <w:bookmarkStart w:id="232" w:name="_Toc22089"/>
      <w:r>
        <w:rPr>
          <w:rFonts w:hint="eastAsia"/>
          <w:color w:val="auto"/>
        </w:rPr>
        <w:t>质量管理</w:t>
      </w:r>
      <w:bookmarkEnd w:id="232"/>
    </w:p>
    <w:p w14:paraId="491A229D">
      <w:pPr>
        <w:rPr>
          <w:color w:val="auto"/>
        </w:rPr>
      </w:pPr>
      <w:r>
        <w:rPr>
          <w:rFonts w:hint="eastAsia"/>
          <w:color w:val="auto"/>
        </w:rPr>
        <w:t>1、智能化实测实量工具</w:t>
      </w:r>
    </w:p>
    <w:p w14:paraId="0AAEC54B">
      <w:pPr>
        <w:rPr>
          <w:color w:val="auto"/>
        </w:rPr>
      </w:pPr>
      <w:r>
        <w:rPr>
          <w:rFonts w:hint="eastAsia"/>
          <w:color w:val="auto"/>
        </w:rPr>
        <w:t>实现对实测实量数据的自动采集分析，改变传统方式下“一人测量、一人记录”状况，测量数据自动读取、自动上传、质量问题自动判断，提高质量测量数据准确性、及时性与真实性。</w:t>
      </w:r>
    </w:p>
    <w:p w14:paraId="6DD38311">
      <w:pPr>
        <w:rPr>
          <w:color w:val="auto"/>
        </w:rPr>
      </w:pPr>
      <w:r>
        <w:rPr>
          <w:color w:val="auto"/>
        </w:rPr>
        <w:t>2</w:t>
      </w:r>
      <w:r>
        <w:rPr>
          <w:rFonts w:hint="eastAsia"/>
          <w:color w:val="auto"/>
        </w:rPr>
        <w:t>、智能回弹仪</w:t>
      </w:r>
    </w:p>
    <w:p w14:paraId="6658258D">
      <w:pPr>
        <w:rPr>
          <w:color w:val="auto"/>
        </w:rPr>
      </w:pPr>
      <w:r>
        <w:rPr>
          <w:rFonts w:hint="eastAsia"/>
          <w:color w:val="auto"/>
        </w:rPr>
        <w:t>可单人完成回弹工作，实现回弹结果的一次导出及自动传输，保证数据的准确性与及时性，回弹效率提高2倍。</w:t>
      </w:r>
    </w:p>
    <w:p w14:paraId="5EA56E28">
      <w:pPr>
        <w:rPr>
          <w:color w:val="auto"/>
        </w:rPr>
      </w:pPr>
      <w:r>
        <w:rPr>
          <w:rFonts w:hint="eastAsia"/>
          <w:color w:val="auto"/>
        </w:rPr>
        <w:t>3、试块芯片</w:t>
      </w:r>
    </w:p>
    <w:p w14:paraId="0B7FEFDE">
      <w:pPr>
        <w:rPr>
          <w:color w:val="auto"/>
        </w:rPr>
      </w:pPr>
      <w:r>
        <w:rPr>
          <w:rFonts w:hint="eastAsia"/>
          <w:color w:val="auto"/>
        </w:rPr>
        <w:t>见证取样送检信息化，要求施工单位的取样人员、建设单位或监理单位的见证人员进行实名认证、通过能力评价、获得所在单位授权后方可从事见证取样送检工作，在工地现场使用二维码或芯片对样品进行唯一标识性。</w:t>
      </w:r>
    </w:p>
    <w:p w14:paraId="4621CA60">
      <w:pPr>
        <w:pStyle w:val="5"/>
        <w:rPr>
          <w:color w:val="auto"/>
        </w:rPr>
      </w:pPr>
      <w:bookmarkStart w:id="233" w:name="_Toc13555"/>
      <w:r>
        <w:rPr>
          <w:rFonts w:hint="eastAsia"/>
          <w:color w:val="auto"/>
        </w:rPr>
        <w:t>安全管理</w:t>
      </w:r>
      <w:bookmarkEnd w:id="233"/>
    </w:p>
    <w:p w14:paraId="195D9D98">
      <w:pPr>
        <w:rPr>
          <w:color w:val="auto"/>
        </w:rPr>
      </w:pPr>
      <w:r>
        <w:rPr>
          <w:rFonts w:hint="eastAsia"/>
          <w:color w:val="auto"/>
        </w:rPr>
        <w:t>4、行为安全之星</w:t>
      </w:r>
    </w:p>
    <w:p w14:paraId="37738618">
      <w:pPr>
        <w:rPr>
          <w:color w:val="auto"/>
        </w:rPr>
      </w:pPr>
      <w:r>
        <w:rPr>
          <w:rFonts w:hint="eastAsia"/>
          <w:color w:val="auto"/>
        </w:rPr>
        <w:t>实现管理理念从不安全行为打击向安全行为激励的转变，营造人人主动安全、人人维护安全、人人争当安全员的施工现场安全氛围。降低违章作业行为发生频次，即时录入相关数据，通过客观统计分析，评价现场分包及作业人员行为管理，进一步开展专项教育。</w:t>
      </w:r>
    </w:p>
    <w:p w14:paraId="65EC1132">
      <w:pPr>
        <w:rPr>
          <w:color w:val="auto"/>
        </w:rPr>
      </w:pPr>
      <w:r>
        <w:rPr>
          <w:rFonts w:hint="eastAsia"/>
          <w:color w:val="auto"/>
        </w:rPr>
        <w:t>5、移动巡更模块</w:t>
      </w:r>
    </w:p>
    <w:p w14:paraId="2C5C9A22">
      <w:pPr>
        <w:rPr>
          <w:color w:val="auto"/>
        </w:rPr>
      </w:pPr>
      <w:r>
        <w:rPr>
          <w:rFonts w:hint="eastAsia"/>
          <w:color w:val="auto"/>
        </w:rPr>
        <w:t>隐患信息及整改要求即时传输，快速实现隐患发现、整改、复查信息传达工作，减少工作时间和无效沟通，提高工作效率。</w:t>
      </w:r>
    </w:p>
    <w:p w14:paraId="7791E490">
      <w:pPr>
        <w:rPr>
          <w:color w:val="auto"/>
        </w:rPr>
      </w:pPr>
      <w:r>
        <w:rPr>
          <w:rFonts w:hint="eastAsia"/>
          <w:color w:val="auto"/>
        </w:rPr>
        <w:t>6、AI慧眼安全管理+AI防疫</w:t>
      </w:r>
    </w:p>
    <w:p w14:paraId="32FA5CD4">
      <w:pPr>
        <w:rPr>
          <w:color w:val="auto"/>
        </w:rPr>
      </w:pPr>
      <w:r>
        <w:rPr>
          <w:rFonts w:hint="eastAsia"/>
          <w:color w:val="auto"/>
        </w:rPr>
        <w:t>实现快速无接触式体温筛查，可对人员信息、口罩佩戴、安全帽佩戴、反光衣装束、异常行为等智能识别，并进行语音播报预警，并对违章行为智能抓拍，信息自动存储。</w:t>
      </w:r>
    </w:p>
    <w:p w14:paraId="49C7F5E0">
      <w:pPr>
        <w:rPr>
          <w:color w:val="auto"/>
        </w:rPr>
      </w:pPr>
      <w:r>
        <w:rPr>
          <w:rFonts w:hint="eastAsia"/>
          <w:color w:val="auto"/>
        </w:rPr>
        <w:t>7、安全教育培训工具箱</w:t>
      </w:r>
    </w:p>
    <w:p w14:paraId="17306972">
      <w:pPr>
        <w:rPr>
          <w:color w:val="auto"/>
        </w:rPr>
      </w:pPr>
      <w:r>
        <w:rPr>
          <w:rFonts w:hint="eastAsia"/>
          <w:color w:val="auto"/>
        </w:rPr>
        <w:t>通过对劳务人员建档和动画短片观看的形式实现安全教育，培训课程更加生动，培训记录更加全面，学习进度更加清晰。</w:t>
      </w:r>
    </w:p>
    <w:p w14:paraId="3749F070">
      <w:pPr>
        <w:rPr>
          <w:color w:val="auto"/>
        </w:rPr>
      </w:pPr>
      <w:r>
        <w:rPr>
          <w:rFonts w:hint="eastAsia"/>
          <w:color w:val="auto"/>
        </w:rPr>
        <w:t>8、无线WiFi教育</w:t>
      </w:r>
    </w:p>
    <w:p w14:paraId="2A99D11B">
      <w:pPr>
        <w:rPr>
          <w:color w:val="auto"/>
        </w:rPr>
      </w:pPr>
      <w:r>
        <w:rPr>
          <w:rFonts w:hint="eastAsia"/>
          <w:color w:val="auto"/>
        </w:rPr>
        <w:t>结合智能手机的普及和工人生活对无线网的需求，融入安全知识考试教育，在潜移默化中普及建筑施工中的安全知识，提高工人的安全素质，营造有温度的安全教育氛围。</w:t>
      </w:r>
    </w:p>
    <w:p w14:paraId="69F7B92B">
      <w:pPr>
        <w:rPr>
          <w:color w:val="auto"/>
        </w:rPr>
      </w:pPr>
      <w:r>
        <w:rPr>
          <w:rFonts w:hint="eastAsia"/>
          <w:color w:val="auto"/>
        </w:rPr>
        <w:t>9、智能广播+视频监控</w:t>
      </w:r>
    </w:p>
    <w:p w14:paraId="5F87A7F2">
      <w:pPr>
        <w:rPr>
          <w:color w:val="auto"/>
        </w:rPr>
      </w:pPr>
      <w:r>
        <w:rPr>
          <w:rFonts w:hint="eastAsia"/>
          <w:color w:val="auto"/>
        </w:rPr>
        <w:t>实现区域内安全教育、人文关怀和各类信息的主动传递。全范围覆盖项目，配合视频监控模块，对动火作业、吊装作业等关键工作重点关注，第一时间处理存在的安全隐患。</w:t>
      </w:r>
    </w:p>
    <w:p w14:paraId="7242DC62">
      <w:pPr>
        <w:rPr>
          <w:color w:val="auto"/>
        </w:rPr>
      </w:pPr>
      <w:r>
        <w:rPr>
          <w:rFonts w:hint="eastAsia"/>
          <w:color w:val="auto"/>
        </w:rPr>
        <w:t>1</w:t>
      </w:r>
      <w:r>
        <w:rPr>
          <w:color w:val="auto"/>
        </w:rPr>
        <w:t>0</w:t>
      </w:r>
      <w:r>
        <w:rPr>
          <w:rFonts w:hint="eastAsia"/>
          <w:color w:val="auto"/>
        </w:rPr>
        <w:t>、临边预警</w:t>
      </w:r>
    </w:p>
    <w:p w14:paraId="0A0D83E8">
      <w:pPr>
        <w:rPr>
          <w:color w:val="auto"/>
        </w:rPr>
      </w:pPr>
      <w:r>
        <w:rPr>
          <w:rFonts w:hint="eastAsia"/>
          <w:color w:val="auto"/>
        </w:rPr>
        <w:t>实现临边智能警示防护，作业人员接近危险区域时，系统自动报警，提示相关作业人员注意安全隐患。</w:t>
      </w:r>
    </w:p>
    <w:p w14:paraId="438A08C3">
      <w:pPr>
        <w:rPr>
          <w:color w:val="auto"/>
        </w:rPr>
      </w:pPr>
      <w:r>
        <w:rPr>
          <w:rFonts w:hint="eastAsia"/>
          <w:color w:val="auto"/>
        </w:rPr>
        <w:t>1</w:t>
      </w:r>
      <w:r>
        <w:rPr>
          <w:color w:val="auto"/>
        </w:rPr>
        <w:t>1</w:t>
      </w:r>
      <w:r>
        <w:rPr>
          <w:rFonts w:hint="eastAsia"/>
          <w:color w:val="auto"/>
        </w:rPr>
        <w:t>、安全教育微型语音器</w:t>
      </w:r>
    </w:p>
    <w:p w14:paraId="217F047F">
      <w:pPr>
        <w:rPr>
          <w:color w:val="auto"/>
        </w:rPr>
      </w:pPr>
      <w:r>
        <w:rPr>
          <w:rFonts w:hint="eastAsia"/>
          <w:color w:val="auto"/>
        </w:rPr>
        <w:t>实现对重要监控部位和重大安全隐患区域进行重复警示教育。</w:t>
      </w:r>
    </w:p>
    <w:p w14:paraId="20DC45F1">
      <w:pPr>
        <w:pStyle w:val="5"/>
        <w:rPr>
          <w:color w:val="auto"/>
        </w:rPr>
      </w:pPr>
      <w:bookmarkStart w:id="234" w:name="_Toc32279"/>
      <w:r>
        <w:rPr>
          <w:rFonts w:hint="eastAsia"/>
          <w:color w:val="auto"/>
        </w:rPr>
        <w:t>环境管理</w:t>
      </w:r>
      <w:bookmarkEnd w:id="234"/>
    </w:p>
    <w:p w14:paraId="3D74052B">
      <w:pPr>
        <w:rPr>
          <w:color w:val="auto"/>
        </w:rPr>
      </w:pPr>
      <w:r>
        <w:rPr>
          <w:rFonts w:hint="eastAsia"/>
          <w:color w:val="auto"/>
        </w:rPr>
        <w:t>1</w:t>
      </w:r>
      <w:r>
        <w:rPr>
          <w:color w:val="auto"/>
        </w:rPr>
        <w:t>2</w:t>
      </w:r>
      <w:r>
        <w:rPr>
          <w:rFonts w:hint="eastAsia"/>
          <w:color w:val="auto"/>
        </w:rPr>
        <w:t>、扬尘噪音监测</w:t>
      </w:r>
    </w:p>
    <w:p w14:paraId="26F71B90">
      <w:pPr>
        <w:rPr>
          <w:color w:val="auto"/>
        </w:rPr>
      </w:pPr>
      <w:r>
        <w:rPr>
          <w:rFonts w:hint="eastAsia"/>
          <w:color w:val="auto"/>
        </w:rPr>
        <w:t>对施工现场扬尘、噪音数据自动采集，动态在线监管、数字化自动监管（数据超标自动开启联动设备处理），多部门联合监管（建委、环保、交通等部门监管职能提供定制数据应用模式）。</w:t>
      </w:r>
    </w:p>
    <w:p w14:paraId="70E92E17">
      <w:pPr>
        <w:rPr>
          <w:color w:val="auto"/>
        </w:rPr>
      </w:pPr>
      <w:r>
        <w:rPr>
          <w:rFonts w:hint="eastAsia"/>
          <w:color w:val="auto"/>
        </w:rPr>
        <w:t>1</w:t>
      </w:r>
      <w:r>
        <w:rPr>
          <w:color w:val="auto"/>
        </w:rPr>
        <w:t>3</w:t>
      </w:r>
      <w:r>
        <w:rPr>
          <w:rFonts w:hint="eastAsia"/>
          <w:color w:val="auto"/>
        </w:rPr>
        <w:t>、智能路灯</w:t>
      </w:r>
    </w:p>
    <w:p w14:paraId="3C9A0CD6">
      <w:pPr>
        <w:rPr>
          <w:color w:val="auto"/>
        </w:rPr>
      </w:pPr>
      <w:r>
        <w:rPr>
          <w:rFonts w:hint="eastAsia"/>
          <w:color w:val="auto"/>
        </w:rPr>
        <w:t>光能或者风力发电，电量储蓄，且含有亮度感应功能，可自动判定昼、夜。白天停止照明，夜晚自动开启照明设备。</w:t>
      </w:r>
    </w:p>
    <w:p w14:paraId="7CEB378B">
      <w:pPr>
        <w:pStyle w:val="5"/>
        <w:rPr>
          <w:color w:val="auto"/>
        </w:rPr>
      </w:pPr>
      <w:bookmarkStart w:id="235" w:name="_Toc2105"/>
      <w:r>
        <w:rPr>
          <w:rFonts w:hint="eastAsia"/>
          <w:color w:val="auto"/>
        </w:rPr>
        <w:t>劳务管理</w:t>
      </w:r>
      <w:bookmarkEnd w:id="235"/>
    </w:p>
    <w:p w14:paraId="66BECC79">
      <w:pPr>
        <w:rPr>
          <w:color w:val="auto"/>
        </w:rPr>
      </w:pPr>
      <w:r>
        <w:rPr>
          <w:rFonts w:hint="eastAsia"/>
          <w:color w:val="auto"/>
        </w:rPr>
        <w:t>1</w:t>
      </w:r>
      <w:r>
        <w:rPr>
          <w:color w:val="auto"/>
        </w:rPr>
        <w:t>4</w:t>
      </w:r>
      <w:r>
        <w:rPr>
          <w:rFonts w:hint="eastAsia"/>
          <w:color w:val="auto"/>
        </w:rPr>
        <w:t>、云筑实名制管理</w:t>
      </w:r>
    </w:p>
    <w:p w14:paraId="40B73D43">
      <w:pPr>
        <w:rPr>
          <w:color w:val="auto"/>
        </w:rPr>
      </w:pPr>
      <w:r>
        <w:rPr>
          <w:rFonts w:hint="eastAsia"/>
          <w:color w:val="auto"/>
        </w:rPr>
        <w:t>通过实名登记，过程记录工人出勤、安全考核、项目培训等信息， 形成大数据，最终达成工人考勤、项目预警、奖惩记录、不良记录等智 能管控。</w:t>
      </w:r>
    </w:p>
    <w:p w14:paraId="50B5FE1E">
      <w:pPr>
        <w:rPr>
          <w:color w:val="auto"/>
        </w:rPr>
      </w:pPr>
      <w:r>
        <w:rPr>
          <w:rFonts w:hint="eastAsia"/>
          <w:color w:val="auto"/>
        </w:rPr>
        <w:t>1</w:t>
      </w:r>
      <w:r>
        <w:rPr>
          <w:color w:val="auto"/>
        </w:rPr>
        <w:t>5</w:t>
      </w:r>
      <w:r>
        <w:rPr>
          <w:rFonts w:hint="eastAsia"/>
          <w:color w:val="auto"/>
        </w:rPr>
        <w:t>、AI无感考勤</w:t>
      </w:r>
    </w:p>
    <w:p w14:paraId="70E2A960">
      <w:pPr>
        <w:rPr>
          <w:color w:val="auto"/>
        </w:rPr>
      </w:pPr>
      <w:r>
        <w:rPr>
          <w:rFonts w:hint="eastAsia"/>
          <w:color w:val="auto"/>
        </w:rPr>
        <w:t>提高通行效率，缩短过闸时间，实时统计现场劳务用工情况，分析劳务工种配置；监控人员流动情况，监管工资发放，实现现场劳务业务数据实时整合，为项目部保障生产提供数据决策依据。</w:t>
      </w:r>
    </w:p>
    <w:p w14:paraId="4288B7F8">
      <w:pPr>
        <w:pStyle w:val="5"/>
        <w:rPr>
          <w:color w:val="auto"/>
        </w:rPr>
      </w:pPr>
      <w:bookmarkStart w:id="236" w:name="_Toc14935"/>
      <w:r>
        <w:rPr>
          <w:rFonts w:hint="eastAsia"/>
          <w:color w:val="auto"/>
        </w:rPr>
        <w:t>物资管理</w:t>
      </w:r>
      <w:bookmarkEnd w:id="236"/>
    </w:p>
    <w:p w14:paraId="120674BF">
      <w:pPr>
        <w:rPr>
          <w:color w:val="auto"/>
        </w:rPr>
      </w:pPr>
      <w:r>
        <w:rPr>
          <w:rFonts w:hint="eastAsia"/>
          <w:color w:val="auto"/>
        </w:rPr>
        <w:t>1</w:t>
      </w:r>
      <w:r>
        <w:rPr>
          <w:color w:val="auto"/>
        </w:rPr>
        <w:t>6</w:t>
      </w:r>
      <w:r>
        <w:rPr>
          <w:rFonts w:hint="eastAsia"/>
          <w:color w:val="auto"/>
        </w:rPr>
        <w:t>、云筑集采</w:t>
      </w:r>
    </w:p>
    <w:p w14:paraId="1CB97A16">
      <w:pPr>
        <w:rPr>
          <w:color w:val="auto"/>
        </w:rPr>
      </w:pPr>
      <w:r>
        <w:rPr>
          <w:rFonts w:hint="eastAsia"/>
          <w:color w:val="auto"/>
        </w:rPr>
        <w:t>采购阳光高效合规；发挥集中采购规模优势；为项目生产提供高效资源支撑，实现项目跑步进场。</w:t>
      </w:r>
    </w:p>
    <w:p w14:paraId="128D6866">
      <w:pPr>
        <w:rPr>
          <w:color w:val="auto"/>
        </w:rPr>
      </w:pPr>
      <w:r>
        <w:rPr>
          <w:rFonts w:hint="eastAsia"/>
          <w:color w:val="auto"/>
        </w:rPr>
        <w:t>1</w:t>
      </w:r>
      <w:r>
        <w:rPr>
          <w:color w:val="auto"/>
        </w:rPr>
        <w:t>7</w:t>
      </w:r>
      <w:r>
        <w:rPr>
          <w:rFonts w:hint="eastAsia"/>
          <w:color w:val="auto"/>
        </w:rPr>
        <w:t>、云筑优选</w:t>
      </w:r>
    </w:p>
    <w:p w14:paraId="55EAD2B1">
      <w:pPr>
        <w:rPr>
          <w:color w:val="auto"/>
        </w:rPr>
      </w:pPr>
      <w:r>
        <w:rPr>
          <w:rFonts w:hint="eastAsia"/>
          <w:color w:val="auto"/>
        </w:rPr>
        <w:t>利用创新的零星材料在线采购模式，与多平台及厂家合作，实现直采直供，产品质、价、量交易透明、管理链条可追溯。</w:t>
      </w:r>
    </w:p>
    <w:p w14:paraId="2CA1AEA3">
      <w:pPr>
        <w:rPr>
          <w:color w:val="auto"/>
        </w:rPr>
      </w:pPr>
      <w:r>
        <w:rPr>
          <w:rFonts w:hint="eastAsia"/>
          <w:color w:val="auto"/>
        </w:rPr>
        <w:t>1</w:t>
      </w:r>
      <w:r>
        <w:rPr>
          <w:color w:val="auto"/>
        </w:rPr>
        <w:t>8</w:t>
      </w:r>
      <w:r>
        <w:rPr>
          <w:rFonts w:hint="eastAsia"/>
          <w:color w:val="auto"/>
        </w:rPr>
        <w:t>、移动点验</w:t>
      </w:r>
    </w:p>
    <w:p w14:paraId="51B570FD">
      <w:pPr>
        <w:rPr>
          <w:color w:val="auto"/>
        </w:rPr>
      </w:pPr>
      <w:r>
        <w:rPr>
          <w:rFonts w:hint="eastAsia"/>
          <w:color w:val="auto"/>
        </w:rPr>
        <w:t>一部手机完成非过磅物资进、退、领全流程标准业务，云端数据永久可查，与地磅区过磅物资数据形成闭合，实现管理层云端数据分析、全程监管。</w:t>
      </w:r>
    </w:p>
    <w:p w14:paraId="38BC8894">
      <w:pPr>
        <w:rPr>
          <w:color w:val="auto"/>
        </w:rPr>
      </w:pPr>
      <w:r>
        <w:rPr>
          <w:rFonts w:hint="eastAsia"/>
          <w:color w:val="auto"/>
        </w:rPr>
        <w:t>1</w:t>
      </w:r>
      <w:r>
        <w:rPr>
          <w:color w:val="auto"/>
        </w:rPr>
        <w:t>9</w:t>
      </w:r>
      <w:r>
        <w:rPr>
          <w:rFonts w:hint="eastAsia"/>
          <w:color w:val="auto"/>
        </w:rPr>
        <w:t>、钢筋、钢管智能清点</w:t>
      </w:r>
    </w:p>
    <w:p w14:paraId="33D07A78">
      <w:pPr>
        <w:rPr>
          <w:color w:val="auto"/>
        </w:rPr>
      </w:pPr>
      <w:r>
        <w:rPr>
          <w:rFonts w:hint="eastAsia"/>
          <w:color w:val="auto"/>
        </w:rPr>
        <w:t>实现钢筋、钢管等柱状材料进场点验1分钟高效完成。</w:t>
      </w:r>
    </w:p>
    <w:p w14:paraId="5FF72C3A">
      <w:pPr>
        <w:pStyle w:val="5"/>
        <w:numPr>
          <w:ilvl w:val="2"/>
          <w:numId w:val="9"/>
        </w:numPr>
        <w:rPr>
          <w:color w:val="auto"/>
        </w:rPr>
      </w:pPr>
      <w:bookmarkStart w:id="237" w:name="_Toc28385"/>
      <w:r>
        <w:rPr>
          <w:rFonts w:hint="eastAsia"/>
          <w:color w:val="auto"/>
        </w:rPr>
        <w:t>设备管理</w:t>
      </w:r>
      <w:bookmarkEnd w:id="237"/>
    </w:p>
    <w:p w14:paraId="286896B9">
      <w:pPr>
        <w:rPr>
          <w:color w:val="auto"/>
        </w:rPr>
      </w:pPr>
      <w:r>
        <w:rPr>
          <w:rFonts w:hint="eastAsia"/>
          <w:color w:val="auto"/>
        </w:rPr>
        <w:t>2</w:t>
      </w:r>
      <w:r>
        <w:rPr>
          <w:color w:val="auto"/>
        </w:rPr>
        <w:t>0</w:t>
      </w:r>
      <w:r>
        <w:rPr>
          <w:rFonts w:hint="eastAsia"/>
          <w:color w:val="auto"/>
        </w:rPr>
        <w:t>、检到位智慧巡检模块</w:t>
      </w:r>
    </w:p>
    <w:p w14:paraId="4F6AEF07">
      <w:pPr>
        <w:rPr>
          <w:color w:val="auto"/>
        </w:rPr>
      </w:pPr>
      <w:r>
        <w:rPr>
          <w:rFonts w:hint="eastAsia"/>
          <w:color w:val="auto"/>
        </w:rPr>
        <w:t>作业过程可视化，从根本上杜绝“不上机、假检查”的管理乱象， 便于各级管理者随时查询设备的作业记录，自动统计生成数据统计报表， 为管理者决策提供数据支撑。</w:t>
      </w:r>
    </w:p>
    <w:p w14:paraId="5460C5BF">
      <w:pPr>
        <w:rPr>
          <w:color w:val="auto"/>
        </w:rPr>
      </w:pPr>
      <w:r>
        <w:rPr>
          <w:rFonts w:hint="eastAsia"/>
          <w:color w:val="auto"/>
        </w:rPr>
        <w:t>2</w:t>
      </w:r>
      <w:r>
        <w:rPr>
          <w:color w:val="auto"/>
        </w:rPr>
        <w:t>1</w:t>
      </w:r>
      <w:r>
        <w:rPr>
          <w:rFonts w:hint="eastAsia"/>
          <w:color w:val="auto"/>
        </w:rPr>
        <w:t>、塔吊运行监测</w:t>
      </w:r>
    </w:p>
    <w:p w14:paraId="1F8F00F0">
      <w:pPr>
        <w:rPr>
          <w:color w:val="auto"/>
        </w:rPr>
      </w:pPr>
      <w:r>
        <w:rPr>
          <w:rFonts w:hint="eastAsia"/>
          <w:color w:val="auto"/>
        </w:rPr>
        <w:t>实现对塔吊运行过程中重大危险源的监测,将实时图像和数据信息传送到项目总控中心终端显示器上，超过临界参数将自动报警，以便于项目及时处理，实时控制运行风险。</w:t>
      </w:r>
    </w:p>
    <w:p w14:paraId="4C23B4C7">
      <w:pPr>
        <w:rPr>
          <w:color w:val="auto"/>
        </w:rPr>
      </w:pPr>
      <w:r>
        <w:rPr>
          <w:rFonts w:hint="eastAsia"/>
          <w:color w:val="auto"/>
        </w:rPr>
        <w:t>2</w:t>
      </w:r>
      <w:r>
        <w:rPr>
          <w:color w:val="auto"/>
        </w:rPr>
        <w:t>2</w:t>
      </w:r>
      <w:r>
        <w:rPr>
          <w:rFonts w:hint="eastAsia"/>
          <w:color w:val="auto"/>
        </w:rPr>
        <w:t>、塔吊吊钩可视化</w:t>
      </w:r>
    </w:p>
    <w:p w14:paraId="10DB1BF9">
      <w:pPr>
        <w:rPr>
          <w:color w:val="auto"/>
        </w:rPr>
      </w:pPr>
      <w:r>
        <w:rPr>
          <w:rFonts w:hint="eastAsia"/>
          <w:color w:val="auto"/>
        </w:rPr>
        <w:t>在塔吊吊装作业过程中司机和设备监管人员可以通过监控系统对吊钩、起升机构、驾驶室及变幅小车进行实时监控，并留存影像资料。</w:t>
      </w:r>
    </w:p>
    <w:p w14:paraId="40CCE597">
      <w:pPr>
        <w:rPr>
          <w:color w:val="auto"/>
        </w:rPr>
      </w:pPr>
      <w:r>
        <w:rPr>
          <w:rFonts w:hint="eastAsia"/>
          <w:color w:val="auto"/>
        </w:rPr>
        <w:t>2</w:t>
      </w:r>
      <w:r>
        <w:rPr>
          <w:color w:val="auto"/>
        </w:rPr>
        <w:t>3</w:t>
      </w:r>
      <w:r>
        <w:rPr>
          <w:rFonts w:hint="eastAsia"/>
          <w:color w:val="auto"/>
        </w:rPr>
        <w:t>、施工电梯监控</w:t>
      </w:r>
    </w:p>
    <w:p w14:paraId="0F90AC4C">
      <w:pPr>
        <w:rPr>
          <w:color w:val="auto"/>
        </w:rPr>
      </w:pPr>
      <w:r>
        <w:rPr>
          <w:rFonts w:hint="eastAsia"/>
          <w:color w:val="auto"/>
        </w:rPr>
        <w:t>对施工电梯非法操作、维保不及时和安全装置易失效等安全隐患进行防控。</w:t>
      </w:r>
    </w:p>
    <w:p w14:paraId="3C2E9C4D">
      <w:pPr>
        <w:rPr>
          <w:color w:val="auto"/>
        </w:rPr>
      </w:pPr>
      <w:r>
        <w:rPr>
          <w:rFonts w:hint="eastAsia"/>
          <w:color w:val="auto"/>
        </w:rPr>
        <w:t>2</w:t>
      </w:r>
      <w:r>
        <w:rPr>
          <w:color w:val="auto"/>
        </w:rPr>
        <w:t>4</w:t>
      </w:r>
      <w:r>
        <w:rPr>
          <w:rFonts w:hint="eastAsia"/>
          <w:color w:val="auto"/>
        </w:rPr>
        <w:t>、塔吊人脸识别定时控制模块</w:t>
      </w:r>
    </w:p>
    <w:p w14:paraId="632F14C1">
      <w:pPr>
        <w:rPr>
          <w:color w:val="auto"/>
        </w:rPr>
      </w:pPr>
      <w:r>
        <w:rPr>
          <w:rFonts w:hint="eastAsia"/>
          <w:color w:val="auto"/>
        </w:rPr>
        <w:t>落实“定人、定机、定岗”管理要求，防范作业人员随意串岗风险，避免疲劳作业。</w:t>
      </w:r>
    </w:p>
    <w:p w14:paraId="203C27B3">
      <w:pPr>
        <w:rPr>
          <w:color w:val="auto"/>
        </w:rPr>
      </w:pPr>
      <w:r>
        <w:rPr>
          <w:rFonts w:hint="eastAsia"/>
          <w:color w:val="auto"/>
        </w:rPr>
        <w:t>2</w:t>
      </w:r>
      <w:r>
        <w:rPr>
          <w:color w:val="auto"/>
        </w:rPr>
        <w:t>5</w:t>
      </w:r>
      <w:r>
        <w:rPr>
          <w:rFonts w:hint="eastAsia"/>
          <w:color w:val="auto"/>
        </w:rPr>
        <w:t>、塔吊运行监测</w:t>
      </w:r>
    </w:p>
    <w:p w14:paraId="3ECBD3F8">
      <w:pPr>
        <w:pStyle w:val="4"/>
        <w:ind w:firstLine="482"/>
        <w:rPr>
          <w:color w:val="auto"/>
        </w:rPr>
      </w:pPr>
      <w:bookmarkStart w:id="238" w:name="_Toc37589318"/>
      <w:bookmarkStart w:id="239" w:name="_Toc31562"/>
      <w:r>
        <w:rPr>
          <w:rFonts w:hint="eastAsia"/>
          <w:color w:val="auto"/>
        </w:rPr>
        <w:t>BIM技术</w:t>
      </w:r>
      <w:bookmarkEnd w:id="238"/>
      <w:bookmarkEnd w:id="239"/>
    </w:p>
    <w:p w14:paraId="2C8FB80C">
      <w:pPr>
        <w:pStyle w:val="5"/>
        <w:rPr>
          <w:color w:val="auto"/>
        </w:rPr>
      </w:pPr>
      <w:bookmarkStart w:id="240" w:name="_Toc39051114"/>
      <w:bookmarkStart w:id="241" w:name="_Toc30696"/>
      <w:r>
        <w:rPr>
          <w:rFonts w:hint="eastAsia"/>
          <w:color w:val="auto"/>
        </w:rPr>
        <w:t>BIM工作计划</w:t>
      </w:r>
      <w:bookmarkEnd w:id="240"/>
      <w:bookmarkEnd w:id="241"/>
    </w:p>
    <w:p w14:paraId="20946DDE">
      <w:pPr>
        <w:pStyle w:val="54"/>
        <w:rPr>
          <w:color w:val="auto"/>
        </w:rPr>
      </w:pPr>
      <w:r>
        <w:rPr>
          <w:rFonts w:hint="eastAsia"/>
          <w:color w:val="auto"/>
        </w:rPr>
        <w:t>B</w:t>
      </w:r>
      <w:r>
        <w:rPr>
          <w:color w:val="auto"/>
        </w:rPr>
        <w:t>IM工作计划表</w:t>
      </w:r>
    </w:p>
    <w:tbl>
      <w:tblPr>
        <w:tblStyle w:val="29"/>
        <w:tblW w:w="5000" w:type="pct"/>
        <w:tblInd w:w="0" w:type="dxa"/>
        <w:tblLayout w:type="autofit"/>
        <w:tblCellMar>
          <w:top w:w="0" w:type="dxa"/>
          <w:left w:w="108" w:type="dxa"/>
          <w:bottom w:w="0" w:type="dxa"/>
          <w:right w:w="108" w:type="dxa"/>
        </w:tblCellMar>
      </w:tblPr>
      <w:tblGrid>
        <w:gridCol w:w="797"/>
        <w:gridCol w:w="1937"/>
        <w:gridCol w:w="4061"/>
        <w:gridCol w:w="2265"/>
      </w:tblGrid>
      <w:tr w14:paraId="145DAE82">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79479864">
            <w:pPr>
              <w:pStyle w:val="69"/>
              <w:rPr>
                <w:rFonts w:hint="eastAsia"/>
                <w:color w:val="auto"/>
              </w:rPr>
            </w:pPr>
            <w:r>
              <w:rPr>
                <w:rFonts w:hint="eastAsia"/>
                <w:color w:val="auto"/>
              </w:rPr>
              <w:t>序号</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4AAE1DC0">
            <w:pPr>
              <w:pStyle w:val="69"/>
              <w:rPr>
                <w:rFonts w:hint="eastAsia"/>
                <w:color w:val="auto"/>
              </w:rPr>
            </w:pPr>
            <w:r>
              <w:rPr>
                <w:rFonts w:hint="eastAsia"/>
                <w:color w:val="auto"/>
              </w:rPr>
              <w:t>工作内容</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4B83E79">
            <w:pPr>
              <w:pStyle w:val="69"/>
              <w:rPr>
                <w:rFonts w:hint="eastAsia"/>
                <w:color w:val="auto"/>
              </w:rPr>
            </w:pPr>
            <w:r>
              <w:rPr>
                <w:rFonts w:hint="eastAsia"/>
                <w:color w:val="auto"/>
              </w:rPr>
              <w:t>工作节点</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7B4154C3">
            <w:pPr>
              <w:pStyle w:val="69"/>
              <w:rPr>
                <w:rFonts w:hint="eastAsia"/>
                <w:color w:val="auto"/>
              </w:rPr>
            </w:pPr>
            <w:r>
              <w:rPr>
                <w:rFonts w:hint="eastAsia"/>
                <w:color w:val="auto"/>
              </w:rPr>
              <w:t>备注</w:t>
            </w:r>
          </w:p>
        </w:tc>
      </w:tr>
      <w:tr w14:paraId="00942FB6">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68FC79D4">
            <w:pPr>
              <w:pStyle w:val="69"/>
              <w:rPr>
                <w:rFonts w:hint="eastAsia"/>
                <w:color w:val="auto"/>
              </w:rPr>
            </w:pPr>
            <w:r>
              <w:rPr>
                <w:rFonts w:hint="eastAsia"/>
                <w:color w:val="auto"/>
              </w:rPr>
              <w:t>1</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38DABA98">
            <w:pPr>
              <w:pStyle w:val="67"/>
              <w:ind w:firstLine="0" w:firstLineChars="0"/>
              <w:rPr>
                <w:rFonts w:hint="eastAsia"/>
                <w:color w:val="auto"/>
              </w:rPr>
            </w:pPr>
            <w:r>
              <w:rPr>
                <w:rFonts w:hint="eastAsia"/>
                <w:color w:val="auto"/>
              </w:rPr>
              <w:t>BIM实施组织策划</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3A35275F">
            <w:pPr>
              <w:pStyle w:val="67"/>
              <w:ind w:firstLine="0" w:firstLineChars="0"/>
              <w:jc w:val="left"/>
              <w:rPr>
                <w:rFonts w:hint="eastAsia"/>
                <w:color w:val="auto"/>
              </w:rPr>
            </w:pPr>
            <w:r>
              <w:rPr>
                <w:rFonts w:hint="eastAsia"/>
                <w:color w:val="auto"/>
              </w:rPr>
              <w:t>中标后14天，并在BIM工作开展之前。</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4342C4C">
            <w:pPr>
              <w:pStyle w:val="67"/>
              <w:ind w:firstLine="0" w:firstLineChars="0"/>
              <w:rPr>
                <w:rFonts w:hint="eastAsia"/>
                <w:color w:val="auto"/>
              </w:rPr>
            </w:pPr>
            <w:r>
              <w:rPr>
                <w:rFonts w:hint="eastAsia"/>
                <w:color w:val="auto"/>
              </w:rPr>
              <w:t>包括建模标准、精度标准和交付标准等。</w:t>
            </w:r>
          </w:p>
        </w:tc>
      </w:tr>
      <w:tr w14:paraId="2416E7E8">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4FF71343">
            <w:pPr>
              <w:pStyle w:val="69"/>
              <w:rPr>
                <w:rFonts w:hint="eastAsia"/>
                <w:color w:val="auto"/>
              </w:rPr>
            </w:pPr>
            <w:r>
              <w:rPr>
                <w:rFonts w:hint="eastAsia"/>
                <w:color w:val="auto"/>
              </w:rPr>
              <w:t>2</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54AAC961">
            <w:pPr>
              <w:pStyle w:val="67"/>
              <w:ind w:firstLine="0" w:firstLineChars="0"/>
              <w:rPr>
                <w:rFonts w:hint="eastAsia"/>
                <w:color w:val="auto"/>
              </w:rPr>
            </w:pPr>
            <w:r>
              <w:rPr>
                <w:rFonts w:hint="eastAsia"/>
                <w:color w:val="auto"/>
              </w:rPr>
              <w:t>管综优化</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36FC83F4">
            <w:pPr>
              <w:pStyle w:val="67"/>
              <w:ind w:firstLine="0" w:firstLineChars="0"/>
              <w:jc w:val="left"/>
              <w:rPr>
                <w:rFonts w:hint="eastAsia"/>
                <w:color w:val="auto"/>
              </w:rPr>
            </w:pPr>
            <w:r>
              <w:rPr>
                <w:rFonts w:hint="eastAsia"/>
                <w:color w:val="auto"/>
              </w:rPr>
              <w:t>施工图设计完成后</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05EE8D5">
            <w:pPr>
              <w:pStyle w:val="67"/>
              <w:ind w:firstLine="0" w:firstLineChars="0"/>
              <w:rPr>
                <w:rFonts w:hint="eastAsia"/>
                <w:color w:val="auto"/>
              </w:rPr>
            </w:pPr>
            <w:r>
              <w:rPr>
                <w:rFonts w:hint="eastAsia"/>
                <w:color w:val="auto"/>
              </w:rPr>
              <w:t>由设计院开展本项工作</w:t>
            </w:r>
          </w:p>
        </w:tc>
      </w:tr>
      <w:tr w14:paraId="118A2A72">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1DCB6F6C">
            <w:pPr>
              <w:pStyle w:val="69"/>
              <w:rPr>
                <w:rFonts w:hint="eastAsia"/>
                <w:color w:val="auto"/>
              </w:rPr>
            </w:pPr>
            <w:r>
              <w:rPr>
                <w:color w:val="auto"/>
              </w:rPr>
              <w:t>3</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07E484B">
            <w:pPr>
              <w:pStyle w:val="67"/>
              <w:ind w:firstLine="0" w:firstLineChars="0"/>
              <w:rPr>
                <w:rFonts w:hint="eastAsia"/>
                <w:color w:val="auto"/>
              </w:rPr>
            </w:pPr>
            <w:r>
              <w:rPr>
                <w:rFonts w:hint="eastAsia"/>
                <w:color w:val="auto"/>
              </w:rPr>
              <w:t>各专业深化设计模型及图纸</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7A838B8">
            <w:pPr>
              <w:pStyle w:val="67"/>
              <w:ind w:firstLine="0" w:firstLineChars="0"/>
              <w:jc w:val="left"/>
              <w:rPr>
                <w:rFonts w:hint="eastAsia"/>
                <w:color w:val="auto"/>
              </w:rPr>
            </w:pPr>
            <w:r>
              <w:rPr>
                <w:rFonts w:hint="eastAsia"/>
                <w:color w:val="auto"/>
              </w:rPr>
              <w:t>取得初步施工图后</w:t>
            </w:r>
            <w:r>
              <w:rPr>
                <w:color w:val="auto"/>
              </w:rPr>
              <w:t>60</w:t>
            </w:r>
            <w:r>
              <w:rPr>
                <w:rFonts w:hint="eastAsia"/>
                <w:color w:val="auto"/>
              </w:rPr>
              <w:t>天内完成建模及冲突检测等工作。设计根据各专业模型反馈报告对图纸进行重新校核修正，规避图纸变更。</w:t>
            </w:r>
            <w:r>
              <w:rPr>
                <w:color w:val="auto"/>
              </w:rPr>
              <w:t> </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7B94ABA7">
            <w:pPr>
              <w:pStyle w:val="67"/>
              <w:ind w:firstLine="0" w:firstLineChars="0"/>
              <w:rPr>
                <w:rFonts w:hint="eastAsia"/>
                <w:color w:val="auto"/>
              </w:rPr>
            </w:pPr>
            <w:r>
              <w:rPr>
                <w:rFonts w:hint="eastAsia"/>
                <w:color w:val="auto"/>
              </w:rPr>
              <w:t>包括建筑、结构、机电、钢结构、幕墙、精装修等</w:t>
            </w:r>
          </w:p>
        </w:tc>
      </w:tr>
      <w:tr w14:paraId="07906D67">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7C8B05CB">
            <w:pPr>
              <w:pStyle w:val="69"/>
              <w:rPr>
                <w:rFonts w:hint="eastAsia"/>
                <w:color w:val="auto"/>
              </w:rPr>
            </w:pPr>
            <w:r>
              <w:rPr>
                <w:color w:val="auto"/>
              </w:rPr>
              <w:t>4</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7C6A274A">
            <w:pPr>
              <w:pStyle w:val="67"/>
              <w:ind w:firstLine="0" w:firstLineChars="0"/>
              <w:rPr>
                <w:rFonts w:hint="eastAsia"/>
                <w:color w:val="auto"/>
              </w:rPr>
            </w:pPr>
            <w:r>
              <w:rPr>
                <w:rFonts w:hint="eastAsia"/>
                <w:color w:val="auto"/>
              </w:rPr>
              <w:t>专项施工方案</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F724D7A">
            <w:pPr>
              <w:pStyle w:val="67"/>
              <w:ind w:firstLine="0" w:firstLineChars="0"/>
              <w:jc w:val="left"/>
              <w:rPr>
                <w:rFonts w:hint="eastAsia"/>
                <w:color w:val="auto"/>
              </w:rPr>
            </w:pPr>
            <w:r>
              <w:rPr>
                <w:rFonts w:hint="eastAsia"/>
                <w:color w:val="auto"/>
              </w:rPr>
              <w:t>提交施工方案审批申请时，同时应领先现场施工进度四周以上通过审批。</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F130415">
            <w:pPr>
              <w:pStyle w:val="67"/>
              <w:ind w:firstLine="420"/>
              <w:rPr>
                <w:rFonts w:hint="eastAsia"/>
                <w:color w:val="auto"/>
              </w:rPr>
            </w:pPr>
          </w:p>
        </w:tc>
      </w:tr>
      <w:tr w14:paraId="7E17CFAC">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4AC1BEBE">
            <w:pPr>
              <w:pStyle w:val="69"/>
              <w:rPr>
                <w:rFonts w:hint="eastAsia"/>
                <w:color w:val="auto"/>
              </w:rPr>
            </w:pPr>
            <w:r>
              <w:rPr>
                <w:color w:val="auto"/>
              </w:rPr>
              <w:t>5</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5BF4CF4">
            <w:pPr>
              <w:pStyle w:val="67"/>
              <w:ind w:firstLine="0" w:firstLineChars="0"/>
              <w:rPr>
                <w:rFonts w:hint="eastAsia"/>
                <w:color w:val="auto"/>
              </w:rPr>
            </w:pPr>
            <w:r>
              <w:rPr>
                <w:rFonts w:hint="eastAsia"/>
                <w:color w:val="auto"/>
              </w:rPr>
              <w:t>场地分析模型</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6F7DC86">
            <w:pPr>
              <w:pStyle w:val="67"/>
              <w:ind w:firstLine="0" w:firstLineChars="0"/>
              <w:jc w:val="left"/>
              <w:rPr>
                <w:rFonts w:hint="eastAsia"/>
                <w:color w:val="auto"/>
              </w:rPr>
            </w:pPr>
            <w:r>
              <w:rPr>
                <w:rFonts w:hint="eastAsia"/>
                <w:color w:val="auto"/>
              </w:rPr>
              <w:t>施工准备阶段及施工阶段总平布置模型。</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3DD3B6C7">
            <w:pPr>
              <w:pStyle w:val="67"/>
              <w:ind w:firstLine="420"/>
              <w:rPr>
                <w:rFonts w:hint="eastAsia"/>
                <w:color w:val="auto"/>
              </w:rPr>
            </w:pPr>
            <w:r>
              <w:rPr>
                <w:rFonts w:hint="eastAsia"/>
                <w:color w:val="auto"/>
              </w:rPr>
              <w:t>/</w:t>
            </w:r>
          </w:p>
        </w:tc>
      </w:tr>
      <w:tr w14:paraId="72C4CF72">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72870273">
            <w:pPr>
              <w:pStyle w:val="69"/>
              <w:rPr>
                <w:rFonts w:hint="eastAsia"/>
                <w:color w:val="auto"/>
              </w:rPr>
            </w:pPr>
            <w:r>
              <w:rPr>
                <w:color w:val="auto"/>
              </w:rPr>
              <w:t>6</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4075F77B">
            <w:pPr>
              <w:pStyle w:val="67"/>
              <w:ind w:firstLine="0" w:firstLineChars="0"/>
              <w:rPr>
                <w:rFonts w:hint="eastAsia"/>
                <w:color w:val="auto"/>
              </w:rPr>
            </w:pPr>
            <w:r>
              <w:rPr>
                <w:rFonts w:hint="eastAsia"/>
                <w:color w:val="auto"/>
              </w:rPr>
              <w:t>工程量计算及复核</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8A3ED59">
            <w:pPr>
              <w:pStyle w:val="67"/>
              <w:ind w:firstLine="0" w:firstLineChars="0"/>
              <w:jc w:val="left"/>
              <w:rPr>
                <w:rFonts w:hint="eastAsia"/>
                <w:color w:val="auto"/>
              </w:rPr>
            </w:pPr>
            <w:r>
              <w:rPr>
                <w:rFonts w:hint="eastAsia"/>
                <w:color w:val="auto"/>
              </w:rPr>
              <w:t>各分部分项工程量估量前2</w:t>
            </w:r>
            <w:r>
              <w:rPr>
                <w:color w:val="auto"/>
              </w:rPr>
              <w:t>0天</w:t>
            </w:r>
            <w:r>
              <w:rPr>
                <w:rFonts w:hint="eastAsia"/>
                <w:color w:val="auto"/>
              </w:rPr>
              <w:t>。</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3D523A3">
            <w:pPr>
              <w:pStyle w:val="67"/>
              <w:ind w:firstLine="420"/>
              <w:rPr>
                <w:rFonts w:hint="eastAsia"/>
                <w:color w:val="auto"/>
              </w:rPr>
            </w:pPr>
            <w:r>
              <w:rPr>
                <w:rFonts w:hint="eastAsia"/>
                <w:color w:val="auto"/>
              </w:rPr>
              <w:t>/</w:t>
            </w:r>
          </w:p>
        </w:tc>
      </w:tr>
      <w:tr w14:paraId="1B5AE029">
        <w:tblPrEx>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03574134">
            <w:pPr>
              <w:pStyle w:val="69"/>
              <w:rPr>
                <w:rFonts w:hint="eastAsia"/>
                <w:color w:val="auto"/>
              </w:rPr>
            </w:pPr>
            <w:r>
              <w:rPr>
                <w:color w:val="auto"/>
              </w:rPr>
              <w:t>7</w:t>
            </w:r>
          </w:p>
        </w:tc>
        <w:tc>
          <w:tcPr>
            <w:tcW w:w="1069"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456D13E0">
            <w:pPr>
              <w:pStyle w:val="67"/>
              <w:ind w:firstLine="0" w:firstLineChars="0"/>
              <w:rPr>
                <w:rFonts w:hint="eastAsia"/>
                <w:color w:val="auto"/>
              </w:rPr>
            </w:pPr>
            <w:r>
              <w:rPr>
                <w:rFonts w:hint="eastAsia"/>
                <w:color w:val="auto"/>
              </w:rPr>
              <w:t>竣工模型</w:t>
            </w:r>
          </w:p>
        </w:tc>
        <w:tc>
          <w:tcPr>
            <w:tcW w:w="2241"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4A043C2">
            <w:pPr>
              <w:pStyle w:val="67"/>
              <w:ind w:firstLine="0" w:firstLineChars="0"/>
              <w:jc w:val="left"/>
              <w:rPr>
                <w:rFonts w:hint="eastAsia"/>
                <w:color w:val="auto"/>
              </w:rPr>
            </w:pPr>
            <w:r>
              <w:rPr>
                <w:rFonts w:hint="eastAsia"/>
                <w:color w:val="auto"/>
              </w:rPr>
              <w:t>竣工验收申请时。</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354129E">
            <w:pPr>
              <w:pStyle w:val="67"/>
              <w:ind w:firstLine="420"/>
              <w:rPr>
                <w:rFonts w:hint="eastAsia"/>
                <w:color w:val="auto"/>
              </w:rPr>
            </w:pPr>
            <w:r>
              <w:rPr>
                <w:rFonts w:hint="eastAsia"/>
                <w:color w:val="auto"/>
              </w:rPr>
              <w:t>/</w:t>
            </w:r>
          </w:p>
        </w:tc>
      </w:tr>
    </w:tbl>
    <w:p w14:paraId="0856578B">
      <w:pPr>
        <w:pStyle w:val="5"/>
        <w:rPr>
          <w:color w:val="auto"/>
        </w:rPr>
      </w:pPr>
      <w:bookmarkStart w:id="242" w:name="_Toc39051115"/>
      <w:bookmarkStart w:id="243" w:name="_Toc31918"/>
      <w:r>
        <w:rPr>
          <w:rFonts w:hint="eastAsia"/>
          <w:color w:val="auto"/>
        </w:rPr>
        <w:t>BIM技术实施流程</w:t>
      </w:r>
      <w:bookmarkEnd w:id="242"/>
      <w:bookmarkEnd w:id="243"/>
    </w:p>
    <w:p w14:paraId="73693062">
      <w:pPr>
        <w:rPr>
          <w:color w:val="auto"/>
        </w:rPr>
      </w:pPr>
      <w:r>
        <w:rPr>
          <w:rFonts w:hint="eastAsia"/>
          <w:color w:val="auto"/>
        </w:rPr>
        <w:t>在项目实施过程中，为保证BIM工作有序无误的进行，制定合理的BIM工作流程，通过统一的工作流程，可以保证BIM模型和现场施工者间能够合理、高效的衔接和实施。</w:t>
      </w:r>
    </w:p>
    <w:p w14:paraId="257204FB">
      <w:pPr>
        <w:pStyle w:val="51"/>
        <w:rPr>
          <w:color w:val="auto"/>
        </w:rPr>
      </w:pPr>
      <w:r>
        <w:rPr>
          <w:color w:val="auto"/>
        </w:rPr>
        <w:drawing>
          <wp:inline distT="0" distB="0" distL="0" distR="0">
            <wp:extent cx="5095240" cy="2051685"/>
            <wp:effectExtent l="0" t="0" r="0" b="5715"/>
            <wp:docPr id="269" name="图片 269" descr="C:\Users\ADMINI~1\AppData\Local\Temp\ksohtml16688\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descr="C:\Users\ADMINI~1\AppData\Local\Temp\ksohtml16688\wps1.pn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a:xfrm>
                      <a:off x="0" y="0"/>
                      <a:ext cx="5095772" cy="2052000"/>
                    </a:xfrm>
                    <a:prstGeom prst="rect">
                      <a:avLst/>
                    </a:prstGeom>
                    <a:noFill/>
                    <a:ln>
                      <a:noFill/>
                    </a:ln>
                  </pic:spPr>
                </pic:pic>
              </a:graphicData>
            </a:graphic>
          </wp:inline>
        </w:drawing>
      </w:r>
    </w:p>
    <w:p w14:paraId="2235E1E2">
      <w:pPr>
        <w:pStyle w:val="60"/>
        <w:rPr>
          <w:color w:val="auto"/>
        </w:rPr>
      </w:pPr>
      <w:r>
        <w:rPr>
          <w:color w:val="auto"/>
        </w:rPr>
        <w:t>实施流程图</w:t>
      </w:r>
    </w:p>
    <w:p w14:paraId="082766A2">
      <w:pPr>
        <w:pStyle w:val="5"/>
        <w:rPr>
          <w:color w:val="auto"/>
        </w:rPr>
      </w:pPr>
      <w:bookmarkStart w:id="244" w:name="_Toc39051116"/>
      <w:bookmarkStart w:id="245" w:name="_Toc7658"/>
      <w:r>
        <w:rPr>
          <w:rFonts w:hint="eastAsia"/>
          <w:color w:val="auto"/>
        </w:rPr>
        <w:t>软件硬件选择</w:t>
      </w:r>
      <w:bookmarkEnd w:id="244"/>
      <w:bookmarkEnd w:id="245"/>
    </w:p>
    <w:p w14:paraId="6A990BEC">
      <w:pPr>
        <w:rPr>
          <w:color w:val="auto"/>
        </w:rPr>
      </w:pPr>
      <w:r>
        <w:rPr>
          <w:rFonts w:hint="eastAsia"/>
          <w:color w:val="auto"/>
        </w:rPr>
        <w:t>在本项目中我们选择目前应用最为广泛的Revit系列软件配合其他主流BIM软件进行项目BIM实施。全面解决BIM实施过程中的信息交互和可视化沟通和汇报的需求。拟配置iPad平板电脑三台，内存128GB，屏幕10.2英寸，分辨率2016×1620，屏比4:3。建模及应用电脑配置详见硬件配置表。</w:t>
      </w:r>
    </w:p>
    <w:p w14:paraId="0C6B49FC">
      <w:pPr>
        <w:pStyle w:val="5"/>
        <w:rPr>
          <w:color w:val="auto"/>
        </w:rPr>
      </w:pPr>
      <w:bookmarkStart w:id="246" w:name="_Toc39051117"/>
      <w:bookmarkStart w:id="247" w:name="_Toc3390"/>
      <w:r>
        <w:rPr>
          <w:rFonts w:hint="eastAsia"/>
          <w:color w:val="auto"/>
        </w:rPr>
        <w:t>硬件配置推荐方案</w:t>
      </w:r>
      <w:bookmarkEnd w:id="246"/>
      <w:bookmarkEnd w:id="247"/>
    </w:p>
    <w:p w14:paraId="0B01F595">
      <w:pPr>
        <w:pStyle w:val="54"/>
        <w:rPr>
          <w:color w:val="auto"/>
        </w:rPr>
      </w:pPr>
      <w:r>
        <w:rPr>
          <w:rFonts w:hint="eastAsia"/>
          <w:color w:val="auto"/>
        </w:rPr>
        <w:t>硬件配置表</w:t>
      </w:r>
    </w:p>
    <w:tbl>
      <w:tblPr>
        <w:tblStyle w:val="29"/>
        <w:tblW w:w="5000" w:type="pct"/>
        <w:tblInd w:w="0" w:type="dxa"/>
        <w:tblLayout w:type="autofit"/>
        <w:tblCellMar>
          <w:top w:w="0" w:type="dxa"/>
          <w:left w:w="108" w:type="dxa"/>
          <w:bottom w:w="0" w:type="dxa"/>
          <w:right w:w="108" w:type="dxa"/>
        </w:tblCellMar>
      </w:tblPr>
      <w:tblGrid>
        <w:gridCol w:w="2265"/>
        <w:gridCol w:w="2265"/>
        <w:gridCol w:w="2265"/>
        <w:gridCol w:w="2265"/>
      </w:tblGrid>
      <w:tr w14:paraId="7F6AE647">
        <w:tblPrEx>
          <w:tblCellMar>
            <w:top w:w="0" w:type="dxa"/>
            <w:left w:w="108" w:type="dxa"/>
            <w:bottom w:w="0" w:type="dxa"/>
            <w:right w:w="108" w:type="dxa"/>
          </w:tblCellMar>
        </w:tblPrEx>
        <w:trPr>
          <w:trHeight w:val="454" w:hRule="atLeast"/>
        </w:trPr>
        <w:tc>
          <w:tcPr>
            <w:tcW w:w="125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65370EF9">
            <w:pPr>
              <w:pStyle w:val="69"/>
              <w:rPr>
                <w:rFonts w:hint="eastAsia"/>
                <w:color w:val="auto"/>
              </w:rPr>
            </w:pPr>
            <w:r>
              <w:rPr>
                <w:rFonts w:hint="eastAsia"/>
                <w:color w:val="auto"/>
              </w:rPr>
              <w:t>操作系统</w:t>
            </w:r>
          </w:p>
        </w:tc>
        <w:tc>
          <w:tcPr>
            <w:tcW w:w="3750" w:type="pct"/>
            <w:gridSpan w:val="3"/>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C4648FE">
            <w:pPr>
              <w:pStyle w:val="69"/>
              <w:rPr>
                <w:rFonts w:hint="eastAsia"/>
                <w:color w:val="auto"/>
              </w:rPr>
            </w:pPr>
            <w:r>
              <w:rPr>
                <w:rFonts w:hint="eastAsia"/>
                <w:color w:val="auto"/>
              </w:rPr>
              <w:t>Microsoft Windows 7 SP1 64 位：</w:t>
            </w:r>
            <w:r>
              <w:rPr>
                <w:rFonts w:hint="eastAsia"/>
                <w:color w:val="auto"/>
              </w:rPr>
              <w:br w:type="textWrapping"/>
            </w:r>
            <w:r>
              <w:rPr>
                <w:rFonts w:hint="eastAsia"/>
                <w:color w:val="auto"/>
              </w:rPr>
              <w:t>Windows 7 企业版、旗舰版、专业版</w:t>
            </w:r>
          </w:p>
        </w:tc>
      </w:tr>
      <w:tr w14:paraId="331C88CB">
        <w:tblPrEx>
          <w:tblCellMar>
            <w:top w:w="0" w:type="dxa"/>
            <w:left w:w="108" w:type="dxa"/>
            <w:bottom w:w="0" w:type="dxa"/>
            <w:right w:w="108" w:type="dxa"/>
          </w:tblCellMar>
        </w:tblPrEx>
        <w:trPr>
          <w:trHeight w:val="454" w:hRule="atLeast"/>
        </w:trPr>
        <w:tc>
          <w:tcPr>
            <w:tcW w:w="125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43111FDD">
            <w:pPr>
              <w:pStyle w:val="69"/>
              <w:rPr>
                <w:rFonts w:hint="eastAsia"/>
                <w:color w:val="auto"/>
              </w:rPr>
            </w:pPr>
            <w:r>
              <w:rPr>
                <w:rFonts w:hint="eastAsia"/>
                <w:color w:val="auto"/>
              </w:rPr>
              <w:t>CPU</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30034AF">
            <w:pPr>
              <w:pStyle w:val="69"/>
              <w:rPr>
                <w:rFonts w:hint="eastAsia"/>
                <w:color w:val="auto"/>
              </w:rPr>
            </w:pPr>
            <w:r>
              <w:rPr>
                <w:rFonts w:hint="eastAsia"/>
                <w:color w:val="auto"/>
              </w:rPr>
              <w:t>Intel I5 4 + 核</w:t>
            </w:r>
            <w:r>
              <w:rPr>
                <w:rFonts w:hint="eastAsia"/>
                <w:color w:val="auto"/>
              </w:rPr>
              <w:br w:type="textWrapping"/>
            </w:r>
            <w:r>
              <w:rPr>
                <w:rFonts w:hint="eastAsia"/>
                <w:color w:val="auto"/>
              </w:rPr>
              <w:t>2.4 GHz +</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39F1D76B">
            <w:pPr>
              <w:pStyle w:val="69"/>
              <w:rPr>
                <w:rFonts w:hint="eastAsia"/>
                <w:color w:val="auto"/>
              </w:rPr>
            </w:pPr>
            <w:r>
              <w:rPr>
                <w:rFonts w:hint="eastAsia"/>
                <w:color w:val="auto"/>
              </w:rPr>
              <w:t>Intel I5 6 + 核</w:t>
            </w:r>
            <w:r>
              <w:rPr>
                <w:rFonts w:hint="eastAsia"/>
                <w:color w:val="auto"/>
              </w:rPr>
              <w:br w:type="textWrapping"/>
            </w:r>
            <w:r>
              <w:rPr>
                <w:rFonts w:hint="eastAsia"/>
                <w:color w:val="auto"/>
              </w:rPr>
              <w:t>3.0 GHz +</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DE20668">
            <w:pPr>
              <w:pStyle w:val="69"/>
              <w:rPr>
                <w:rFonts w:hint="eastAsia"/>
                <w:color w:val="auto"/>
              </w:rPr>
            </w:pPr>
            <w:r>
              <w:rPr>
                <w:rFonts w:hint="eastAsia"/>
                <w:color w:val="auto"/>
              </w:rPr>
              <w:t>Intel I7 8 + 核</w:t>
            </w:r>
            <w:r>
              <w:rPr>
                <w:rFonts w:hint="eastAsia"/>
                <w:color w:val="auto"/>
              </w:rPr>
              <w:br w:type="textWrapping"/>
            </w:r>
            <w:r>
              <w:rPr>
                <w:rFonts w:hint="eastAsia"/>
                <w:color w:val="auto"/>
              </w:rPr>
              <w:t>3.2 GHz +</w:t>
            </w:r>
          </w:p>
        </w:tc>
      </w:tr>
      <w:tr w14:paraId="149FFD4B">
        <w:tblPrEx>
          <w:tblCellMar>
            <w:top w:w="0" w:type="dxa"/>
            <w:left w:w="108" w:type="dxa"/>
            <w:bottom w:w="0" w:type="dxa"/>
            <w:right w:w="108" w:type="dxa"/>
          </w:tblCellMar>
        </w:tblPrEx>
        <w:trPr>
          <w:trHeight w:val="454" w:hRule="atLeast"/>
        </w:trPr>
        <w:tc>
          <w:tcPr>
            <w:tcW w:w="125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68B89262">
            <w:pPr>
              <w:pStyle w:val="69"/>
              <w:rPr>
                <w:rFonts w:hint="eastAsia"/>
                <w:color w:val="auto"/>
              </w:rPr>
            </w:pPr>
            <w:r>
              <w:rPr>
                <w:rFonts w:hint="eastAsia"/>
                <w:color w:val="auto"/>
              </w:rPr>
              <w:t>内存</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BD4B41D">
            <w:pPr>
              <w:pStyle w:val="69"/>
              <w:rPr>
                <w:rFonts w:hint="eastAsia"/>
                <w:color w:val="auto"/>
              </w:rPr>
            </w:pPr>
            <w:r>
              <w:rPr>
                <w:rFonts w:hint="eastAsia"/>
                <w:color w:val="auto"/>
              </w:rPr>
              <w:t>16GB</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7A0E6F55">
            <w:pPr>
              <w:pStyle w:val="69"/>
              <w:rPr>
                <w:rFonts w:hint="eastAsia"/>
                <w:color w:val="auto"/>
              </w:rPr>
            </w:pPr>
            <w:r>
              <w:rPr>
                <w:rFonts w:hint="eastAsia"/>
                <w:color w:val="auto"/>
              </w:rPr>
              <w:t>32 GB</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6D215EE">
            <w:pPr>
              <w:pStyle w:val="69"/>
              <w:rPr>
                <w:rFonts w:hint="eastAsia"/>
                <w:color w:val="auto"/>
              </w:rPr>
            </w:pPr>
            <w:r>
              <w:rPr>
                <w:rFonts w:hint="eastAsia"/>
                <w:color w:val="auto"/>
              </w:rPr>
              <w:t>64 GB</w:t>
            </w:r>
          </w:p>
        </w:tc>
      </w:tr>
      <w:tr w14:paraId="7309793F">
        <w:tblPrEx>
          <w:tblCellMar>
            <w:top w:w="0" w:type="dxa"/>
            <w:left w:w="108" w:type="dxa"/>
            <w:bottom w:w="0" w:type="dxa"/>
            <w:right w:w="108" w:type="dxa"/>
          </w:tblCellMar>
        </w:tblPrEx>
        <w:trPr>
          <w:trHeight w:val="454" w:hRule="atLeast"/>
        </w:trPr>
        <w:tc>
          <w:tcPr>
            <w:tcW w:w="125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58C4D1B4">
            <w:pPr>
              <w:pStyle w:val="69"/>
              <w:rPr>
                <w:rFonts w:hint="eastAsia"/>
                <w:color w:val="auto"/>
              </w:rPr>
            </w:pPr>
            <w:r>
              <w:rPr>
                <w:rFonts w:hint="eastAsia"/>
                <w:color w:val="auto"/>
              </w:rPr>
              <w:t>硬盘</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1ADCDB8">
            <w:pPr>
              <w:pStyle w:val="69"/>
              <w:rPr>
                <w:rFonts w:hint="eastAsia"/>
                <w:color w:val="auto"/>
              </w:rPr>
            </w:pPr>
            <w:r>
              <w:rPr>
                <w:rFonts w:hint="eastAsia"/>
                <w:color w:val="auto"/>
              </w:rPr>
              <w:t>500GB（7200转）</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53B9D1D3">
            <w:pPr>
              <w:pStyle w:val="69"/>
              <w:rPr>
                <w:rFonts w:hint="eastAsia"/>
                <w:color w:val="auto"/>
              </w:rPr>
            </w:pPr>
            <w:r>
              <w:rPr>
                <w:rFonts w:hint="eastAsia"/>
                <w:color w:val="auto"/>
              </w:rPr>
              <w:t>1TB（7200转）</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AB37E85">
            <w:pPr>
              <w:pStyle w:val="69"/>
              <w:rPr>
                <w:rFonts w:hint="eastAsia"/>
                <w:color w:val="auto"/>
              </w:rPr>
            </w:pPr>
            <w:r>
              <w:rPr>
                <w:rFonts w:hint="eastAsia"/>
                <w:color w:val="auto"/>
              </w:rPr>
              <w:t>1TB（7200转）</w:t>
            </w:r>
          </w:p>
        </w:tc>
      </w:tr>
      <w:tr w14:paraId="6DCE043E">
        <w:tblPrEx>
          <w:tblCellMar>
            <w:top w:w="0" w:type="dxa"/>
            <w:left w:w="108" w:type="dxa"/>
            <w:bottom w:w="0" w:type="dxa"/>
            <w:right w:w="108" w:type="dxa"/>
          </w:tblCellMar>
        </w:tblPrEx>
        <w:trPr>
          <w:trHeight w:val="454" w:hRule="atLeast"/>
        </w:trPr>
        <w:tc>
          <w:tcPr>
            <w:tcW w:w="125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4D7D6A49">
            <w:pPr>
              <w:pStyle w:val="69"/>
              <w:rPr>
                <w:rFonts w:hint="eastAsia"/>
                <w:color w:val="auto"/>
              </w:rPr>
            </w:pPr>
            <w:r>
              <w:rPr>
                <w:rFonts w:hint="eastAsia"/>
                <w:color w:val="auto"/>
              </w:rPr>
              <w:t>显卡指标</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5F634ADC">
            <w:pPr>
              <w:pStyle w:val="69"/>
              <w:rPr>
                <w:rFonts w:hint="eastAsia"/>
                <w:color w:val="auto"/>
              </w:rPr>
            </w:pPr>
            <w:r>
              <w:rPr>
                <w:rFonts w:hint="eastAsia"/>
                <w:color w:val="auto"/>
              </w:rPr>
              <w:t>1280 × 1024</w:t>
            </w:r>
          </w:p>
          <w:p w14:paraId="7F3BB9AD">
            <w:pPr>
              <w:pStyle w:val="69"/>
              <w:rPr>
                <w:rFonts w:hint="eastAsia"/>
                <w:color w:val="auto"/>
              </w:rPr>
            </w:pPr>
            <w:r>
              <w:rPr>
                <w:rFonts w:hint="eastAsia"/>
                <w:color w:val="auto"/>
              </w:rPr>
              <w:t>DirectX 11</w:t>
            </w:r>
          </w:p>
          <w:p w14:paraId="314F274C">
            <w:pPr>
              <w:pStyle w:val="69"/>
              <w:rPr>
                <w:rFonts w:hint="eastAsia"/>
                <w:color w:val="auto"/>
              </w:rPr>
            </w:pPr>
            <w:r>
              <w:rPr>
                <w:rFonts w:hint="eastAsia"/>
                <w:color w:val="auto"/>
              </w:rPr>
              <w:t>Shader Model 4</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44A3556B">
            <w:pPr>
              <w:pStyle w:val="69"/>
              <w:rPr>
                <w:rFonts w:hint="eastAsia"/>
                <w:color w:val="auto"/>
              </w:rPr>
            </w:pPr>
            <w:r>
              <w:rPr>
                <w:rFonts w:hint="eastAsia"/>
                <w:color w:val="auto"/>
              </w:rPr>
              <w:t>1680 × 1050</w:t>
            </w:r>
          </w:p>
          <w:p w14:paraId="4910B64C">
            <w:pPr>
              <w:pStyle w:val="69"/>
              <w:rPr>
                <w:rFonts w:hint="eastAsia"/>
                <w:color w:val="auto"/>
              </w:rPr>
            </w:pPr>
            <w:r>
              <w:rPr>
                <w:rFonts w:hint="eastAsia"/>
                <w:color w:val="auto"/>
              </w:rPr>
              <w:t>DirectX 11</w:t>
            </w:r>
          </w:p>
          <w:p w14:paraId="212E65F1">
            <w:pPr>
              <w:pStyle w:val="69"/>
              <w:rPr>
                <w:rFonts w:hint="eastAsia"/>
                <w:color w:val="auto"/>
              </w:rPr>
            </w:pPr>
            <w:r>
              <w:rPr>
                <w:rFonts w:hint="eastAsia"/>
                <w:color w:val="auto"/>
              </w:rPr>
              <w:t>Shader Model 4</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0C098A59">
            <w:pPr>
              <w:pStyle w:val="69"/>
              <w:rPr>
                <w:rFonts w:hint="eastAsia"/>
                <w:color w:val="auto"/>
              </w:rPr>
            </w:pPr>
            <w:r>
              <w:rPr>
                <w:rFonts w:hint="eastAsia"/>
                <w:color w:val="auto"/>
              </w:rPr>
              <w:t>1920 × 1200</w:t>
            </w:r>
          </w:p>
          <w:p w14:paraId="650D29DC">
            <w:pPr>
              <w:pStyle w:val="69"/>
              <w:rPr>
                <w:rFonts w:hint="eastAsia"/>
                <w:color w:val="auto"/>
              </w:rPr>
            </w:pPr>
            <w:r>
              <w:rPr>
                <w:rFonts w:hint="eastAsia"/>
                <w:color w:val="auto"/>
              </w:rPr>
              <w:t>DirectX 11</w:t>
            </w:r>
          </w:p>
          <w:p w14:paraId="450BB93C">
            <w:pPr>
              <w:pStyle w:val="69"/>
              <w:rPr>
                <w:rFonts w:hint="eastAsia"/>
                <w:color w:val="auto"/>
              </w:rPr>
            </w:pPr>
            <w:r>
              <w:rPr>
                <w:rFonts w:hint="eastAsia"/>
                <w:color w:val="auto"/>
              </w:rPr>
              <w:t>Shader Model 4</w:t>
            </w:r>
          </w:p>
        </w:tc>
      </w:tr>
      <w:tr w14:paraId="5977EC9B">
        <w:tblPrEx>
          <w:tblCellMar>
            <w:top w:w="0" w:type="dxa"/>
            <w:left w:w="108" w:type="dxa"/>
            <w:bottom w:w="0" w:type="dxa"/>
            <w:right w:w="108" w:type="dxa"/>
          </w:tblCellMar>
        </w:tblPrEx>
        <w:trPr>
          <w:trHeight w:val="454" w:hRule="atLeast"/>
        </w:trPr>
        <w:tc>
          <w:tcPr>
            <w:tcW w:w="1250"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1385A960">
            <w:pPr>
              <w:pStyle w:val="69"/>
              <w:rPr>
                <w:rFonts w:hint="eastAsia"/>
                <w:color w:val="auto"/>
              </w:rPr>
            </w:pPr>
            <w:r>
              <w:rPr>
                <w:rFonts w:hint="eastAsia"/>
                <w:color w:val="auto"/>
              </w:rPr>
              <w:t>显卡型号</w:t>
            </w:r>
          </w:p>
          <w:p w14:paraId="09BF7C41">
            <w:pPr>
              <w:pStyle w:val="69"/>
              <w:rPr>
                <w:rFonts w:hint="eastAsia"/>
                <w:color w:val="auto"/>
              </w:rPr>
            </w:pPr>
            <w:r>
              <w:rPr>
                <w:rFonts w:hint="eastAsia"/>
                <w:color w:val="auto"/>
              </w:rPr>
              <w:t>(供参考)</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20E7BD2">
            <w:pPr>
              <w:pStyle w:val="69"/>
              <w:rPr>
                <w:rFonts w:hint="eastAsia"/>
                <w:color w:val="auto"/>
              </w:rPr>
            </w:pPr>
            <w:r>
              <w:rPr>
                <w:rFonts w:hint="eastAsia"/>
                <w:color w:val="auto"/>
              </w:rPr>
              <w:t>AMD R7 250</w:t>
            </w:r>
          </w:p>
          <w:p w14:paraId="50B0CF3A">
            <w:pPr>
              <w:pStyle w:val="69"/>
              <w:rPr>
                <w:rFonts w:hint="eastAsia"/>
                <w:color w:val="auto"/>
              </w:rPr>
            </w:pPr>
            <w:r>
              <w:rPr>
                <w:rFonts w:hint="eastAsia"/>
                <w:color w:val="auto"/>
              </w:rPr>
              <w:t>Nvidia GTX 930</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A0AB6CB">
            <w:pPr>
              <w:pStyle w:val="69"/>
              <w:rPr>
                <w:rFonts w:hint="eastAsia"/>
                <w:color w:val="auto"/>
              </w:rPr>
            </w:pPr>
            <w:r>
              <w:rPr>
                <w:rFonts w:hint="eastAsia"/>
                <w:color w:val="auto"/>
              </w:rPr>
              <w:t>AMD R7 260</w:t>
            </w:r>
          </w:p>
          <w:p w14:paraId="78135199">
            <w:pPr>
              <w:pStyle w:val="69"/>
              <w:rPr>
                <w:rFonts w:hint="eastAsia"/>
                <w:color w:val="auto"/>
              </w:rPr>
            </w:pPr>
            <w:r>
              <w:rPr>
                <w:rFonts w:hint="eastAsia"/>
                <w:color w:val="auto"/>
              </w:rPr>
              <w:t>Nvidia GTX 950</w:t>
            </w:r>
          </w:p>
        </w:tc>
        <w:tc>
          <w:tcPr>
            <w:tcW w:w="1250"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82E6234">
            <w:pPr>
              <w:pStyle w:val="69"/>
              <w:rPr>
                <w:rFonts w:hint="eastAsia"/>
                <w:color w:val="auto"/>
              </w:rPr>
            </w:pPr>
            <w:r>
              <w:rPr>
                <w:rFonts w:hint="eastAsia"/>
                <w:color w:val="auto"/>
              </w:rPr>
              <w:t>AMD R9 270</w:t>
            </w:r>
          </w:p>
          <w:p w14:paraId="467A360A">
            <w:pPr>
              <w:pStyle w:val="69"/>
              <w:rPr>
                <w:rFonts w:hint="eastAsia"/>
                <w:color w:val="auto"/>
                <w:lang w:val="en-US"/>
              </w:rPr>
            </w:pPr>
            <w:r>
              <w:rPr>
                <w:rFonts w:hint="eastAsia"/>
                <w:color w:val="auto"/>
                <w:lang w:val="en-US"/>
              </w:rPr>
              <w:t>Nvidia GTX 970</w:t>
            </w:r>
            <w:r>
              <w:rPr>
                <w:rFonts w:hint="eastAsia"/>
                <w:color w:val="auto"/>
                <w:lang w:val="en-US"/>
              </w:rPr>
              <w:br w:type="textWrapping"/>
            </w:r>
            <w:r>
              <w:rPr>
                <w:rFonts w:hint="eastAsia"/>
                <w:color w:val="auto"/>
                <w:lang w:val="en-US"/>
              </w:rPr>
              <w:t>NVIDIA Quadro</w:t>
            </w:r>
            <w:r>
              <w:rPr>
                <w:rFonts w:hint="eastAsia"/>
                <w:color w:val="auto"/>
              </w:rPr>
              <w:t>系列</w:t>
            </w:r>
          </w:p>
        </w:tc>
      </w:tr>
    </w:tbl>
    <w:p w14:paraId="68BCE161">
      <w:pPr>
        <w:pStyle w:val="5"/>
        <w:rPr>
          <w:color w:val="auto"/>
        </w:rPr>
      </w:pPr>
      <w:bookmarkStart w:id="248" w:name="_Toc24854"/>
      <w:bookmarkStart w:id="249" w:name="_Toc39051118"/>
      <w:r>
        <w:rPr>
          <w:rFonts w:hint="eastAsia"/>
          <w:color w:val="auto"/>
        </w:rPr>
        <w:t>建模软件选型</w:t>
      </w:r>
      <w:bookmarkEnd w:id="248"/>
      <w:bookmarkEnd w:id="249"/>
    </w:p>
    <w:p w14:paraId="311F35BC">
      <w:pPr>
        <w:rPr>
          <w:color w:val="auto"/>
        </w:rPr>
      </w:pPr>
      <w:r>
        <w:rPr>
          <w:rFonts w:hint="eastAsia"/>
          <w:color w:val="auto"/>
        </w:rPr>
        <w:t>BIM应用中模型是前提，模型的建立需要依靠合适建模软件，根据自身的BIM目标和项目资源配置，来选择适合自身项目的建模软件。</w:t>
      </w:r>
    </w:p>
    <w:p w14:paraId="155D2B91">
      <w:pPr>
        <w:pStyle w:val="5"/>
        <w:rPr>
          <w:color w:val="auto"/>
        </w:rPr>
      </w:pPr>
      <w:bookmarkStart w:id="250" w:name="_Toc28488"/>
      <w:bookmarkStart w:id="251" w:name="_Toc39051119"/>
      <w:r>
        <w:rPr>
          <w:rFonts w:hint="eastAsia"/>
          <w:color w:val="auto"/>
        </w:rPr>
        <w:t>BIM应用组织架构</w:t>
      </w:r>
      <w:bookmarkEnd w:id="250"/>
      <w:bookmarkEnd w:id="251"/>
    </w:p>
    <w:p w14:paraId="325D0AFB">
      <w:pPr>
        <w:pStyle w:val="6"/>
        <w:ind w:firstLine="480"/>
        <w:rPr>
          <w:color w:val="auto"/>
        </w:rPr>
      </w:pPr>
      <w:r>
        <w:rPr>
          <w:rFonts w:hint="eastAsia"/>
          <w:color w:val="auto"/>
        </w:rPr>
        <w:t>团队岗位描述</w:t>
      </w:r>
    </w:p>
    <w:p w14:paraId="367B0697">
      <w:pPr>
        <w:rPr>
          <w:rFonts w:cs="Times New Roman"/>
          <w:color w:val="auto"/>
          <w:szCs w:val="24"/>
        </w:rPr>
      </w:pPr>
      <w:r>
        <w:rPr>
          <w:rFonts w:hint="eastAsia" w:cs="Times New Roman"/>
          <w:color w:val="auto"/>
          <w:szCs w:val="24"/>
        </w:rPr>
        <w:t>三亚崖州湾科技城公共教学区（一期）E</w:t>
      </w:r>
      <w:r>
        <w:rPr>
          <w:rFonts w:cs="Times New Roman"/>
          <w:color w:val="auto"/>
          <w:szCs w:val="24"/>
        </w:rPr>
        <w:t>PC</w:t>
      </w:r>
      <w:r>
        <w:rPr>
          <w:rFonts w:hint="eastAsia" w:cs="Times New Roman"/>
          <w:color w:val="auto"/>
          <w:szCs w:val="24"/>
        </w:rPr>
        <w:t>项目BIM管理小组下辖：模型管理组、综合协调组、无人机应用组、数据维护组。以管理小组审核、管理统筹，各主要参建方各司其职、相互协调，已实现对项目增值提效，对业主交付有效成果的目的。</w:t>
      </w:r>
    </w:p>
    <w:p w14:paraId="28B8ACAB">
      <w:pPr>
        <w:rPr>
          <w:rFonts w:cs="Times New Roman"/>
          <w:color w:val="auto"/>
          <w:szCs w:val="24"/>
        </w:rPr>
      </w:pPr>
      <w:r>
        <w:rPr>
          <w:rFonts w:hint="eastAsia" w:cs="Times New Roman"/>
          <w:color w:val="auto"/>
          <w:szCs w:val="24"/>
        </w:rPr>
        <w:t>项目部BIM实施小组：</w:t>
      </w:r>
    </w:p>
    <w:p w14:paraId="4FC4DF7B">
      <w:pPr>
        <w:rPr>
          <w:rFonts w:cs="Times New Roman"/>
          <w:color w:val="auto"/>
          <w:szCs w:val="24"/>
        </w:rPr>
      </w:pPr>
      <w:r>
        <w:rPr>
          <w:rFonts w:cs="Times New Roman"/>
          <w:color w:val="auto"/>
          <w:szCs w:val="24"/>
        </w:rPr>
        <w:t>1</w:t>
      </w:r>
      <w:r>
        <w:rPr>
          <w:rFonts w:hint="eastAsia" w:cs="Times New Roman"/>
          <w:color w:val="auto"/>
          <w:szCs w:val="24"/>
        </w:rPr>
        <w:t>、模型管理组</w:t>
      </w:r>
    </w:p>
    <w:p w14:paraId="4EBE56D6">
      <w:pPr>
        <w:rPr>
          <w:rFonts w:cs="Times New Roman"/>
          <w:color w:val="auto"/>
          <w:szCs w:val="24"/>
        </w:rPr>
      </w:pPr>
      <w:r>
        <w:rPr>
          <w:rFonts w:hint="eastAsia" w:cs="Times New Roman"/>
          <w:color w:val="auto"/>
          <w:szCs w:val="24"/>
        </w:rPr>
        <w:t>模型组负责土建模型的建立，并对接机电和装饰专业分包利用BIM辅助深化设计。与综合协调组配合，对各专业施工阶段模型整合；及时收集各分包及供应商提供的施工阶段BIM模型和数据。</w:t>
      </w:r>
    </w:p>
    <w:p w14:paraId="771631D2">
      <w:pPr>
        <w:rPr>
          <w:rFonts w:cs="Times New Roman"/>
          <w:color w:val="auto"/>
          <w:szCs w:val="24"/>
        </w:rPr>
      </w:pPr>
      <w:r>
        <w:rPr>
          <w:rFonts w:cs="Times New Roman"/>
          <w:color w:val="auto"/>
          <w:szCs w:val="24"/>
        </w:rPr>
        <w:t>2</w:t>
      </w:r>
      <w:r>
        <w:rPr>
          <w:rFonts w:hint="eastAsia" w:cs="Times New Roman"/>
          <w:color w:val="auto"/>
          <w:szCs w:val="24"/>
        </w:rPr>
        <w:t>、综合协调组</w:t>
      </w:r>
    </w:p>
    <w:p w14:paraId="29823C94">
      <w:pPr>
        <w:rPr>
          <w:rFonts w:cs="Times New Roman"/>
          <w:color w:val="auto"/>
          <w:szCs w:val="24"/>
        </w:rPr>
      </w:pPr>
      <w:r>
        <w:rPr>
          <w:rFonts w:hint="eastAsia" w:cs="Times New Roman"/>
          <w:color w:val="auto"/>
          <w:szCs w:val="24"/>
        </w:rPr>
        <w:t>综合协调组负责在建造过程中的各方协调，包括业主方、设计方、分包方、供应商等多渠道和多方位的协调；负责项目BIM模型的整合与拆分；组织设计、施工、设备三方对模型及BIM应用问题进行协商。</w:t>
      </w:r>
    </w:p>
    <w:p w14:paraId="045AB3D7">
      <w:pPr>
        <w:rPr>
          <w:rFonts w:cs="Times New Roman"/>
          <w:color w:val="auto"/>
          <w:szCs w:val="24"/>
        </w:rPr>
      </w:pPr>
      <w:r>
        <w:rPr>
          <w:rFonts w:cs="Times New Roman"/>
          <w:color w:val="auto"/>
          <w:szCs w:val="24"/>
        </w:rPr>
        <w:t>3</w:t>
      </w:r>
      <w:r>
        <w:rPr>
          <w:rFonts w:hint="eastAsia" w:cs="Times New Roman"/>
          <w:color w:val="auto"/>
          <w:szCs w:val="24"/>
        </w:rPr>
        <w:t>、无人机应用组</w:t>
      </w:r>
    </w:p>
    <w:p w14:paraId="26B1E9D1">
      <w:pPr>
        <w:rPr>
          <w:rFonts w:cs="Times New Roman"/>
          <w:color w:val="auto"/>
          <w:szCs w:val="24"/>
        </w:rPr>
      </w:pPr>
      <w:r>
        <w:rPr>
          <w:rFonts w:hint="eastAsia" w:cs="Times New Roman"/>
          <w:color w:val="auto"/>
          <w:szCs w:val="24"/>
        </w:rPr>
        <w:t>根据项目无人机应用规划，在整个项目实施过程中，进行项目视频的录制并且负责制作视频、倾斜模型、全景球等内容。</w:t>
      </w:r>
    </w:p>
    <w:p w14:paraId="1263BEEF">
      <w:pPr>
        <w:rPr>
          <w:rFonts w:cs="Times New Roman"/>
          <w:color w:val="auto"/>
          <w:szCs w:val="24"/>
        </w:rPr>
      </w:pPr>
      <w:r>
        <w:rPr>
          <w:rFonts w:cs="Times New Roman"/>
          <w:color w:val="auto"/>
          <w:szCs w:val="24"/>
        </w:rPr>
        <w:t>4</w:t>
      </w:r>
      <w:r>
        <w:rPr>
          <w:rFonts w:hint="eastAsia" w:cs="Times New Roman"/>
          <w:color w:val="auto"/>
          <w:szCs w:val="24"/>
        </w:rPr>
        <w:t>、数据维护组</w:t>
      </w:r>
    </w:p>
    <w:p w14:paraId="17A09FA8">
      <w:pPr>
        <w:rPr>
          <w:rFonts w:cs="Times New Roman"/>
          <w:bCs/>
          <w:color w:val="auto"/>
          <w:szCs w:val="24"/>
        </w:rPr>
      </w:pPr>
      <w:r>
        <w:rPr>
          <w:rFonts w:hint="eastAsia" w:cs="Times New Roman"/>
          <w:color w:val="auto"/>
          <w:szCs w:val="24"/>
        </w:rPr>
        <w:t>负责整个项目在建过程中的BIM信息数据</w:t>
      </w:r>
      <w:r>
        <w:rPr>
          <w:rFonts w:hint="eastAsia" w:cs="Times New Roman"/>
          <w:bCs/>
          <w:color w:val="auto"/>
          <w:szCs w:val="24"/>
        </w:rPr>
        <w:t>的维护及更新工作。</w:t>
      </w:r>
    </w:p>
    <w:p w14:paraId="0819B8CA">
      <w:pPr>
        <w:pStyle w:val="6"/>
        <w:ind w:firstLine="480"/>
        <w:rPr>
          <w:color w:val="auto"/>
        </w:rPr>
      </w:pPr>
      <w:r>
        <w:rPr>
          <w:rFonts w:hint="eastAsia"/>
          <w:color w:val="auto"/>
        </w:rPr>
        <w:t>项目团队架构</w:t>
      </w:r>
    </w:p>
    <w:p w14:paraId="5DD2DF2B">
      <w:pPr>
        <w:pStyle w:val="65"/>
        <w:spacing w:before="163" w:after="163"/>
        <w:rPr>
          <w:color w:val="auto"/>
        </w:rPr>
      </w:pPr>
      <w:r>
        <w:rPr>
          <w:color w:val="auto"/>
        </w:rPr>
        <w:drawing>
          <wp:inline distT="0" distB="0" distL="0" distR="0">
            <wp:extent cx="5615940" cy="3040380"/>
            <wp:effectExtent l="0" t="0" r="381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a:xfrm>
                      <a:off x="0" y="0"/>
                      <a:ext cx="5615940" cy="3040380"/>
                    </a:xfrm>
                    <a:prstGeom prst="rect">
                      <a:avLst/>
                    </a:prstGeom>
                    <a:noFill/>
                    <a:ln>
                      <a:noFill/>
                    </a:ln>
                  </pic:spPr>
                </pic:pic>
              </a:graphicData>
            </a:graphic>
          </wp:inline>
        </w:drawing>
      </w:r>
    </w:p>
    <w:p w14:paraId="7DC860E4">
      <w:pPr>
        <w:pStyle w:val="53"/>
        <w:numPr>
          <w:ilvl w:val="0"/>
          <w:numId w:val="0"/>
        </w:numPr>
        <w:rPr>
          <w:color w:val="auto"/>
          <w:highlight w:val="yellow"/>
        </w:rPr>
      </w:pPr>
      <w:r>
        <w:rPr>
          <w:rFonts w:hint="eastAsia"/>
          <w:color w:val="auto"/>
        </w:rPr>
        <w:t>项目BIM组织架构图</w:t>
      </w:r>
    </w:p>
    <w:p w14:paraId="0B39F6BA">
      <w:pPr>
        <w:pStyle w:val="6"/>
        <w:ind w:firstLine="480"/>
        <w:rPr>
          <w:color w:val="auto"/>
        </w:rPr>
      </w:pPr>
      <w:r>
        <w:rPr>
          <w:rFonts w:hint="eastAsia"/>
          <w:color w:val="auto"/>
        </w:rPr>
        <w:t>BIM模型的创建及维护</w:t>
      </w:r>
    </w:p>
    <w:p w14:paraId="49BB06A0">
      <w:pPr>
        <w:rPr>
          <w:color w:val="auto"/>
        </w:rPr>
      </w:pPr>
      <w:r>
        <w:rPr>
          <w:rFonts w:hint="eastAsia"/>
          <w:color w:val="auto"/>
        </w:rPr>
        <w:t>1、建模标准</w:t>
      </w:r>
    </w:p>
    <w:p w14:paraId="26FA05CA">
      <w:pPr>
        <w:rPr>
          <w:rFonts w:cs="Times New Roman"/>
          <w:color w:val="auto"/>
          <w:szCs w:val="24"/>
        </w:rPr>
      </w:pPr>
      <w:r>
        <w:rPr>
          <w:rFonts w:hint="eastAsia" w:cs="Times New Roman"/>
          <w:color w:val="auto"/>
          <w:szCs w:val="24"/>
        </w:rPr>
        <w:t>1）</w:t>
      </w:r>
      <w:r>
        <w:rPr>
          <w:rFonts w:hint="eastAsia" w:ascii="宋体" w:hAnsi="宋体" w:cs="Times New Roman"/>
          <w:color w:val="auto"/>
          <w:szCs w:val="24"/>
        </w:rPr>
        <w:t>文件夹命名规则</w:t>
      </w:r>
    </w:p>
    <w:p w14:paraId="60BCCBCE">
      <w:pPr>
        <w:rPr>
          <w:rFonts w:cs="Times New Roman"/>
          <w:color w:val="auto"/>
          <w:szCs w:val="24"/>
        </w:rPr>
      </w:pPr>
      <w:r>
        <w:rPr>
          <w:rFonts w:hint="eastAsia" w:ascii="宋体" w:hAnsi="宋体" w:cs="Times New Roman"/>
          <w:color w:val="auto"/>
          <w:szCs w:val="24"/>
        </w:rPr>
        <w:t>文件夹命名需按照以下方式来命名</w:t>
      </w:r>
      <w:r>
        <w:rPr>
          <w:rFonts w:hint="eastAsia" w:cs="Times New Roman"/>
          <w:color w:val="auto"/>
          <w:szCs w:val="24"/>
        </w:rPr>
        <w:t>：</w:t>
      </w:r>
    </w:p>
    <w:p w14:paraId="45E38B3B">
      <w:pPr>
        <w:ind w:firstLine="0" w:firstLineChars="0"/>
        <w:jc w:val="center"/>
        <w:rPr>
          <w:rFonts w:cs="Times New Roman"/>
          <w:color w:val="auto"/>
          <w:szCs w:val="24"/>
          <w:highlight w:val="yellow"/>
        </w:rPr>
      </w:pPr>
      <w:r>
        <w:rPr>
          <w:rFonts w:cs="Times New Roman"/>
          <w:color w:val="auto"/>
          <w:szCs w:val="24"/>
        </w:rPr>
        <w:drawing>
          <wp:inline distT="0" distB="0" distL="0" distR="0">
            <wp:extent cx="4445000" cy="2038985"/>
            <wp:effectExtent l="0" t="0" r="0" b="0"/>
            <wp:docPr id="272" name="图片 272" descr="C:\Users\ADMINI~1\AppData\Local\Temp\ksohtml9540\wp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C:\Users\ADMINI~1\AppData\Local\Temp\ksohtml9540\wps3.png"/>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a:xfrm>
                      <a:off x="0" y="0"/>
                      <a:ext cx="4445000" cy="2038985"/>
                    </a:xfrm>
                    <a:prstGeom prst="rect">
                      <a:avLst/>
                    </a:prstGeom>
                    <a:noFill/>
                    <a:ln>
                      <a:noFill/>
                    </a:ln>
                  </pic:spPr>
                </pic:pic>
              </a:graphicData>
            </a:graphic>
          </wp:inline>
        </w:drawing>
      </w:r>
    </w:p>
    <w:p w14:paraId="456137C4">
      <w:pPr>
        <w:pStyle w:val="60"/>
        <w:rPr>
          <w:color w:val="auto"/>
          <w:highlight w:val="yellow"/>
        </w:rPr>
      </w:pPr>
      <w:r>
        <w:rPr>
          <w:rFonts w:hint="eastAsia"/>
          <w:color w:val="auto"/>
        </w:rPr>
        <w:t>文件命名规则</w:t>
      </w:r>
    </w:p>
    <w:p w14:paraId="3DA5322B">
      <w:pPr>
        <w:rPr>
          <w:rFonts w:cs="Times New Roman"/>
          <w:color w:val="auto"/>
          <w:szCs w:val="24"/>
        </w:rPr>
      </w:pPr>
      <w:r>
        <w:rPr>
          <w:rFonts w:hint="eastAsia" w:cs="Times New Roman"/>
          <w:color w:val="auto"/>
          <w:szCs w:val="24"/>
        </w:rPr>
        <w:t>2）命名细则</w:t>
      </w:r>
    </w:p>
    <w:p w14:paraId="05827EE8">
      <w:pPr>
        <w:rPr>
          <w:rFonts w:cs="Times New Roman"/>
          <w:color w:val="auto"/>
          <w:szCs w:val="24"/>
        </w:rPr>
      </w:pPr>
      <w:r>
        <w:rPr>
          <w:rFonts w:hint="eastAsia" w:cs="Times New Roman"/>
          <w:color w:val="auto"/>
          <w:szCs w:val="24"/>
        </w:rPr>
        <w:t>项目名称：需说明具体的项目名称，如三亚崖州湾科技城公共教学区（一期）EPC项目。</w:t>
      </w:r>
    </w:p>
    <w:p w14:paraId="7A4B313E">
      <w:pPr>
        <w:rPr>
          <w:rFonts w:cs="Times New Roman"/>
          <w:color w:val="auto"/>
          <w:szCs w:val="24"/>
        </w:rPr>
      </w:pPr>
      <w:r>
        <w:rPr>
          <w:rFonts w:hint="eastAsia" w:cs="Times New Roman"/>
          <w:color w:val="auto"/>
          <w:szCs w:val="24"/>
        </w:rPr>
        <w:t>专业：具体类型包括建筑、结构、机电、幕墙、钢结构、精装修。</w:t>
      </w:r>
    </w:p>
    <w:p w14:paraId="31AD02BF">
      <w:pPr>
        <w:rPr>
          <w:rFonts w:cs="Times New Roman"/>
          <w:color w:val="auto"/>
          <w:szCs w:val="24"/>
        </w:rPr>
      </w:pPr>
      <w:r>
        <w:rPr>
          <w:rFonts w:hint="eastAsia" w:cs="Times New Roman"/>
          <w:color w:val="auto"/>
          <w:szCs w:val="24"/>
        </w:rPr>
        <w:t>类型：根据文件类型建立文件夹，包括CAD文件夹，模型文件夹等，文件夹所放文件需为同一版本。</w:t>
      </w:r>
    </w:p>
    <w:p w14:paraId="554F3087">
      <w:pPr>
        <w:rPr>
          <w:rFonts w:cs="Times New Roman"/>
          <w:color w:val="auto"/>
          <w:szCs w:val="24"/>
        </w:rPr>
      </w:pPr>
      <w:r>
        <w:rPr>
          <w:rFonts w:hint="eastAsia" w:cs="Times New Roman"/>
          <w:color w:val="auto"/>
          <w:szCs w:val="24"/>
        </w:rPr>
        <w:t>位置：位置需要包括地下部分和地上部分，地上部分需说明具体的楼栋。</w:t>
      </w:r>
    </w:p>
    <w:p w14:paraId="5A058E66">
      <w:pPr>
        <w:rPr>
          <w:rFonts w:cs="Times New Roman"/>
          <w:color w:val="auto"/>
          <w:szCs w:val="24"/>
        </w:rPr>
      </w:pPr>
      <w:r>
        <w:rPr>
          <w:rFonts w:hint="eastAsia" w:cs="Times New Roman"/>
          <w:color w:val="auto"/>
          <w:szCs w:val="24"/>
        </w:rPr>
        <w:t>所有模型文件的命名均依照下列标准：</w:t>
      </w:r>
    </w:p>
    <w:p w14:paraId="2234B35A">
      <w:pPr>
        <w:rPr>
          <w:rFonts w:cs="Times New Roman"/>
          <w:color w:val="auto"/>
          <w:szCs w:val="24"/>
        </w:rPr>
      </w:pPr>
      <w:r>
        <w:rPr>
          <w:rFonts w:hint="eastAsia" w:cs="Times New Roman"/>
          <w:color w:val="auto"/>
          <w:szCs w:val="24"/>
        </w:rPr>
        <w:t>项目编号_项目简称_施工阶段_专业_楼层_日期.后缀</w:t>
      </w:r>
    </w:p>
    <w:p w14:paraId="5AD1446F">
      <w:pPr>
        <w:rPr>
          <w:rFonts w:cs="Times New Roman"/>
          <w:color w:val="auto"/>
          <w:szCs w:val="24"/>
        </w:rPr>
      </w:pPr>
      <w:r>
        <w:rPr>
          <w:rFonts w:hint="eastAsia" w:cs="Times New Roman"/>
          <w:color w:val="auto"/>
          <w:szCs w:val="24"/>
        </w:rPr>
        <w:t>例：PA005188_深圳市第二实验中学拆建_DD_M_B1_201910.31.rvt</w:t>
      </w:r>
    </w:p>
    <w:p w14:paraId="293B2DC4">
      <w:pPr>
        <w:rPr>
          <w:rFonts w:cs="Times New Roman"/>
          <w:color w:val="auto"/>
          <w:szCs w:val="24"/>
        </w:rPr>
      </w:pPr>
      <w:r>
        <w:rPr>
          <w:rFonts w:hint="eastAsia" w:cs="Times New Roman"/>
          <w:color w:val="auto"/>
          <w:szCs w:val="24"/>
        </w:rPr>
        <w:t>括号内可根据模型的级别、叠加程度等为可选项；项目编号应为可选项，且与设计序列无关。</w:t>
      </w:r>
    </w:p>
    <w:p w14:paraId="5E579111">
      <w:pPr>
        <w:rPr>
          <w:rFonts w:cs="Times New Roman"/>
          <w:color w:val="auto"/>
          <w:szCs w:val="24"/>
        </w:rPr>
      </w:pPr>
      <w:r>
        <w:rPr>
          <w:rFonts w:hint="eastAsia" w:cs="Times New Roman"/>
          <w:color w:val="auto"/>
          <w:szCs w:val="24"/>
        </w:rPr>
        <w:t>专业名称缩写</w:t>
      </w:r>
    </w:p>
    <w:p w14:paraId="60652359">
      <w:pPr>
        <w:rPr>
          <w:rFonts w:cs="Times New Roman"/>
          <w:color w:val="auto"/>
          <w:szCs w:val="24"/>
        </w:rPr>
      </w:pPr>
      <w:r>
        <w:rPr>
          <w:rFonts w:hint="eastAsia" w:cs="Times New Roman"/>
          <w:color w:val="auto"/>
          <w:szCs w:val="24"/>
        </w:rPr>
        <w:t>建筑：ARCH结构：STRU 机电—暖通：MECH；给排水：PLUM；电气：ELEC 幕墙：CURT 景观/场地：LAND</w:t>
      </w:r>
    </w:p>
    <w:p w14:paraId="2309F5EF">
      <w:pPr>
        <w:rPr>
          <w:rFonts w:cs="Times New Roman"/>
          <w:color w:val="auto"/>
          <w:szCs w:val="24"/>
        </w:rPr>
      </w:pPr>
      <w:r>
        <w:rPr>
          <w:rFonts w:hint="eastAsia" w:cs="Times New Roman"/>
          <w:color w:val="auto"/>
          <w:szCs w:val="24"/>
        </w:rPr>
        <w:t>3）型定位及项目基准点的设置及单位</w:t>
      </w:r>
    </w:p>
    <w:p w14:paraId="502C9B2E">
      <w:pPr>
        <w:rPr>
          <w:rFonts w:cs="Times New Roman"/>
          <w:color w:val="auto"/>
          <w:szCs w:val="24"/>
        </w:rPr>
      </w:pPr>
      <w:r>
        <w:rPr>
          <w:rFonts w:hint="eastAsia" w:cs="Times New Roman"/>
          <w:color w:val="auto"/>
          <w:szCs w:val="24"/>
        </w:rPr>
        <w:t>项目单位为毫米</w:t>
      </w:r>
    </w:p>
    <w:p w14:paraId="5A4A06E1">
      <w:pPr>
        <w:rPr>
          <w:rFonts w:cs="Times New Roman"/>
          <w:color w:val="auto"/>
          <w:szCs w:val="24"/>
        </w:rPr>
      </w:pPr>
      <w:r>
        <w:rPr>
          <w:rFonts w:hint="eastAsia" w:cs="Times New Roman"/>
          <w:color w:val="auto"/>
          <w:szCs w:val="24"/>
        </w:rPr>
        <w:t>4）模型定位</w:t>
      </w:r>
    </w:p>
    <w:p w14:paraId="64F6D767">
      <w:pPr>
        <w:rPr>
          <w:rFonts w:cs="Times New Roman"/>
          <w:color w:val="auto"/>
          <w:szCs w:val="24"/>
        </w:rPr>
      </w:pPr>
      <w:r>
        <w:rPr>
          <w:rFonts w:hint="eastAsia" w:cs="Times New Roman"/>
          <w:color w:val="auto"/>
          <w:szCs w:val="24"/>
        </w:rPr>
        <w:t>BIM项目工作的开展通常会涉及到不同的专业以及不同团队之间的协作。而在项目开展之初，统一的模型基准能保证协同工作可以顺利有效地开展。模型基准的设置最基本的一个就是项目基准点。项目基点定义的是本项目单体坐标系的原点 (0,0,0)，用于在场地中确定建筑的位置与其他建筑间的相对关系。</w:t>
      </w:r>
    </w:p>
    <w:p w14:paraId="6CB2794F">
      <w:pPr>
        <w:rPr>
          <w:rFonts w:cs="Times New Roman"/>
          <w:color w:val="auto"/>
          <w:szCs w:val="24"/>
        </w:rPr>
      </w:pPr>
      <w:r>
        <w:rPr>
          <w:rFonts w:hint="eastAsia" w:cs="Times New Roman"/>
          <w:color w:val="auto"/>
          <w:szCs w:val="24"/>
        </w:rPr>
        <w:t>5）模型拆分原则</w:t>
      </w:r>
    </w:p>
    <w:p w14:paraId="15E4C550">
      <w:pPr>
        <w:rPr>
          <w:rFonts w:cs="Times New Roman"/>
          <w:color w:val="auto"/>
          <w:szCs w:val="24"/>
        </w:rPr>
      </w:pPr>
      <w:r>
        <w:rPr>
          <w:rFonts w:hint="eastAsia" w:cs="Times New Roman"/>
          <w:color w:val="auto"/>
          <w:szCs w:val="24"/>
        </w:rPr>
        <w:t>按照子项范围、楼号、楼层、专业、系统、子系统拆分模型。</w:t>
      </w:r>
    </w:p>
    <w:p w14:paraId="04723A0D">
      <w:pPr>
        <w:rPr>
          <w:rFonts w:cs="Times New Roman"/>
          <w:color w:val="auto"/>
          <w:szCs w:val="24"/>
        </w:rPr>
      </w:pPr>
      <w:r>
        <w:rPr>
          <w:rFonts w:hint="eastAsia" w:cs="Times New Roman"/>
          <w:color w:val="auto"/>
          <w:szCs w:val="24"/>
        </w:rPr>
        <w:t>楼层定义：按照实际项目的楼层，分别定义楼层分别定义所在标高或层高。其中，楼层标高应按照一套标高体系定义。</w:t>
      </w:r>
    </w:p>
    <w:p w14:paraId="2D29A9BD">
      <w:pPr>
        <w:rPr>
          <w:rFonts w:cs="Times New Roman"/>
          <w:color w:val="auto"/>
          <w:szCs w:val="24"/>
        </w:rPr>
      </w:pPr>
      <w:r>
        <w:rPr>
          <w:rFonts w:hint="eastAsia" w:cs="Times New Roman"/>
          <w:color w:val="auto"/>
          <w:szCs w:val="24"/>
        </w:rPr>
        <w:t>6）模型配色标准</w:t>
      </w:r>
    </w:p>
    <w:p w14:paraId="32618729">
      <w:pPr>
        <w:rPr>
          <w:rFonts w:cs="Times New Roman"/>
          <w:color w:val="auto"/>
          <w:szCs w:val="24"/>
        </w:rPr>
      </w:pPr>
      <w:r>
        <w:rPr>
          <w:rFonts w:hint="eastAsia" w:cs="Times New Roman"/>
          <w:color w:val="auto"/>
          <w:szCs w:val="24"/>
        </w:rPr>
        <w:t>BIM模型中MEP管线错综复杂，因此要添加以颜色进行区分，更加直观的表现各专业管线的在建筑物内位置关系。在做MEP管线时要做过滤器，各个管线的颜色以下表为标准，导入到NAVISWORKS 中时也要做相应的着色，颜色也是以下表为准。如果项目中出现的管线下表没有，那就再实际的项目中做相应的设置，具体的以实际的项目为准。</w:t>
      </w:r>
    </w:p>
    <w:p w14:paraId="628AFF04">
      <w:pPr>
        <w:pStyle w:val="54"/>
        <w:rPr>
          <w:color w:val="auto"/>
        </w:rPr>
      </w:pPr>
      <w:r>
        <w:rPr>
          <w:rFonts w:hint="eastAsia"/>
          <w:color w:val="auto"/>
        </w:rPr>
        <w:t>MEP模型构件颜色定义</w:t>
      </w:r>
    </w:p>
    <w:tbl>
      <w:tblPr>
        <w:tblStyle w:val="2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469"/>
        <w:gridCol w:w="1591"/>
        <w:gridCol w:w="1470"/>
        <w:gridCol w:w="1591"/>
        <w:gridCol w:w="1471"/>
        <w:gridCol w:w="1468"/>
      </w:tblGrid>
      <w:tr w14:paraId="066997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688" w:type="pct"/>
            <w:gridSpan w:val="2"/>
            <w:tcBorders>
              <w:top w:val="single" w:color="000000" w:sz="4" w:space="0"/>
              <w:left w:val="single" w:color="000000" w:sz="4" w:space="0"/>
              <w:bottom w:val="single" w:color="000000" w:sz="4" w:space="0"/>
              <w:right w:val="single" w:color="000000" w:sz="4" w:space="0"/>
            </w:tcBorders>
            <w:vAlign w:val="center"/>
          </w:tcPr>
          <w:p w14:paraId="09663577">
            <w:pPr>
              <w:ind w:firstLine="0" w:firstLineChars="0"/>
              <w:rPr>
                <w:color w:val="auto"/>
              </w:rPr>
            </w:pPr>
            <w:r>
              <w:rPr>
                <w:rFonts w:hint="eastAsia"/>
                <w:color w:val="auto"/>
              </w:rPr>
              <w:t>暖通（空调冷水、热水、冷却水、冷冻水分别区分供水回水，依据亮度和色调划分，同类型的管道，回路的颜色亮度低50 ）</w:t>
            </w:r>
          </w:p>
        </w:tc>
        <w:tc>
          <w:tcPr>
            <w:tcW w:w="1688" w:type="pct"/>
            <w:gridSpan w:val="2"/>
            <w:tcBorders>
              <w:top w:val="single" w:color="000000" w:sz="4" w:space="0"/>
              <w:left w:val="nil"/>
              <w:bottom w:val="single" w:color="000000" w:sz="4" w:space="0"/>
              <w:right w:val="single" w:color="000000" w:sz="4" w:space="0"/>
            </w:tcBorders>
            <w:vAlign w:val="center"/>
          </w:tcPr>
          <w:p w14:paraId="311DD71F">
            <w:pPr>
              <w:ind w:firstLine="0" w:firstLineChars="0"/>
              <w:rPr>
                <w:color w:val="auto"/>
              </w:rPr>
            </w:pPr>
            <w:r>
              <w:rPr>
                <w:rFonts w:hint="eastAsia"/>
                <w:color w:val="auto"/>
              </w:rPr>
              <w:t>给排水</w:t>
            </w:r>
          </w:p>
        </w:tc>
        <w:tc>
          <w:tcPr>
            <w:tcW w:w="1623" w:type="pct"/>
            <w:gridSpan w:val="2"/>
            <w:tcBorders>
              <w:top w:val="single" w:color="000000" w:sz="4" w:space="0"/>
              <w:left w:val="nil"/>
              <w:bottom w:val="single" w:color="000000" w:sz="4" w:space="0"/>
              <w:right w:val="single" w:color="000000" w:sz="4" w:space="0"/>
            </w:tcBorders>
            <w:vAlign w:val="center"/>
          </w:tcPr>
          <w:p w14:paraId="60D27F46">
            <w:pPr>
              <w:ind w:firstLine="0" w:firstLineChars="0"/>
              <w:rPr>
                <w:color w:val="auto"/>
              </w:rPr>
            </w:pPr>
            <w:r>
              <w:rPr>
                <w:rFonts w:hint="eastAsia"/>
                <w:color w:val="auto"/>
              </w:rPr>
              <w:t>电</w:t>
            </w:r>
          </w:p>
        </w:tc>
      </w:tr>
      <w:tr w14:paraId="2BA44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1BE2A86F">
            <w:pPr>
              <w:ind w:firstLine="0" w:firstLineChars="0"/>
              <w:rPr>
                <w:color w:val="auto"/>
              </w:rPr>
            </w:pPr>
            <w:r>
              <w:rPr>
                <w:rFonts w:hint="eastAsia"/>
                <w:color w:val="auto"/>
              </w:rPr>
              <w:t>管线名称</w:t>
            </w:r>
          </w:p>
        </w:tc>
        <w:tc>
          <w:tcPr>
            <w:tcW w:w="878" w:type="pct"/>
            <w:tcBorders>
              <w:top w:val="single" w:color="000000" w:sz="4" w:space="0"/>
              <w:left w:val="nil"/>
              <w:bottom w:val="single" w:color="000000" w:sz="4" w:space="0"/>
              <w:right w:val="single" w:color="000000" w:sz="4" w:space="0"/>
            </w:tcBorders>
            <w:vAlign w:val="center"/>
          </w:tcPr>
          <w:p w14:paraId="61646584">
            <w:pPr>
              <w:ind w:firstLine="0" w:firstLineChars="0"/>
              <w:rPr>
                <w:color w:val="auto"/>
              </w:rPr>
            </w:pPr>
            <w:r>
              <w:rPr>
                <w:rFonts w:hint="eastAsia"/>
                <w:color w:val="auto"/>
              </w:rPr>
              <w:t>实施方案颜色RGB</w:t>
            </w:r>
          </w:p>
        </w:tc>
        <w:tc>
          <w:tcPr>
            <w:tcW w:w="811" w:type="pct"/>
            <w:tcBorders>
              <w:top w:val="single" w:color="000000" w:sz="4" w:space="0"/>
              <w:left w:val="nil"/>
              <w:bottom w:val="single" w:color="000000" w:sz="4" w:space="0"/>
              <w:right w:val="single" w:color="000000" w:sz="4" w:space="0"/>
            </w:tcBorders>
            <w:vAlign w:val="center"/>
          </w:tcPr>
          <w:p w14:paraId="639765D2">
            <w:pPr>
              <w:ind w:firstLine="0" w:firstLineChars="0"/>
              <w:rPr>
                <w:color w:val="auto"/>
              </w:rPr>
            </w:pPr>
            <w:r>
              <w:rPr>
                <w:rFonts w:hint="eastAsia"/>
                <w:color w:val="auto"/>
              </w:rPr>
              <w:t>管线名称</w:t>
            </w:r>
          </w:p>
        </w:tc>
        <w:tc>
          <w:tcPr>
            <w:tcW w:w="878" w:type="pct"/>
            <w:tcBorders>
              <w:top w:val="single" w:color="000000" w:sz="4" w:space="0"/>
              <w:left w:val="nil"/>
              <w:bottom w:val="single" w:color="000000" w:sz="4" w:space="0"/>
              <w:right w:val="single" w:color="000000" w:sz="4" w:space="0"/>
            </w:tcBorders>
            <w:vAlign w:val="center"/>
          </w:tcPr>
          <w:p w14:paraId="422A2692">
            <w:pPr>
              <w:ind w:firstLine="0" w:firstLineChars="0"/>
              <w:rPr>
                <w:color w:val="auto"/>
              </w:rPr>
            </w:pPr>
            <w:r>
              <w:rPr>
                <w:rFonts w:hint="eastAsia"/>
                <w:color w:val="auto"/>
              </w:rPr>
              <w:t>实施方案颜色RGB</w:t>
            </w:r>
          </w:p>
        </w:tc>
        <w:tc>
          <w:tcPr>
            <w:tcW w:w="812" w:type="pct"/>
            <w:tcBorders>
              <w:top w:val="single" w:color="000000" w:sz="4" w:space="0"/>
              <w:left w:val="nil"/>
              <w:bottom w:val="single" w:color="000000" w:sz="4" w:space="0"/>
              <w:right w:val="single" w:color="000000" w:sz="4" w:space="0"/>
            </w:tcBorders>
            <w:vAlign w:val="center"/>
          </w:tcPr>
          <w:p w14:paraId="66167D7D">
            <w:pPr>
              <w:ind w:firstLine="0" w:firstLineChars="0"/>
              <w:rPr>
                <w:color w:val="auto"/>
              </w:rPr>
            </w:pPr>
            <w:r>
              <w:rPr>
                <w:rFonts w:hint="eastAsia"/>
                <w:color w:val="auto"/>
              </w:rPr>
              <w:t>管线名称</w:t>
            </w:r>
          </w:p>
        </w:tc>
        <w:tc>
          <w:tcPr>
            <w:tcW w:w="812" w:type="pct"/>
            <w:tcBorders>
              <w:top w:val="single" w:color="000000" w:sz="4" w:space="0"/>
              <w:left w:val="nil"/>
              <w:bottom w:val="single" w:color="000000" w:sz="4" w:space="0"/>
              <w:right w:val="single" w:color="000000" w:sz="4" w:space="0"/>
            </w:tcBorders>
            <w:vAlign w:val="center"/>
          </w:tcPr>
          <w:p w14:paraId="07D90512">
            <w:pPr>
              <w:ind w:firstLine="0" w:firstLineChars="0"/>
              <w:rPr>
                <w:color w:val="auto"/>
              </w:rPr>
            </w:pPr>
            <w:r>
              <w:rPr>
                <w:rFonts w:hint="eastAsia"/>
                <w:color w:val="auto"/>
              </w:rPr>
              <w:t>实施方案颜色RGB</w:t>
            </w:r>
          </w:p>
        </w:tc>
      </w:tr>
      <w:tr w14:paraId="414E5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57B1112C">
            <w:pPr>
              <w:ind w:firstLine="0" w:firstLineChars="0"/>
              <w:rPr>
                <w:color w:val="auto"/>
              </w:rPr>
            </w:pPr>
            <w:r>
              <w:rPr>
                <w:rFonts w:hint="eastAsia"/>
                <w:color w:val="auto"/>
              </w:rPr>
              <w:t>空调冷热水供水</w:t>
            </w:r>
          </w:p>
        </w:tc>
        <w:tc>
          <w:tcPr>
            <w:tcW w:w="878" w:type="pct"/>
            <w:tcBorders>
              <w:top w:val="single" w:color="000000" w:sz="4" w:space="0"/>
              <w:left w:val="nil"/>
              <w:bottom w:val="single" w:color="000000" w:sz="4" w:space="0"/>
              <w:right w:val="single" w:color="000000" w:sz="4" w:space="0"/>
            </w:tcBorders>
            <w:shd w:val="clear" w:color="auto" w:fill="00FFFF"/>
            <w:vAlign w:val="center"/>
          </w:tcPr>
          <w:p w14:paraId="3EECB54D">
            <w:pPr>
              <w:ind w:firstLine="0" w:firstLineChars="0"/>
              <w:rPr>
                <w:color w:val="auto"/>
              </w:rPr>
            </w:pPr>
            <w:r>
              <w:rPr>
                <w:rFonts w:hint="eastAsia"/>
                <w:color w:val="auto"/>
              </w:rPr>
              <w:t>0，255，255</w:t>
            </w:r>
          </w:p>
        </w:tc>
        <w:tc>
          <w:tcPr>
            <w:tcW w:w="811" w:type="pct"/>
            <w:tcBorders>
              <w:top w:val="single" w:color="000000" w:sz="4" w:space="0"/>
              <w:left w:val="nil"/>
              <w:bottom w:val="single" w:color="000000" w:sz="4" w:space="0"/>
              <w:right w:val="single" w:color="000000" w:sz="4" w:space="0"/>
            </w:tcBorders>
            <w:vAlign w:val="center"/>
          </w:tcPr>
          <w:p w14:paraId="19F42F87">
            <w:pPr>
              <w:ind w:firstLine="0" w:firstLineChars="0"/>
              <w:rPr>
                <w:color w:val="auto"/>
              </w:rPr>
            </w:pPr>
            <w:r>
              <w:rPr>
                <w:rFonts w:hint="eastAsia"/>
                <w:color w:val="auto"/>
              </w:rPr>
              <w:t>消火栓管道</w:t>
            </w:r>
          </w:p>
        </w:tc>
        <w:tc>
          <w:tcPr>
            <w:tcW w:w="878" w:type="pct"/>
            <w:tcBorders>
              <w:top w:val="single" w:color="000000" w:sz="4" w:space="0"/>
              <w:left w:val="nil"/>
              <w:bottom w:val="single" w:color="000000" w:sz="4" w:space="0"/>
              <w:right w:val="single" w:color="000000" w:sz="4" w:space="0"/>
            </w:tcBorders>
            <w:shd w:val="clear" w:color="auto" w:fill="FF0000"/>
            <w:vAlign w:val="center"/>
          </w:tcPr>
          <w:p w14:paraId="47D01EBE">
            <w:pPr>
              <w:ind w:firstLine="0" w:firstLineChars="0"/>
              <w:rPr>
                <w:color w:val="auto"/>
              </w:rPr>
            </w:pPr>
            <w:r>
              <w:rPr>
                <w:rFonts w:hint="eastAsia"/>
                <w:color w:val="auto"/>
              </w:rPr>
              <w:t>255,0,0</w:t>
            </w:r>
          </w:p>
        </w:tc>
        <w:tc>
          <w:tcPr>
            <w:tcW w:w="812" w:type="pct"/>
            <w:tcBorders>
              <w:top w:val="single" w:color="000000" w:sz="4" w:space="0"/>
              <w:left w:val="nil"/>
              <w:bottom w:val="single" w:color="000000" w:sz="4" w:space="0"/>
              <w:right w:val="single" w:color="000000" w:sz="4" w:space="0"/>
            </w:tcBorders>
            <w:vAlign w:val="center"/>
          </w:tcPr>
          <w:p w14:paraId="16382A8E">
            <w:pPr>
              <w:ind w:firstLine="0" w:firstLineChars="0"/>
              <w:rPr>
                <w:color w:val="auto"/>
              </w:rPr>
            </w:pPr>
            <w:r>
              <w:rPr>
                <w:rFonts w:hint="eastAsia"/>
                <w:color w:val="auto"/>
              </w:rPr>
              <w:t>10KV强电线槽/桥架</w:t>
            </w:r>
          </w:p>
        </w:tc>
        <w:tc>
          <w:tcPr>
            <w:tcW w:w="812" w:type="pct"/>
            <w:tcBorders>
              <w:top w:val="single" w:color="000000" w:sz="4" w:space="0"/>
              <w:left w:val="nil"/>
              <w:bottom w:val="single" w:color="000000" w:sz="4" w:space="0"/>
              <w:right w:val="single" w:color="000000" w:sz="4" w:space="0"/>
            </w:tcBorders>
            <w:shd w:val="clear" w:color="auto" w:fill="FF00FF"/>
            <w:vAlign w:val="center"/>
          </w:tcPr>
          <w:p w14:paraId="03C540AA">
            <w:pPr>
              <w:ind w:firstLine="0" w:firstLineChars="0"/>
              <w:rPr>
                <w:color w:val="auto"/>
              </w:rPr>
            </w:pPr>
            <w:r>
              <w:rPr>
                <w:rFonts w:hint="eastAsia"/>
                <w:color w:val="auto"/>
              </w:rPr>
              <w:t>2550，0，255</w:t>
            </w:r>
          </w:p>
        </w:tc>
      </w:tr>
      <w:tr w14:paraId="512395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75EA292F">
            <w:pPr>
              <w:ind w:firstLine="0" w:firstLineChars="0"/>
              <w:rPr>
                <w:color w:val="auto"/>
              </w:rPr>
            </w:pPr>
            <w:r>
              <w:rPr>
                <w:rFonts w:hint="eastAsia"/>
                <w:color w:val="auto"/>
              </w:rPr>
              <w:t>空调冷热水回水</w:t>
            </w:r>
          </w:p>
        </w:tc>
        <w:tc>
          <w:tcPr>
            <w:tcW w:w="878" w:type="pct"/>
            <w:tcBorders>
              <w:top w:val="single" w:color="000000" w:sz="4" w:space="0"/>
              <w:left w:val="nil"/>
              <w:bottom w:val="single" w:color="000000" w:sz="4" w:space="0"/>
              <w:right w:val="single" w:color="000000" w:sz="4" w:space="0"/>
            </w:tcBorders>
            <w:shd w:val="clear" w:color="auto" w:fill="00A09C"/>
            <w:vAlign w:val="center"/>
          </w:tcPr>
          <w:p w14:paraId="333AF6A6">
            <w:pPr>
              <w:ind w:firstLine="0" w:firstLineChars="0"/>
              <w:rPr>
                <w:color w:val="auto"/>
              </w:rPr>
            </w:pPr>
            <w:r>
              <w:rPr>
                <w:rFonts w:hint="eastAsia"/>
                <w:color w:val="auto"/>
              </w:rPr>
              <w:t>0，160，156</w:t>
            </w:r>
          </w:p>
        </w:tc>
        <w:tc>
          <w:tcPr>
            <w:tcW w:w="811" w:type="pct"/>
            <w:tcBorders>
              <w:top w:val="single" w:color="000000" w:sz="4" w:space="0"/>
              <w:left w:val="nil"/>
              <w:bottom w:val="single" w:color="000000" w:sz="4" w:space="0"/>
              <w:right w:val="single" w:color="000000" w:sz="4" w:space="0"/>
            </w:tcBorders>
            <w:vAlign w:val="center"/>
          </w:tcPr>
          <w:p w14:paraId="7814FA78">
            <w:pPr>
              <w:ind w:firstLine="0" w:firstLineChars="0"/>
              <w:rPr>
                <w:color w:val="auto"/>
              </w:rPr>
            </w:pPr>
            <w:r>
              <w:rPr>
                <w:rFonts w:hint="eastAsia"/>
                <w:color w:val="auto"/>
              </w:rPr>
              <w:t>自动喷水灭火系统</w:t>
            </w:r>
          </w:p>
        </w:tc>
        <w:tc>
          <w:tcPr>
            <w:tcW w:w="878" w:type="pct"/>
            <w:tcBorders>
              <w:top w:val="single" w:color="000000" w:sz="4" w:space="0"/>
              <w:left w:val="nil"/>
              <w:bottom w:val="single" w:color="000000" w:sz="4" w:space="0"/>
              <w:right w:val="single" w:color="000000" w:sz="4" w:space="0"/>
            </w:tcBorders>
            <w:shd w:val="clear" w:color="auto" w:fill="FF00FF"/>
            <w:vAlign w:val="center"/>
          </w:tcPr>
          <w:p w14:paraId="57D9C853">
            <w:pPr>
              <w:ind w:firstLine="0" w:firstLineChars="0"/>
              <w:rPr>
                <w:color w:val="auto"/>
              </w:rPr>
            </w:pPr>
            <w:r>
              <w:rPr>
                <w:rFonts w:hint="eastAsia"/>
                <w:color w:val="auto"/>
              </w:rPr>
              <w:t>255,0,255</w:t>
            </w:r>
          </w:p>
        </w:tc>
        <w:tc>
          <w:tcPr>
            <w:tcW w:w="812" w:type="pct"/>
            <w:tcBorders>
              <w:top w:val="single" w:color="000000" w:sz="4" w:space="0"/>
              <w:left w:val="nil"/>
              <w:bottom w:val="single" w:color="000000" w:sz="4" w:space="0"/>
              <w:right w:val="single" w:color="000000" w:sz="4" w:space="0"/>
            </w:tcBorders>
            <w:vAlign w:val="center"/>
          </w:tcPr>
          <w:p w14:paraId="58E7065F">
            <w:pPr>
              <w:ind w:firstLine="0" w:firstLineChars="0"/>
              <w:rPr>
                <w:color w:val="auto"/>
              </w:rPr>
            </w:pPr>
            <w:r>
              <w:rPr>
                <w:rFonts w:hint="eastAsia"/>
                <w:color w:val="auto"/>
              </w:rPr>
              <w:t>普通动力桥架</w:t>
            </w:r>
          </w:p>
        </w:tc>
        <w:tc>
          <w:tcPr>
            <w:tcW w:w="812" w:type="pct"/>
            <w:tcBorders>
              <w:top w:val="single" w:color="000000" w:sz="4" w:space="0"/>
              <w:left w:val="nil"/>
              <w:bottom w:val="single" w:color="000000" w:sz="4" w:space="0"/>
              <w:right w:val="single" w:color="000000" w:sz="4" w:space="0"/>
            </w:tcBorders>
            <w:shd w:val="clear" w:color="auto" w:fill="FF3F00"/>
            <w:vAlign w:val="center"/>
          </w:tcPr>
          <w:p w14:paraId="31EC4BC5">
            <w:pPr>
              <w:ind w:firstLine="0" w:firstLineChars="0"/>
              <w:rPr>
                <w:color w:val="auto"/>
              </w:rPr>
            </w:pPr>
            <w:r>
              <w:rPr>
                <w:rFonts w:hint="eastAsia"/>
                <w:color w:val="auto"/>
              </w:rPr>
              <w:t>255，63，0</w:t>
            </w:r>
          </w:p>
        </w:tc>
      </w:tr>
      <w:tr w14:paraId="42848F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5D2D9CB6">
            <w:pPr>
              <w:ind w:firstLine="0" w:firstLineChars="0"/>
              <w:rPr>
                <w:color w:val="auto"/>
              </w:rPr>
            </w:pPr>
            <w:r>
              <w:rPr>
                <w:rFonts w:hint="eastAsia"/>
                <w:color w:val="auto"/>
              </w:rPr>
              <w:t>空调热水给水</w:t>
            </w:r>
          </w:p>
        </w:tc>
        <w:tc>
          <w:tcPr>
            <w:tcW w:w="878" w:type="pct"/>
            <w:tcBorders>
              <w:top w:val="single" w:color="000000" w:sz="4" w:space="0"/>
              <w:left w:val="nil"/>
              <w:bottom w:val="single" w:color="000000" w:sz="4" w:space="0"/>
              <w:right w:val="single" w:color="000000" w:sz="4" w:space="0"/>
            </w:tcBorders>
            <w:shd w:val="clear" w:color="auto" w:fill="C80000"/>
            <w:vAlign w:val="center"/>
          </w:tcPr>
          <w:p w14:paraId="39E1E56F">
            <w:pPr>
              <w:ind w:firstLine="0" w:firstLineChars="0"/>
              <w:rPr>
                <w:color w:val="auto"/>
              </w:rPr>
            </w:pPr>
            <w:r>
              <w:rPr>
                <w:rFonts w:hint="eastAsia"/>
                <w:color w:val="auto"/>
              </w:rPr>
              <w:t>200，0，0</w:t>
            </w:r>
          </w:p>
        </w:tc>
        <w:tc>
          <w:tcPr>
            <w:tcW w:w="811" w:type="pct"/>
            <w:tcBorders>
              <w:top w:val="single" w:color="000000" w:sz="4" w:space="0"/>
              <w:left w:val="nil"/>
              <w:bottom w:val="single" w:color="000000" w:sz="4" w:space="0"/>
              <w:right w:val="single" w:color="000000" w:sz="4" w:space="0"/>
            </w:tcBorders>
            <w:vAlign w:val="center"/>
          </w:tcPr>
          <w:p w14:paraId="2A2B9BB5">
            <w:pPr>
              <w:ind w:firstLine="0" w:firstLineChars="0"/>
              <w:rPr>
                <w:color w:val="auto"/>
              </w:rPr>
            </w:pPr>
            <w:r>
              <w:rPr>
                <w:rFonts w:hint="eastAsia"/>
                <w:color w:val="auto"/>
              </w:rPr>
              <w:t>窗玻璃冷却水幕</w:t>
            </w:r>
          </w:p>
        </w:tc>
        <w:tc>
          <w:tcPr>
            <w:tcW w:w="878" w:type="pct"/>
            <w:tcBorders>
              <w:top w:val="single" w:color="000000" w:sz="4" w:space="0"/>
              <w:left w:val="nil"/>
              <w:bottom w:val="single" w:color="000000" w:sz="4" w:space="0"/>
              <w:right w:val="single" w:color="000000" w:sz="4" w:space="0"/>
            </w:tcBorders>
            <w:shd w:val="clear" w:color="auto" w:fill="FF80C0"/>
            <w:vAlign w:val="center"/>
          </w:tcPr>
          <w:p w14:paraId="66013410">
            <w:pPr>
              <w:ind w:firstLine="0" w:firstLineChars="0"/>
              <w:rPr>
                <w:color w:val="auto"/>
              </w:rPr>
            </w:pPr>
            <w:r>
              <w:rPr>
                <w:rFonts w:hint="eastAsia"/>
                <w:color w:val="auto"/>
              </w:rPr>
              <w:t>255,128,192</w:t>
            </w:r>
          </w:p>
        </w:tc>
        <w:tc>
          <w:tcPr>
            <w:tcW w:w="812" w:type="pct"/>
            <w:tcBorders>
              <w:top w:val="single" w:color="000000" w:sz="4" w:space="0"/>
              <w:left w:val="nil"/>
              <w:bottom w:val="single" w:color="000000" w:sz="4" w:space="0"/>
              <w:right w:val="single" w:color="000000" w:sz="4" w:space="0"/>
            </w:tcBorders>
            <w:vAlign w:val="center"/>
          </w:tcPr>
          <w:p w14:paraId="57372453">
            <w:pPr>
              <w:ind w:firstLine="0" w:firstLineChars="0"/>
              <w:rPr>
                <w:color w:val="auto"/>
              </w:rPr>
            </w:pPr>
            <w:r>
              <w:rPr>
                <w:rFonts w:hint="eastAsia"/>
                <w:color w:val="auto"/>
              </w:rPr>
              <w:t>消防桥架</w:t>
            </w:r>
          </w:p>
        </w:tc>
        <w:tc>
          <w:tcPr>
            <w:tcW w:w="812" w:type="pct"/>
            <w:tcBorders>
              <w:top w:val="single" w:color="000000" w:sz="4" w:space="0"/>
              <w:left w:val="nil"/>
              <w:bottom w:val="single" w:color="000000" w:sz="4" w:space="0"/>
              <w:right w:val="single" w:color="000000" w:sz="4" w:space="0"/>
            </w:tcBorders>
            <w:shd w:val="clear" w:color="auto" w:fill="FF0000"/>
            <w:vAlign w:val="center"/>
          </w:tcPr>
          <w:p w14:paraId="79796E2C">
            <w:pPr>
              <w:ind w:firstLine="0" w:firstLineChars="0"/>
              <w:rPr>
                <w:color w:val="auto"/>
              </w:rPr>
            </w:pPr>
            <w:r>
              <w:rPr>
                <w:rFonts w:hint="eastAsia"/>
                <w:color w:val="auto"/>
              </w:rPr>
              <w:t>255，0，0</w:t>
            </w:r>
          </w:p>
        </w:tc>
      </w:tr>
      <w:tr w14:paraId="3BCB2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726F37D5">
            <w:pPr>
              <w:ind w:firstLine="0" w:firstLineChars="0"/>
              <w:rPr>
                <w:color w:val="auto"/>
              </w:rPr>
            </w:pPr>
            <w:r>
              <w:rPr>
                <w:rFonts w:hint="eastAsia"/>
                <w:color w:val="auto"/>
              </w:rPr>
              <w:t>空调热水回水</w:t>
            </w:r>
          </w:p>
        </w:tc>
        <w:tc>
          <w:tcPr>
            <w:tcW w:w="878" w:type="pct"/>
            <w:tcBorders>
              <w:top w:val="single" w:color="000000" w:sz="4" w:space="0"/>
              <w:left w:val="nil"/>
              <w:bottom w:val="single" w:color="000000" w:sz="4" w:space="0"/>
              <w:right w:val="single" w:color="000000" w:sz="4" w:space="0"/>
            </w:tcBorders>
            <w:shd w:val="clear" w:color="auto" w:fill="640000"/>
            <w:vAlign w:val="center"/>
          </w:tcPr>
          <w:p w14:paraId="2FBDED1A">
            <w:pPr>
              <w:ind w:firstLine="0" w:firstLineChars="0"/>
              <w:rPr>
                <w:color w:val="auto"/>
              </w:rPr>
            </w:pPr>
            <w:r>
              <w:rPr>
                <w:rFonts w:hint="eastAsia"/>
                <w:color w:val="auto"/>
              </w:rPr>
              <w:t>100，0，0</w:t>
            </w:r>
          </w:p>
        </w:tc>
        <w:tc>
          <w:tcPr>
            <w:tcW w:w="811" w:type="pct"/>
            <w:tcBorders>
              <w:top w:val="single" w:color="000000" w:sz="4" w:space="0"/>
              <w:left w:val="nil"/>
              <w:bottom w:val="single" w:color="000000" w:sz="4" w:space="0"/>
              <w:right w:val="single" w:color="000000" w:sz="4" w:space="0"/>
            </w:tcBorders>
            <w:vAlign w:val="center"/>
          </w:tcPr>
          <w:p w14:paraId="243DC8B4">
            <w:pPr>
              <w:ind w:firstLine="0" w:firstLineChars="0"/>
              <w:rPr>
                <w:color w:val="auto"/>
              </w:rPr>
            </w:pPr>
            <w:r>
              <w:rPr>
                <w:rFonts w:hint="eastAsia"/>
                <w:color w:val="auto"/>
              </w:rPr>
              <w:t>自动消防炮系统</w:t>
            </w:r>
          </w:p>
        </w:tc>
        <w:tc>
          <w:tcPr>
            <w:tcW w:w="878" w:type="pct"/>
            <w:tcBorders>
              <w:top w:val="single" w:color="000000" w:sz="4" w:space="0"/>
              <w:left w:val="nil"/>
              <w:bottom w:val="single" w:color="000000" w:sz="4" w:space="0"/>
              <w:right w:val="single" w:color="000000" w:sz="4" w:space="0"/>
            </w:tcBorders>
            <w:shd w:val="clear" w:color="auto" w:fill="FF0000"/>
            <w:vAlign w:val="center"/>
          </w:tcPr>
          <w:p w14:paraId="71495517">
            <w:pPr>
              <w:ind w:firstLine="0" w:firstLineChars="0"/>
              <w:rPr>
                <w:color w:val="auto"/>
              </w:rPr>
            </w:pPr>
            <w:r>
              <w:rPr>
                <w:rFonts w:hint="eastAsia"/>
                <w:color w:val="auto"/>
              </w:rPr>
              <w:t>255,0,0</w:t>
            </w:r>
          </w:p>
        </w:tc>
        <w:tc>
          <w:tcPr>
            <w:tcW w:w="812" w:type="pct"/>
            <w:tcBorders>
              <w:top w:val="single" w:color="000000" w:sz="4" w:space="0"/>
              <w:left w:val="nil"/>
              <w:bottom w:val="single" w:color="000000" w:sz="4" w:space="0"/>
              <w:right w:val="single" w:color="000000" w:sz="4" w:space="0"/>
            </w:tcBorders>
            <w:vAlign w:val="center"/>
          </w:tcPr>
          <w:p w14:paraId="255239EF">
            <w:pPr>
              <w:ind w:firstLine="0" w:firstLineChars="0"/>
              <w:rPr>
                <w:color w:val="auto"/>
              </w:rPr>
            </w:pPr>
            <w:r>
              <w:rPr>
                <w:rFonts w:hint="eastAsia"/>
                <w:color w:val="auto"/>
              </w:rPr>
              <w:t>照明桥架</w:t>
            </w:r>
          </w:p>
        </w:tc>
        <w:tc>
          <w:tcPr>
            <w:tcW w:w="812" w:type="pct"/>
            <w:tcBorders>
              <w:top w:val="single" w:color="000000" w:sz="4" w:space="0"/>
              <w:left w:val="nil"/>
              <w:bottom w:val="single" w:color="000000" w:sz="4" w:space="0"/>
              <w:right w:val="single" w:color="000000" w:sz="4" w:space="0"/>
            </w:tcBorders>
            <w:shd w:val="clear" w:color="auto" w:fill="FF3F00"/>
            <w:vAlign w:val="center"/>
          </w:tcPr>
          <w:p w14:paraId="5E8552ED">
            <w:pPr>
              <w:ind w:firstLine="0" w:firstLineChars="0"/>
              <w:rPr>
                <w:color w:val="auto"/>
              </w:rPr>
            </w:pPr>
            <w:r>
              <w:rPr>
                <w:rFonts w:hint="eastAsia"/>
                <w:color w:val="auto"/>
              </w:rPr>
              <w:t>255，63，0</w:t>
            </w:r>
          </w:p>
        </w:tc>
      </w:tr>
      <w:tr w14:paraId="5EBF6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7B40D9EF">
            <w:pPr>
              <w:ind w:firstLine="0" w:firstLineChars="0"/>
              <w:rPr>
                <w:color w:val="auto"/>
              </w:rPr>
            </w:pPr>
            <w:r>
              <w:rPr>
                <w:rFonts w:hint="eastAsia"/>
                <w:color w:val="auto"/>
              </w:rPr>
              <w:t>冷却水供水</w:t>
            </w:r>
          </w:p>
        </w:tc>
        <w:tc>
          <w:tcPr>
            <w:tcW w:w="878" w:type="pct"/>
            <w:tcBorders>
              <w:top w:val="single" w:color="000000" w:sz="4" w:space="0"/>
              <w:left w:val="nil"/>
              <w:bottom w:val="single" w:color="000000" w:sz="4" w:space="0"/>
              <w:right w:val="single" w:color="000000" w:sz="4" w:space="0"/>
            </w:tcBorders>
            <w:shd w:val="clear" w:color="auto" w:fill="FF7F00"/>
            <w:vAlign w:val="center"/>
          </w:tcPr>
          <w:p w14:paraId="01F5A774">
            <w:pPr>
              <w:ind w:firstLine="0" w:firstLineChars="0"/>
              <w:rPr>
                <w:color w:val="auto"/>
              </w:rPr>
            </w:pPr>
            <w:r>
              <w:rPr>
                <w:rFonts w:hint="eastAsia"/>
                <w:color w:val="auto"/>
              </w:rPr>
              <w:t>255，127，0</w:t>
            </w:r>
          </w:p>
        </w:tc>
        <w:tc>
          <w:tcPr>
            <w:tcW w:w="811" w:type="pct"/>
            <w:tcBorders>
              <w:top w:val="single" w:color="000000" w:sz="4" w:space="0"/>
              <w:left w:val="nil"/>
              <w:bottom w:val="single" w:color="000000" w:sz="4" w:space="0"/>
              <w:right w:val="single" w:color="000000" w:sz="4" w:space="0"/>
            </w:tcBorders>
            <w:vAlign w:val="center"/>
          </w:tcPr>
          <w:p w14:paraId="4825C9E8">
            <w:pPr>
              <w:ind w:firstLine="0" w:firstLineChars="0"/>
              <w:rPr>
                <w:color w:val="auto"/>
              </w:rPr>
            </w:pPr>
            <w:r>
              <w:rPr>
                <w:rFonts w:hint="eastAsia"/>
                <w:color w:val="auto"/>
              </w:rPr>
              <w:t>生活给水管(低区)</w:t>
            </w:r>
          </w:p>
        </w:tc>
        <w:tc>
          <w:tcPr>
            <w:tcW w:w="878" w:type="pct"/>
            <w:tcBorders>
              <w:top w:val="single" w:color="000000" w:sz="4" w:space="0"/>
              <w:left w:val="nil"/>
              <w:bottom w:val="single" w:color="000000" w:sz="4" w:space="0"/>
              <w:right w:val="single" w:color="000000" w:sz="4" w:space="0"/>
            </w:tcBorders>
            <w:shd w:val="clear" w:color="auto" w:fill="00FF00"/>
            <w:vAlign w:val="center"/>
          </w:tcPr>
          <w:p w14:paraId="6CBFAF09">
            <w:pPr>
              <w:ind w:firstLine="0" w:firstLineChars="0"/>
              <w:rPr>
                <w:color w:val="auto"/>
              </w:rPr>
            </w:pPr>
            <w:r>
              <w:rPr>
                <w:rFonts w:hint="eastAsia"/>
                <w:color w:val="auto"/>
              </w:rPr>
              <w:t>0,255,0</w:t>
            </w:r>
          </w:p>
        </w:tc>
        <w:tc>
          <w:tcPr>
            <w:tcW w:w="812" w:type="pct"/>
            <w:tcBorders>
              <w:top w:val="single" w:color="000000" w:sz="4" w:space="0"/>
              <w:left w:val="nil"/>
              <w:bottom w:val="single" w:color="000000" w:sz="4" w:space="0"/>
              <w:right w:val="single" w:color="000000" w:sz="4" w:space="0"/>
            </w:tcBorders>
            <w:vAlign w:val="center"/>
          </w:tcPr>
          <w:p w14:paraId="10AAD060">
            <w:pPr>
              <w:ind w:firstLine="0" w:firstLineChars="0"/>
              <w:rPr>
                <w:color w:val="auto"/>
              </w:rPr>
            </w:pPr>
            <w:r>
              <w:rPr>
                <w:rFonts w:hint="eastAsia"/>
                <w:color w:val="auto"/>
              </w:rPr>
              <w:t>母线</w:t>
            </w:r>
          </w:p>
        </w:tc>
        <w:tc>
          <w:tcPr>
            <w:tcW w:w="812" w:type="pct"/>
            <w:tcBorders>
              <w:top w:val="single" w:color="000000" w:sz="4" w:space="0"/>
              <w:left w:val="nil"/>
              <w:bottom w:val="single" w:color="000000" w:sz="4" w:space="0"/>
              <w:right w:val="single" w:color="000000" w:sz="4" w:space="0"/>
            </w:tcBorders>
            <w:shd w:val="clear" w:color="auto" w:fill="FFFFFF"/>
            <w:vAlign w:val="center"/>
          </w:tcPr>
          <w:p w14:paraId="0408C021">
            <w:pPr>
              <w:ind w:firstLine="0" w:firstLineChars="0"/>
              <w:rPr>
                <w:color w:val="auto"/>
              </w:rPr>
            </w:pPr>
            <w:r>
              <w:rPr>
                <w:rFonts w:hint="eastAsia"/>
                <w:color w:val="auto"/>
              </w:rPr>
              <w:t>255，255，255</w:t>
            </w:r>
          </w:p>
        </w:tc>
      </w:tr>
      <w:tr w14:paraId="3F426D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7133E5EC">
            <w:pPr>
              <w:ind w:firstLine="0" w:firstLineChars="0"/>
              <w:rPr>
                <w:color w:val="auto"/>
              </w:rPr>
            </w:pPr>
            <w:r>
              <w:rPr>
                <w:rFonts w:hint="eastAsia"/>
                <w:color w:val="auto"/>
              </w:rPr>
              <w:t>冷却水回水</w:t>
            </w:r>
          </w:p>
        </w:tc>
        <w:tc>
          <w:tcPr>
            <w:tcW w:w="878" w:type="pct"/>
            <w:tcBorders>
              <w:top w:val="single" w:color="000000" w:sz="4" w:space="0"/>
              <w:left w:val="nil"/>
              <w:bottom w:val="single" w:color="000000" w:sz="4" w:space="0"/>
              <w:right w:val="single" w:color="000000" w:sz="4" w:space="0"/>
            </w:tcBorders>
            <w:shd w:val="clear" w:color="auto" w:fill="15FF3A"/>
            <w:vAlign w:val="center"/>
          </w:tcPr>
          <w:p w14:paraId="6F08911B">
            <w:pPr>
              <w:ind w:firstLine="0" w:firstLineChars="0"/>
              <w:rPr>
                <w:color w:val="auto"/>
              </w:rPr>
            </w:pPr>
            <w:r>
              <w:rPr>
                <w:rFonts w:hint="eastAsia"/>
                <w:color w:val="auto"/>
              </w:rPr>
              <w:t>21，255，58</w:t>
            </w:r>
          </w:p>
        </w:tc>
        <w:tc>
          <w:tcPr>
            <w:tcW w:w="811" w:type="pct"/>
            <w:tcBorders>
              <w:top w:val="single" w:color="000000" w:sz="4" w:space="0"/>
              <w:left w:val="nil"/>
              <w:bottom w:val="single" w:color="000000" w:sz="4" w:space="0"/>
              <w:right w:val="single" w:color="000000" w:sz="4" w:space="0"/>
            </w:tcBorders>
            <w:vAlign w:val="center"/>
          </w:tcPr>
          <w:p w14:paraId="36B3BB1C">
            <w:pPr>
              <w:ind w:firstLine="0" w:firstLineChars="0"/>
              <w:rPr>
                <w:color w:val="auto"/>
              </w:rPr>
            </w:pPr>
            <w:r>
              <w:rPr>
                <w:rFonts w:hint="eastAsia"/>
                <w:color w:val="auto"/>
              </w:rPr>
              <w:t>生活给水管（高区）</w:t>
            </w:r>
          </w:p>
        </w:tc>
        <w:tc>
          <w:tcPr>
            <w:tcW w:w="878" w:type="pct"/>
            <w:tcBorders>
              <w:top w:val="single" w:color="000000" w:sz="4" w:space="0"/>
              <w:left w:val="nil"/>
              <w:bottom w:val="single" w:color="000000" w:sz="4" w:space="0"/>
              <w:right w:val="single" w:color="000000" w:sz="4" w:space="0"/>
            </w:tcBorders>
            <w:shd w:val="clear" w:color="auto" w:fill="008080"/>
            <w:vAlign w:val="center"/>
          </w:tcPr>
          <w:p w14:paraId="281DF638">
            <w:pPr>
              <w:ind w:firstLine="0" w:firstLineChars="0"/>
              <w:rPr>
                <w:color w:val="auto"/>
              </w:rPr>
            </w:pPr>
            <w:r>
              <w:rPr>
                <w:rFonts w:hint="eastAsia"/>
                <w:color w:val="auto"/>
              </w:rPr>
              <w:t>0,128,128</w:t>
            </w:r>
          </w:p>
        </w:tc>
        <w:tc>
          <w:tcPr>
            <w:tcW w:w="812" w:type="pct"/>
            <w:tcBorders>
              <w:top w:val="single" w:color="000000" w:sz="4" w:space="0"/>
              <w:left w:val="nil"/>
              <w:bottom w:val="single" w:color="000000" w:sz="4" w:space="0"/>
              <w:right w:val="single" w:color="000000" w:sz="4" w:space="0"/>
            </w:tcBorders>
            <w:vAlign w:val="center"/>
          </w:tcPr>
          <w:p w14:paraId="207B7C0A">
            <w:pPr>
              <w:ind w:firstLine="0" w:firstLineChars="0"/>
              <w:rPr>
                <w:color w:val="auto"/>
              </w:rPr>
            </w:pPr>
            <w:r>
              <w:rPr>
                <w:rFonts w:hint="eastAsia"/>
                <w:color w:val="auto"/>
              </w:rPr>
              <w:t>安防</w:t>
            </w:r>
          </w:p>
        </w:tc>
        <w:tc>
          <w:tcPr>
            <w:tcW w:w="812" w:type="pct"/>
            <w:tcBorders>
              <w:top w:val="single" w:color="000000" w:sz="4" w:space="0"/>
              <w:left w:val="nil"/>
              <w:bottom w:val="single" w:color="000000" w:sz="4" w:space="0"/>
              <w:right w:val="single" w:color="000000" w:sz="4" w:space="0"/>
            </w:tcBorders>
            <w:shd w:val="clear" w:color="auto" w:fill="FFFF00"/>
            <w:vAlign w:val="center"/>
          </w:tcPr>
          <w:p w14:paraId="3C52603A">
            <w:pPr>
              <w:ind w:firstLine="0" w:firstLineChars="0"/>
              <w:rPr>
                <w:color w:val="auto"/>
              </w:rPr>
            </w:pPr>
            <w:r>
              <w:rPr>
                <w:rFonts w:hint="eastAsia"/>
                <w:color w:val="auto"/>
              </w:rPr>
              <w:t>255，255，0</w:t>
            </w:r>
          </w:p>
        </w:tc>
      </w:tr>
      <w:tr w14:paraId="11F35A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72769987">
            <w:pPr>
              <w:ind w:firstLine="0" w:firstLineChars="0"/>
              <w:rPr>
                <w:color w:val="auto"/>
              </w:rPr>
            </w:pPr>
            <w:r>
              <w:rPr>
                <w:rFonts w:hint="eastAsia"/>
                <w:color w:val="auto"/>
              </w:rPr>
              <w:t>冷冻水供水</w:t>
            </w:r>
          </w:p>
        </w:tc>
        <w:tc>
          <w:tcPr>
            <w:tcW w:w="878" w:type="pct"/>
            <w:tcBorders>
              <w:top w:val="single" w:color="000000" w:sz="4" w:space="0"/>
              <w:left w:val="nil"/>
              <w:bottom w:val="single" w:color="000000" w:sz="4" w:space="0"/>
              <w:right w:val="single" w:color="000000" w:sz="4" w:space="0"/>
            </w:tcBorders>
            <w:shd w:val="clear" w:color="auto" w:fill="0000FF"/>
            <w:vAlign w:val="center"/>
          </w:tcPr>
          <w:p w14:paraId="4AECD0C5">
            <w:pPr>
              <w:ind w:firstLine="0" w:firstLineChars="0"/>
              <w:rPr>
                <w:color w:val="auto"/>
              </w:rPr>
            </w:pPr>
            <w:r>
              <w:rPr>
                <w:rFonts w:hint="eastAsia"/>
                <w:color w:val="auto"/>
              </w:rPr>
              <w:t>0，0，255</w:t>
            </w:r>
          </w:p>
        </w:tc>
        <w:tc>
          <w:tcPr>
            <w:tcW w:w="811" w:type="pct"/>
            <w:tcBorders>
              <w:top w:val="single" w:color="000000" w:sz="4" w:space="0"/>
              <w:left w:val="nil"/>
              <w:bottom w:val="single" w:color="000000" w:sz="4" w:space="0"/>
              <w:right w:val="single" w:color="000000" w:sz="4" w:space="0"/>
            </w:tcBorders>
            <w:vAlign w:val="center"/>
          </w:tcPr>
          <w:p w14:paraId="7A11F1CD">
            <w:pPr>
              <w:ind w:firstLine="0" w:firstLineChars="0"/>
              <w:rPr>
                <w:color w:val="auto"/>
              </w:rPr>
            </w:pPr>
            <w:r>
              <w:rPr>
                <w:rFonts w:hint="eastAsia"/>
                <w:color w:val="auto"/>
              </w:rPr>
              <w:t>中水给水管（低区）</w:t>
            </w:r>
          </w:p>
        </w:tc>
        <w:tc>
          <w:tcPr>
            <w:tcW w:w="878" w:type="pct"/>
            <w:tcBorders>
              <w:top w:val="single" w:color="000000" w:sz="4" w:space="0"/>
              <w:left w:val="nil"/>
              <w:bottom w:val="single" w:color="000000" w:sz="4" w:space="0"/>
              <w:right w:val="single" w:color="000000" w:sz="4" w:space="0"/>
            </w:tcBorders>
            <w:shd w:val="clear" w:color="auto" w:fill="004000"/>
            <w:vAlign w:val="center"/>
          </w:tcPr>
          <w:p w14:paraId="1D763651">
            <w:pPr>
              <w:ind w:firstLine="0" w:firstLineChars="0"/>
              <w:rPr>
                <w:color w:val="auto"/>
              </w:rPr>
            </w:pPr>
            <w:r>
              <w:rPr>
                <w:rFonts w:hint="eastAsia"/>
                <w:color w:val="auto"/>
              </w:rPr>
              <w:t>0,64,0</w:t>
            </w:r>
          </w:p>
        </w:tc>
        <w:tc>
          <w:tcPr>
            <w:tcW w:w="812" w:type="pct"/>
            <w:tcBorders>
              <w:top w:val="single" w:color="000000" w:sz="4" w:space="0"/>
              <w:left w:val="nil"/>
              <w:bottom w:val="single" w:color="000000" w:sz="4" w:space="0"/>
              <w:right w:val="single" w:color="000000" w:sz="4" w:space="0"/>
            </w:tcBorders>
            <w:vAlign w:val="center"/>
          </w:tcPr>
          <w:p w14:paraId="5B0E8A2E">
            <w:pPr>
              <w:ind w:firstLine="0" w:firstLineChars="0"/>
              <w:rPr>
                <w:color w:val="auto"/>
              </w:rPr>
            </w:pPr>
            <w:r>
              <w:rPr>
                <w:rFonts w:hint="eastAsia"/>
                <w:color w:val="auto"/>
              </w:rPr>
              <w:t>楼宇自控</w:t>
            </w:r>
          </w:p>
        </w:tc>
        <w:tc>
          <w:tcPr>
            <w:tcW w:w="812" w:type="pct"/>
            <w:tcBorders>
              <w:top w:val="single" w:color="000000" w:sz="4" w:space="0"/>
              <w:left w:val="nil"/>
              <w:bottom w:val="single" w:color="000000" w:sz="4" w:space="0"/>
              <w:right w:val="single" w:color="000000" w:sz="4" w:space="0"/>
            </w:tcBorders>
            <w:shd w:val="clear" w:color="auto" w:fill="C0C0C0"/>
            <w:vAlign w:val="center"/>
          </w:tcPr>
          <w:p w14:paraId="57D7EEDC">
            <w:pPr>
              <w:ind w:firstLine="0" w:firstLineChars="0"/>
              <w:rPr>
                <w:color w:val="auto"/>
              </w:rPr>
            </w:pPr>
            <w:r>
              <w:rPr>
                <w:rFonts w:hint="eastAsia"/>
                <w:color w:val="auto"/>
              </w:rPr>
              <w:t>192，192，192</w:t>
            </w:r>
          </w:p>
        </w:tc>
      </w:tr>
      <w:tr w14:paraId="239A68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3FD7F5B3">
            <w:pPr>
              <w:ind w:firstLine="0" w:firstLineChars="0"/>
              <w:rPr>
                <w:color w:val="auto"/>
              </w:rPr>
            </w:pPr>
            <w:r>
              <w:rPr>
                <w:rFonts w:hint="eastAsia"/>
                <w:color w:val="auto"/>
              </w:rPr>
              <w:t>冷冻水回水</w:t>
            </w:r>
          </w:p>
        </w:tc>
        <w:tc>
          <w:tcPr>
            <w:tcW w:w="878" w:type="pct"/>
            <w:tcBorders>
              <w:top w:val="single" w:color="000000" w:sz="4" w:space="0"/>
              <w:left w:val="nil"/>
              <w:bottom w:val="single" w:color="000000" w:sz="4" w:space="0"/>
              <w:right w:val="single" w:color="000000" w:sz="4" w:space="0"/>
            </w:tcBorders>
            <w:shd w:val="clear" w:color="auto" w:fill="00FFFF"/>
            <w:vAlign w:val="center"/>
          </w:tcPr>
          <w:p w14:paraId="5AF99D15">
            <w:pPr>
              <w:ind w:firstLine="0" w:firstLineChars="0"/>
              <w:rPr>
                <w:color w:val="auto"/>
              </w:rPr>
            </w:pPr>
            <w:r>
              <w:rPr>
                <w:rFonts w:hint="eastAsia"/>
                <w:color w:val="auto"/>
              </w:rPr>
              <w:t>0，255，255</w:t>
            </w:r>
          </w:p>
        </w:tc>
        <w:tc>
          <w:tcPr>
            <w:tcW w:w="811" w:type="pct"/>
            <w:tcBorders>
              <w:top w:val="single" w:color="000000" w:sz="4" w:space="0"/>
              <w:left w:val="nil"/>
              <w:bottom w:val="single" w:color="000000" w:sz="4" w:space="0"/>
              <w:right w:val="single" w:color="000000" w:sz="4" w:space="0"/>
            </w:tcBorders>
            <w:vAlign w:val="center"/>
          </w:tcPr>
          <w:p w14:paraId="350C0C4A">
            <w:pPr>
              <w:ind w:firstLine="0" w:firstLineChars="0"/>
              <w:rPr>
                <w:color w:val="auto"/>
              </w:rPr>
            </w:pPr>
            <w:r>
              <w:rPr>
                <w:rFonts w:hint="eastAsia"/>
                <w:color w:val="auto"/>
              </w:rPr>
              <w:t>中水给水管（高区）</w:t>
            </w:r>
          </w:p>
        </w:tc>
        <w:tc>
          <w:tcPr>
            <w:tcW w:w="878" w:type="pct"/>
            <w:tcBorders>
              <w:top w:val="single" w:color="000000" w:sz="4" w:space="0"/>
              <w:left w:val="nil"/>
              <w:bottom w:val="single" w:color="000000" w:sz="4" w:space="0"/>
              <w:right w:val="single" w:color="000000" w:sz="4" w:space="0"/>
            </w:tcBorders>
            <w:shd w:val="clear" w:color="auto" w:fill="000080"/>
            <w:vAlign w:val="center"/>
          </w:tcPr>
          <w:p w14:paraId="2A404EAC">
            <w:pPr>
              <w:ind w:firstLine="0" w:firstLineChars="0"/>
              <w:rPr>
                <w:color w:val="auto"/>
              </w:rPr>
            </w:pPr>
            <w:r>
              <w:rPr>
                <w:rFonts w:hint="eastAsia"/>
                <w:color w:val="auto"/>
              </w:rPr>
              <w:t>0,0,128</w:t>
            </w:r>
          </w:p>
        </w:tc>
        <w:tc>
          <w:tcPr>
            <w:tcW w:w="812" w:type="pct"/>
            <w:tcBorders>
              <w:top w:val="single" w:color="000000" w:sz="4" w:space="0"/>
              <w:left w:val="nil"/>
              <w:bottom w:val="single" w:color="000000" w:sz="4" w:space="0"/>
              <w:right w:val="single" w:color="000000" w:sz="4" w:space="0"/>
            </w:tcBorders>
            <w:vAlign w:val="center"/>
          </w:tcPr>
          <w:p w14:paraId="0016E385">
            <w:pPr>
              <w:ind w:firstLine="0" w:firstLineChars="0"/>
              <w:rPr>
                <w:color w:val="auto"/>
              </w:rPr>
            </w:pPr>
            <w:r>
              <w:rPr>
                <w:rFonts w:hint="eastAsia"/>
                <w:color w:val="auto"/>
              </w:rPr>
              <w:t>无线对讲</w:t>
            </w:r>
          </w:p>
        </w:tc>
        <w:tc>
          <w:tcPr>
            <w:tcW w:w="812" w:type="pct"/>
            <w:tcBorders>
              <w:top w:val="single" w:color="000000" w:sz="4" w:space="0"/>
              <w:left w:val="nil"/>
              <w:bottom w:val="single" w:color="000000" w:sz="4" w:space="0"/>
              <w:right w:val="single" w:color="000000" w:sz="4" w:space="0"/>
            </w:tcBorders>
            <w:shd w:val="clear" w:color="auto" w:fill="FF00FF"/>
            <w:vAlign w:val="center"/>
          </w:tcPr>
          <w:p w14:paraId="0923204A">
            <w:pPr>
              <w:ind w:firstLine="0" w:firstLineChars="0"/>
              <w:rPr>
                <w:color w:val="auto"/>
              </w:rPr>
            </w:pPr>
            <w:r>
              <w:rPr>
                <w:rFonts w:hint="eastAsia"/>
                <w:color w:val="auto"/>
              </w:rPr>
              <w:t>255，0，255</w:t>
            </w:r>
          </w:p>
        </w:tc>
      </w:tr>
      <w:tr w14:paraId="55F27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75A74DFB">
            <w:pPr>
              <w:ind w:firstLine="0" w:firstLineChars="0"/>
              <w:rPr>
                <w:color w:val="auto"/>
              </w:rPr>
            </w:pPr>
            <w:r>
              <w:rPr>
                <w:rFonts w:hint="eastAsia"/>
                <w:color w:val="auto"/>
              </w:rPr>
              <w:t>冷凝水管</w:t>
            </w:r>
          </w:p>
        </w:tc>
        <w:tc>
          <w:tcPr>
            <w:tcW w:w="878" w:type="pct"/>
            <w:tcBorders>
              <w:top w:val="single" w:color="000000" w:sz="4" w:space="0"/>
              <w:left w:val="nil"/>
              <w:bottom w:val="single" w:color="000000" w:sz="4" w:space="0"/>
              <w:right w:val="single" w:color="000000" w:sz="4" w:space="0"/>
            </w:tcBorders>
            <w:shd w:val="clear" w:color="auto" w:fill="FF00FF"/>
            <w:vAlign w:val="center"/>
          </w:tcPr>
          <w:p w14:paraId="2E678441">
            <w:pPr>
              <w:ind w:firstLine="0" w:firstLineChars="0"/>
              <w:rPr>
                <w:color w:val="auto"/>
              </w:rPr>
            </w:pPr>
            <w:r>
              <w:rPr>
                <w:rFonts w:hint="eastAsia"/>
                <w:color w:val="auto"/>
              </w:rPr>
              <w:t>255，0，255</w:t>
            </w:r>
          </w:p>
        </w:tc>
        <w:tc>
          <w:tcPr>
            <w:tcW w:w="811" w:type="pct"/>
            <w:tcBorders>
              <w:top w:val="single" w:color="000000" w:sz="4" w:space="0"/>
              <w:left w:val="nil"/>
              <w:bottom w:val="single" w:color="000000" w:sz="4" w:space="0"/>
              <w:right w:val="single" w:color="000000" w:sz="4" w:space="0"/>
            </w:tcBorders>
            <w:vAlign w:val="center"/>
          </w:tcPr>
          <w:p w14:paraId="54498502">
            <w:pPr>
              <w:ind w:firstLine="0" w:firstLineChars="0"/>
              <w:rPr>
                <w:color w:val="auto"/>
              </w:rPr>
            </w:pPr>
            <w:r>
              <w:rPr>
                <w:rFonts w:hint="eastAsia"/>
                <w:color w:val="auto"/>
              </w:rPr>
              <w:t>生活热水管</w:t>
            </w:r>
          </w:p>
        </w:tc>
        <w:tc>
          <w:tcPr>
            <w:tcW w:w="878" w:type="pct"/>
            <w:tcBorders>
              <w:top w:val="single" w:color="000000" w:sz="4" w:space="0"/>
              <w:left w:val="nil"/>
              <w:bottom w:val="single" w:color="000000" w:sz="4" w:space="0"/>
              <w:right w:val="single" w:color="000000" w:sz="4" w:space="0"/>
            </w:tcBorders>
            <w:shd w:val="clear" w:color="auto" w:fill="800000"/>
            <w:vAlign w:val="center"/>
          </w:tcPr>
          <w:p w14:paraId="23807DF0">
            <w:pPr>
              <w:ind w:firstLine="0" w:firstLineChars="0"/>
              <w:rPr>
                <w:color w:val="auto"/>
              </w:rPr>
            </w:pPr>
            <w:r>
              <w:rPr>
                <w:rFonts w:hint="eastAsia"/>
                <w:color w:val="auto"/>
              </w:rPr>
              <w:t>128,0,0</w:t>
            </w:r>
          </w:p>
        </w:tc>
        <w:tc>
          <w:tcPr>
            <w:tcW w:w="812" w:type="pct"/>
            <w:tcBorders>
              <w:top w:val="single" w:color="000000" w:sz="4" w:space="0"/>
              <w:left w:val="nil"/>
              <w:bottom w:val="single" w:color="000000" w:sz="4" w:space="0"/>
              <w:right w:val="single" w:color="000000" w:sz="4" w:space="0"/>
            </w:tcBorders>
            <w:vAlign w:val="center"/>
          </w:tcPr>
          <w:p w14:paraId="136C1C5C">
            <w:pPr>
              <w:ind w:firstLine="0" w:firstLineChars="0"/>
              <w:rPr>
                <w:color w:val="auto"/>
              </w:rPr>
            </w:pPr>
            <w:r>
              <w:rPr>
                <w:rFonts w:hint="eastAsia"/>
                <w:color w:val="auto"/>
              </w:rPr>
              <w:t>信息网</w:t>
            </w:r>
          </w:p>
        </w:tc>
        <w:tc>
          <w:tcPr>
            <w:tcW w:w="812" w:type="pct"/>
            <w:tcBorders>
              <w:top w:val="single" w:color="000000" w:sz="4" w:space="0"/>
              <w:left w:val="nil"/>
              <w:bottom w:val="single" w:color="000000" w:sz="4" w:space="0"/>
              <w:right w:val="single" w:color="000000" w:sz="4" w:space="0"/>
            </w:tcBorders>
            <w:shd w:val="clear" w:color="auto" w:fill="007FFF"/>
            <w:vAlign w:val="center"/>
          </w:tcPr>
          <w:p w14:paraId="3588A36E">
            <w:pPr>
              <w:ind w:firstLine="0" w:firstLineChars="0"/>
              <w:rPr>
                <w:color w:val="auto"/>
              </w:rPr>
            </w:pPr>
            <w:r>
              <w:rPr>
                <w:rFonts w:hint="eastAsia"/>
                <w:color w:val="auto"/>
              </w:rPr>
              <w:t>0，127，255</w:t>
            </w:r>
          </w:p>
        </w:tc>
      </w:tr>
      <w:tr w14:paraId="06F78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5258C571">
            <w:pPr>
              <w:ind w:firstLine="0" w:firstLineChars="0"/>
              <w:rPr>
                <w:color w:val="auto"/>
              </w:rPr>
            </w:pPr>
            <w:r>
              <w:rPr>
                <w:rFonts w:hint="eastAsia"/>
                <w:color w:val="auto"/>
              </w:rPr>
              <w:t>空调补水管</w:t>
            </w:r>
          </w:p>
        </w:tc>
        <w:tc>
          <w:tcPr>
            <w:tcW w:w="878" w:type="pct"/>
            <w:tcBorders>
              <w:top w:val="single" w:color="000000" w:sz="4" w:space="0"/>
              <w:left w:val="nil"/>
              <w:bottom w:val="single" w:color="000000" w:sz="4" w:space="0"/>
              <w:right w:val="single" w:color="000000" w:sz="4" w:space="0"/>
            </w:tcBorders>
            <w:shd w:val="clear" w:color="auto" w:fill="009932"/>
            <w:vAlign w:val="center"/>
          </w:tcPr>
          <w:p w14:paraId="329B594B">
            <w:pPr>
              <w:ind w:firstLine="0" w:firstLineChars="0"/>
              <w:rPr>
                <w:color w:val="auto"/>
              </w:rPr>
            </w:pPr>
            <w:r>
              <w:rPr>
                <w:rFonts w:hint="eastAsia"/>
                <w:color w:val="auto"/>
              </w:rPr>
              <w:t>0，153，50</w:t>
            </w:r>
          </w:p>
        </w:tc>
        <w:tc>
          <w:tcPr>
            <w:tcW w:w="811" w:type="pct"/>
            <w:tcBorders>
              <w:top w:val="single" w:color="000000" w:sz="4" w:space="0"/>
              <w:left w:val="nil"/>
              <w:bottom w:val="single" w:color="000000" w:sz="4" w:space="0"/>
              <w:right w:val="single" w:color="000000" w:sz="4" w:space="0"/>
            </w:tcBorders>
            <w:vAlign w:val="center"/>
          </w:tcPr>
          <w:p w14:paraId="0CBD528A">
            <w:pPr>
              <w:ind w:firstLine="0" w:firstLineChars="0"/>
              <w:rPr>
                <w:color w:val="auto"/>
              </w:rPr>
            </w:pPr>
            <w:r>
              <w:rPr>
                <w:rFonts w:hint="eastAsia"/>
                <w:color w:val="auto"/>
              </w:rPr>
              <w:t>污水-重力</w:t>
            </w:r>
          </w:p>
        </w:tc>
        <w:tc>
          <w:tcPr>
            <w:tcW w:w="878" w:type="pct"/>
            <w:tcBorders>
              <w:top w:val="single" w:color="000000" w:sz="4" w:space="0"/>
              <w:left w:val="nil"/>
              <w:bottom w:val="single" w:color="000000" w:sz="4" w:space="0"/>
              <w:right w:val="single" w:color="000000" w:sz="4" w:space="0"/>
            </w:tcBorders>
            <w:shd w:val="clear" w:color="auto" w:fill="999900"/>
            <w:vAlign w:val="center"/>
          </w:tcPr>
          <w:p w14:paraId="561425C3">
            <w:pPr>
              <w:ind w:firstLine="0" w:firstLineChars="0"/>
              <w:rPr>
                <w:color w:val="auto"/>
              </w:rPr>
            </w:pPr>
            <w:r>
              <w:rPr>
                <w:rFonts w:hint="eastAsia"/>
                <w:color w:val="auto"/>
              </w:rPr>
              <w:t>153,153,0</w:t>
            </w:r>
          </w:p>
        </w:tc>
        <w:tc>
          <w:tcPr>
            <w:tcW w:w="812" w:type="pct"/>
            <w:tcBorders>
              <w:top w:val="single" w:color="000000" w:sz="4" w:space="0"/>
              <w:left w:val="nil"/>
              <w:bottom w:val="single" w:color="000000" w:sz="4" w:space="0"/>
              <w:right w:val="single" w:color="000000" w:sz="4" w:space="0"/>
            </w:tcBorders>
            <w:vAlign w:val="center"/>
          </w:tcPr>
          <w:p w14:paraId="5DF99B6E">
            <w:pPr>
              <w:ind w:firstLine="0" w:firstLineChars="0"/>
              <w:rPr>
                <w:color w:val="auto"/>
              </w:rPr>
            </w:pPr>
            <w:r>
              <w:rPr>
                <w:rFonts w:hint="eastAsia"/>
                <w:color w:val="auto"/>
              </w:rPr>
              <w:t>移动信号</w:t>
            </w:r>
          </w:p>
        </w:tc>
        <w:tc>
          <w:tcPr>
            <w:tcW w:w="812" w:type="pct"/>
            <w:tcBorders>
              <w:top w:val="single" w:color="000000" w:sz="4" w:space="0"/>
              <w:left w:val="nil"/>
              <w:bottom w:val="single" w:color="000000" w:sz="4" w:space="0"/>
              <w:right w:val="single" w:color="000000" w:sz="4" w:space="0"/>
            </w:tcBorders>
            <w:shd w:val="clear" w:color="auto" w:fill="FF7F9F"/>
            <w:vAlign w:val="center"/>
          </w:tcPr>
          <w:p w14:paraId="4BCCB2E3">
            <w:pPr>
              <w:ind w:firstLine="0" w:firstLineChars="0"/>
              <w:rPr>
                <w:color w:val="auto"/>
              </w:rPr>
            </w:pPr>
            <w:r>
              <w:rPr>
                <w:rFonts w:hint="eastAsia"/>
                <w:color w:val="auto"/>
              </w:rPr>
              <w:t>255，127，159</w:t>
            </w:r>
          </w:p>
        </w:tc>
      </w:tr>
      <w:tr w14:paraId="23D5F7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60D60E46">
            <w:pPr>
              <w:ind w:firstLine="0" w:firstLineChars="0"/>
              <w:rPr>
                <w:color w:val="auto"/>
              </w:rPr>
            </w:pPr>
            <w:r>
              <w:rPr>
                <w:rFonts w:hint="eastAsia"/>
                <w:color w:val="auto"/>
              </w:rPr>
              <w:t>膨胀水管</w:t>
            </w:r>
          </w:p>
        </w:tc>
        <w:tc>
          <w:tcPr>
            <w:tcW w:w="878" w:type="pct"/>
            <w:tcBorders>
              <w:top w:val="single" w:color="000000" w:sz="4" w:space="0"/>
              <w:left w:val="nil"/>
              <w:bottom w:val="single" w:color="000000" w:sz="4" w:space="0"/>
              <w:right w:val="single" w:color="000000" w:sz="4" w:space="0"/>
            </w:tcBorders>
            <w:shd w:val="clear" w:color="auto" w:fill="339999"/>
            <w:vAlign w:val="center"/>
          </w:tcPr>
          <w:p w14:paraId="0EEE81BA">
            <w:pPr>
              <w:ind w:firstLine="0" w:firstLineChars="0"/>
              <w:rPr>
                <w:color w:val="auto"/>
              </w:rPr>
            </w:pPr>
            <w:r>
              <w:rPr>
                <w:rFonts w:hint="eastAsia"/>
                <w:color w:val="auto"/>
              </w:rPr>
              <w:t>51，153，153</w:t>
            </w:r>
          </w:p>
        </w:tc>
        <w:tc>
          <w:tcPr>
            <w:tcW w:w="811" w:type="pct"/>
            <w:tcBorders>
              <w:top w:val="single" w:color="000000" w:sz="4" w:space="0"/>
              <w:left w:val="nil"/>
              <w:bottom w:val="single" w:color="000000" w:sz="4" w:space="0"/>
              <w:right w:val="single" w:color="000000" w:sz="4" w:space="0"/>
            </w:tcBorders>
            <w:vAlign w:val="center"/>
          </w:tcPr>
          <w:p w14:paraId="6EF37E6E">
            <w:pPr>
              <w:ind w:firstLine="0" w:firstLineChars="0"/>
              <w:rPr>
                <w:color w:val="auto"/>
              </w:rPr>
            </w:pPr>
            <w:r>
              <w:rPr>
                <w:rFonts w:hint="eastAsia"/>
                <w:color w:val="auto"/>
              </w:rPr>
              <w:t>污水-压力</w:t>
            </w:r>
          </w:p>
        </w:tc>
        <w:tc>
          <w:tcPr>
            <w:tcW w:w="878" w:type="pct"/>
            <w:tcBorders>
              <w:top w:val="single" w:color="000000" w:sz="4" w:space="0"/>
              <w:left w:val="nil"/>
              <w:bottom w:val="single" w:color="000000" w:sz="4" w:space="0"/>
              <w:right w:val="single" w:color="000000" w:sz="4" w:space="0"/>
            </w:tcBorders>
            <w:shd w:val="clear" w:color="auto" w:fill="008080"/>
            <w:vAlign w:val="center"/>
          </w:tcPr>
          <w:p w14:paraId="0E463534">
            <w:pPr>
              <w:ind w:firstLine="0" w:firstLineChars="0"/>
              <w:rPr>
                <w:color w:val="auto"/>
              </w:rPr>
            </w:pPr>
            <w:r>
              <w:rPr>
                <w:rFonts w:hint="eastAsia"/>
                <w:color w:val="auto"/>
              </w:rPr>
              <w:t>0,128,128</w:t>
            </w:r>
          </w:p>
        </w:tc>
        <w:tc>
          <w:tcPr>
            <w:tcW w:w="812" w:type="pct"/>
            <w:tcBorders>
              <w:top w:val="single" w:color="000000" w:sz="4" w:space="0"/>
              <w:left w:val="nil"/>
              <w:bottom w:val="single" w:color="000000" w:sz="4" w:space="0"/>
              <w:right w:val="single" w:color="000000" w:sz="4" w:space="0"/>
            </w:tcBorders>
            <w:vAlign w:val="center"/>
          </w:tcPr>
          <w:p w14:paraId="3673CD74">
            <w:pPr>
              <w:ind w:firstLine="0" w:firstLineChars="0"/>
              <w:rPr>
                <w:color w:val="auto"/>
              </w:rPr>
            </w:pPr>
            <w:r>
              <w:rPr>
                <w:rFonts w:hint="eastAsia"/>
                <w:color w:val="auto"/>
              </w:rPr>
              <w:t>有线及卫星电视</w:t>
            </w:r>
          </w:p>
        </w:tc>
        <w:tc>
          <w:tcPr>
            <w:tcW w:w="812" w:type="pct"/>
            <w:tcBorders>
              <w:top w:val="single" w:color="000000" w:sz="4" w:space="0"/>
              <w:left w:val="nil"/>
              <w:bottom w:val="single" w:color="000000" w:sz="4" w:space="0"/>
              <w:right w:val="single" w:color="000000" w:sz="4" w:space="0"/>
            </w:tcBorders>
            <w:shd w:val="clear" w:color="auto" w:fill="BF7FFF"/>
            <w:vAlign w:val="center"/>
          </w:tcPr>
          <w:p w14:paraId="139DB283">
            <w:pPr>
              <w:ind w:firstLine="0" w:firstLineChars="0"/>
              <w:rPr>
                <w:color w:val="auto"/>
              </w:rPr>
            </w:pPr>
            <w:r>
              <w:rPr>
                <w:rFonts w:hint="eastAsia"/>
                <w:color w:val="auto"/>
              </w:rPr>
              <w:t>191，127，255</w:t>
            </w:r>
          </w:p>
        </w:tc>
      </w:tr>
      <w:tr w14:paraId="07CF5F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62764E8E">
            <w:pPr>
              <w:ind w:firstLine="0" w:firstLineChars="0"/>
              <w:rPr>
                <w:color w:val="auto"/>
              </w:rPr>
            </w:pPr>
            <w:r>
              <w:rPr>
                <w:rFonts w:hint="eastAsia"/>
                <w:color w:val="auto"/>
              </w:rPr>
              <w:t>软化水管</w:t>
            </w:r>
          </w:p>
        </w:tc>
        <w:tc>
          <w:tcPr>
            <w:tcW w:w="878" w:type="pct"/>
            <w:tcBorders>
              <w:top w:val="single" w:color="000000" w:sz="4" w:space="0"/>
              <w:left w:val="nil"/>
              <w:bottom w:val="single" w:color="000000" w:sz="4" w:space="0"/>
              <w:right w:val="single" w:color="000000" w:sz="4" w:space="0"/>
            </w:tcBorders>
            <w:shd w:val="clear" w:color="auto" w:fill="008080"/>
            <w:vAlign w:val="center"/>
          </w:tcPr>
          <w:p w14:paraId="6FB085CF">
            <w:pPr>
              <w:ind w:firstLine="0" w:firstLineChars="0"/>
              <w:rPr>
                <w:color w:val="auto"/>
              </w:rPr>
            </w:pPr>
            <w:r>
              <w:rPr>
                <w:rFonts w:hint="eastAsia"/>
                <w:color w:val="auto"/>
              </w:rPr>
              <w:t>0，128，128</w:t>
            </w:r>
          </w:p>
        </w:tc>
        <w:tc>
          <w:tcPr>
            <w:tcW w:w="811" w:type="pct"/>
            <w:tcBorders>
              <w:top w:val="single" w:color="000000" w:sz="4" w:space="0"/>
              <w:left w:val="nil"/>
              <w:bottom w:val="single" w:color="000000" w:sz="4" w:space="0"/>
              <w:right w:val="single" w:color="000000" w:sz="4" w:space="0"/>
            </w:tcBorders>
            <w:vAlign w:val="center"/>
          </w:tcPr>
          <w:p w14:paraId="620A4970">
            <w:pPr>
              <w:ind w:firstLine="0" w:firstLineChars="0"/>
              <w:rPr>
                <w:color w:val="auto"/>
              </w:rPr>
            </w:pPr>
            <w:r>
              <w:rPr>
                <w:rFonts w:hint="eastAsia"/>
                <w:color w:val="auto"/>
              </w:rPr>
              <w:t>废水-重力</w:t>
            </w:r>
          </w:p>
        </w:tc>
        <w:tc>
          <w:tcPr>
            <w:tcW w:w="878" w:type="pct"/>
            <w:tcBorders>
              <w:top w:val="single" w:color="000000" w:sz="4" w:space="0"/>
              <w:left w:val="nil"/>
              <w:bottom w:val="single" w:color="000000" w:sz="4" w:space="0"/>
              <w:right w:val="single" w:color="000000" w:sz="4" w:space="0"/>
            </w:tcBorders>
            <w:shd w:val="clear" w:color="auto" w:fill="993333"/>
            <w:vAlign w:val="center"/>
          </w:tcPr>
          <w:p w14:paraId="3FB0359D">
            <w:pPr>
              <w:ind w:firstLine="0" w:firstLineChars="0"/>
              <w:rPr>
                <w:color w:val="auto"/>
              </w:rPr>
            </w:pPr>
            <w:r>
              <w:rPr>
                <w:rFonts w:hint="eastAsia"/>
                <w:color w:val="auto"/>
              </w:rPr>
              <w:t>153,51,51</w:t>
            </w:r>
          </w:p>
        </w:tc>
        <w:tc>
          <w:tcPr>
            <w:tcW w:w="812" w:type="pct"/>
            <w:tcBorders>
              <w:top w:val="single" w:color="000000" w:sz="4" w:space="0"/>
              <w:left w:val="nil"/>
              <w:bottom w:val="single" w:color="000000" w:sz="4" w:space="0"/>
              <w:right w:val="single" w:color="000000" w:sz="4" w:space="0"/>
            </w:tcBorders>
            <w:vAlign w:val="center"/>
          </w:tcPr>
          <w:p w14:paraId="66059F66">
            <w:pPr>
              <w:ind w:firstLine="0" w:firstLineChars="0"/>
              <w:rPr>
                <w:color w:val="auto"/>
              </w:rPr>
            </w:pPr>
            <w:r>
              <w:rPr>
                <w:rFonts w:hint="eastAsia"/>
                <w:color w:val="auto"/>
              </w:rPr>
              <w:t>消防弱电线槽</w:t>
            </w:r>
          </w:p>
        </w:tc>
        <w:tc>
          <w:tcPr>
            <w:tcW w:w="812" w:type="pct"/>
            <w:tcBorders>
              <w:top w:val="single" w:color="000000" w:sz="4" w:space="0"/>
              <w:left w:val="nil"/>
              <w:bottom w:val="single" w:color="000000" w:sz="4" w:space="0"/>
              <w:right w:val="single" w:color="000000" w:sz="4" w:space="0"/>
            </w:tcBorders>
            <w:shd w:val="clear" w:color="auto" w:fill="00FF00"/>
            <w:vAlign w:val="center"/>
          </w:tcPr>
          <w:p w14:paraId="00C10452">
            <w:pPr>
              <w:ind w:firstLine="0" w:firstLineChars="0"/>
              <w:rPr>
                <w:color w:val="auto"/>
              </w:rPr>
            </w:pPr>
            <w:r>
              <w:rPr>
                <w:rFonts w:hint="eastAsia"/>
                <w:color w:val="auto"/>
              </w:rPr>
              <w:t>0，255，0</w:t>
            </w:r>
          </w:p>
        </w:tc>
      </w:tr>
      <w:tr w14:paraId="7A68BE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398A0E49">
            <w:pPr>
              <w:ind w:firstLine="0" w:firstLineChars="0"/>
              <w:rPr>
                <w:color w:val="auto"/>
              </w:rPr>
            </w:pPr>
            <w:r>
              <w:rPr>
                <w:rFonts w:hint="eastAsia"/>
                <w:color w:val="auto"/>
              </w:rPr>
              <w:t>冷媒管</w:t>
            </w:r>
          </w:p>
        </w:tc>
        <w:tc>
          <w:tcPr>
            <w:tcW w:w="878" w:type="pct"/>
            <w:tcBorders>
              <w:top w:val="single" w:color="000000" w:sz="4" w:space="0"/>
              <w:left w:val="nil"/>
              <w:bottom w:val="single" w:color="000000" w:sz="4" w:space="0"/>
              <w:right w:val="single" w:color="000000" w:sz="4" w:space="0"/>
            </w:tcBorders>
            <w:shd w:val="clear" w:color="auto" w:fill="6600FF"/>
            <w:vAlign w:val="center"/>
          </w:tcPr>
          <w:p w14:paraId="0052DEE7">
            <w:pPr>
              <w:ind w:firstLine="0" w:firstLineChars="0"/>
              <w:rPr>
                <w:color w:val="auto"/>
              </w:rPr>
            </w:pPr>
            <w:r>
              <w:rPr>
                <w:rFonts w:hint="eastAsia"/>
                <w:color w:val="auto"/>
              </w:rPr>
              <w:t>102,0,255</w:t>
            </w:r>
          </w:p>
        </w:tc>
        <w:tc>
          <w:tcPr>
            <w:tcW w:w="811" w:type="pct"/>
            <w:tcBorders>
              <w:top w:val="single" w:color="000000" w:sz="4" w:space="0"/>
              <w:left w:val="nil"/>
              <w:bottom w:val="single" w:color="000000" w:sz="4" w:space="0"/>
              <w:right w:val="single" w:color="000000" w:sz="4" w:space="0"/>
            </w:tcBorders>
            <w:vAlign w:val="center"/>
          </w:tcPr>
          <w:p w14:paraId="063DED95">
            <w:pPr>
              <w:ind w:firstLine="0" w:firstLineChars="0"/>
              <w:rPr>
                <w:color w:val="auto"/>
              </w:rPr>
            </w:pPr>
            <w:r>
              <w:rPr>
                <w:rFonts w:hint="eastAsia"/>
                <w:color w:val="auto"/>
              </w:rPr>
              <w:t>废水-压力</w:t>
            </w:r>
          </w:p>
        </w:tc>
        <w:tc>
          <w:tcPr>
            <w:tcW w:w="878" w:type="pct"/>
            <w:tcBorders>
              <w:top w:val="single" w:color="000000" w:sz="4" w:space="0"/>
              <w:left w:val="nil"/>
              <w:bottom w:val="single" w:color="000000" w:sz="4" w:space="0"/>
              <w:right w:val="single" w:color="000000" w:sz="4" w:space="0"/>
            </w:tcBorders>
            <w:shd w:val="clear" w:color="auto" w:fill="6699FF"/>
            <w:vAlign w:val="center"/>
          </w:tcPr>
          <w:p w14:paraId="10D0204F">
            <w:pPr>
              <w:ind w:firstLine="0" w:firstLineChars="0"/>
              <w:rPr>
                <w:color w:val="auto"/>
              </w:rPr>
            </w:pPr>
            <w:r>
              <w:rPr>
                <w:rFonts w:hint="eastAsia"/>
                <w:color w:val="auto"/>
              </w:rPr>
              <w:t>102,153,255</w:t>
            </w:r>
          </w:p>
        </w:tc>
        <w:tc>
          <w:tcPr>
            <w:tcW w:w="812" w:type="pct"/>
            <w:tcBorders>
              <w:top w:val="single" w:color="000000" w:sz="4" w:space="0"/>
              <w:left w:val="nil"/>
              <w:bottom w:val="single" w:color="000000" w:sz="4" w:space="0"/>
              <w:right w:val="single" w:color="000000" w:sz="4" w:space="0"/>
            </w:tcBorders>
            <w:vAlign w:val="center"/>
          </w:tcPr>
          <w:p w14:paraId="1B743ADF">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55034B33">
            <w:pPr>
              <w:pStyle w:val="45"/>
              <w:rPr>
                <w:rFonts w:hint="eastAsia"/>
                <w:color w:val="auto"/>
              </w:rPr>
            </w:pPr>
          </w:p>
        </w:tc>
      </w:tr>
      <w:tr w14:paraId="501FA3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1F735E14">
            <w:pPr>
              <w:ind w:firstLine="0" w:firstLineChars="0"/>
              <w:rPr>
                <w:color w:val="auto"/>
              </w:rPr>
            </w:pPr>
            <w:r>
              <w:rPr>
                <w:rFonts w:hint="eastAsia"/>
                <w:color w:val="auto"/>
              </w:rPr>
              <w:t>厨房排油烟</w:t>
            </w:r>
          </w:p>
        </w:tc>
        <w:tc>
          <w:tcPr>
            <w:tcW w:w="878" w:type="pct"/>
            <w:tcBorders>
              <w:top w:val="single" w:color="000000" w:sz="4" w:space="0"/>
              <w:left w:val="nil"/>
              <w:bottom w:val="single" w:color="000000" w:sz="4" w:space="0"/>
              <w:right w:val="single" w:color="000000" w:sz="4" w:space="0"/>
            </w:tcBorders>
            <w:shd w:val="clear" w:color="auto" w:fill="993333"/>
            <w:vAlign w:val="center"/>
          </w:tcPr>
          <w:p w14:paraId="27ECF66A">
            <w:pPr>
              <w:ind w:firstLine="0" w:firstLineChars="0"/>
              <w:rPr>
                <w:color w:val="auto"/>
              </w:rPr>
            </w:pPr>
            <w:r>
              <w:rPr>
                <w:rFonts w:hint="eastAsia"/>
                <w:color w:val="auto"/>
              </w:rPr>
              <w:t>153,51,51</w:t>
            </w:r>
          </w:p>
        </w:tc>
        <w:tc>
          <w:tcPr>
            <w:tcW w:w="811" w:type="pct"/>
            <w:tcBorders>
              <w:top w:val="single" w:color="000000" w:sz="4" w:space="0"/>
              <w:left w:val="nil"/>
              <w:bottom w:val="single" w:color="000000" w:sz="4" w:space="0"/>
              <w:right w:val="single" w:color="000000" w:sz="4" w:space="0"/>
            </w:tcBorders>
            <w:vAlign w:val="center"/>
          </w:tcPr>
          <w:p w14:paraId="48B60F7B">
            <w:pPr>
              <w:ind w:firstLine="0" w:firstLineChars="0"/>
              <w:rPr>
                <w:color w:val="auto"/>
              </w:rPr>
            </w:pPr>
            <w:r>
              <w:rPr>
                <w:rFonts w:hint="eastAsia"/>
                <w:color w:val="auto"/>
              </w:rPr>
              <w:t>雨水管-压力</w:t>
            </w:r>
          </w:p>
        </w:tc>
        <w:tc>
          <w:tcPr>
            <w:tcW w:w="878" w:type="pct"/>
            <w:tcBorders>
              <w:top w:val="single" w:color="000000" w:sz="4" w:space="0"/>
              <w:left w:val="nil"/>
              <w:bottom w:val="single" w:color="000000" w:sz="4" w:space="0"/>
              <w:right w:val="single" w:color="000000" w:sz="4" w:space="0"/>
            </w:tcBorders>
            <w:shd w:val="clear" w:color="auto" w:fill="00FFFF"/>
            <w:vAlign w:val="center"/>
          </w:tcPr>
          <w:p w14:paraId="0B7CCCC2">
            <w:pPr>
              <w:ind w:firstLine="0" w:firstLineChars="0"/>
              <w:rPr>
                <w:color w:val="auto"/>
              </w:rPr>
            </w:pPr>
            <w:r>
              <w:rPr>
                <w:rFonts w:hint="eastAsia"/>
                <w:color w:val="auto"/>
              </w:rPr>
              <w:t>0,255,255</w:t>
            </w:r>
          </w:p>
        </w:tc>
        <w:tc>
          <w:tcPr>
            <w:tcW w:w="812" w:type="pct"/>
            <w:tcBorders>
              <w:top w:val="single" w:color="000000" w:sz="4" w:space="0"/>
              <w:left w:val="nil"/>
              <w:bottom w:val="single" w:color="000000" w:sz="4" w:space="0"/>
              <w:right w:val="single" w:color="000000" w:sz="4" w:space="0"/>
            </w:tcBorders>
            <w:vAlign w:val="center"/>
          </w:tcPr>
          <w:p w14:paraId="4DC7F79B">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0B72D9F1">
            <w:pPr>
              <w:pStyle w:val="45"/>
              <w:rPr>
                <w:rFonts w:hint="eastAsia"/>
                <w:color w:val="auto"/>
              </w:rPr>
            </w:pPr>
          </w:p>
        </w:tc>
      </w:tr>
      <w:tr w14:paraId="2F0E1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68DDCFF7">
            <w:pPr>
              <w:ind w:firstLine="0" w:firstLineChars="0"/>
              <w:rPr>
                <w:color w:val="auto"/>
              </w:rPr>
            </w:pPr>
            <w:r>
              <w:rPr>
                <w:rFonts w:hint="eastAsia"/>
                <w:color w:val="auto"/>
              </w:rPr>
              <w:t>排烟</w:t>
            </w:r>
          </w:p>
        </w:tc>
        <w:tc>
          <w:tcPr>
            <w:tcW w:w="878" w:type="pct"/>
            <w:tcBorders>
              <w:top w:val="single" w:color="000000" w:sz="4" w:space="0"/>
              <w:left w:val="nil"/>
              <w:bottom w:val="single" w:color="000000" w:sz="4" w:space="0"/>
              <w:right w:val="single" w:color="000000" w:sz="4" w:space="0"/>
            </w:tcBorders>
            <w:shd w:val="clear" w:color="auto" w:fill="808000"/>
            <w:vAlign w:val="center"/>
          </w:tcPr>
          <w:p w14:paraId="2080148B">
            <w:pPr>
              <w:ind w:firstLine="0" w:firstLineChars="0"/>
              <w:rPr>
                <w:color w:val="auto"/>
              </w:rPr>
            </w:pPr>
            <w:r>
              <w:rPr>
                <w:rFonts w:hint="eastAsia"/>
                <w:color w:val="auto"/>
              </w:rPr>
              <w:t>128,128,0</w:t>
            </w:r>
          </w:p>
        </w:tc>
        <w:tc>
          <w:tcPr>
            <w:tcW w:w="811" w:type="pct"/>
            <w:tcBorders>
              <w:top w:val="single" w:color="000000" w:sz="4" w:space="0"/>
              <w:left w:val="nil"/>
              <w:bottom w:val="single" w:color="000000" w:sz="4" w:space="0"/>
              <w:right w:val="single" w:color="000000" w:sz="4" w:space="0"/>
            </w:tcBorders>
            <w:vAlign w:val="center"/>
          </w:tcPr>
          <w:p w14:paraId="6CA0DBDB">
            <w:pPr>
              <w:ind w:firstLine="0" w:firstLineChars="0"/>
              <w:rPr>
                <w:color w:val="auto"/>
              </w:rPr>
            </w:pPr>
            <w:r>
              <w:rPr>
                <w:rFonts w:hint="eastAsia"/>
                <w:color w:val="auto"/>
              </w:rPr>
              <w:t>雨水管-重力</w:t>
            </w:r>
          </w:p>
        </w:tc>
        <w:tc>
          <w:tcPr>
            <w:tcW w:w="878" w:type="pct"/>
            <w:tcBorders>
              <w:top w:val="single" w:color="000000" w:sz="4" w:space="0"/>
              <w:left w:val="nil"/>
              <w:bottom w:val="single" w:color="000000" w:sz="4" w:space="0"/>
              <w:right w:val="single" w:color="000000" w:sz="4" w:space="0"/>
            </w:tcBorders>
            <w:shd w:val="clear" w:color="auto" w:fill="8080FF"/>
            <w:vAlign w:val="center"/>
          </w:tcPr>
          <w:p w14:paraId="721F45B6">
            <w:pPr>
              <w:ind w:firstLine="0" w:firstLineChars="0"/>
              <w:rPr>
                <w:color w:val="auto"/>
              </w:rPr>
            </w:pPr>
            <w:r>
              <w:rPr>
                <w:rFonts w:hint="eastAsia"/>
                <w:color w:val="auto"/>
              </w:rPr>
              <w:t>128,128,255</w:t>
            </w:r>
          </w:p>
        </w:tc>
        <w:tc>
          <w:tcPr>
            <w:tcW w:w="812" w:type="pct"/>
            <w:tcBorders>
              <w:top w:val="single" w:color="000000" w:sz="4" w:space="0"/>
              <w:left w:val="nil"/>
              <w:bottom w:val="single" w:color="000000" w:sz="4" w:space="0"/>
              <w:right w:val="single" w:color="000000" w:sz="4" w:space="0"/>
            </w:tcBorders>
            <w:vAlign w:val="center"/>
          </w:tcPr>
          <w:p w14:paraId="34C23959">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1A1EEA45">
            <w:pPr>
              <w:pStyle w:val="45"/>
              <w:rPr>
                <w:rFonts w:hint="eastAsia"/>
                <w:color w:val="auto"/>
              </w:rPr>
            </w:pPr>
          </w:p>
        </w:tc>
      </w:tr>
      <w:tr w14:paraId="425BE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49D018FC">
            <w:pPr>
              <w:ind w:firstLine="0" w:firstLineChars="0"/>
              <w:rPr>
                <w:color w:val="auto"/>
              </w:rPr>
            </w:pPr>
            <w:r>
              <w:rPr>
                <w:rFonts w:hint="eastAsia"/>
                <w:color w:val="auto"/>
              </w:rPr>
              <w:t>排风</w:t>
            </w:r>
          </w:p>
        </w:tc>
        <w:tc>
          <w:tcPr>
            <w:tcW w:w="878" w:type="pct"/>
            <w:tcBorders>
              <w:top w:val="single" w:color="000000" w:sz="4" w:space="0"/>
              <w:left w:val="nil"/>
              <w:bottom w:val="single" w:color="000000" w:sz="4" w:space="0"/>
              <w:right w:val="single" w:color="000000" w:sz="4" w:space="0"/>
            </w:tcBorders>
            <w:shd w:val="clear" w:color="auto" w:fill="FF9900"/>
            <w:vAlign w:val="center"/>
          </w:tcPr>
          <w:p w14:paraId="4F5B633F">
            <w:pPr>
              <w:ind w:firstLine="0" w:firstLineChars="0"/>
              <w:rPr>
                <w:color w:val="auto"/>
              </w:rPr>
            </w:pPr>
            <w:r>
              <w:rPr>
                <w:rFonts w:hint="eastAsia"/>
                <w:color w:val="auto"/>
              </w:rPr>
              <w:t>255,153,0</w:t>
            </w:r>
          </w:p>
        </w:tc>
        <w:tc>
          <w:tcPr>
            <w:tcW w:w="811" w:type="pct"/>
            <w:tcBorders>
              <w:top w:val="single" w:color="000000" w:sz="4" w:space="0"/>
              <w:left w:val="nil"/>
              <w:bottom w:val="single" w:color="000000" w:sz="4" w:space="0"/>
              <w:right w:val="single" w:color="000000" w:sz="4" w:space="0"/>
            </w:tcBorders>
            <w:vAlign w:val="center"/>
          </w:tcPr>
          <w:p w14:paraId="7FFB50B5">
            <w:pPr>
              <w:ind w:firstLine="0" w:firstLineChars="0"/>
              <w:rPr>
                <w:color w:val="auto"/>
              </w:rPr>
            </w:pPr>
            <w:r>
              <w:rPr>
                <w:rFonts w:hint="eastAsia"/>
                <w:color w:val="auto"/>
              </w:rPr>
              <w:t>通气管道</w:t>
            </w:r>
          </w:p>
        </w:tc>
        <w:tc>
          <w:tcPr>
            <w:tcW w:w="878" w:type="pct"/>
            <w:tcBorders>
              <w:top w:val="single" w:color="000000" w:sz="4" w:space="0"/>
              <w:left w:val="nil"/>
              <w:bottom w:val="single" w:color="000000" w:sz="4" w:space="0"/>
              <w:right w:val="single" w:color="000000" w:sz="4" w:space="0"/>
            </w:tcBorders>
            <w:shd w:val="clear" w:color="auto" w:fill="808000"/>
            <w:vAlign w:val="center"/>
          </w:tcPr>
          <w:p w14:paraId="67543460">
            <w:pPr>
              <w:ind w:firstLine="0" w:firstLineChars="0"/>
              <w:rPr>
                <w:color w:val="auto"/>
              </w:rPr>
            </w:pPr>
            <w:r>
              <w:rPr>
                <w:rFonts w:hint="eastAsia"/>
                <w:color w:val="auto"/>
              </w:rPr>
              <w:t>128,128,0</w:t>
            </w:r>
          </w:p>
        </w:tc>
        <w:tc>
          <w:tcPr>
            <w:tcW w:w="812" w:type="pct"/>
            <w:tcBorders>
              <w:top w:val="single" w:color="000000" w:sz="4" w:space="0"/>
              <w:left w:val="nil"/>
              <w:bottom w:val="single" w:color="000000" w:sz="4" w:space="0"/>
              <w:right w:val="single" w:color="000000" w:sz="4" w:space="0"/>
            </w:tcBorders>
            <w:vAlign w:val="center"/>
          </w:tcPr>
          <w:p w14:paraId="246A3433">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19613C88">
            <w:pPr>
              <w:pStyle w:val="45"/>
              <w:rPr>
                <w:rFonts w:hint="eastAsia"/>
                <w:color w:val="auto"/>
              </w:rPr>
            </w:pPr>
          </w:p>
        </w:tc>
      </w:tr>
      <w:tr w14:paraId="14B5A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5A254BE4">
            <w:pPr>
              <w:ind w:firstLine="0" w:firstLineChars="0"/>
              <w:rPr>
                <w:color w:val="auto"/>
              </w:rPr>
            </w:pPr>
            <w:r>
              <w:rPr>
                <w:rFonts w:hint="eastAsia"/>
                <w:color w:val="auto"/>
              </w:rPr>
              <w:t>新风／补风</w:t>
            </w:r>
          </w:p>
        </w:tc>
        <w:tc>
          <w:tcPr>
            <w:tcW w:w="878" w:type="pct"/>
            <w:tcBorders>
              <w:top w:val="single" w:color="000000" w:sz="4" w:space="0"/>
              <w:left w:val="nil"/>
              <w:bottom w:val="single" w:color="000000" w:sz="4" w:space="0"/>
              <w:right w:val="single" w:color="000000" w:sz="4" w:space="0"/>
            </w:tcBorders>
            <w:shd w:val="clear" w:color="auto" w:fill="00FF00"/>
            <w:vAlign w:val="center"/>
          </w:tcPr>
          <w:p w14:paraId="63DD610A">
            <w:pPr>
              <w:ind w:firstLine="0" w:firstLineChars="0"/>
              <w:rPr>
                <w:color w:val="auto"/>
              </w:rPr>
            </w:pPr>
            <w:r>
              <w:rPr>
                <w:rFonts w:hint="eastAsia"/>
                <w:color w:val="auto"/>
              </w:rPr>
              <w:t>0,255,0</w:t>
            </w:r>
          </w:p>
        </w:tc>
        <w:tc>
          <w:tcPr>
            <w:tcW w:w="811" w:type="pct"/>
            <w:tcBorders>
              <w:top w:val="single" w:color="000000" w:sz="4" w:space="0"/>
              <w:left w:val="nil"/>
              <w:bottom w:val="single" w:color="000000" w:sz="4" w:space="0"/>
              <w:right w:val="single" w:color="000000" w:sz="4" w:space="0"/>
            </w:tcBorders>
            <w:vAlign w:val="center"/>
          </w:tcPr>
          <w:p w14:paraId="3EE09619">
            <w:pPr>
              <w:pStyle w:val="45"/>
              <w:rPr>
                <w:rFonts w:hint="eastAsia"/>
                <w:color w:val="auto"/>
              </w:rPr>
            </w:pPr>
          </w:p>
        </w:tc>
        <w:tc>
          <w:tcPr>
            <w:tcW w:w="878" w:type="pct"/>
            <w:tcBorders>
              <w:top w:val="single" w:color="000000" w:sz="4" w:space="0"/>
              <w:left w:val="nil"/>
              <w:bottom w:val="single" w:color="000000" w:sz="4" w:space="0"/>
              <w:right w:val="single" w:color="000000" w:sz="4" w:space="0"/>
            </w:tcBorders>
            <w:vAlign w:val="center"/>
          </w:tcPr>
          <w:p w14:paraId="48EB1246">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7D28F56C">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275C22F4">
            <w:pPr>
              <w:pStyle w:val="45"/>
              <w:rPr>
                <w:rFonts w:hint="eastAsia"/>
                <w:color w:val="auto"/>
              </w:rPr>
            </w:pPr>
          </w:p>
        </w:tc>
      </w:tr>
      <w:tr w14:paraId="76DB1D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811" w:type="pct"/>
            <w:tcBorders>
              <w:top w:val="single" w:color="000000" w:sz="4" w:space="0"/>
              <w:left w:val="single" w:color="000000" w:sz="4" w:space="0"/>
              <w:bottom w:val="single" w:color="000000" w:sz="4" w:space="0"/>
              <w:right w:val="single" w:color="000000" w:sz="4" w:space="0"/>
            </w:tcBorders>
            <w:vAlign w:val="center"/>
          </w:tcPr>
          <w:p w14:paraId="1709B05E">
            <w:pPr>
              <w:ind w:firstLine="0" w:firstLineChars="0"/>
              <w:rPr>
                <w:color w:val="auto"/>
              </w:rPr>
            </w:pPr>
            <w:r>
              <w:rPr>
                <w:rFonts w:hint="eastAsia"/>
                <w:color w:val="auto"/>
              </w:rPr>
              <w:t>正压送风</w:t>
            </w:r>
          </w:p>
        </w:tc>
        <w:tc>
          <w:tcPr>
            <w:tcW w:w="878" w:type="pct"/>
            <w:tcBorders>
              <w:top w:val="single" w:color="000000" w:sz="4" w:space="0"/>
              <w:left w:val="nil"/>
              <w:bottom w:val="single" w:color="000000" w:sz="4" w:space="0"/>
              <w:right w:val="single" w:color="000000" w:sz="4" w:space="0"/>
            </w:tcBorders>
            <w:shd w:val="clear" w:color="auto" w:fill="0000FF"/>
            <w:vAlign w:val="center"/>
          </w:tcPr>
          <w:p w14:paraId="69BFB32E">
            <w:pPr>
              <w:ind w:firstLine="0" w:firstLineChars="0"/>
              <w:rPr>
                <w:color w:val="auto"/>
              </w:rPr>
            </w:pPr>
            <w:r>
              <w:rPr>
                <w:rFonts w:hint="eastAsia"/>
                <w:color w:val="auto"/>
              </w:rPr>
              <w:t>0,0,255</w:t>
            </w:r>
          </w:p>
        </w:tc>
        <w:tc>
          <w:tcPr>
            <w:tcW w:w="811" w:type="pct"/>
            <w:tcBorders>
              <w:top w:val="single" w:color="000000" w:sz="4" w:space="0"/>
              <w:left w:val="nil"/>
              <w:bottom w:val="single" w:color="000000" w:sz="4" w:space="0"/>
              <w:right w:val="single" w:color="000000" w:sz="4" w:space="0"/>
            </w:tcBorders>
            <w:vAlign w:val="center"/>
          </w:tcPr>
          <w:p w14:paraId="7A49CBEA">
            <w:pPr>
              <w:pStyle w:val="45"/>
              <w:rPr>
                <w:rFonts w:hint="eastAsia"/>
                <w:color w:val="auto"/>
              </w:rPr>
            </w:pPr>
          </w:p>
        </w:tc>
        <w:tc>
          <w:tcPr>
            <w:tcW w:w="878" w:type="pct"/>
            <w:tcBorders>
              <w:top w:val="single" w:color="000000" w:sz="4" w:space="0"/>
              <w:left w:val="nil"/>
              <w:bottom w:val="single" w:color="000000" w:sz="4" w:space="0"/>
              <w:right w:val="single" w:color="000000" w:sz="4" w:space="0"/>
            </w:tcBorders>
            <w:vAlign w:val="center"/>
          </w:tcPr>
          <w:p w14:paraId="7C20D8E6">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132DEA5D">
            <w:pPr>
              <w:pStyle w:val="45"/>
              <w:rPr>
                <w:rFonts w:hint="eastAsia"/>
                <w:color w:val="auto"/>
              </w:rPr>
            </w:pPr>
          </w:p>
        </w:tc>
        <w:tc>
          <w:tcPr>
            <w:tcW w:w="812" w:type="pct"/>
            <w:tcBorders>
              <w:top w:val="single" w:color="000000" w:sz="4" w:space="0"/>
              <w:left w:val="nil"/>
              <w:bottom w:val="single" w:color="000000" w:sz="4" w:space="0"/>
              <w:right w:val="single" w:color="000000" w:sz="4" w:space="0"/>
            </w:tcBorders>
            <w:vAlign w:val="center"/>
          </w:tcPr>
          <w:p w14:paraId="6384C088">
            <w:pPr>
              <w:pStyle w:val="45"/>
              <w:rPr>
                <w:rFonts w:hint="eastAsia"/>
                <w:color w:val="auto"/>
              </w:rPr>
            </w:pPr>
          </w:p>
        </w:tc>
      </w:tr>
    </w:tbl>
    <w:p w14:paraId="4F1855AE">
      <w:pPr>
        <w:rPr>
          <w:rFonts w:cs="Times New Roman"/>
          <w:color w:val="auto"/>
          <w:szCs w:val="24"/>
        </w:rPr>
      </w:pPr>
      <w:r>
        <w:rPr>
          <w:rFonts w:hint="eastAsia" w:cs="Times New Roman"/>
          <w:color w:val="auto"/>
          <w:szCs w:val="24"/>
        </w:rPr>
        <w:t>注:针对以上的模型标准都是相对而言的，具体的还要依照项目的要求以及实际的项目需要而定。</w:t>
      </w:r>
    </w:p>
    <w:p w14:paraId="739BD7CA">
      <w:pPr>
        <w:rPr>
          <w:color w:val="auto"/>
        </w:rPr>
      </w:pPr>
      <w:r>
        <w:rPr>
          <w:rFonts w:hint="eastAsia"/>
          <w:color w:val="auto"/>
        </w:rPr>
        <w:t>2、模型建立</w:t>
      </w:r>
    </w:p>
    <w:p w14:paraId="3CB24995">
      <w:pPr>
        <w:jc w:val="left"/>
        <w:rPr>
          <w:rFonts w:cs="Times New Roman"/>
          <w:color w:val="auto"/>
          <w:szCs w:val="24"/>
        </w:rPr>
      </w:pPr>
      <w:r>
        <w:rPr>
          <w:rFonts w:hint="eastAsia" w:cs="Times New Roman"/>
          <w:color w:val="auto"/>
          <w:szCs w:val="24"/>
        </w:rPr>
        <w:t>1）本项目的BIM模型包括建筑、结构施工临时设施项目内的全部相关专业。总体布置的BIM模型搭建，清晰的表达出整个项目，对总体的施工组织安排、建筑机械进场、现场材料堆放、施工安全管理、建筑群内的市政管线布置、景观设置等都能起到更直观地综合协调的作用。</w:t>
      </w:r>
    </w:p>
    <w:p w14:paraId="1EBDB3DF">
      <w:pPr>
        <w:pStyle w:val="6"/>
        <w:ind w:firstLine="480"/>
        <w:rPr>
          <w:color w:val="auto"/>
        </w:rPr>
      </w:pPr>
      <w:r>
        <w:rPr>
          <w:rFonts w:hint="eastAsia"/>
          <w:color w:val="auto"/>
        </w:rPr>
        <w:t>模型构建及维护更新</w:t>
      </w:r>
    </w:p>
    <w:p w14:paraId="6EAA2436">
      <w:pPr>
        <w:rPr>
          <w:color w:val="auto"/>
        </w:rPr>
      </w:pPr>
      <w:r>
        <w:rPr>
          <w:rFonts w:hint="eastAsia"/>
          <w:color w:val="auto"/>
        </w:rPr>
        <w:t>1、组织各参与方，针对BIM标准规范的具体内容进行讲解培训，使各方的建模工作能够按照规范的要求进行。</w:t>
      </w:r>
    </w:p>
    <w:p w14:paraId="103C2049">
      <w:pPr>
        <w:rPr>
          <w:color w:val="auto"/>
        </w:rPr>
      </w:pPr>
      <w:r>
        <w:rPr>
          <w:rFonts w:hint="eastAsia"/>
          <w:color w:val="auto"/>
        </w:rPr>
        <w:t>2、接收各方提交的模型，并对其是否满足模型整合要求进行检查，同时对参与方的模型进行检查验收。</w:t>
      </w:r>
    </w:p>
    <w:p w14:paraId="6DAF3CF3">
      <w:pPr>
        <w:rPr>
          <w:color w:val="auto"/>
        </w:rPr>
      </w:pPr>
      <w:r>
        <w:rPr>
          <w:rFonts w:hint="eastAsia"/>
          <w:color w:val="auto"/>
        </w:rPr>
        <w:t>3、对于满足整合要求并经验收合格后的模型由BIM服务方进行存档、更新，保证使用的模型为最新版本。</w:t>
      </w:r>
    </w:p>
    <w:p w14:paraId="76C22B76">
      <w:pPr>
        <w:rPr>
          <w:color w:val="auto"/>
        </w:rPr>
      </w:pPr>
      <w:r>
        <w:rPr>
          <w:rFonts w:hint="eastAsia"/>
          <w:color w:val="auto"/>
        </w:rPr>
        <w:t>4、验收交付物：由各专业软件所创建的模型文件。</w:t>
      </w:r>
    </w:p>
    <w:p w14:paraId="120A515F">
      <w:pPr>
        <w:rPr>
          <w:color w:val="auto"/>
        </w:rPr>
      </w:pPr>
      <w:r>
        <w:rPr>
          <w:rFonts w:hint="eastAsia"/>
          <w:color w:val="auto"/>
        </w:rPr>
        <w:t>1）各专业设计模型（建筑、结构、机电、幕墙等）的汇总整合及维护更新。</w:t>
      </w:r>
    </w:p>
    <w:p w14:paraId="30E05499">
      <w:pPr>
        <w:rPr>
          <w:color w:val="auto"/>
        </w:rPr>
      </w:pPr>
      <w:r>
        <w:rPr>
          <w:rFonts w:hint="eastAsia"/>
          <w:color w:val="auto"/>
        </w:rPr>
        <w:t>2）将收集到的经验收合格的各参与的模型文件进行数据格式转换。</w:t>
      </w:r>
    </w:p>
    <w:p w14:paraId="291A3611">
      <w:pPr>
        <w:rPr>
          <w:color w:val="auto"/>
        </w:rPr>
      </w:pPr>
      <w:r>
        <w:rPr>
          <w:rFonts w:hint="eastAsia"/>
          <w:color w:val="auto"/>
        </w:rPr>
        <w:t>3）将转换数据格式后的各参与方模型链接到一个模型文件中。</w:t>
      </w:r>
    </w:p>
    <w:p w14:paraId="6D9904C3">
      <w:pPr>
        <w:rPr>
          <w:color w:val="auto"/>
        </w:rPr>
      </w:pPr>
      <w:r>
        <w:rPr>
          <w:rFonts w:hint="eastAsia"/>
          <w:color w:val="auto"/>
        </w:rPr>
        <w:t>4）检查各参与方模型对整合要求的符合性，并将检查结果反馈给及各参与方。</w:t>
      </w:r>
    </w:p>
    <w:p w14:paraId="22589DD5">
      <w:pPr>
        <w:rPr>
          <w:color w:val="auto"/>
        </w:rPr>
      </w:pPr>
      <w:r>
        <w:rPr>
          <w:rFonts w:hint="eastAsia"/>
          <w:color w:val="auto"/>
        </w:rPr>
        <w:t>5）将满足要求的整合模型进行存档，在服务器上进行更新，保证使用的是最新版本的整合模型。</w:t>
      </w:r>
    </w:p>
    <w:p w14:paraId="3CABCAEC">
      <w:pPr>
        <w:rPr>
          <w:color w:val="auto"/>
        </w:rPr>
      </w:pPr>
      <w:r>
        <w:rPr>
          <w:rFonts w:hint="eastAsia"/>
          <w:color w:val="auto"/>
        </w:rPr>
        <w:t>6）将整合模型交付使用。</w:t>
      </w:r>
    </w:p>
    <w:p w14:paraId="259491B5">
      <w:pPr>
        <w:pStyle w:val="6"/>
        <w:ind w:firstLine="480"/>
        <w:rPr>
          <w:color w:val="auto"/>
        </w:rPr>
      </w:pPr>
      <w:r>
        <w:rPr>
          <w:rFonts w:hint="eastAsia"/>
          <w:color w:val="auto"/>
        </w:rPr>
        <w:t>模型审核标准</w:t>
      </w:r>
    </w:p>
    <w:p w14:paraId="4FA69BA7">
      <w:pPr>
        <w:rPr>
          <w:color w:val="auto"/>
        </w:rPr>
      </w:pPr>
      <w:r>
        <w:rPr>
          <w:rFonts w:hint="eastAsia"/>
          <w:color w:val="auto"/>
        </w:rPr>
        <w:t>1、项目实施各阶段前期准备工作交付成果审核。</w:t>
      </w:r>
    </w:p>
    <w:p w14:paraId="45AE39C6">
      <w:pPr>
        <w:rPr>
          <w:color w:val="auto"/>
        </w:rPr>
      </w:pPr>
      <w:r>
        <w:rPr>
          <w:rFonts w:hint="eastAsia"/>
          <w:color w:val="auto"/>
        </w:rPr>
        <w:t>1）审核节点：项目实施各阶段前期准备工作完成节点。</w:t>
      </w:r>
    </w:p>
    <w:p w14:paraId="47EB2E2E">
      <w:pPr>
        <w:rPr>
          <w:color w:val="auto"/>
        </w:rPr>
      </w:pPr>
      <w:r>
        <w:rPr>
          <w:rFonts w:hint="eastAsia"/>
          <w:color w:val="auto"/>
        </w:rPr>
        <w:t>2）审查依据：国家BIM 标准、BIM 实施标准。</w:t>
      </w:r>
    </w:p>
    <w:p w14:paraId="24577EF8">
      <w:pPr>
        <w:rPr>
          <w:color w:val="auto"/>
        </w:rPr>
      </w:pPr>
      <w:r>
        <w:rPr>
          <w:rFonts w:hint="eastAsia"/>
          <w:color w:val="auto"/>
        </w:rPr>
        <w:t>3）审核形式：项目前期准备协调会。</w:t>
      </w:r>
    </w:p>
    <w:p w14:paraId="4BAEA4EB">
      <w:pPr>
        <w:rPr>
          <w:color w:val="auto"/>
        </w:rPr>
      </w:pPr>
      <w:r>
        <w:rPr>
          <w:rFonts w:hint="eastAsia"/>
          <w:color w:val="auto"/>
        </w:rPr>
        <w:t>4）审核人员：各阶段相关负责人、项目参与方BIM 负责人。</w:t>
      </w:r>
    </w:p>
    <w:p w14:paraId="05F9A763">
      <w:pPr>
        <w:rPr>
          <w:color w:val="auto"/>
        </w:rPr>
      </w:pPr>
      <w:r>
        <w:rPr>
          <w:rFonts w:hint="eastAsia"/>
          <w:color w:val="auto"/>
        </w:rPr>
        <w:t>5）审核内容：项目建模标准、建模计划、样板文件、基准模型审核。</w:t>
      </w:r>
    </w:p>
    <w:p w14:paraId="5597368A">
      <w:pPr>
        <w:rPr>
          <w:color w:val="auto"/>
        </w:rPr>
      </w:pPr>
      <w:r>
        <w:rPr>
          <w:rFonts w:hint="eastAsia"/>
          <w:color w:val="auto"/>
        </w:rPr>
        <w:t>2、项目实施各阶段过程交付成果审核。</w:t>
      </w:r>
    </w:p>
    <w:p w14:paraId="2514211A">
      <w:pPr>
        <w:rPr>
          <w:color w:val="auto"/>
        </w:rPr>
      </w:pPr>
      <w:r>
        <w:rPr>
          <w:rFonts w:hint="eastAsia"/>
          <w:color w:val="auto"/>
        </w:rPr>
        <w:t>1）审核节点：项目实施各阶段实施过程。</w:t>
      </w:r>
    </w:p>
    <w:p w14:paraId="1046BB8A">
      <w:pPr>
        <w:rPr>
          <w:color w:val="auto"/>
        </w:rPr>
      </w:pPr>
      <w:r>
        <w:rPr>
          <w:rFonts w:hint="eastAsia"/>
          <w:color w:val="auto"/>
        </w:rPr>
        <w:t>2）审查依据：项目BIM 实施标准、项目BIM 实施大纲及方案。</w:t>
      </w:r>
    </w:p>
    <w:p w14:paraId="04954F7D">
      <w:pPr>
        <w:rPr>
          <w:color w:val="auto"/>
        </w:rPr>
      </w:pPr>
      <w:r>
        <w:rPr>
          <w:rFonts w:hint="eastAsia"/>
          <w:color w:val="auto"/>
        </w:rPr>
        <w:t>3）审核形式：项目BIM周例会。</w:t>
      </w:r>
    </w:p>
    <w:p w14:paraId="6F172448">
      <w:pPr>
        <w:rPr>
          <w:color w:val="auto"/>
        </w:rPr>
      </w:pPr>
      <w:r>
        <w:rPr>
          <w:rFonts w:hint="eastAsia"/>
          <w:color w:val="auto"/>
        </w:rPr>
        <w:t>4）审核人员：项目各参与方BIM 负责人。</w:t>
      </w:r>
    </w:p>
    <w:p w14:paraId="65D7CEFF">
      <w:pPr>
        <w:rPr>
          <w:color w:val="auto"/>
        </w:rPr>
      </w:pPr>
      <w:r>
        <w:rPr>
          <w:rFonts w:hint="eastAsia"/>
          <w:color w:val="auto"/>
        </w:rPr>
        <w:t>5）审核内容：各参与方是否按节点提交过程成果，过程成果的质量审核（提交成果格式及内容是否满足交付要求，模型搭建及更新是否符合项目实施标准）。</w:t>
      </w:r>
    </w:p>
    <w:p w14:paraId="232CFBC2">
      <w:pPr>
        <w:rPr>
          <w:color w:val="auto"/>
        </w:rPr>
      </w:pPr>
      <w:r>
        <w:rPr>
          <w:rFonts w:hint="eastAsia"/>
          <w:color w:val="auto"/>
        </w:rPr>
        <w:t>6）审核结论：BIM 审核结果反馈、落实下一阶段BIM 实施计划及要求。</w:t>
      </w:r>
    </w:p>
    <w:p w14:paraId="0FC30344">
      <w:pPr>
        <w:rPr>
          <w:color w:val="auto"/>
        </w:rPr>
      </w:pPr>
      <w:r>
        <w:rPr>
          <w:rFonts w:hint="eastAsia"/>
          <w:color w:val="auto"/>
        </w:rPr>
        <w:t>3、项目实施各阶段最终交付成果审核。</w:t>
      </w:r>
    </w:p>
    <w:p w14:paraId="47610D9C">
      <w:pPr>
        <w:rPr>
          <w:color w:val="auto"/>
        </w:rPr>
      </w:pPr>
      <w:r>
        <w:rPr>
          <w:rFonts w:hint="eastAsia"/>
          <w:color w:val="auto"/>
        </w:rPr>
        <w:t>1）审核节点：各阶段BIM 实施成果交付后。</w:t>
      </w:r>
    </w:p>
    <w:p w14:paraId="71540591">
      <w:pPr>
        <w:rPr>
          <w:color w:val="auto"/>
        </w:rPr>
      </w:pPr>
      <w:r>
        <w:rPr>
          <w:rFonts w:hint="eastAsia"/>
          <w:color w:val="auto"/>
        </w:rPr>
        <w:t>2）审查依据：国家建设工程相关规范规程、国家BIM 标准、工项目BIM 实施标准、项目BIM 实施大纲及方案。</w:t>
      </w:r>
    </w:p>
    <w:p w14:paraId="3F667B18">
      <w:pPr>
        <w:rPr>
          <w:color w:val="auto"/>
        </w:rPr>
      </w:pPr>
      <w:r>
        <w:rPr>
          <w:rFonts w:hint="eastAsia"/>
          <w:color w:val="auto"/>
        </w:rPr>
        <w:t>3）审核形式：项目BIM 阶段成果交付审查会。</w:t>
      </w:r>
    </w:p>
    <w:p w14:paraId="598D2574">
      <w:pPr>
        <w:rPr>
          <w:color w:val="auto"/>
        </w:rPr>
      </w:pPr>
      <w:r>
        <w:rPr>
          <w:rFonts w:hint="eastAsia"/>
          <w:color w:val="auto"/>
        </w:rPr>
        <w:t>4）审核人员：BIM 管理小组负责人、项目各参与方BIM负责人。</w:t>
      </w:r>
    </w:p>
    <w:p w14:paraId="16E2B5E6">
      <w:pPr>
        <w:rPr>
          <w:color w:val="auto"/>
        </w:rPr>
      </w:pPr>
      <w:r>
        <w:rPr>
          <w:rFonts w:hint="eastAsia"/>
          <w:color w:val="auto"/>
        </w:rPr>
        <w:t>5）审核内容：提交BIM 模型及成果质量是否满足相关要求；模型精度是否满足LOD标准并与实际（设计图纸、施工现场）相符；模型信息是否完整；提交成果是否满足相关要求。</w:t>
      </w:r>
    </w:p>
    <w:p w14:paraId="1268FB78">
      <w:pPr>
        <w:rPr>
          <w:color w:val="auto"/>
        </w:rPr>
      </w:pPr>
      <w:r>
        <w:rPr>
          <w:rFonts w:hint="eastAsia"/>
          <w:color w:val="auto"/>
        </w:rPr>
        <w:t>4、审核结论：BIM 阶段成果深度满足移交下一阶段参与方使用。</w:t>
      </w:r>
    </w:p>
    <w:p w14:paraId="6083E5EF">
      <w:pPr>
        <w:pStyle w:val="6"/>
        <w:ind w:firstLine="480"/>
        <w:rPr>
          <w:color w:val="auto"/>
        </w:rPr>
      </w:pPr>
      <w:r>
        <w:rPr>
          <w:rFonts w:hint="eastAsia"/>
          <w:color w:val="auto"/>
        </w:rPr>
        <w:t>确定质量控制方法</w:t>
      </w:r>
    </w:p>
    <w:p w14:paraId="3F18FCA2">
      <w:pPr>
        <w:rPr>
          <w:color w:val="auto"/>
        </w:rPr>
      </w:pPr>
      <w:r>
        <w:rPr>
          <w:rFonts w:hint="eastAsia"/>
          <w:color w:val="auto"/>
        </w:rPr>
        <w:t>1、目视检查：确保没有多余的模型组件，并用导航软件检查设计意图是否被遵循。</w:t>
      </w:r>
    </w:p>
    <w:p w14:paraId="3CA0A187">
      <w:pPr>
        <w:rPr>
          <w:color w:val="auto"/>
        </w:rPr>
      </w:pPr>
      <w:r>
        <w:rPr>
          <w:rFonts w:hint="eastAsia"/>
          <w:color w:val="auto"/>
        </w:rPr>
        <w:t>2、检查冲突：由冲突检测软件检测两个（或多个）模型之间是否有冲突问题。</w:t>
      </w:r>
    </w:p>
    <w:p w14:paraId="7961873D">
      <w:pPr>
        <w:rPr>
          <w:color w:val="auto"/>
        </w:rPr>
      </w:pPr>
      <w:r>
        <w:rPr>
          <w:rFonts w:hint="eastAsia"/>
          <w:color w:val="auto"/>
        </w:rPr>
        <w:t>3、建成检查冲突：由冲突检测软件检测两个（或多个）模型之间是否有冲突问题。</w:t>
      </w:r>
    </w:p>
    <w:p w14:paraId="2D8E2F24">
      <w:pPr>
        <w:rPr>
          <w:color w:val="auto"/>
        </w:rPr>
      </w:pPr>
      <w:r>
        <w:rPr>
          <w:rFonts w:hint="eastAsia"/>
          <w:color w:val="auto"/>
        </w:rPr>
        <w:t>4、标准检查：确保该模型遵循团队商定的标准。</w:t>
      </w:r>
    </w:p>
    <w:p w14:paraId="42B334D8">
      <w:pPr>
        <w:rPr>
          <w:color w:val="auto"/>
        </w:rPr>
      </w:pPr>
      <w:r>
        <w:rPr>
          <w:rFonts w:hint="eastAsia"/>
          <w:color w:val="auto"/>
        </w:rPr>
        <w:t>5、元素验证：确保数据集没有未定义的元素。</w:t>
      </w:r>
    </w:p>
    <w:p w14:paraId="6FFF2838">
      <w:pPr>
        <w:pStyle w:val="5"/>
        <w:rPr>
          <w:color w:val="auto"/>
        </w:rPr>
      </w:pPr>
      <w:bookmarkStart w:id="252" w:name="_Toc6645"/>
      <w:bookmarkStart w:id="253" w:name="_Toc39051120"/>
      <w:r>
        <w:rPr>
          <w:rFonts w:hint="eastAsia"/>
          <w:color w:val="auto"/>
        </w:rPr>
        <w:t>BIM实施内容</w:t>
      </w:r>
      <w:bookmarkEnd w:id="252"/>
      <w:bookmarkEnd w:id="253"/>
    </w:p>
    <w:p w14:paraId="2AB6DFCF">
      <w:pPr>
        <w:pStyle w:val="54"/>
        <w:rPr>
          <w:color w:val="auto"/>
        </w:rPr>
      </w:pPr>
      <w:r>
        <w:rPr>
          <w:rFonts w:hint="eastAsia"/>
          <w:color w:val="auto"/>
        </w:rPr>
        <w:t>BIM质量控制管理表</w:t>
      </w:r>
    </w:p>
    <w:tbl>
      <w:tblPr>
        <w:tblStyle w:val="29"/>
        <w:tblW w:w="5000" w:type="pct"/>
        <w:jc w:val="center"/>
        <w:tblLayout w:type="autofit"/>
        <w:tblCellMar>
          <w:top w:w="0" w:type="dxa"/>
          <w:left w:w="108" w:type="dxa"/>
          <w:bottom w:w="0" w:type="dxa"/>
          <w:right w:w="108" w:type="dxa"/>
        </w:tblCellMar>
      </w:tblPr>
      <w:tblGrid>
        <w:gridCol w:w="868"/>
        <w:gridCol w:w="2327"/>
        <w:gridCol w:w="5865"/>
      </w:tblGrid>
      <w:tr w14:paraId="2CD50C78">
        <w:tblPrEx>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44B4DE97">
            <w:pPr>
              <w:spacing w:line="240" w:lineRule="auto"/>
              <w:ind w:firstLine="0" w:firstLineChars="0"/>
              <w:jc w:val="center"/>
              <w:rPr>
                <w:color w:val="auto"/>
              </w:rPr>
            </w:pPr>
            <w:r>
              <w:rPr>
                <w:rFonts w:hint="eastAsia"/>
                <w:color w:val="auto"/>
              </w:rPr>
              <w:t>序号</w:t>
            </w:r>
          </w:p>
        </w:tc>
        <w:tc>
          <w:tcPr>
            <w:tcW w:w="1284"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69CC3140">
            <w:pPr>
              <w:spacing w:line="240" w:lineRule="auto"/>
              <w:ind w:firstLine="0" w:firstLineChars="0"/>
              <w:jc w:val="center"/>
              <w:rPr>
                <w:color w:val="auto"/>
              </w:rPr>
            </w:pPr>
            <w:r>
              <w:rPr>
                <w:rFonts w:hint="eastAsia"/>
                <w:color w:val="auto"/>
              </w:rPr>
              <w:t>质量控制管理措施</w:t>
            </w:r>
          </w:p>
        </w:tc>
        <w:tc>
          <w:tcPr>
            <w:tcW w:w="3237"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598A61C1">
            <w:pPr>
              <w:spacing w:line="240" w:lineRule="auto"/>
              <w:ind w:firstLine="0" w:firstLineChars="0"/>
              <w:jc w:val="center"/>
              <w:rPr>
                <w:color w:val="auto"/>
              </w:rPr>
            </w:pPr>
            <w:r>
              <w:rPr>
                <w:rFonts w:hint="eastAsia"/>
                <w:color w:val="auto"/>
              </w:rPr>
              <w:t>质量控制管理实施内容</w:t>
            </w:r>
          </w:p>
        </w:tc>
      </w:tr>
      <w:tr w14:paraId="70B6BBD6">
        <w:tblPrEx>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044C2BE4">
            <w:pPr>
              <w:spacing w:line="240" w:lineRule="auto"/>
              <w:ind w:firstLine="0" w:firstLineChars="0"/>
              <w:jc w:val="center"/>
              <w:rPr>
                <w:color w:val="auto"/>
              </w:rPr>
            </w:pPr>
            <w:r>
              <w:rPr>
                <w:color w:val="auto"/>
              </w:rPr>
              <w:t>1</w:t>
            </w:r>
          </w:p>
        </w:tc>
        <w:tc>
          <w:tcPr>
            <w:tcW w:w="1284"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793C8A90">
            <w:pPr>
              <w:spacing w:line="240" w:lineRule="auto"/>
              <w:ind w:firstLine="0" w:firstLineChars="0"/>
              <w:jc w:val="center"/>
              <w:rPr>
                <w:color w:val="auto"/>
              </w:rPr>
            </w:pPr>
            <w:r>
              <w:rPr>
                <w:rFonts w:hint="eastAsia"/>
                <w:color w:val="auto"/>
              </w:rPr>
              <w:t>建立</w:t>
            </w:r>
            <w:r>
              <w:rPr>
                <w:color w:val="auto"/>
              </w:rPr>
              <w:t>BIM</w:t>
            </w:r>
            <w:r>
              <w:rPr>
                <w:rFonts w:hint="eastAsia"/>
                <w:color w:val="auto"/>
              </w:rPr>
              <w:t>运行保障体系</w:t>
            </w:r>
          </w:p>
        </w:tc>
        <w:tc>
          <w:tcPr>
            <w:tcW w:w="3237"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29CB41F">
            <w:pPr>
              <w:spacing w:line="240" w:lineRule="auto"/>
              <w:ind w:firstLine="0" w:firstLineChars="0"/>
              <w:jc w:val="center"/>
              <w:rPr>
                <w:color w:val="auto"/>
              </w:rPr>
            </w:pPr>
            <w:r>
              <w:rPr>
                <w:rFonts w:hint="eastAsia"/>
                <w:color w:val="auto"/>
              </w:rPr>
              <w:t>成立</w:t>
            </w:r>
            <w:r>
              <w:rPr>
                <w:rFonts w:hint="eastAsia" w:cs="Times New Roman"/>
                <w:color w:val="auto"/>
                <w:szCs w:val="24"/>
              </w:rPr>
              <w:t>三亚崖州湾科技城公共教学区（一期）EPC</w:t>
            </w:r>
            <w:r>
              <w:rPr>
                <w:rFonts w:hint="eastAsia"/>
                <w:color w:val="auto"/>
              </w:rPr>
              <w:t>项目</w:t>
            </w:r>
            <w:r>
              <w:rPr>
                <w:color w:val="auto"/>
              </w:rPr>
              <w:t>BIM</w:t>
            </w:r>
            <w:r>
              <w:rPr>
                <w:rFonts w:hint="eastAsia"/>
                <w:color w:val="auto"/>
              </w:rPr>
              <w:t>管理小组，各参建方抽调专业人员配合参与。设计、项目部、设备制造厂及分包单位设置专职</w:t>
            </w:r>
            <w:r>
              <w:rPr>
                <w:color w:val="auto"/>
              </w:rPr>
              <w:t>BIM</w:t>
            </w:r>
            <w:r>
              <w:rPr>
                <w:rFonts w:hint="eastAsia"/>
                <w:color w:val="auto"/>
              </w:rPr>
              <w:t>工作对接人与执行人。</w:t>
            </w:r>
          </w:p>
        </w:tc>
      </w:tr>
      <w:tr w14:paraId="66972B5A">
        <w:tblPrEx>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2D50F1E3">
            <w:pPr>
              <w:spacing w:line="240" w:lineRule="auto"/>
              <w:ind w:firstLine="0" w:firstLineChars="0"/>
              <w:jc w:val="center"/>
              <w:rPr>
                <w:color w:val="auto"/>
              </w:rPr>
            </w:pPr>
            <w:r>
              <w:rPr>
                <w:color w:val="auto"/>
              </w:rPr>
              <w:t>2</w:t>
            </w:r>
          </w:p>
        </w:tc>
        <w:tc>
          <w:tcPr>
            <w:tcW w:w="1284"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55C4FBC">
            <w:pPr>
              <w:spacing w:line="240" w:lineRule="auto"/>
              <w:ind w:firstLine="0" w:firstLineChars="0"/>
              <w:jc w:val="center"/>
              <w:rPr>
                <w:color w:val="auto"/>
              </w:rPr>
            </w:pPr>
            <w:r>
              <w:rPr>
                <w:color w:val="auto"/>
              </w:rPr>
              <w:t>BIM</w:t>
            </w:r>
            <w:r>
              <w:rPr>
                <w:rFonts w:hint="eastAsia"/>
                <w:color w:val="auto"/>
              </w:rPr>
              <w:t>运行监督机制</w:t>
            </w:r>
          </w:p>
        </w:tc>
        <w:tc>
          <w:tcPr>
            <w:tcW w:w="3237"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16B909A">
            <w:pPr>
              <w:spacing w:line="240" w:lineRule="auto"/>
              <w:ind w:firstLine="0" w:firstLineChars="0"/>
              <w:jc w:val="center"/>
              <w:rPr>
                <w:color w:val="auto"/>
              </w:rPr>
            </w:pPr>
            <w:r>
              <w:rPr>
                <w:rFonts w:hint="eastAsia"/>
                <w:color w:val="auto"/>
              </w:rPr>
              <w:t>针对</w:t>
            </w:r>
            <w:r>
              <w:rPr>
                <w:color w:val="auto"/>
              </w:rPr>
              <w:t>BIM</w:t>
            </w:r>
            <w:r>
              <w:rPr>
                <w:rFonts w:hint="eastAsia"/>
                <w:color w:val="auto"/>
              </w:rPr>
              <w:t>工作建立健全检查制度，收集</w:t>
            </w:r>
            <w:r>
              <w:rPr>
                <w:color w:val="auto"/>
              </w:rPr>
              <w:t>BIM</w:t>
            </w:r>
            <w:r>
              <w:rPr>
                <w:rFonts w:hint="eastAsia"/>
                <w:color w:val="auto"/>
              </w:rPr>
              <w:t>工作过程情况，并对</w:t>
            </w:r>
            <w:r>
              <w:rPr>
                <w:color w:val="auto"/>
              </w:rPr>
              <w:t>BIM</w:t>
            </w:r>
            <w:r>
              <w:rPr>
                <w:rFonts w:hint="eastAsia"/>
                <w:color w:val="auto"/>
              </w:rPr>
              <w:t>模型和软件进行有效性检查。</w:t>
            </w:r>
          </w:p>
        </w:tc>
      </w:tr>
      <w:tr w14:paraId="52BAAA06">
        <w:tblPrEx>
          <w:tblCellMar>
            <w:top w:w="0" w:type="dxa"/>
            <w:left w:w="108" w:type="dxa"/>
            <w:bottom w:w="0" w:type="dxa"/>
            <w:right w:w="108" w:type="dxa"/>
          </w:tblCellMar>
        </w:tblPrEx>
        <w:trPr>
          <w:trHeight w:val="454" w:hRule="atLeast"/>
          <w:jc w:val="center"/>
        </w:trPr>
        <w:tc>
          <w:tcPr>
            <w:tcW w:w="479" w:type="pct"/>
            <w:tcBorders>
              <w:top w:val="single" w:color="auto" w:sz="4" w:space="0"/>
              <w:left w:val="single" w:color="auto" w:sz="4" w:space="0"/>
              <w:bottom w:val="single" w:color="auto" w:sz="4" w:space="0"/>
              <w:right w:val="single" w:color="auto" w:sz="4" w:space="0"/>
            </w:tcBorders>
            <w:tcMar>
              <w:top w:w="28" w:type="dxa"/>
              <w:left w:w="108" w:type="dxa"/>
              <w:bottom w:w="28" w:type="dxa"/>
              <w:right w:w="108" w:type="dxa"/>
            </w:tcMar>
            <w:vAlign w:val="center"/>
          </w:tcPr>
          <w:p w14:paraId="5066F981">
            <w:pPr>
              <w:spacing w:line="240" w:lineRule="auto"/>
              <w:ind w:firstLine="0" w:firstLineChars="0"/>
              <w:jc w:val="center"/>
              <w:rPr>
                <w:color w:val="auto"/>
              </w:rPr>
            </w:pPr>
            <w:r>
              <w:rPr>
                <w:color w:val="auto"/>
              </w:rPr>
              <w:t>3</w:t>
            </w:r>
          </w:p>
        </w:tc>
        <w:tc>
          <w:tcPr>
            <w:tcW w:w="1284"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197EB397">
            <w:pPr>
              <w:spacing w:line="240" w:lineRule="auto"/>
              <w:ind w:firstLine="0" w:firstLineChars="0"/>
              <w:jc w:val="center"/>
              <w:rPr>
                <w:color w:val="auto"/>
              </w:rPr>
            </w:pPr>
            <w:r>
              <w:rPr>
                <w:color w:val="auto"/>
              </w:rPr>
              <w:t>BIM</w:t>
            </w:r>
            <w:r>
              <w:rPr>
                <w:rFonts w:hint="eastAsia"/>
                <w:color w:val="auto"/>
              </w:rPr>
              <w:t>例会制度</w:t>
            </w:r>
          </w:p>
        </w:tc>
        <w:tc>
          <w:tcPr>
            <w:tcW w:w="3237" w:type="pct"/>
            <w:tcBorders>
              <w:top w:val="single" w:color="auto" w:sz="4" w:space="0"/>
              <w:left w:val="nil"/>
              <w:bottom w:val="single" w:color="auto" w:sz="4" w:space="0"/>
              <w:right w:val="single" w:color="auto" w:sz="4" w:space="0"/>
            </w:tcBorders>
            <w:tcMar>
              <w:top w:w="28" w:type="dxa"/>
              <w:left w:w="108" w:type="dxa"/>
              <w:bottom w:w="28" w:type="dxa"/>
              <w:right w:w="108" w:type="dxa"/>
            </w:tcMar>
            <w:vAlign w:val="center"/>
          </w:tcPr>
          <w:p w14:paraId="2CBC66A6">
            <w:pPr>
              <w:spacing w:line="240" w:lineRule="auto"/>
              <w:ind w:firstLine="0" w:firstLineChars="0"/>
              <w:jc w:val="center"/>
              <w:rPr>
                <w:color w:val="auto"/>
              </w:rPr>
            </w:pPr>
            <w:r>
              <w:rPr>
                <w:color w:val="auto"/>
              </w:rPr>
              <w:t>BIM</w:t>
            </w:r>
            <w:r>
              <w:rPr>
                <w:rFonts w:hint="eastAsia"/>
                <w:color w:val="auto"/>
              </w:rPr>
              <w:t>管理小组每周五组织</w:t>
            </w:r>
            <w:r>
              <w:rPr>
                <w:color w:val="auto"/>
              </w:rPr>
              <w:t>BIM</w:t>
            </w:r>
            <w:r>
              <w:rPr>
                <w:rFonts w:hint="eastAsia"/>
                <w:color w:val="auto"/>
              </w:rPr>
              <w:t>协调会，参会人员为全项目所有参与</w:t>
            </w:r>
            <w:r>
              <w:rPr>
                <w:color w:val="auto"/>
              </w:rPr>
              <w:t>BIM</w:t>
            </w:r>
            <w:r>
              <w:rPr>
                <w:rFonts w:hint="eastAsia"/>
                <w:color w:val="auto"/>
              </w:rPr>
              <w:t>工作人员，会上讨论</w:t>
            </w:r>
            <w:r>
              <w:rPr>
                <w:color w:val="auto"/>
              </w:rPr>
              <w:t>BIM</w:t>
            </w:r>
            <w:r>
              <w:rPr>
                <w:rFonts w:hint="eastAsia"/>
                <w:color w:val="auto"/>
              </w:rPr>
              <w:t>工作完成情况及工作计划，并对现场管理、文件管理、平台管理等方面的未解决问题进行协调。</w:t>
            </w:r>
          </w:p>
        </w:tc>
      </w:tr>
    </w:tbl>
    <w:p w14:paraId="5E19791A">
      <w:pPr>
        <w:pStyle w:val="6"/>
        <w:ind w:firstLine="480"/>
        <w:rPr>
          <w:color w:val="auto"/>
        </w:rPr>
      </w:pPr>
      <w:r>
        <w:rPr>
          <w:rFonts w:hint="eastAsia"/>
          <w:color w:val="auto"/>
        </w:rPr>
        <w:t>碰撞检测报告，设计查错及优化</w:t>
      </w:r>
    </w:p>
    <w:p w14:paraId="1247BAE2">
      <w:pPr>
        <w:rPr>
          <w:color w:val="auto"/>
        </w:rPr>
      </w:pPr>
      <w:r>
        <w:rPr>
          <w:rFonts w:hint="eastAsia"/>
          <w:color w:val="auto"/>
        </w:rPr>
        <w:t>通过BIM建筑结构水暖电模型的建立，导出到Navisworks里检查施工图的错漏碰缺，出具碰撞检查报告，并提交各专业设计，协商进行设计优化，使施工图设计实现零错误设计。同时可以根据项目需要直接从BIM模型输出无错2D施工图或设计变更。也可以根据项目需要进行净高检查，并与设计、施工规范要求、业主需求做对比检查。</w:t>
      </w:r>
    </w:p>
    <w:p w14:paraId="64D91ACF">
      <w:pPr>
        <w:pStyle w:val="65"/>
        <w:spacing w:before="163" w:after="163"/>
        <w:rPr>
          <w:color w:val="auto"/>
        </w:rPr>
      </w:pPr>
      <w:r>
        <w:rPr>
          <w:color w:val="auto"/>
        </w:rPr>
        <w:drawing>
          <wp:inline distT="0" distB="0" distL="0" distR="0">
            <wp:extent cx="4497705" cy="2157095"/>
            <wp:effectExtent l="0" t="0" r="10795" b="0"/>
            <wp:docPr id="275" name="图片 275" descr="C:\Users\ADMINI~1\AppData\Local\Temp\ksohtml9540\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图片 275" descr="C:\Users\ADMINI~1\AppData\Local\Temp\ksohtml9540\wps10.png"/>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4497705" cy="2157095"/>
                    </a:xfrm>
                    <a:prstGeom prst="rect">
                      <a:avLst/>
                    </a:prstGeom>
                    <a:noFill/>
                    <a:ln>
                      <a:noFill/>
                    </a:ln>
                  </pic:spPr>
                </pic:pic>
              </a:graphicData>
            </a:graphic>
          </wp:inline>
        </w:drawing>
      </w:r>
    </w:p>
    <w:p w14:paraId="77E66591">
      <w:pPr>
        <w:pStyle w:val="53"/>
        <w:rPr>
          <w:color w:val="auto"/>
        </w:rPr>
      </w:pPr>
      <w:r>
        <w:rPr>
          <w:rFonts w:hint="eastAsia"/>
          <w:color w:val="auto"/>
        </w:rPr>
        <w:t>优化对比图</w:t>
      </w:r>
    </w:p>
    <w:p w14:paraId="5CD35ADE">
      <w:pPr>
        <w:rPr>
          <w:color w:val="auto"/>
        </w:rPr>
      </w:pPr>
      <w:r>
        <w:rPr>
          <w:rFonts w:hint="eastAsia"/>
          <w:color w:val="auto"/>
        </w:rPr>
        <w:t>根据碰撞检查报告进行设计优化：上图设计风管与风管相撞，改变黄色风管的方向。</w:t>
      </w:r>
    </w:p>
    <w:p w14:paraId="3351E5C5">
      <w:pPr>
        <w:pStyle w:val="6"/>
        <w:ind w:firstLine="480"/>
        <w:rPr>
          <w:color w:val="auto"/>
        </w:rPr>
      </w:pPr>
      <w:r>
        <w:rPr>
          <w:rFonts w:hint="eastAsia"/>
          <w:color w:val="auto"/>
        </w:rPr>
        <w:t>管线优化及净空分析</w:t>
      </w:r>
    </w:p>
    <w:p w14:paraId="67E8785A">
      <w:pPr>
        <w:rPr>
          <w:color w:val="auto"/>
        </w:rPr>
      </w:pPr>
      <w:r>
        <w:rPr>
          <w:rFonts w:hint="eastAsia"/>
          <w:color w:val="auto"/>
        </w:rPr>
        <w:t>在施工前创建各专业BIM模型，应用BIM软件检查施工图初步设计阶段的错漏问题，解决专业间的碰撞与冲突问题。对大厅的空间、走廊的空间、车道的空间、车位的空间，甚至是排烟系统、排水系统、坡道、楼梯标高净空、电梯的位置等，由BIM进行分析，分析设计是否合理，设计结果是否满足要求。除此，BIM还能将数据梳理出来，辅助决策。</w:t>
      </w:r>
    </w:p>
    <w:p w14:paraId="5C5E00F7">
      <w:pPr>
        <w:rPr>
          <w:color w:val="auto"/>
        </w:rPr>
      </w:pPr>
      <w:r>
        <w:rPr>
          <w:rFonts w:hint="eastAsia"/>
          <w:color w:val="auto"/>
        </w:rPr>
        <w:t>实施流程：</w:t>
      </w:r>
    </w:p>
    <w:p w14:paraId="1D57EFA1">
      <w:pPr>
        <w:rPr>
          <w:color w:val="auto"/>
        </w:rPr>
      </w:pPr>
      <w:r>
        <w:rPr>
          <w:rFonts w:hint="eastAsia"/>
          <w:color w:val="auto"/>
        </w:rPr>
        <w:t>1、收集数据，并确保数据的准确性。</w:t>
      </w:r>
    </w:p>
    <w:p w14:paraId="5190BC8B">
      <w:pPr>
        <w:rPr>
          <w:color w:val="auto"/>
        </w:rPr>
      </w:pPr>
      <w:r>
        <w:rPr>
          <w:rFonts w:hint="eastAsia"/>
          <w:color w:val="auto"/>
        </w:rPr>
        <w:t>2、采用专业样板文件，根据二维设计图建立相应的专业设计模型。各专业模型构建前需保证模型统一基准点，统一模型轴网和标高等。</w:t>
      </w:r>
    </w:p>
    <w:p w14:paraId="389DFE28">
      <w:pPr>
        <w:rPr>
          <w:color w:val="auto"/>
        </w:rPr>
      </w:pPr>
      <w:r>
        <w:rPr>
          <w:rFonts w:hint="eastAsia"/>
          <w:color w:val="auto"/>
        </w:rPr>
        <w:t>3、校验模型准确性、完整性、专业间设计信息一致性以及模型深度是否满足要求等。</w:t>
      </w:r>
    </w:p>
    <w:p w14:paraId="202C2052">
      <w:pPr>
        <w:rPr>
          <w:color w:val="auto"/>
        </w:rPr>
      </w:pPr>
      <w:r>
        <w:rPr>
          <w:rFonts w:hint="eastAsia"/>
          <w:color w:val="auto"/>
        </w:rPr>
        <w:t>4、按照统一命名规则命名文件，分别保存模型文件。</w:t>
      </w:r>
    </w:p>
    <w:p w14:paraId="57E0B0D2">
      <w:pPr>
        <w:pStyle w:val="6"/>
        <w:ind w:firstLine="480"/>
        <w:rPr>
          <w:color w:val="auto"/>
        </w:rPr>
      </w:pPr>
      <w:r>
        <w:rPr>
          <w:rFonts w:hint="eastAsia"/>
          <w:color w:val="auto"/>
        </w:rPr>
        <w:t>材料比选</w:t>
      </w:r>
    </w:p>
    <w:p w14:paraId="61EC499F">
      <w:pPr>
        <w:rPr>
          <w:color w:val="auto"/>
        </w:rPr>
      </w:pPr>
      <w:r>
        <w:rPr>
          <w:rFonts w:hint="eastAsia"/>
          <w:color w:val="auto"/>
        </w:rPr>
        <w:t>装修材料的选用关系到整体观感效果。设计院及项目BIM小组在三维模型中展现不同厂家真实材料，供项目部、监理、设计及业主对材料多方案进行分析讨论、材料选取。使各参建方对装饰装修效果有一个真实的感知，提高施工效率，提升工程质量。</w:t>
      </w:r>
    </w:p>
    <w:p w14:paraId="40D130BA">
      <w:pPr>
        <w:pStyle w:val="6"/>
        <w:ind w:firstLine="480"/>
        <w:rPr>
          <w:color w:val="auto"/>
        </w:rPr>
      </w:pPr>
      <w:r>
        <w:rPr>
          <w:rFonts w:hint="eastAsia"/>
          <w:color w:val="auto"/>
        </w:rPr>
        <w:t>基于BIM图纸会审</w:t>
      </w:r>
    </w:p>
    <w:p w14:paraId="344732DA">
      <w:pPr>
        <w:rPr>
          <w:color w:val="auto"/>
        </w:rPr>
      </w:pPr>
      <w:r>
        <w:rPr>
          <w:rFonts w:hint="eastAsia"/>
          <w:color w:val="auto"/>
        </w:rPr>
        <w:t>按照2D设计图纸，利用Revit等系列软件创建项目的建筑、结构、机电BIM模型，可对设计结果进行动态的可视化展示，使业主和施工方能直观地理解设计方案，检验设计的可施工性，可以直观的检查到图纸相互矛盾、无数据信息、数据错误等方面的图纸问题，在施工前能预先发现存在的问题，帮助图纸会审。</w:t>
      </w:r>
    </w:p>
    <w:p w14:paraId="2A76A286">
      <w:pPr>
        <w:rPr>
          <w:color w:val="auto"/>
        </w:rPr>
      </w:pPr>
      <w:r>
        <w:rPr>
          <w:rFonts w:hint="eastAsia"/>
          <w:color w:val="auto"/>
        </w:rPr>
        <w:t>1、深化设计流程</w:t>
      </w:r>
    </w:p>
    <w:p w14:paraId="2445B38A">
      <w:pPr>
        <w:rPr>
          <w:color w:val="auto"/>
        </w:rPr>
      </w:pPr>
      <w:r>
        <w:rPr>
          <w:rFonts w:hint="eastAsia"/>
          <w:color w:val="auto"/>
        </w:rPr>
        <w:t>利用专业BIM软件进行机电、精装、装配式等专业深化设计及出图工作，提高出图效率和准确性。其中机电管综优化部门于设计阶段完成。</w:t>
      </w:r>
    </w:p>
    <w:p w14:paraId="21058C34">
      <w:pPr>
        <w:rPr>
          <w:color w:val="auto"/>
        </w:rPr>
      </w:pPr>
      <w:r>
        <w:rPr>
          <w:rFonts w:hint="eastAsia"/>
          <w:color w:val="auto"/>
        </w:rPr>
        <w:t>实施流程：</w:t>
      </w:r>
    </w:p>
    <w:p w14:paraId="6CE05CE9">
      <w:pPr>
        <w:rPr>
          <w:color w:val="auto"/>
        </w:rPr>
      </w:pPr>
      <w:r>
        <w:rPr>
          <w:rFonts w:hint="eastAsia"/>
          <w:color w:val="auto"/>
        </w:rPr>
        <w:t>1、收集数据，并确保数据的准确性；</w:t>
      </w:r>
    </w:p>
    <w:p w14:paraId="7659556C">
      <w:pPr>
        <w:rPr>
          <w:color w:val="auto"/>
        </w:rPr>
      </w:pPr>
      <w:r>
        <w:rPr>
          <w:rFonts w:hint="eastAsia"/>
          <w:color w:val="auto"/>
        </w:rPr>
        <w:t>2、深化初步设计阶段的各专业模型，达到施工图模型深度，并按照统一命名原则保存模型文件；</w:t>
      </w:r>
    </w:p>
    <w:p w14:paraId="5C2EF6F6">
      <w:pPr>
        <w:rPr>
          <w:color w:val="auto"/>
        </w:rPr>
      </w:pPr>
      <w:r>
        <w:rPr>
          <w:rFonts w:hint="eastAsia"/>
          <w:color w:val="auto"/>
        </w:rPr>
        <w:t>3、BIM技术工程师结合自身专业经验或与施工技术人员配合，对建筑信息模型的施工合理性、可行性进行甄别，并进行相应的调整优化，同时，对优化后的模型实施碰撞检测；</w:t>
      </w:r>
    </w:p>
    <w:p w14:paraId="10C51669">
      <w:pPr>
        <w:rPr>
          <w:color w:val="auto"/>
        </w:rPr>
      </w:pPr>
      <w:r>
        <w:rPr>
          <w:rFonts w:hint="eastAsia"/>
          <w:color w:val="auto"/>
        </w:rPr>
        <w:t>4、施工深化设计模型通过建设单位、设计单位、相关顾问单位的审核确认，最终生成可指导施工的三维图形文件及二维深化施工图、节点图。</w:t>
      </w:r>
    </w:p>
    <w:p w14:paraId="73F961DB">
      <w:pPr>
        <w:rPr>
          <w:color w:val="auto"/>
        </w:rPr>
      </w:pPr>
      <w:r>
        <w:rPr>
          <w:rFonts w:hint="eastAsia"/>
          <w:color w:val="auto"/>
        </w:rPr>
        <w:t>2、土建深化设计关注点</w:t>
      </w:r>
    </w:p>
    <w:p w14:paraId="412BF2BD">
      <w:pPr>
        <w:rPr>
          <w:color w:val="auto"/>
        </w:rPr>
      </w:pPr>
      <w:r>
        <w:rPr>
          <w:rFonts w:hint="eastAsia"/>
          <w:color w:val="auto"/>
        </w:rPr>
        <w:t>1）预留预埋优化</w:t>
      </w:r>
    </w:p>
    <w:p w14:paraId="4E0C10F4">
      <w:pPr>
        <w:rPr>
          <w:color w:val="auto"/>
        </w:rPr>
      </w:pPr>
      <w:r>
        <w:rPr>
          <w:rFonts w:hint="eastAsia"/>
          <w:color w:val="auto"/>
        </w:rPr>
        <w:t>通过BIM模型检查及多专业模型之间的碰撞检查，实现土建预留预埋的分析、优化，避免施工过程中的冲突问题。基于BIM模型的预留预埋优化示意如图所示。</w:t>
      </w:r>
    </w:p>
    <w:p w14:paraId="3FF347BE">
      <w:pPr>
        <w:pStyle w:val="65"/>
        <w:spacing w:before="163" w:after="163"/>
        <w:rPr>
          <w:color w:val="auto"/>
        </w:rPr>
      </w:pPr>
      <w:r>
        <w:rPr>
          <w:color w:val="auto"/>
        </w:rPr>
        <w:drawing>
          <wp:inline distT="0" distB="0" distL="0" distR="0">
            <wp:extent cx="4298315" cy="2225040"/>
            <wp:effectExtent l="0" t="0" r="6985" b="10160"/>
            <wp:docPr id="282" name="图片 282" descr="C:\Users\ADMINI~1\AppData\Local\Temp\ksohtml9540\wps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descr="C:\Users\ADMINI~1\AppData\Local\Temp\ksohtml9540\wps19.jp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4298315" cy="2225040"/>
                    </a:xfrm>
                    <a:prstGeom prst="rect">
                      <a:avLst/>
                    </a:prstGeom>
                    <a:noFill/>
                    <a:ln>
                      <a:noFill/>
                    </a:ln>
                  </pic:spPr>
                </pic:pic>
              </a:graphicData>
            </a:graphic>
          </wp:inline>
        </w:drawing>
      </w:r>
    </w:p>
    <w:p w14:paraId="73141B76">
      <w:pPr>
        <w:pStyle w:val="53"/>
        <w:rPr>
          <w:color w:val="auto"/>
        </w:rPr>
      </w:pPr>
      <w:r>
        <w:rPr>
          <w:rFonts w:hint="eastAsia"/>
          <w:color w:val="auto"/>
        </w:rPr>
        <w:t>土建预留预埋优化</w:t>
      </w:r>
    </w:p>
    <w:p w14:paraId="656E7D18">
      <w:pPr>
        <w:rPr>
          <w:color w:val="auto"/>
        </w:rPr>
      </w:pPr>
      <w:r>
        <w:rPr>
          <w:rFonts w:hint="eastAsia"/>
          <w:color w:val="auto"/>
        </w:rPr>
        <w:t>2）模板脚手架方案优化</w:t>
      </w:r>
    </w:p>
    <w:p w14:paraId="5AC1EC0A">
      <w:pPr>
        <w:rPr>
          <w:color w:val="auto"/>
        </w:rPr>
      </w:pPr>
      <w:r>
        <w:rPr>
          <w:rFonts w:hint="eastAsia"/>
          <w:color w:val="auto"/>
        </w:rPr>
        <w:t>通过采用基于BIM模型的模板脚手架设计软件，灵活布置各类模板以及脚手架，精确统计各类模板、背楞、支架、扣件等材料的用量，自动进行安全计算。</w:t>
      </w:r>
    </w:p>
    <w:p w14:paraId="5C89322B">
      <w:pPr>
        <w:pStyle w:val="65"/>
        <w:spacing w:before="163" w:after="163"/>
        <w:rPr>
          <w:color w:val="auto"/>
        </w:rPr>
      </w:pPr>
      <w:r>
        <w:rPr>
          <w:color w:val="auto"/>
        </w:rPr>
        <w:drawing>
          <wp:inline distT="0" distB="0" distL="0" distR="0">
            <wp:extent cx="5486400" cy="2273935"/>
            <wp:effectExtent l="0" t="0" r="0" b="0"/>
            <wp:docPr id="283" name="图片 283" descr="C:\Users\ADMINI~1\AppData\Local\Temp\ksohtml9540\wps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图片 283" descr="C:\Users\ADMINI~1\AppData\Local\Temp\ksohtml9540\wps20.jp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5486400" cy="2273935"/>
                    </a:xfrm>
                    <a:prstGeom prst="rect">
                      <a:avLst/>
                    </a:prstGeom>
                    <a:noFill/>
                    <a:ln>
                      <a:noFill/>
                    </a:ln>
                  </pic:spPr>
                </pic:pic>
              </a:graphicData>
            </a:graphic>
          </wp:inline>
        </w:drawing>
      </w:r>
    </w:p>
    <w:p w14:paraId="1656831A">
      <w:pPr>
        <w:pStyle w:val="53"/>
        <w:rPr>
          <w:color w:val="auto"/>
        </w:rPr>
      </w:pPr>
      <w:r>
        <w:rPr>
          <w:rFonts w:hint="eastAsia"/>
          <w:color w:val="auto"/>
        </w:rPr>
        <w:t>模板支架三维设计</w:t>
      </w:r>
    </w:p>
    <w:p w14:paraId="0FF02A01">
      <w:pPr>
        <w:rPr>
          <w:color w:val="auto"/>
        </w:rPr>
      </w:pPr>
      <w:r>
        <w:rPr>
          <w:rFonts w:hint="eastAsia"/>
          <w:color w:val="auto"/>
        </w:rPr>
        <w:t>3）机电深化设计关注点</w:t>
      </w:r>
    </w:p>
    <w:p w14:paraId="0B882CA0">
      <w:pPr>
        <w:rPr>
          <w:color w:val="auto"/>
        </w:rPr>
      </w:pPr>
      <w:r>
        <w:rPr>
          <w:rFonts w:hint="eastAsia"/>
          <w:color w:val="auto"/>
        </w:rPr>
        <w:t>机电设备安装施工中BIM技术应用主要用于机电各专业的深化设计，机电综合管线设计及碰撞检查及校核计算。针对</w:t>
      </w:r>
      <w:r>
        <w:rPr>
          <w:rFonts w:hint="eastAsia" w:cs="Times New Roman"/>
          <w:color w:val="auto"/>
          <w:szCs w:val="24"/>
        </w:rPr>
        <w:t>三亚崖州湾科技城公共教学区（一期）EPC项目</w:t>
      </w:r>
      <w:r>
        <w:rPr>
          <w:rFonts w:hint="eastAsia"/>
          <w:color w:val="auto"/>
        </w:rPr>
        <w:t>特点，通过BIM模型综合管线排布，确保各专业有序施工同时有足够的空间完成各种管线的检修和更换工作。</w:t>
      </w:r>
    </w:p>
    <w:p w14:paraId="0224BBD0">
      <w:pPr>
        <w:rPr>
          <w:color w:val="auto"/>
        </w:rPr>
      </w:pPr>
      <w:r>
        <w:rPr>
          <w:rFonts w:hint="eastAsia"/>
          <w:color w:val="auto"/>
        </w:rPr>
        <w:t>（1）关键走廊的管线综合</w:t>
      </w:r>
    </w:p>
    <w:p w14:paraId="5645CB31">
      <w:pPr>
        <w:rPr>
          <w:color w:val="auto"/>
        </w:rPr>
      </w:pPr>
      <w:r>
        <w:rPr>
          <w:rFonts w:hint="eastAsia"/>
          <w:color w:val="auto"/>
        </w:rPr>
        <w:t>项目BIM团队根据设计BIM模型配合设计院，协助设计人员进行管线综合，在施工前完成管线的优化。</w:t>
      </w:r>
    </w:p>
    <w:p w14:paraId="4E90EC39">
      <w:pPr>
        <w:pStyle w:val="65"/>
        <w:spacing w:before="163" w:after="163"/>
        <w:rPr>
          <w:color w:val="auto"/>
        </w:rPr>
      </w:pPr>
      <w:r>
        <w:rPr>
          <w:color w:val="auto"/>
        </w:rPr>
        <w:drawing>
          <wp:inline distT="0" distB="0" distL="0" distR="0">
            <wp:extent cx="4763770" cy="2469515"/>
            <wp:effectExtent l="0" t="0" r="0" b="6985"/>
            <wp:docPr id="284" name="图片 284" descr="C:\Users\ADMINI~1\AppData\Local\Temp\ksohtml9540\wps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图片 284" descr="C:\Users\ADMINI~1\AppData\Local\Temp\ksohtml9540\wps21.pn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4768553" cy="2472018"/>
                    </a:xfrm>
                    <a:prstGeom prst="rect">
                      <a:avLst/>
                    </a:prstGeom>
                    <a:noFill/>
                    <a:ln>
                      <a:noFill/>
                    </a:ln>
                  </pic:spPr>
                </pic:pic>
              </a:graphicData>
            </a:graphic>
          </wp:inline>
        </w:drawing>
      </w:r>
    </w:p>
    <w:p w14:paraId="28C313E3">
      <w:pPr>
        <w:pStyle w:val="60"/>
        <w:spacing w:after="0"/>
        <w:rPr>
          <w:color w:val="auto"/>
          <w:highlight w:val="yellow"/>
        </w:rPr>
      </w:pPr>
      <w:r>
        <w:rPr>
          <w:rFonts w:hint="eastAsia"/>
          <w:color w:val="auto"/>
        </w:rPr>
        <w:t>漫游检测</w:t>
      </w:r>
    </w:p>
    <w:p w14:paraId="5EDEA263">
      <w:pPr>
        <w:rPr>
          <w:color w:val="auto"/>
        </w:rPr>
      </w:pPr>
      <w:r>
        <w:rPr>
          <w:rFonts w:hint="eastAsia"/>
          <w:color w:val="auto"/>
        </w:rPr>
        <w:t>（2）机电机房的管线综合</w:t>
      </w:r>
    </w:p>
    <w:p w14:paraId="1E088F47">
      <w:pPr>
        <w:rPr>
          <w:color w:val="auto"/>
        </w:rPr>
      </w:pPr>
      <w:r>
        <w:rPr>
          <w:rFonts w:hint="eastAsia"/>
          <w:color w:val="auto"/>
        </w:rPr>
        <w:t>通过BIM模型综合协调机房，确保在有效的空间内合理布置各专业的管线，以保证吊顶的高度，促进机电各专业的有序施工。</w:t>
      </w:r>
    </w:p>
    <w:p w14:paraId="496D4C11">
      <w:pPr>
        <w:pStyle w:val="65"/>
        <w:spacing w:before="163" w:after="163"/>
        <w:rPr>
          <w:color w:val="auto"/>
        </w:rPr>
      </w:pPr>
      <w:r>
        <w:rPr>
          <w:color w:val="auto"/>
        </w:rPr>
        <w:drawing>
          <wp:inline distT="0" distB="0" distL="0" distR="0">
            <wp:extent cx="5486400" cy="2852420"/>
            <wp:effectExtent l="0" t="0" r="0" b="5080"/>
            <wp:docPr id="285" name="图片 285" descr="C:\Users\ADMINI~1\AppData\Local\Temp\ksohtml9540\wp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图片 285" descr="C:\Users\ADMINI~1\AppData\Local\Temp\ksohtml9540\wps22.jpg"/>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a:xfrm>
                      <a:off x="0" y="0"/>
                      <a:ext cx="5486400" cy="2852420"/>
                    </a:xfrm>
                    <a:prstGeom prst="rect">
                      <a:avLst/>
                    </a:prstGeom>
                    <a:noFill/>
                    <a:ln>
                      <a:noFill/>
                    </a:ln>
                  </pic:spPr>
                </pic:pic>
              </a:graphicData>
            </a:graphic>
          </wp:inline>
        </w:drawing>
      </w:r>
    </w:p>
    <w:p w14:paraId="010C07A3">
      <w:pPr>
        <w:pStyle w:val="53"/>
        <w:rPr>
          <w:color w:val="auto"/>
        </w:rPr>
      </w:pPr>
      <w:r>
        <w:rPr>
          <w:rFonts w:hint="eastAsia"/>
          <w:color w:val="auto"/>
        </w:rPr>
        <w:t>机电机房管线综合</w:t>
      </w:r>
    </w:p>
    <w:p w14:paraId="458DBB6D">
      <w:pPr>
        <w:rPr>
          <w:color w:val="auto"/>
        </w:rPr>
      </w:pPr>
      <w:r>
        <w:rPr>
          <w:rFonts w:hint="eastAsia"/>
          <w:color w:val="auto"/>
        </w:rPr>
        <w:t>（3）机电竖井的深化设计</w:t>
      </w:r>
    </w:p>
    <w:p w14:paraId="695C1BD0">
      <w:pPr>
        <w:rPr>
          <w:color w:val="auto"/>
        </w:rPr>
      </w:pPr>
      <w:r>
        <w:rPr>
          <w:rFonts w:hint="eastAsia"/>
          <w:color w:val="auto"/>
        </w:rPr>
        <w:t>通过BIM模型综合协调竖向管井的管线布置，使管线的安装工作可以顺利完成，并保证有足够的空间完成各种管线的检修和更换工作。</w:t>
      </w:r>
    </w:p>
    <w:p w14:paraId="0DA3F05A">
      <w:pPr>
        <w:pStyle w:val="65"/>
        <w:spacing w:before="163" w:after="163"/>
        <w:rPr>
          <w:color w:val="auto"/>
        </w:rPr>
      </w:pPr>
      <w:r>
        <w:rPr>
          <w:color w:val="auto"/>
        </w:rPr>
        <w:drawing>
          <wp:inline distT="0" distB="0" distL="0" distR="0">
            <wp:extent cx="5344160" cy="2766060"/>
            <wp:effectExtent l="0" t="0" r="8890" b="0"/>
            <wp:docPr id="286" name="图片 286" descr="C:\Users\ADMINI~1\AppData\Local\Temp\ksohtml9540\wps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图片 286" descr="C:\Users\ADMINI~1\AppData\Local\Temp\ksohtml9540\wps23.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a:xfrm>
                      <a:off x="0" y="0"/>
                      <a:ext cx="5344160" cy="2766060"/>
                    </a:xfrm>
                    <a:prstGeom prst="rect">
                      <a:avLst/>
                    </a:prstGeom>
                    <a:noFill/>
                    <a:ln>
                      <a:noFill/>
                    </a:ln>
                  </pic:spPr>
                </pic:pic>
              </a:graphicData>
            </a:graphic>
          </wp:inline>
        </w:drawing>
      </w:r>
    </w:p>
    <w:p w14:paraId="654874D9">
      <w:pPr>
        <w:pStyle w:val="53"/>
        <w:rPr>
          <w:color w:val="auto"/>
        </w:rPr>
      </w:pPr>
      <w:r>
        <w:rPr>
          <w:rFonts w:hint="eastAsia"/>
          <w:color w:val="auto"/>
        </w:rPr>
        <w:t>机电竖井深化设计示意图</w:t>
      </w:r>
    </w:p>
    <w:p w14:paraId="27B7A5F7">
      <w:pPr>
        <w:rPr>
          <w:color w:val="auto"/>
        </w:rPr>
      </w:pPr>
      <w:r>
        <w:rPr>
          <w:rFonts w:hint="eastAsia"/>
          <w:color w:val="auto"/>
        </w:rPr>
        <w:t>4）综合支吊架的深化设计</w:t>
      </w:r>
    </w:p>
    <w:p w14:paraId="4B66B53E">
      <w:pPr>
        <w:rPr>
          <w:color w:val="auto"/>
        </w:rPr>
      </w:pPr>
      <w:r>
        <w:rPr>
          <w:rFonts w:hint="eastAsia"/>
          <w:color w:val="auto"/>
        </w:rPr>
        <w:t>应用BIM技术进行综合支吊架的设计优化，可以最大限度实现设计和施工之间的衔接，为有效协调各机电专业分包方的施工提供技术支持，为施工的顺利进行创造条件。在三维可视环境中排布机电管线和吊支架，可以使有限的空间得到更加充分、合理、有效的使用，特别在管线密集区域和空间狭小的区域，在保证功能的情况下解决了机电系统内部管线的标高和位置问题，避免交叉时产生冲突，同时配合并满足结构及装修的各个位置要求。</w:t>
      </w:r>
    </w:p>
    <w:p w14:paraId="3E43F46C">
      <w:pPr>
        <w:pStyle w:val="65"/>
        <w:spacing w:before="163" w:after="163"/>
        <w:rPr>
          <w:color w:val="auto"/>
        </w:rPr>
      </w:pPr>
      <w:r>
        <w:rPr>
          <w:color w:val="auto"/>
        </w:rPr>
        <w:drawing>
          <wp:inline distT="0" distB="0" distL="0" distR="0">
            <wp:extent cx="4055110" cy="2098675"/>
            <wp:effectExtent l="0" t="0" r="8890" b="9525"/>
            <wp:docPr id="287" name="图片 287" descr="C:\Users\ADMINI~1\AppData\Local\Temp\ksohtml9540\wp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descr="C:\Users\ADMINI~1\AppData\Local\Temp\ksohtml9540\wps24.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a:xfrm>
                      <a:off x="0" y="0"/>
                      <a:ext cx="4055110" cy="2098675"/>
                    </a:xfrm>
                    <a:prstGeom prst="rect">
                      <a:avLst/>
                    </a:prstGeom>
                    <a:noFill/>
                    <a:ln>
                      <a:noFill/>
                    </a:ln>
                  </pic:spPr>
                </pic:pic>
              </a:graphicData>
            </a:graphic>
          </wp:inline>
        </w:drawing>
      </w:r>
    </w:p>
    <w:p w14:paraId="5004B876">
      <w:pPr>
        <w:pStyle w:val="53"/>
        <w:rPr>
          <w:color w:val="auto"/>
          <w:highlight w:val="none"/>
        </w:rPr>
      </w:pPr>
      <w:r>
        <w:rPr>
          <w:rFonts w:hint="eastAsia"/>
          <w:color w:val="auto"/>
          <w:highlight w:val="none"/>
        </w:rPr>
        <w:t>综合支吊架设计示意图</w:t>
      </w:r>
    </w:p>
    <w:p w14:paraId="60256FEA">
      <w:pPr>
        <w:pStyle w:val="6"/>
        <w:ind w:firstLine="480"/>
        <w:rPr>
          <w:color w:val="auto"/>
        </w:rPr>
      </w:pPr>
      <w:r>
        <w:rPr>
          <w:rFonts w:hint="eastAsia"/>
          <w:color w:val="auto"/>
        </w:rPr>
        <w:t>BIM模型可视化及重点部位模拟</w:t>
      </w:r>
    </w:p>
    <w:p w14:paraId="1743572D">
      <w:pPr>
        <w:rPr>
          <w:color w:val="auto"/>
        </w:rPr>
      </w:pPr>
      <w:r>
        <w:rPr>
          <w:rFonts w:hint="eastAsia"/>
          <w:color w:val="auto"/>
        </w:rPr>
        <w:t>对全专业整合模型进行三维可视化模型浏览，检查各专业设计是否存在明显的设计不合理和错误，利用BIM模型协调各专业间的设计、复核设计内容和信息是否完整、准确。</w:t>
      </w:r>
    </w:p>
    <w:p w14:paraId="0D7413CC">
      <w:pPr>
        <w:rPr>
          <w:color w:val="auto"/>
        </w:rPr>
      </w:pPr>
      <w:r>
        <w:rPr>
          <w:rFonts w:hint="eastAsia"/>
          <w:color w:val="auto"/>
        </w:rPr>
        <w:t>充分发挥BIM技术，利用虚拟施工，将空间信息与时间信息整合在一个可视的4D模型中，更直观、精确地反映各个建筑部位的施工工序流程，有效地协调各专业的交叉施工，保证工程进展顺利。</w:t>
      </w:r>
    </w:p>
    <w:p w14:paraId="3928204C">
      <w:pPr>
        <w:pStyle w:val="65"/>
        <w:spacing w:before="163" w:after="163"/>
        <w:rPr>
          <w:color w:val="auto"/>
        </w:rPr>
      </w:pPr>
      <w:r>
        <w:rPr>
          <w:color w:val="auto"/>
        </w:rPr>
        <w:drawing>
          <wp:inline distT="0" distB="0" distL="0" distR="0">
            <wp:extent cx="3940175" cy="2039620"/>
            <wp:effectExtent l="0" t="0" r="9525" b="5080"/>
            <wp:docPr id="290" name="图片 290" descr="C:\Users\ADMINI~1\AppData\Local\Temp\ksohtml9540\wp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图片 290" descr="C:\Users\ADMINI~1\AppData\Local\Temp\ksohtml9540\wps27.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a:xfrm>
                      <a:off x="0" y="0"/>
                      <a:ext cx="3940175" cy="2039620"/>
                    </a:xfrm>
                    <a:prstGeom prst="rect">
                      <a:avLst/>
                    </a:prstGeom>
                    <a:noFill/>
                    <a:ln>
                      <a:noFill/>
                    </a:ln>
                  </pic:spPr>
                </pic:pic>
              </a:graphicData>
            </a:graphic>
          </wp:inline>
        </w:drawing>
      </w:r>
    </w:p>
    <w:p w14:paraId="536BDD5F">
      <w:pPr>
        <w:pStyle w:val="53"/>
        <w:rPr>
          <w:color w:val="auto"/>
        </w:rPr>
      </w:pPr>
      <w:r>
        <w:rPr>
          <w:rFonts w:hint="eastAsia"/>
          <w:color w:val="auto"/>
        </w:rPr>
        <w:t>设备安装模拟</w:t>
      </w:r>
    </w:p>
    <w:p w14:paraId="6C187693">
      <w:pPr>
        <w:pStyle w:val="6"/>
        <w:ind w:firstLine="480"/>
        <w:rPr>
          <w:color w:val="auto"/>
        </w:rPr>
      </w:pPr>
      <w:r>
        <w:rPr>
          <w:rFonts w:hint="eastAsia"/>
          <w:color w:val="auto"/>
        </w:rPr>
        <w:t>复杂节点施工模拟</w:t>
      </w:r>
    </w:p>
    <w:p w14:paraId="0189E948">
      <w:pPr>
        <w:rPr>
          <w:color w:val="auto"/>
        </w:rPr>
      </w:pPr>
      <w:r>
        <w:rPr>
          <w:rFonts w:hint="eastAsia"/>
          <w:color w:val="auto"/>
        </w:rPr>
        <w:t>应用 BIM 的虚拟施工技术，模拟工程项目的施工方案，对工程项目的建造过程在计算机环境中进行预演，从而找出施工过程中可能存在的质量风险因素优化方案。</w:t>
      </w:r>
    </w:p>
    <w:p w14:paraId="22C716A5">
      <w:pPr>
        <w:pStyle w:val="65"/>
        <w:spacing w:before="163" w:after="163"/>
        <w:rPr>
          <w:color w:val="auto"/>
        </w:rPr>
      </w:pPr>
      <w:r>
        <w:rPr>
          <w:color w:val="auto"/>
        </w:rPr>
        <w:drawing>
          <wp:inline distT="0" distB="0" distL="0" distR="0">
            <wp:extent cx="3225165" cy="2447925"/>
            <wp:effectExtent l="0" t="0" r="0" b="9525"/>
            <wp:docPr id="292" name="图片 292" descr="C:\Users\ADMINI~1\AppData\Local\Temp\ksohtml9540\wp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图片 292" descr="C:\Users\ADMINI~1\AppData\Local\Temp\ksohtml9540\wps28.jp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3225183" cy="2448000"/>
                    </a:xfrm>
                    <a:prstGeom prst="rect">
                      <a:avLst/>
                    </a:prstGeom>
                    <a:noFill/>
                    <a:ln>
                      <a:noFill/>
                    </a:ln>
                  </pic:spPr>
                </pic:pic>
              </a:graphicData>
            </a:graphic>
          </wp:inline>
        </w:drawing>
      </w:r>
    </w:p>
    <w:p w14:paraId="4ABC8737">
      <w:pPr>
        <w:pStyle w:val="53"/>
        <w:rPr>
          <w:color w:val="auto"/>
        </w:rPr>
      </w:pPr>
      <w:r>
        <w:rPr>
          <w:rFonts w:hint="eastAsia"/>
          <w:color w:val="auto"/>
        </w:rPr>
        <w:t>复杂节点施工模拟</w:t>
      </w:r>
    </w:p>
    <w:p w14:paraId="3D9C3511">
      <w:pPr>
        <w:pStyle w:val="6"/>
        <w:ind w:firstLine="480"/>
        <w:rPr>
          <w:color w:val="auto"/>
        </w:rPr>
      </w:pPr>
      <w:r>
        <w:rPr>
          <w:rFonts w:hint="eastAsia"/>
          <w:color w:val="auto"/>
        </w:rPr>
        <w:t>可视化交底及BIM样板引路</w:t>
      </w:r>
    </w:p>
    <w:p w14:paraId="2CAC9482">
      <w:pPr>
        <w:rPr>
          <w:color w:val="auto"/>
        </w:rPr>
      </w:pPr>
      <w:r>
        <w:rPr>
          <w:rFonts w:hint="eastAsia"/>
          <w:color w:val="auto"/>
        </w:rPr>
        <w:t>根据质量通病及控制点，重视对关键、复杂节点，防水工程，预留、预埋，隐蔽工程及其他重、难点项目的可视化交底，制定三维交底书。通过模型创建精装样板房模型，以设计、业主的材质选材、房间搭配样式为参考，并出具效果图。</w:t>
      </w:r>
    </w:p>
    <w:p w14:paraId="25672022">
      <w:pPr>
        <w:pStyle w:val="94"/>
        <w:snapToGrid/>
        <w:spacing w:before="32" w:beforeLines="10" w:after="32" w:afterLines="10" w:line="432" w:lineRule="auto"/>
        <w:rPr>
          <w:rFonts w:hint="eastAsia"/>
          <w:color w:val="auto"/>
          <w:szCs w:val="28"/>
        </w:rPr>
      </w:pPr>
      <w:bookmarkStart w:id="254" w:name="_Toc726"/>
      <w:r>
        <w:rPr>
          <w:rFonts w:hint="eastAsia"/>
          <w:color w:val="auto"/>
          <w:szCs w:val="28"/>
          <w:lang w:val="en-US" w:eastAsia="zh-CN"/>
        </w:rPr>
        <w:t>绿色施工方案</w:t>
      </w:r>
      <w:bookmarkEnd w:id="254"/>
    </w:p>
    <w:p w14:paraId="216F5AA3">
      <w:pPr>
        <w:pStyle w:val="5"/>
        <w:spacing w:before="24" w:beforeLines="10" w:after="24" w:afterLines="10" w:line="432" w:lineRule="auto"/>
        <w:ind w:firstLine="562"/>
        <w:rPr>
          <w:color w:val="auto"/>
          <w:sz w:val="24"/>
          <w:szCs w:val="24"/>
          <w:highlight w:val="none"/>
        </w:rPr>
      </w:pPr>
      <w:bookmarkStart w:id="255" w:name="_Toc4969"/>
      <w:r>
        <w:rPr>
          <w:rFonts w:hint="eastAsia"/>
          <w:color w:val="auto"/>
          <w:sz w:val="24"/>
          <w:szCs w:val="24"/>
          <w:highlight w:val="none"/>
        </w:rPr>
        <w:t>绿色施工管理</w:t>
      </w:r>
      <w:bookmarkEnd w:id="255"/>
    </w:p>
    <w:p w14:paraId="65374211">
      <w:pPr>
        <w:pStyle w:val="6"/>
        <w:ind w:firstLine="480"/>
        <w:rPr>
          <w:color w:val="auto"/>
        </w:rPr>
      </w:pPr>
      <w:r>
        <w:rPr>
          <w:rFonts w:hint="eastAsia" w:ascii="宋体" w:hAnsi="宋体"/>
          <w:b w:val="0"/>
          <w:bCs w:val="0"/>
          <w:color w:val="auto"/>
          <w:sz w:val="24"/>
          <w:szCs w:val="24"/>
          <w:highlight w:val="none"/>
        </w:rPr>
        <w:t>绿色施工总体</w:t>
      </w:r>
      <w:r>
        <w:rPr>
          <w:rFonts w:hint="eastAsia"/>
          <w:color w:val="auto"/>
        </w:rPr>
        <w:t>框架</w:t>
      </w:r>
    </w:p>
    <w:p w14:paraId="1D313FA6">
      <w:pPr>
        <w:pStyle w:val="97"/>
        <w:spacing w:before="24" w:beforeLines="10" w:after="24" w:afterLines="10" w:line="432" w:lineRule="auto"/>
        <w:ind w:firstLine="560"/>
        <w:rPr>
          <w:color w:val="auto"/>
          <w:sz w:val="24"/>
          <w:szCs w:val="24"/>
          <w:highlight w:val="none"/>
        </w:rPr>
      </w:pPr>
      <w:r>
        <w:rPr>
          <w:color w:val="auto"/>
          <w:sz w:val="24"/>
          <w:szCs w:val="24"/>
          <w:highlight w:val="none"/>
        </w:rPr>
        <w:t>绿色施工总体框架由施工管理、环境保护、节材与材料资源利用、节水与水资源利用、节能与能源利用、节地与施工用地保护六个方面组成，如下图所示。这六个方面涵盖了绿色施工的基本指标，同时包含了施工策划、材料采购、现场施工、工程验收等各阶段的指标的子集。</w:t>
      </w:r>
    </w:p>
    <w:p w14:paraId="7430901F">
      <w:pPr>
        <w:pStyle w:val="101"/>
        <w:spacing w:before="24" w:beforeLines="10" w:after="24" w:afterLines="10" w:line="432" w:lineRule="auto"/>
        <w:ind w:firstLine="600"/>
        <w:rPr>
          <w:rFonts w:ascii="宋体" w:hAnsi="宋体"/>
          <w:color w:val="auto"/>
          <w:sz w:val="24"/>
          <w:szCs w:val="24"/>
          <w:highlight w:val="none"/>
        </w:rPr>
      </w:pPr>
      <w:r>
        <w:rPr>
          <w:rFonts w:ascii="宋体" w:hAnsi="宋体"/>
          <w:color w:val="auto"/>
          <w:sz w:val="24"/>
          <w:szCs w:val="24"/>
          <w:highlight w:val="none"/>
        </w:rPr>
        <w:drawing>
          <wp:inline distT="0" distB="0" distL="114300" distR="114300">
            <wp:extent cx="5276215" cy="2409190"/>
            <wp:effectExtent l="0" t="0" r="6985" b="3810"/>
            <wp:docPr id="7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24"/>
                    <pic:cNvPicPr>
                      <a:picLocks noChangeAspect="1"/>
                    </pic:cNvPicPr>
                  </pic:nvPicPr>
                  <pic:blipFill>
                    <a:blip r:embed="rId190"/>
                    <a:stretch>
                      <a:fillRect/>
                    </a:stretch>
                  </pic:blipFill>
                  <pic:spPr>
                    <a:xfrm>
                      <a:off x="0" y="0"/>
                      <a:ext cx="5276215" cy="2409190"/>
                    </a:xfrm>
                    <a:prstGeom prst="rect">
                      <a:avLst/>
                    </a:prstGeom>
                    <a:noFill/>
                    <a:ln>
                      <a:noFill/>
                    </a:ln>
                  </pic:spPr>
                </pic:pic>
              </a:graphicData>
            </a:graphic>
          </wp:inline>
        </w:drawing>
      </w:r>
    </w:p>
    <w:p w14:paraId="1182AECF">
      <w:pPr>
        <w:pStyle w:val="102"/>
        <w:numPr>
          <w:ilvl w:val="0"/>
          <w:numId w:val="0"/>
        </w:numPr>
        <w:spacing w:before="24" w:beforeLines="10" w:after="24" w:afterLines="10" w:line="432" w:lineRule="auto"/>
        <w:rPr>
          <w:color w:val="auto"/>
          <w:sz w:val="24"/>
          <w:szCs w:val="24"/>
          <w:highlight w:val="none"/>
        </w:rPr>
      </w:pPr>
      <w:r>
        <w:rPr>
          <w:rFonts w:hint="eastAsia"/>
          <w:color w:val="auto"/>
          <w:sz w:val="24"/>
          <w:szCs w:val="24"/>
          <w:highlight w:val="none"/>
        </w:rPr>
        <w:t xml:space="preserve">插图 </w:t>
      </w:r>
      <w:r>
        <w:rPr>
          <w:color w:val="auto"/>
          <w:sz w:val="24"/>
          <w:szCs w:val="24"/>
          <w:highlight w:val="none"/>
        </w:rPr>
        <w:t>绿色施工总体框架</w:t>
      </w:r>
    </w:p>
    <w:p w14:paraId="238DE41F">
      <w:pPr>
        <w:pStyle w:val="6"/>
        <w:ind w:firstLine="480"/>
        <w:rPr>
          <w:rFonts w:hint="eastAsia" w:ascii="宋体" w:hAnsi="宋体"/>
          <w:b w:val="0"/>
          <w:bCs w:val="0"/>
          <w:color w:val="auto"/>
          <w:sz w:val="24"/>
          <w:szCs w:val="24"/>
          <w:highlight w:val="none"/>
        </w:rPr>
      </w:pPr>
      <w:r>
        <w:rPr>
          <w:rFonts w:hint="eastAsia" w:ascii="宋体" w:hAnsi="宋体"/>
          <w:b w:val="0"/>
          <w:bCs w:val="0"/>
          <w:color w:val="auto"/>
          <w:sz w:val="24"/>
          <w:szCs w:val="24"/>
          <w:highlight w:val="none"/>
        </w:rPr>
        <w:t>绿色施工实施管理</w:t>
      </w:r>
    </w:p>
    <w:p w14:paraId="0B5E3A7C">
      <w:pPr>
        <w:pStyle w:val="97"/>
        <w:spacing w:before="24" w:beforeLines="10" w:after="24" w:afterLines="10" w:line="432" w:lineRule="auto"/>
        <w:ind w:firstLine="560"/>
        <w:rPr>
          <w:color w:val="auto"/>
          <w:sz w:val="24"/>
          <w:szCs w:val="24"/>
          <w:highlight w:val="none"/>
        </w:rPr>
      </w:pPr>
      <w:r>
        <w:rPr>
          <w:color w:val="auto"/>
          <w:sz w:val="24"/>
          <w:szCs w:val="24"/>
          <w:highlight w:val="none"/>
        </w:rPr>
        <w:t>通过对项目部管理人员及全体施工人员的教育和培训，增强全体人员的绿色施工意识，加强对绿色建筑的认知，共同实现项目绿色建筑目标。</w:t>
      </w:r>
    </w:p>
    <w:p w14:paraId="2A9F7130">
      <w:pPr>
        <w:pStyle w:val="97"/>
        <w:spacing w:before="24" w:beforeLines="10" w:after="24" w:afterLines="10" w:line="432" w:lineRule="auto"/>
        <w:ind w:firstLine="560"/>
        <w:rPr>
          <w:color w:val="auto"/>
          <w:sz w:val="24"/>
          <w:szCs w:val="24"/>
          <w:highlight w:val="none"/>
        </w:rPr>
      </w:pPr>
      <w:r>
        <w:rPr>
          <w:rFonts w:hint="eastAsia"/>
          <w:color w:val="auto"/>
          <w:sz w:val="24"/>
          <w:szCs w:val="24"/>
          <w:highlight w:val="none"/>
          <w:lang w:val="en-US" w:eastAsia="zh-CN"/>
        </w:rPr>
        <w:t>1、</w:t>
      </w:r>
      <w:r>
        <w:rPr>
          <w:color w:val="auto"/>
          <w:sz w:val="24"/>
          <w:szCs w:val="24"/>
          <w:highlight w:val="none"/>
        </w:rPr>
        <w:t>绿色施工培训要求</w:t>
      </w:r>
    </w:p>
    <w:p w14:paraId="57C041CA">
      <w:pPr>
        <w:pStyle w:val="102"/>
        <w:numPr>
          <w:ilvl w:val="0"/>
          <w:numId w:val="0"/>
        </w:numPr>
        <w:spacing w:before="24" w:beforeLines="10" w:after="24" w:afterLines="10" w:line="432" w:lineRule="auto"/>
        <w:ind w:left="420" w:hanging="420"/>
        <w:rPr>
          <w:color w:val="auto"/>
          <w:sz w:val="24"/>
          <w:szCs w:val="24"/>
          <w:highlight w:val="none"/>
        </w:rPr>
      </w:pPr>
      <w:r>
        <w:rPr>
          <w:rFonts w:hint="eastAsia"/>
          <w:color w:val="auto"/>
          <w:sz w:val="24"/>
          <w:szCs w:val="24"/>
          <w:highlight w:val="none"/>
        </w:rPr>
        <w:t xml:space="preserve">插表 </w:t>
      </w:r>
      <w:r>
        <w:rPr>
          <w:color w:val="auto"/>
          <w:sz w:val="24"/>
          <w:szCs w:val="24"/>
          <w:highlight w:val="none"/>
        </w:rPr>
        <w:t>绿色施工培训要求</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8244"/>
      </w:tblGrid>
      <w:tr w14:paraId="0E763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39304D29">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738B4960">
            <w:pPr>
              <w:pStyle w:val="74"/>
              <w:rPr>
                <w:rFonts w:hint="eastAsia"/>
                <w:color w:val="auto"/>
                <w:highlight w:val="none"/>
              </w:rPr>
            </w:pPr>
            <w:r>
              <w:rPr>
                <w:rFonts w:hint="eastAsia"/>
                <w:color w:val="auto"/>
                <w:highlight w:val="none"/>
              </w:rPr>
              <w:t>具体措施</w:t>
            </w:r>
          </w:p>
        </w:tc>
      </w:tr>
      <w:tr w14:paraId="3A22D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9A30046">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CC4BEB9">
            <w:pPr>
              <w:pStyle w:val="74"/>
              <w:jc w:val="left"/>
              <w:rPr>
                <w:rFonts w:hint="eastAsia"/>
                <w:color w:val="auto"/>
                <w:highlight w:val="none"/>
              </w:rPr>
            </w:pPr>
            <w:r>
              <w:rPr>
                <w:rFonts w:hint="eastAsia"/>
                <w:color w:val="auto"/>
                <w:highlight w:val="none"/>
              </w:rPr>
              <w:t>在项目施工过程中，加大“绿色施工”的教育力度，增强全员“绿色施工”的意识，提高全员综合素质，具体每季度在管理层内部组织开展一次“绿色施工”宣传及总结分析会议，再将会议精神传达到每个施工从业人员，使每个施工者和管理者都能从自身做起，自觉爱护施工现场的一草一木，节约用水、用电、用纸，不乱扔废弃物，保持现场环境整洁，这是实现“绿色施工”的基础。</w:t>
            </w:r>
          </w:p>
        </w:tc>
      </w:tr>
      <w:tr w14:paraId="5F5F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19B3998">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06C0282">
            <w:pPr>
              <w:pStyle w:val="74"/>
              <w:jc w:val="left"/>
              <w:rPr>
                <w:rFonts w:hint="eastAsia"/>
                <w:color w:val="auto"/>
                <w:highlight w:val="none"/>
              </w:rPr>
            </w:pPr>
            <w:r>
              <w:rPr>
                <w:rFonts w:hint="eastAsia"/>
                <w:color w:val="auto"/>
                <w:highlight w:val="none"/>
              </w:rPr>
              <w:t>施工现场的所有人员（包括各分包单位的从业人员）必须按要求由项目部对其进行绿色施工教育、培训和考核，宣传教育每月组织一次，培训和考核在主体施工阶段为每季度进行一次，装修阶段有新的专业队伍进场均对其进行单独的培训、交底和考核，只有经过教育培训并且通过考核的人员才能上岗。</w:t>
            </w:r>
          </w:p>
        </w:tc>
      </w:tr>
      <w:tr w14:paraId="0ACFA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8D60A49">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9CDB3D8">
            <w:pPr>
              <w:pStyle w:val="74"/>
              <w:jc w:val="left"/>
              <w:rPr>
                <w:rFonts w:hint="eastAsia"/>
                <w:color w:val="auto"/>
                <w:highlight w:val="none"/>
              </w:rPr>
            </w:pPr>
            <w:r>
              <w:rPr>
                <w:rFonts w:hint="eastAsia"/>
                <w:color w:val="auto"/>
                <w:highlight w:val="none"/>
              </w:rPr>
              <w:t>按等级、层次和工作性质分别进行教育和培训，管理人员的重点是加强节约成本意识和提高施工管理水平，操作者的重点是加强节约成本意识和培养节约习惯。</w:t>
            </w:r>
          </w:p>
        </w:tc>
      </w:tr>
      <w:tr w14:paraId="1FAF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495A811">
            <w:pPr>
              <w:pStyle w:val="97"/>
              <w:spacing w:before="24" w:beforeLines="10" w:after="24" w:afterLines="10" w:line="432" w:lineRule="auto"/>
              <w:ind w:firstLine="560"/>
              <w:rPr>
                <w:rFonts w:hint="eastAsia"/>
                <w:color w:val="auto"/>
                <w:sz w:val="24"/>
                <w:szCs w:val="24"/>
                <w:highlight w:val="none"/>
              </w:rPr>
            </w:pPr>
            <w:r>
              <w:rPr>
                <w:rFonts w:hint="eastAsia"/>
                <w:color w:val="auto"/>
                <w:sz w:val="24"/>
                <w:szCs w:val="24"/>
                <w:highlight w:val="none"/>
              </w:rPr>
              <w:t>4</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07C9BBFE">
            <w:pPr>
              <w:pStyle w:val="74"/>
              <w:jc w:val="left"/>
              <w:rPr>
                <w:rFonts w:hint="eastAsia"/>
                <w:color w:val="auto"/>
                <w:highlight w:val="none"/>
              </w:rPr>
            </w:pPr>
            <w:r>
              <w:rPr>
                <w:rFonts w:hint="eastAsia"/>
                <w:color w:val="auto"/>
                <w:highlight w:val="none"/>
              </w:rPr>
              <w:t>绿色施工讲究施工过程中最大程度地保护自然环境，做到人与自然、人与城市和谐相处，加强施工现场人员安全与健康管理是绿色施工实施的基础。</w:t>
            </w:r>
          </w:p>
        </w:tc>
      </w:tr>
    </w:tbl>
    <w:p w14:paraId="7957F7AB">
      <w:pPr>
        <w:pStyle w:val="97"/>
        <w:spacing w:before="24" w:beforeLines="10" w:after="24" w:afterLines="10" w:line="432" w:lineRule="auto"/>
        <w:ind w:firstLine="560"/>
        <w:rPr>
          <w:color w:val="auto"/>
          <w:sz w:val="24"/>
          <w:szCs w:val="24"/>
          <w:highlight w:val="none"/>
        </w:rPr>
      </w:pPr>
      <w:r>
        <w:rPr>
          <w:color w:val="auto"/>
          <w:sz w:val="24"/>
          <w:szCs w:val="24"/>
          <w:highlight w:val="none"/>
        </w:rPr>
        <w:t>2、绿色施工宣传和教育形式</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246"/>
      </w:tblGrid>
      <w:tr w14:paraId="28AC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20365EE2">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1D642DA8">
            <w:pPr>
              <w:pStyle w:val="74"/>
              <w:rPr>
                <w:rFonts w:hint="eastAsia"/>
                <w:color w:val="auto"/>
                <w:highlight w:val="none"/>
              </w:rPr>
            </w:pPr>
            <w:r>
              <w:rPr>
                <w:rFonts w:hint="eastAsia"/>
                <w:color w:val="auto"/>
                <w:highlight w:val="none"/>
              </w:rPr>
              <w:t>具体措施</w:t>
            </w:r>
          </w:p>
        </w:tc>
      </w:tr>
      <w:tr w14:paraId="18CF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CBB17A8">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4245A42">
            <w:pPr>
              <w:pStyle w:val="74"/>
              <w:jc w:val="left"/>
              <w:rPr>
                <w:rFonts w:hint="eastAsia"/>
                <w:color w:val="auto"/>
                <w:highlight w:val="none"/>
              </w:rPr>
            </w:pPr>
            <w:r>
              <w:rPr>
                <w:rFonts w:hint="eastAsia"/>
                <w:color w:val="auto"/>
                <w:highlight w:val="none"/>
              </w:rPr>
              <w:t>张挂宣传横幅</w:t>
            </w:r>
          </w:p>
        </w:tc>
      </w:tr>
      <w:tr w14:paraId="49746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1B86D76">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6BF35AB">
            <w:pPr>
              <w:pStyle w:val="74"/>
              <w:jc w:val="left"/>
              <w:rPr>
                <w:rFonts w:hint="eastAsia"/>
                <w:color w:val="auto"/>
                <w:highlight w:val="none"/>
              </w:rPr>
            </w:pPr>
            <w:r>
              <w:rPr>
                <w:rFonts w:hint="eastAsia"/>
                <w:color w:val="auto"/>
                <w:highlight w:val="none"/>
              </w:rPr>
              <w:t>公布项目部绿色施工方案</w:t>
            </w:r>
          </w:p>
        </w:tc>
      </w:tr>
      <w:tr w14:paraId="1CFE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D59BA04">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25BE2D9F">
            <w:pPr>
              <w:pStyle w:val="74"/>
              <w:jc w:val="left"/>
              <w:rPr>
                <w:rFonts w:hint="eastAsia"/>
                <w:color w:val="auto"/>
                <w:highlight w:val="none"/>
              </w:rPr>
            </w:pPr>
            <w:r>
              <w:rPr>
                <w:rFonts w:hint="eastAsia"/>
                <w:color w:val="auto"/>
                <w:highlight w:val="none"/>
              </w:rPr>
              <w:t>张贴绿色施工标语</w:t>
            </w:r>
          </w:p>
        </w:tc>
      </w:tr>
      <w:tr w14:paraId="6FD92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C6449BA">
            <w:pPr>
              <w:pStyle w:val="74"/>
              <w:rPr>
                <w:rFonts w:hint="eastAsia"/>
                <w:color w:val="auto"/>
                <w:highlight w:val="none"/>
              </w:rPr>
            </w:pPr>
            <w:r>
              <w:rPr>
                <w:rFonts w:hint="eastAsia"/>
                <w:color w:val="auto"/>
                <w:highlight w:val="none"/>
              </w:rPr>
              <w:t>4</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30E35DE">
            <w:pPr>
              <w:pStyle w:val="74"/>
              <w:jc w:val="left"/>
              <w:rPr>
                <w:rFonts w:hint="eastAsia"/>
                <w:color w:val="auto"/>
                <w:highlight w:val="none"/>
              </w:rPr>
            </w:pPr>
            <w:r>
              <w:rPr>
                <w:rFonts w:hint="eastAsia"/>
                <w:color w:val="auto"/>
                <w:highlight w:val="none"/>
              </w:rPr>
              <w:t>设立职工建议箱</w:t>
            </w:r>
          </w:p>
        </w:tc>
      </w:tr>
      <w:tr w14:paraId="120E6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15AD8A2">
            <w:pPr>
              <w:pStyle w:val="74"/>
              <w:rPr>
                <w:rFonts w:hint="eastAsia"/>
                <w:color w:val="auto"/>
                <w:highlight w:val="none"/>
              </w:rPr>
            </w:pPr>
            <w:r>
              <w:rPr>
                <w:rFonts w:hint="eastAsia"/>
                <w:color w:val="auto"/>
                <w:highlight w:val="none"/>
              </w:rPr>
              <w:t>5</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2BAC6977">
            <w:pPr>
              <w:pStyle w:val="74"/>
              <w:jc w:val="left"/>
              <w:rPr>
                <w:rFonts w:hint="eastAsia"/>
                <w:color w:val="auto"/>
                <w:highlight w:val="none"/>
              </w:rPr>
            </w:pPr>
            <w:r>
              <w:rPr>
                <w:rFonts w:hint="eastAsia"/>
                <w:color w:val="auto"/>
                <w:highlight w:val="none"/>
              </w:rPr>
              <w:t>重要部位张贴友情提示，如内部相关楼层、办公室、卫生间、洗手池、食堂等。</w:t>
            </w:r>
          </w:p>
        </w:tc>
      </w:tr>
      <w:tr w14:paraId="5B46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1F496E8">
            <w:pPr>
              <w:pStyle w:val="74"/>
              <w:rPr>
                <w:rFonts w:hint="eastAsia"/>
                <w:color w:val="auto"/>
                <w:highlight w:val="none"/>
              </w:rPr>
            </w:pPr>
            <w:r>
              <w:rPr>
                <w:rFonts w:hint="eastAsia"/>
                <w:color w:val="auto"/>
                <w:highlight w:val="none"/>
              </w:rPr>
              <w:t>6</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636FA138">
            <w:pPr>
              <w:pStyle w:val="74"/>
              <w:jc w:val="left"/>
              <w:rPr>
                <w:rFonts w:hint="eastAsia"/>
                <w:color w:val="auto"/>
                <w:highlight w:val="none"/>
              </w:rPr>
            </w:pPr>
            <w:r>
              <w:rPr>
                <w:rFonts w:hint="eastAsia"/>
                <w:color w:val="auto"/>
                <w:highlight w:val="none"/>
              </w:rPr>
              <w:t>每月组织开展一次以上学习本阶段绿色施工重点工作以及宣传相关法律法规活动，分层次组织管理人员、劳动工人进行学习，使之认识绿色施工责任和义务，增强绿色施工意识。</w:t>
            </w:r>
          </w:p>
        </w:tc>
      </w:tr>
      <w:tr w14:paraId="3152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0409603">
            <w:pPr>
              <w:pStyle w:val="74"/>
              <w:rPr>
                <w:rFonts w:hint="eastAsia"/>
                <w:color w:val="auto"/>
                <w:highlight w:val="none"/>
              </w:rPr>
            </w:pPr>
            <w:r>
              <w:rPr>
                <w:rFonts w:hint="eastAsia"/>
                <w:color w:val="auto"/>
                <w:highlight w:val="none"/>
              </w:rPr>
              <w:t>7</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51E65DA">
            <w:pPr>
              <w:pStyle w:val="74"/>
              <w:jc w:val="left"/>
              <w:rPr>
                <w:rFonts w:hint="eastAsia"/>
                <w:color w:val="auto"/>
                <w:highlight w:val="none"/>
              </w:rPr>
            </w:pPr>
            <w:r>
              <w:rPr>
                <w:rFonts w:hint="eastAsia"/>
                <w:color w:val="auto"/>
                <w:highlight w:val="none"/>
              </w:rPr>
              <w:t>对发现浪费现象后进行针对性的教育</w:t>
            </w:r>
          </w:p>
        </w:tc>
      </w:tr>
    </w:tbl>
    <w:p w14:paraId="40DAAFED">
      <w:pPr>
        <w:pStyle w:val="97"/>
        <w:spacing w:before="24" w:beforeLines="10" w:after="24" w:afterLines="10" w:line="432" w:lineRule="auto"/>
        <w:ind w:firstLine="560"/>
        <w:rPr>
          <w:color w:val="auto"/>
          <w:sz w:val="24"/>
          <w:szCs w:val="24"/>
          <w:highlight w:val="none"/>
        </w:rPr>
      </w:pPr>
      <w:r>
        <w:rPr>
          <w:color w:val="auto"/>
          <w:sz w:val="24"/>
          <w:szCs w:val="24"/>
          <w:highlight w:val="none"/>
        </w:rPr>
        <w:t>3、绿色施工评价管理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246"/>
      </w:tblGrid>
      <w:tr w14:paraId="27C56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0677731E">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810D625">
            <w:pPr>
              <w:pStyle w:val="74"/>
              <w:rPr>
                <w:rFonts w:hint="eastAsia"/>
                <w:color w:val="auto"/>
                <w:highlight w:val="none"/>
              </w:rPr>
            </w:pPr>
            <w:r>
              <w:rPr>
                <w:rFonts w:hint="eastAsia"/>
                <w:color w:val="auto"/>
                <w:highlight w:val="none"/>
              </w:rPr>
              <w:t>具体措施</w:t>
            </w:r>
          </w:p>
        </w:tc>
      </w:tr>
      <w:tr w14:paraId="30120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230CC6F">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71FF02E1">
            <w:pPr>
              <w:pStyle w:val="74"/>
              <w:jc w:val="left"/>
              <w:rPr>
                <w:rFonts w:hint="eastAsia"/>
                <w:color w:val="auto"/>
                <w:highlight w:val="none"/>
              </w:rPr>
            </w:pPr>
            <w:r>
              <w:rPr>
                <w:rFonts w:hint="eastAsia"/>
                <w:color w:val="auto"/>
                <w:highlight w:val="none"/>
              </w:rPr>
              <w:t>评价绿色施工整体目标是否能满足业主、项目部、员工、社会、政府的要求。</w:t>
            </w:r>
          </w:p>
        </w:tc>
      </w:tr>
      <w:tr w14:paraId="0C7D2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FA9632E">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2CA8C779">
            <w:pPr>
              <w:pStyle w:val="74"/>
              <w:jc w:val="left"/>
              <w:rPr>
                <w:rFonts w:hint="eastAsia"/>
                <w:color w:val="auto"/>
                <w:highlight w:val="none"/>
              </w:rPr>
            </w:pPr>
            <w:r>
              <w:rPr>
                <w:rFonts w:hint="eastAsia"/>
                <w:color w:val="auto"/>
                <w:highlight w:val="none"/>
              </w:rPr>
              <w:t>分阶段组织专题会议对“四节一环保”的有效性、适应性、适宜性进行评价。</w:t>
            </w:r>
          </w:p>
        </w:tc>
      </w:tr>
      <w:tr w14:paraId="073C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5D03EBA">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0316BBC">
            <w:pPr>
              <w:pStyle w:val="74"/>
              <w:jc w:val="left"/>
              <w:rPr>
                <w:rFonts w:hint="eastAsia"/>
                <w:color w:val="auto"/>
                <w:highlight w:val="none"/>
              </w:rPr>
            </w:pPr>
            <w:r>
              <w:rPr>
                <w:rFonts w:hint="eastAsia"/>
                <w:color w:val="auto"/>
                <w:highlight w:val="none"/>
              </w:rPr>
              <w:t>评价是否需要对“四节一环保”计划做出调整，包括对各项目标指标值的调整，提供制定持续改进措施计划的信息和要求，包括各项措施的先后顺序、时间节点。</w:t>
            </w:r>
          </w:p>
        </w:tc>
      </w:tr>
      <w:tr w14:paraId="0A45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0CB5D42">
            <w:pPr>
              <w:pStyle w:val="74"/>
              <w:rPr>
                <w:rFonts w:hint="eastAsia"/>
                <w:color w:val="auto"/>
                <w:highlight w:val="none"/>
              </w:rPr>
            </w:pPr>
            <w:r>
              <w:rPr>
                <w:rFonts w:hint="eastAsia"/>
                <w:color w:val="auto"/>
                <w:highlight w:val="none"/>
              </w:rPr>
              <w:t>4</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5524C85">
            <w:pPr>
              <w:pStyle w:val="74"/>
              <w:jc w:val="left"/>
              <w:rPr>
                <w:rFonts w:hint="eastAsia"/>
                <w:color w:val="auto"/>
                <w:highlight w:val="none"/>
              </w:rPr>
            </w:pPr>
            <w:r>
              <w:rPr>
                <w:rFonts w:hint="eastAsia"/>
                <w:color w:val="auto"/>
                <w:highlight w:val="none"/>
              </w:rPr>
              <w:t>识别以及及时纠正“四节一环保”方案措施的不足之处，必要时包括对项目部组织机构做出调整。</w:t>
            </w:r>
          </w:p>
        </w:tc>
      </w:tr>
      <w:tr w14:paraId="616D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C6A59C6">
            <w:pPr>
              <w:pStyle w:val="74"/>
              <w:rPr>
                <w:rFonts w:hint="eastAsia"/>
                <w:color w:val="auto"/>
                <w:highlight w:val="none"/>
              </w:rPr>
            </w:pPr>
            <w:r>
              <w:rPr>
                <w:rFonts w:hint="eastAsia"/>
                <w:color w:val="auto"/>
                <w:highlight w:val="none"/>
              </w:rPr>
              <w:t>5</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1CC18119">
            <w:pPr>
              <w:pStyle w:val="74"/>
              <w:jc w:val="left"/>
              <w:rPr>
                <w:rFonts w:hint="eastAsia"/>
                <w:color w:val="auto"/>
                <w:highlight w:val="none"/>
              </w:rPr>
            </w:pPr>
            <w:r>
              <w:rPr>
                <w:rFonts w:hint="eastAsia"/>
                <w:color w:val="auto"/>
                <w:highlight w:val="none"/>
              </w:rPr>
              <w:t>评价“四节一环保”目标实现情况，在地下室与主体施工阶段、装修工程施工阶段为每个季度评价一次；涉及较小且工期较短（小于一个季度）的专业分项工程，为每分项工程结束前进行评价。</w:t>
            </w:r>
          </w:p>
        </w:tc>
      </w:tr>
      <w:tr w14:paraId="36F0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D796E63">
            <w:pPr>
              <w:pStyle w:val="74"/>
              <w:rPr>
                <w:rFonts w:hint="eastAsia"/>
                <w:color w:val="auto"/>
                <w:highlight w:val="none"/>
              </w:rPr>
            </w:pPr>
            <w:r>
              <w:rPr>
                <w:rFonts w:hint="eastAsia"/>
                <w:color w:val="auto"/>
                <w:highlight w:val="none"/>
              </w:rPr>
              <w:t>6</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E0E3AFC">
            <w:pPr>
              <w:pStyle w:val="74"/>
              <w:jc w:val="left"/>
              <w:rPr>
                <w:rFonts w:hint="eastAsia"/>
                <w:color w:val="auto"/>
                <w:highlight w:val="none"/>
              </w:rPr>
            </w:pPr>
            <w:r>
              <w:rPr>
                <w:rFonts w:hint="eastAsia"/>
                <w:color w:val="auto"/>
                <w:highlight w:val="none"/>
              </w:rPr>
              <w:t>评估从业人员节约意识的提高情况，在地下室与主体施工阶段、装修工程施工阶段为每个季度评估一次；涉及较小且工期较短（小于一个季度）的专业分项工程，为每分项工程结束前进行评估。</w:t>
            </w:r>
          </w:p>
        </w:tc>
      </w:tr>
    </w:tbl>
    <w:p w14:paraId="7422585A">
      <w:pPr>
        <w:pStyle w:val="97"/>
        <w:spacing w:before="24" w:beforeLines="10" w:after="24" w:afterLines="10" w:line="432" w:lineRule="auto"/>
        <w:ind w:firstLine="560"/>
        <w:rPr>
          <w:color w:val="auto"/>
          <w:sz w:val="24"/>
          <w:szCs w:val="24"/>
          <w:highlight w:val="none"/>
        </w:rPr>
      </w:pPr>
      <w:r>
        <w:rPr>
          <w:color w:val="auto"/>
          <w:sz w:val="24"/>
          <w:szCs w:val="24"/>
          <w:highlight w:val="none"/>
        </w:rPr>
        <w:t>4、加强绿色施工总承包管理</w:t>
      </w:r>
    </w:p>
    <w:p w14:paraId="5A54DAA3">
      <w:pPr>
        <w:pStyle w:val="97"/>
        <w:spacing w:before="24" w:beforeLines="10" w:after="24" w:afterLines="10" w:line="432" w:lineRule="auto"/>
        <w:ind w:firstLine="560"/>
        <w:rPr>
          <w:color w:val="auto"/>
          <w:sz w:val="24"/>
          <w:szCs w:val="24"/>
          <w:highlight w:val="none"/>
        </w:rPr>
      </w:pPr>
      <w:r>
        <w:rPr>
          <w:color w:val="auto"/>
          <w:sz w:val="24"/>
          <w:szCs w:val="24"/>
          <w:highlight w:val="none"/>
        </w:rPr>
        <w:t>本工程为综合性较强、专业较多的工程，前期主体结构施工时主要针对土建、机电安装、钢构等分包队伍进行绿色施工管理实施，后期装修阶段涉及的专业复杂繁多，如电梯工程、弱电工程、幕墙工程、室内精装修工程、室外工程等，加强对各专业分包绿色施工的总承包管理是项目绿色施工的重点。公司将主要从以下三方面对各专业分包进行绿色施工的考核管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2"/>
        <w:gridCol w:w="7578"/>
      </w:tblGrid>
      <w:tr w14:paraId="3AAE3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818" w:type="pct"/>
            <w:tcBorders>
              <w:top w:val="single" w:color="auto" w:sz="4" w:space="0"/>
              <w:left w:val="single" w:color="auto" w:sz="4" w:space="0"/>
              <w:bottom w:val="single" w:color="auto" w:sz="4" w:space="0"/>
              <w:right w:val="single" w:color="auto" w:sz="4" w:space="0"/>
            </w:tcBorders>
            <w:noWrap w:val="0"/>
            <w:vAlign w:val="center"/>
          </w:tcPr>
          <w:p w14:paraId="42A27314">
            <w:pPr>
              <w:pStyle w:val="74"/>
              <w:rPr>
                <w:rFonts w:hint="eastAsia"/>
                <w:color w:val="auto"/>
                <w:highlight w:val="none"/>
              </w:rPr>
            </w:pPr>
            <w:r>
              <w:rPr>
                <w:rFonts w:hint="eastAsia"/>
                <w:color w:val="auto"/>
                <w:highlight w:val="none"/>
              </w:rPr>
              <w:t>项目</w:t>
            </w:r>
          </w:p>
        </w:tc>
        <w:tc>
          <w:tcPr>
            <w:tcW w:w="4182" w:type="pct"/>
            <w:tcBorders>
              <w:top w:val="single" w:color="auto" w:sz="4" w:space="0"/>
              <w:left w:val="single" w:color="auto" w:sz="4" w:space="0"/>
              <w:bottom w:val="single" w:color="auto" w:sz="4" w:space="0"/>
              <w:right w:val="single" w:color="auto" w:sz="4" w:space="0"/>
            </w:tcBorders>
            <w:noWrap w:val="0"/>
            <w:vAlign w:val="center"/>
          </w:tcPr>
          <w:p w14:paraId="420D8D9B">
            <w:pPr>
              <w:pStyle w:val="74"/>
              <w:rPr>
                <w:rFonts w:hint="eastAsia"/>
                <w:color w:val="auto"/>
                <w:highlight w:val="none"/>
              </w:rPr>
            </w:pPr>
            <w:r>
              <w:rPr>
                <w:rFonts w:hint="eastAsia"/>
                <w:color w:val="auto"/>
                <w:highlight w:val="none"/>
              </w:rPr>
              <w:t>管理措施</w:t>
            </w:r>
          </w:p>
        </w:tc>
      </w:tr>
      <w:tr w14:paraId="5FBD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pct"/>
            <w:tcBorders>
              <w:top w:val="single" w:color="auto" w:sz="4" w:space="0"/>
              <w:left w:val="single" w:color="auto" w:sz="4" w:space="0"/>
              <w:bottom w:val="single" w:color="auto" w:sz="4" w:space="0"/>
              <w:right w:val="single" w:color="auto" w:sz="4" w:space="0"/>
            </w:tcBorders>
            <w:noWrap w:val="0"/>
            <w:vAlign w:val="center"/>
          </w:tcPr>
          <w:p w14:paraId="11BFC4C2">
            <w:pPr>
              <w:pStyle w:val="74"/>
              <w:rPr>
                <w:rFonts w:hint="eastAsia"/>
                <w:color w:val="auto"/>
                <w:highlight w:val="none"/>
              </w:rPr>
            </w:pPr>
            <w:r>
              <w:rPr>
                <w:rFonts w:hint="eastAsia"/>
                <w:color w:val="auto"/>
                <w:highlight w:val="none"/>
              </w:rPr>
              <w:t>绿色施工计划和制度管理</w:t>
            </w:r>
          </w:p>
        </w:tc>
        <w:tc>
          <w:tcPr>
            <w:tcW w:w="4182" w:type="pct"/>
            <w:tcBorders>
              <w:top w:val="single" w:color="auto" w:sz="4" w:space="0"/>
              <w:left w:val="single" w:color="auto" w:sz="4" w:space="0"/>
              <w:bottom w:val="single" w:color="auto" w:sz="4" w:space="0"/>
              <w:right w:val="single" w:color="auto" w:sz="4" w:space="0"/>
            </w:tcBorders>
            <w:noWrap w:val="0"/>
            <w:vAlign w:val="center"/>
          </w:tcPr>
          <w:p w14:paraId="58F2D5C7">
            <w:pPr>
              <w:pStyle w:val="74"/>
              <w:jc w:val="left"/>
              <w:rPr>
                <w:rFonts w:hint="eastAsia"/>
                <w:color w:val="auto"/>
                <w:highlight w:val="none"/>
              </w:rPr>
            </w:pPr>
            <w:r>
              <w:rPr>
                <w:rFonts w:hint="eastAsia"/>
                <w:color w:val="auto"/>
                <w:highlight w:val="none"/>
              </w:rPr>
              <w:t>每个分包进场之初即要求各分包单位及时向项目部上报绿色施工管理计划（包括施工计划和进度计划）以及绿色施工管理制度，经总包单位审核后统一上报监理、业主，由总包、监理、业主对分包的绿色施工进行共同监管、考核。</w:t>
            </w:r>
          </w:p>
        </w:tc>
      </w:tr>
      <w:tr w14:paraId="1BD15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pct"/>
            <w:tcBorders>
              <w:top w:val="single" w:color="auto" w:sz="4" w:space="0"/>
              <w:left w:val="single" w:color="auto" w:sz="4" w:space="0"/>
              <w:bottom w:val="single" w:color="auto" w:sz="4" w:space="0"/>
              <w:right w:val="single" w:color="auto" w:sz="4" w:space="0"/>
            </w:tcBorders>
            <w:noWrap w:val="0"/>
            <w:vAlign w:val="center"/>
          </w:tcPr>
          <w:p w14:paraId="563AB132">
            <w:pPr>
              <w:pStyle w:val="74"/>
              <w:rPr>
                <w:rFonts w:hint="eastAsia"/>
                <w:color w:val="auto"/>
                <w:highlight w:val="none"/>
              </w:rPr>
            </w:pPr>
            <w:r>
              <w:rPr>
                <w:rFonts w:hint="eastAsia"/>
                <w:color w:val="auto"/>
                <w:highlight w:val="none"/>
              </w:rPr>
              <w:t>绿色施工实施考核</w:t>
            </w:r>
          </w:p>
        </w:tc>
        <w:tc>
          <w:tcPr>
            <w:tcW w:w="4182" w:type="pct"/>
            <w:tcBorders>
              <w:top w:val="single" w:color="auto" w:sz="4" w:space="0"/>
              <w:left w:val="single" w:color="auto" w:sz="4" w:space="0"/>
              <w:bottom w:val="single" w:color="auto" w:sz="4" w:space="0"/>
              <w:right w:val="single" w:color="auto" w:sz="4" w:space="0"/>
            </w:tcBorders>
            <w:noWrap w:val="0"/>
            <w:vAlign w:val="center"/>
          </w:tcPr>
          <w:p w14:paraId="208C3C23">
            <w:pPr>
              <w:pStyle w:val="74"/>
              <w:jc w:val="left"/>
              <w:rPr>
                <w:rFonts w:hint="eastAsia"/>
                <w:color w:val="auto"/>
                <w:highlight w:val="none"/>
              </w:rPr>
            </w:pPr>
            <w:r>
              <w:rPr>
                <w:rFonts w:hint="eastAsia"/>
                <w:color w:val="auto"/>
                <w:highlight w:val="none"/>
              </w:rPr>
              <w:t>在分项工程的实施过程中，按照各专业分包所报送的分项工程绿色施工实施方案，严格对分项工程进行过程监控，并定期进行考核，考核不达标责令其立即整改并处以违约金直至满足绿色施工方案及《绿色施工评价标准》要求为止。</w:t>
            </w:r>
          </w:p>
        </w:tc>
      </w:tr>
      <w:tr w14:paraId="53742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pct"/>
            <w:tcBorders>
              <w:top w:val="single" w:color="auto" w:sz="4" w:space="0"/>
              <w:left w:val="single" w:color="auto" w:sz="4" w:space="0"/>
              <w:bottom w:val="single" w:color="auto" w:sz="4" w:space="0"/>
              <w:right w:val="single" w:color="auto" w:sz="4" w:space="0"/>
            </w:tcBorders>
            <w:noWrap w:val="0"/>
            <w:vAlign w:val="center"/>
          </w:tcPr>
          <w:p w14:paraId="6EA7D16D">
            <w:pPr>
              <w:pStyle w:val="74"/>
              <w:rPr>
                <w:rFonts w:hint="eastAsia"/>
                <w:color w:val="auto"/>
                <w:highlight w:val="none"/>
              </w:rPr>
            </w:pPr>
            <w:r>
              <w:rPr>
                <w:rFonts w:hint="eastAsia"/>
                <w:color w:val="auto"/>
                <w:highlight w:val="none"/>
              </w:rPr>
              <w:t>绿色施工资料管理</w:t>
            </w:r>
          </w:p>
        </w:tc>
        <w:tc>
          <w:tcPr>
            <w:tcW w:w="4182" w:type="pct"/>
            <w:tcBorders>
              <w:top w:val="single" w:color="auto" w:sz="4" w:space="0"/>
              <w:left w:val="single" w:color="auto" w:sz="4" w:space="0"/>
              <w:bottom w:val="single" w:color="auto" w:sz="4" w:space="0"/>
              <w:right w:val="single" w:color="auto" w:sz="4" w:space="0"/>
            </w:tcBorders>
            <w:noWrap w:val="0"/>
            <w:vAlign w:val="center"/>
          </w:tcPr>
          <w:p w14:paraId="4AE4A897">
            <w:pPr>
              <w:pStyle w:val="74"/>
              <w:jc w:val="left"/>
              <w:rPr>
                <w:rFonts w:hint="eastAsia"/>
                <w:color w:val="auto"/>
                <w:highlight w:val="none"/>
              </w:rPr>
            </w:pPr>
            <w:r>
              <w:rPr>
                <w:rFonts w:hint="eastAsia"/>
                <w:color w:val="auto"/>
                <w:highlight w:val="none"/>
              </w:rPr>
              <w:t>由我司负责对各个专业分包绿色施工过程资料的正确性、完整性进行全过程监督管理，在分项工程结束后统一上交我司管理，并由我司统一组织绿色施工中期验收与竣工验收。</w:t>
            </w:r>
          </w:p>
        </w:tc>
      </w:tr>
    </w:tbl>
    <w:p w14:paraId="7D3130C7">
      <w:pPr>
        <w:pStyle w:val="6"/>
        <w:ind w:firstLine="480"/>
        <w:rPr>
          <w:color w:val="auto"/>
          <w:sz w:val="24"/>
          <w:szCs w:val="24"/>
          <w:lang w:val="en-US" w:eastAsia="zh-CN"/>
        </w:rPr>
      </w:pPr>
      <w:bookmarkStart w:id="256" w:name="_Toc202510564"/>
      <w:r>
        <w:rPr>
          <w:rFonts w:hint="eastAsia"/>
          <w:color w:val="auto"/>
          <w:sz w:val="24"/>
          <w:szCs w:val="24"/>
          <w:lang w:val="en-US" w:eastAsia="zh-CN"/>
        </w:rPr>
        <w:t>绿色施工管理制度</w:t>
      </w:r>
    </w:p>
    <w:p w14:paraId="48CCF93B">
      <w:pPr>
        <w:pStyle w:val="89"/>
        <w:spacing w:before="24" w:beforeLines="10" w:after="24" w:afterLines="10" w:line="432" w:lineRule="auto"/>
        <w:ind w:firstLine="560"/>
        <w:rPr>
          <w:rFonts w:hint="eastAsia"/>
          <w:color w:val="auto"/>
          <w:sz w:val="24"/>
          <w:szCs w:val="24"/>
        </w:rPr>
      </w:pPr>
      <w:bookmarkStart w:id="257" w:name="_Toc62402053"/>
      <w:bookmarkStart w:id="258" w:name="_Toc53530321"/>
      <w:r>
        <w:rPr>
          <w:rFonts w:hint="eastAsia"/>
          <w:color w:val="auto"/>
          <w:sz w:val="24"/>
          <w:szCs w:val="24"/>
          <w:lang w:val="en-US" w:eastAsia="zh-CN"/>
        </w:rPr>
        <w:t>1、</w:t>
      </w:r>
      <w:r>
        <w:rPr>
          <w:rFonts w:hint="eastAsia"/>
          <w:color w:val="auto"/>
          <w:sz w:val="24"/>
          <w:szCs w:val="24"/>
        </w:rPr>
        <w:t>绿色施工教育制度</w:t>
      </w:r>
      <w:bookmarkEnd w:id="257"/>
      <w:bookmarkEnd w:id="258"/>
    </w:p>
    <w:p w14:paraId="3003B8F9">
      <w:pPr>
        <w:pStyle w:val="89"/>
        <w:spacing w:before="24" w:beforeLines="10" w:after="24" w:afterLines="10" w:line="432" w:lineRule="auto"/>
        <w:ind w:firstLine="560"/>
        <w:rPr>
          <w:color w:val="auto"/>
          <w:sz w:val="24"/>
          <w:szCs w:val="24"/>
        </w:rPr>
      </w:pPr>
      <w:r>
        <w:rPr>
          <w:rFonts w:hint="eastAsia"/>
          <w:color w:val="auto"/>
          <w:sz w:val="24"/>
          <w:szCs w:val="24"/>
        </w:rPr>
        <w:t>项目部将通过对管理人员及施工人员组织各种形式的绿色施工教育活动，使绿色施工意识深入人心，具体如下表所示：</w:t>
      </w:r>
    </w:p>
    <w:p w14:paraId="5B033942">
      <w:pPr>
        <w:pStyle w:val="104"/>
        <w:numPr>
          <w:ilvl w:val="0"/>
          <w:numId w:val="0"/>
        </w:numPr>
        <w:spacing w:before="24" w:beforeLines="10" w:after="24" w:afterLines="10" w:line="432" w:lineRule="auto"/>
        <w:rPr>
          <w:color w:val="auto"/>
          <w:sz w:val="24"/>
          <w:szCs w:val="24"/>
        </w:rPr>
      </w:pPr>
      <w:r>
        <w:rPr>
          <w:rFonts w:hint="eastAsia"/>
          <w:color w:val="auto"/>
          <w:sz w:val="24"/>
          <w:szCs w:val="24"/>
        </w:rPr>
        <w:t>插表 绿色施工教育制度</w:t>
      </w:r>
    </w:p>
    <w:tbl>
      <w:tblPr>
        <w:tblStyle w:val="29"/>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68"/>
        <w:gridCol w:w="8192"/>
      </w:tblGrid>
      <w:tr w14:paraId="7D2B77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0CBD28C2">
            <w:pPr>
              <w:pStyle w:val="74"/>
              <w:jc w:val="center"/>
              <w:rPr>
                <w:rFonts w:hint="eastAsia"/>
                <w:color w:val="auto"/>
                <w:highlight w:val="none"/>
              </w:rPr>
            </w:pPr>
            <w:r>
              <w:rPr>
                <w:rFonts w:hint="eastAsia"/>
                <w:color w:val="auto"/>
                <w:highlight w:val="none"/>
              </w:rPr>
              <w:t>项目</w:t>
            </w:r>
          </w:p>
        </w:tc>
        <w:tc>
          <w:tcPr>
            <w:tcW w:w="4521" w:type="pct"/>
            <w:noWrap w:val="0"/>
            <w:vAlign w:val="center"/>
          </w:tcPr>
          <w:p w14:paraId="3F6F8A1D">
            <w:pPr>
              <w:pStyle w:val="74"/>
              <w:jc w:val="center"/>
              <w:rPr>
                <w:rFonts w:hint="eastAsia"/>
                <w:color w:val="auto"/>
                <w:highlight w:val="none"/>
              </w:rPr>
            </w:pPr>
            <w:r>
              <w:rPr>
                <w:rFonts w:hint="eastAsia"/>
                <w:color w:val="auto"/>
                <w:highlight w:val="none"/>
              </w:rPr>
              <w:t>主要内容</w:t>
            </w:r>
          </w:p>
        </w:tc>
      </w:tr>
      <w:tr w14:paraId="7341501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1B6084C0">
            <w:pPr>
              <w:pStyle w:val="74"/>
              <w:jc w:val="center"/>
              <w:rPr>
                <w:rFonts w:hint="eastAsia"/>
                <w:color w:val="auto"/>
                <w:highlight w:val="none"/>
              </w:rPr>
            </w:pPr>
            <w:r>
              <w:rPr>
                <w:rFonts w:hint="eastAsia"/>
                <w:color w:val="auto"/>
                <w:highlight w:val="none"/>
              </w:rPr>
              <w:t>1</w:t>
            </w:r>
          </w:p>
        </w:tc>
        <w:tc>
          <w:tcPr>
            <w:tcW w:w="4521" w:type="pct"/>
            <w:noWrap w:val="0"/>
            <w:vAlign w:val="center"/>
          </w:tcPr>
          <w:p w14:paraId="44A799BD">
            <w:pPr>
              <w:pStyle w:val="74"/>
              <w:jc w:val="left"/>
              <w:rPr>
                <w:rFonts w:hint="eastAsia"/>
                <w:color w:val="auto"/>
                <w:highlight w:val="none"/>
              </w:rPr>
            </w:pPr>
            <w:r>
              <w:rPr>
                <w:rFonts w:hint="eastAsia"/>
                <w:color w:val="auto"/>
                <w:highlight w:val="none"/>
              </w:rPr>
              <w:t>绿色施工教育是为了增强企业职工绿色施工意识，提高素质，确保绿色施工。</w:t>
            </w:r>
          </w:p>
        </w:tc>
      </w:tr>
      <w:tr w14:paraId="678BB3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061E1AC0">
            <w:pPr>
              <w:pStyle w:val="74"/>
              <w:jc w:val="center"/>
              <w:rPr>
                <w:rFonts w:hint="eastAsia"/>
                <w:color w:val="auto"/>
                <w:highlight w:val="none"/>
              </w:rPr>
            </w:pPr>
            <w:r>
              <w:rPr>
                <w:rFonts w:hint="eastAsia"/>
                <w:color w:val="auto"/>
                <w:highlight w:val="none"/>
              </w:rPr>
              <w:t>2</w:t>
            </w:r>
          </w:p>
        </w:tc>
        <w:tc>
          <w:tcPr>
            <w:tcW w:w="4521" w:type="pct"/>
            <w:noWrap w:val="0"/>
            <w:vAlign w:val="center"/>
          </w:tcPr>
          <w:p w14:paraId="459C7846">
            <w:pPr>
              <w:pStyle w:val="74"/>
              <w:jc w:val="left"/>
              <w:rPr>
                <w:rFonts w:hint="eastAsia"/>
                <w:color w:val="auto"/>
                <w:highlight w:val="none"/>
              </w:rPr>
            </w:pPr>
            <w:r>
              <w:rPr>
                <w:rFonts w:hint="eastAsia"/>
                <w:color w:val="auto"/>
                <w:highlight w:val="none"/>
              </w:rPr>
              <w:t>绿色施工教育适用于工程项目所有从事建筑施工的人员。</w:t>
            </w:r>
          </w:p>
        </w:tc>
      </w:tr>
      <w:tr w14:paraId="4A8FE2C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59BD040F">
            <w:pPr>
              <w:pStyle w:val="74"/>
              <w:jc w:val="center"/>
              <w:rPr>
                <w:rFonts w:hint="eastAsia"/>
                <w:color w:val="auto"/>
                <w:highlight w:val="none"/>
              </w:rPr>
            </w:pPr>
            <w:r>
              <w:rPr>
                <w:rFonts w:hint="eastAsia"/>
                <w:color w:val="auto"/>
                <w:highlight w:val="none"/>
              </w:rPr>
              <w:t>3</w:t>
            </w:r>
          </w:p>
        </w:tc>
        <w:tc>
          <w:tcPr>
            <w:tcW w:w="4521" w:type="pct"/>
            <w:noWrap w:val="0"/>
            <w:vAlign w:val="center"/>
          </w:tcPr>
          <w:p w14:paraId="74464017">
            <w:pPr>
              <w:pStyle w:val="74"/>
              <w:jc w:val="left"/>
              <w:rPr>
                <w:rFonts w:hint="eastAsia"/>
                <w:color w:val="auto"/>
                <w:highlight w:val="none"/>
              </w:rPr>
            </w:pPr>
            <w:r>
              <w:rPr>
                <w:rFonts w:hint="eastAsia"/>
                <w:color w:val="auto"/>
                <w:highlight w:val="none"/>
              </w:rPr>
              <w:t>项目质量、安全部门负责绿色施工教育培训管理工作。</w:t>
            </w:r>
          </w:p>
        </w:tc>
      </w:tr>
      <w:tr w14:paraId="5FD1784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6B6570C0">
            <w:pPr>
              <w:pStyle w:val="74"/>
              <w:jc w:val="center"/>
              <w:rPr>
                <w:rFonts w:hint="eastAsia"/>
                <w:color w:val="auto"/>
                <w:highlight w:val="none"/>
              </w:rPr>
            </w:pPr>
            <w:r>
              <w:rPr>
                <w:rFonts w:hint="eastAsia"/>
                <w:color w:val="auto"/>
                <w:highlight w:val="none"/>
              </w:rPr>
              <w:t>4</w:t>
            </w:r>
          </w:p>
        </w:tc>
        <w:tc>
          <w:tcPr>
            <w:tcW w:w="4521" w:type="pct"/>
            <w:noWrap w:val="0"/>
            <w:vAlign w:val="center"/>
          </w:tcPr>
          <w:p w14:paraId="2E2AFD9C">
            <w:pPr>
              <w:pStyle w:val="74"/>
              <w:jc w:val="left"/>
              <w:rPr>
                <w:rFonts w:hint="eastAsia"/>
                <w:color w:val="auto"/>
                <w:highlight w:val="none"/>
              </w:rPr>
            </w:pPr>
            <w:r>
              <w:rPr>
                <w:rFonts w:hint="eastAsia"/>
                <w:color w:val="auto"/>
                <w:highlight w:val="none"/>
              </w:rPr>
              <w:t>项目全体员工必须参加定期或不定期绿色施工教育培训。</w:t>
            </w:r>
          </w:p>
        </w:tc>
      </w:tr>
      <w:tr w14:paraId="6FA458F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3178C55D">
            <w:pPr>
              <w:pStyle w:val="74"/>
              <w:jc w:val="center"/>
              <w:rPr>
                <w:rFonts w:hint="eastAsia"/>
                <w:color w:val="auto"/>
                <w:highlight w:val="none"/>
              </w:rPr>
            </w:pPr>
            <w:r>
              <w:rPr>
                <w:rFonts w:hint="eastAsia"/>
                <w:color w:val="auto"/>
                <w:highlight w:val="none"/>
              </w:rPr>
              <w:t>5</w:t>
            </w:r>
          </w:p>
        </w:tc>
        <w:tc>
          <w:tcPr>
            <w:tcW w:w="4521" w:type="pct"/>
            <w:noWrap w:val="0"/>
            <w:vAlign w:val="center"/>
          </w:tcPr>
          <w:p w14:paraId="4111DB8B">
            <w:pPr>
              <w:pStyle w:val="74"/>
              <w:jc w:val="left"/>
              <w:rPr>
                <w:rFonts w:hint="eastAsia"/>
                <w:color w:val="auto"/>
                <w:highlight w:val="none"/>
              </w:rPr>
            </w:pPr>
            <w:r>
              <w:rPr>
                <w:rFonts w:hint="eastAsia"/>
                <w:color w:val="auto"/>
                <w:highlight w:val="none"/>
              </w:rPr>
              <w:t>项目负责人、其他管理人员和技术人员每年参加公司组织的培训学习一次，学习时间不少于30学时。</w:t>
            </w:r>
          </w:p>
        </w:tc>
      </w:tr>
      <w:tr w14:paraId="6F67E39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73" w:hRule="atLeast"/>
          <w:jc w:val="center"/>
        </w:trPr>
        <w:tc>
          <w:tcPr>
            <w:tcW w:w="479" w:type="pct"/>
            <w:noWrap w:val="0"/>
            <w:vAlign w:val="center"/>
          </w:tcPr>
          <w:p w14:paraId="4AC9CAEA">
            <w:pPr>
              <w:pStyle w:val="74"/>
              <w:jc w:val="center"/>
              <w:rPr>
                <w:rFonts w:hint="eastAsia"/>
                <w:color w:val="auto"/>
                <w:highlight w:val="none"/>
              </w:rPr>
            </w:pPr>
            <w:r>
              <w:rPr>
                <w:rFonts w:hint="eastAsia"/>
                <w:color w:val="auto"/>
                <w:highlight w:val="none"/>
              </w:rPr>
              <w:t>6</w:t>
            </w:r>
          </w:p>
        </w:tc>
        <w:tc>
          <w:tcPr>
            <w:tcW w:w="4521" w:type="pct"/>
            <w:noWrap w:val="0"/>
            <w:vAlign w:val="center"/>
          </w:tcPr>
          <w:p w14:paraId="6ECEBF5F">
            <w:pPr>
              <w:pStyle w:val="74"/>
              <w:jc w:val="left"/>
              <w:rPr>
                <w:rFonts w:hint="eastAsia"/>
                <w:color w:val="auto"/>
                <w:highlight w:val="none"/>
              </w:rPr>
            </w:pPr>
            <w:r>
              <w:rPr>
                <w:rFonts w:hint="eastAsia"/>
                <w:color w:val="auto"/>
                <w:highlight w:val="none"/>
              </w:rPr>
              <w:t>管理人员培训教育主要内容为国家的安全生产方针、政策、法律、法规、规范、标准和企业规章制度，工地制度、现场环境、工程特点及存在不安全因素等。班组教育培训主要内容：本工程安全操作规程、劳动纪律、事故教训、本班制度等。</w:t>
            </w:r>
          </w:p>
        </w:tc>
      </w:tr>
      <w:tr w14:paraId="66F5C2A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6381468C">
            <w:pPr>
              <w:pStyle w:val="74"/>
              <w:jc w:val="center"/>
              <w:rPr>
                <w:rFonts w:hint="eastAsia"/>
                <w:color w:val="auto"/>
                <w:highlight w:val="none"/>
              </w:rPr>
            </w:pPr>
            <w:r>
              <w:rPr>
                <w:rFonts w:hint="eastAsia"/>
                <w:color w:val="auto"/>
                <w:highlight w:val="none"/>
              </w:rPr>
              <w:t>7</w:t>
            </w:r>
          </w:p>
        </w:tc>
        <w:tc>
          <w:tcPr>
            <w:tcW w:w="4521" w:type="pct"/>
            <w:noWrap w:val="0"/>
            <w:vAlign w:val="center"/>
          </w:tcPr>
          <w:p w14:paraId="271071F3">
            <w:pPr>
              <w:pStyle w:val="74"/>
              <w:jc w:val="left"/>
              <w:rPr>
                <w:rFonts w:hint="eastAsia"/>
                <w:color w:val="auto"/>
                <w:highlight w:val="none"/>
              </w:rPr>
            </w:pPr>
            <w:r>
              <w:rPr>
                <w:rFonts w:hint="eastAsia"/>
                <w:color w:val="auto"/>
                <w:highlight w:val="none"/>
              </w:rPr>
              <w:t>针对绿色施工教育培训必须作出详细记录，定期培训。</w:t>
            </w:r>
          </w:p>
        </w:tc>
      </w:tr>
    </w:tbl>
    <w:p w14:paraId="289CF899">
      <w:pPr>
        <w:pStyle w:val="89"/>
        <w:spacing w:before="24" w:beforeLines="10" w:after="24" w:afterLines="10" w:line="432" w:lineRule="auto"/>
        <w:ind w:firstLine="560"/>
        <w:rPr>
          <w:rFonts w:hint="eastAsia"/>
          <w:color w:val="auto"/>
          <w:sz w:val="24"/>
          <w:szCs w:val="24"/>
          <w:lang w:val="en-US" w:eastAsia="zh-CN"/>
        </w:rPr>
      </w:pPr>
      <w:bookmarkStart w:id="259" w:name="_Toc53530322"/>
      <w:bookmarkStart w:id="260" w:name="_Toc62402054"/>
      <w:r>
        <w:rPr>
          <w:rFonts w:hint="eastAsia"/>
          <w:color w:val="auto"/>
          <w:sz w:val="24"/>
          <w:szCs w:val="24"/>
          <w:lang w:val="en-US" w:eastAsia="zh-CN"/>
        </w:rPr>
        <w:t>2、材料加工及材料堆场管理制度</w:t>
      </w:r>
      <w:bookmarkEnd w:id="259"/>
      <w:bookmarkEnd w:id="260"/>
    </w:p>
    <w:p w14:paraId="27BF7210">
      <w:pPr>
        <w:pStyle w:val="104"/>
        <w:numPr>
          <w:ilvl w:val="0"/>
          <w:numId w:val="0"/>
        </w:numPr>
        <w:spacing w:before="24" w:beforeLines="10" w:after="24" w:afterLines="10" w:line="432" w:lineRule="auto"/>
        <w:rPr>
          <w:color w:val="auto"/>
          <w:sz w:val="24"/>
          <w:szCs w:val="24"/>
        </w:rPr>
      </w:pPr>
      <w:r>
        <w:rPr>
          <w:rFonts w:hint="eastAsia"/>
          <w:color w:val="auto"/>
          <w:sz w:val="24"/>
          <w:szCs w:val="24"/>
          <w:highlight w:val="none"/>
        </w:rPr>
        <w:t>插表 材</w:t>
      </w:r>
      <w:r>
        <w:rPr>
          <w:rFonts w:hint="eastAsia"/>
          <w:color w:val="auto"/>
          <w:sz w:val="24"/>
          <w:szCs w:val="24"/>
        </w:rPr>
        <w:t>料加工及材料堆场管理管理制度</w:t>
      </w:r>
    </w:p>
    <w:tbl>
      <w:tblPr>
        <w:tblStyle w:val="29"/>
        <w:tblW w:w="4999"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68"/>
        <w:gridCol w:w="8190"/>
      </w:tblGrid>
      <w:tr w14:paraId="6C57F47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755EA965">
            <w:pPr>
              <w:pStyle w:val="74"/>
              <w:jc w:val="center"/>
              <w:rPr>
                <w:rFonts w:hint="eastAsia"/>
                <w:color w:val="auto"/>
                <w:highlight w:val="none"/>
              </w:rPr>
            </w:pPr>
            <w:r>
              <w:rPr>
                <w:rFonts w:hint="eastAsia"/>
                <w:color w:val="auto"/>
                <w:highlight w:val="none"/>
              </w:rPr>
              <w:t>序号</w:t>
            </w:r>
          </w:p>
        </w:tc>
        <w:tc>
          <w:tcPr>
            <w:tcW w:w="4520" w:type="pct"/>
            <w:noWrap w:val="0"/>
            <w:vAlign w:val="center"/>
          </w:tcPr>
          <w:p w14:paraId="0E813778">
            <w:pPr>
              <w:pStyle w:val="74"/>
              <w:jc w:val="center"/>
              <w:rPr>
                <w:rFonts w:hint="eastAsia"/>
                <w:color w:val="auto"/>
                <w:highlight w:val="none"/>
              </w:rPr>
            </w:pPr>
            <w:r>
              <w:rPr>
                <w:rFonts w:hint="eastAsia"/>
                <w:color w:val="auto"/>
                <w:highlight w:val="none"/>
              </w:rPr>
              <w:t>主要内容</w:t>
            </w:r>
          </w:p>
        </w:tc>
      </w:tr>
      <w:tr w14:paraId="36DA74D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0D4DFF14">
            <w:pPr>
              <w:pStyle w:val="74"/>
              <w:jc w:val="center"/>
              <w:rPr>
                <w:rFonts w:hint="eastAsia"/>
                <w:color w:val="auto"/>
                <w:highlight w:val="none"/>
              </w:rPr>
            </w:pPr>
            <w:r>
              <w:rPr>
                <w:rFonts w:hint="eastAsia"/>
                <w:color w:val="auto"/>
                <w:highlight w:val="none"/>
              </w:rPr>
              <w:t>1</w:t>
            </w:r>
          </w:p>
        </w:tc>
        <w:tc>
          <w:tcPr>
            <w:tcW w:w="4520" w:type="pct"/>
            <w:noWrap w:val="0"/>
            <w:vAlign w:val="center"/>
          </w:tcPr>
          <w:p w14:paraId="4327B3EA">
            <w:pPr>
              <w:pStyle w:val="74"/>
              <w:jc w:val="left"/>
              <w:rPr>
                <w:rFonts w:hint="eastAsia"/>
                <w:color w:val="auto"/>
                <w:highlight w:val="none"/>
              </w:rPr>
            </w:pPr>
            <w:r>
              <w:rPr>
                <w:rFonts w:hint="eastAsia"/>
                <w:color w:val="auto"/>
                <w:highlight w:val="none"/>
              </w:rPr>
              <w:t>各种成品、半成品、机械设备严格按照施工总平面图堆放，加工车间及堆场见总平面图。</w:t>
            </w:r>
          </w:p>
        </w:tc>
      </w:tr>
      <w:tr w14:paraId="35345AA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4A8E03C0">
            <w:pPr>
              <w:pStyle w:val="74"/>
              <w:jc w:val="center"/>
              <w:rPr>
                <w:rFonts w:hint="eastAsia"/>
                <w:color w:val="auto"/>
                <w:highlight w:val="none"/>
              </w:rPr>
            </w:pPr>
            <w:r>
              <w:rPr>
                <w:rFonts w:hint="eastAsia"/>
                <w:color w:val="auto"/>
                <w:highlight w:val="none"/>
              </w:rPr>
              <w:t>2</w:t>
            </w:r>
          </w:p>
        </w:tc>
        <w:tc>
          <w:tcPr>
            <w:tcW w:w="4520" w:type="pct"/>
            <w:noWrap w:val="0"/>
            <w:vAlign w:val="center"/>
          </w:tcPr>
          <w:p w14:paraId="67E4CA12">
            <w:pPr>
              <w:pStyle w:val="74"/>
              <w:jc w:val="left"/>
              <w:rPr>
                <w:rFonts w:hint="eastAsia"/>
                <w:color w:val="auto"/>
                <w:highlight w:val="none"/>
              </w:rPr>
            </w:pPr>
            <w:r>
              <w:rPr>
                <w:rFonts w:hint="eastAsia"/>
                <w:color w:val="auto"/>
                <w:highlight w:val="none"/>
              </w:rPr>
              <w:t>现场设围墙隔断，堆放管材、杆材、架板、模板等分类堆放。</w:t>
            </w:r>
          </w:p>
        </w:tc>
      </w:tr>
      <w:tr w14:paraId="106BE85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5B822A77">
            <w:pPr>
              <w:pStyle w:val="74"/>
              <w:jc w:val="center"/>
              <w:rPr>
                <w:rFonts w:hint="eastAsia"/>
                <w:color w:val="auto"/>
                <w:highlight w:val="none"/>
              </w:rPr>
            </w:pPr>
            <w:r>
              <w:rPr>
                <w:rFonts w:hint="eastAsia"/>
                <w:color w:val="auto"/>
                <w:highlight w:val="none"/>
              </w:rPr>
              <w:t>3</w:t>
            </w:r>
          </w:p>
        </w:tc>
        <w:tc>
          <w:tcPr>
            <w:tcW w:w="4520" w:type="pct"/>
            <w:noWrap w:val="0"/>
            <w:vAlign w:val="center"/>
          </w:tcPr>
          <w:p w14:paraId="1B0FB6E6">
            <w:pPr>
              <w:pStyle w:val="74"/>
              <w:jc w:val="left"/>
              <w:rPr>
                <w:rFonts w:hint="eastAsia"/>
                <w:color w:val="auto"/>
                <w:highlight w:val="none"/>
              </w:rPr>
            </w:pPr>
            <w:r>
              <w:rPr>
                <w:rFonts w:hint="eastAsia"/>
                <w:color w:val="auto"/>
                <w:highlight w:val="none"/>
              </w:rPr>
              <w:t>钢材按规格分别搁放整齐，并挂设产品标示牌（标示牌内容同上），加工的半成品分门别类的搁置在物架上，现场材料库应设货架。</w:t>
            </w:r>
          </w:p>
        </w:tc>
      </w:tr>
      <w:tr w14:paraId="482EF61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5F998BF6">
            <w:pPr>
              <w:pStyle w:val="74"/>
              <w:jc w:val="center"/>
              <w:rPr>
                <w:rFonts w:hint="eastAsia"/>
                <w:color w:val="auto"/>
                <w:highlight w:val="none"/>
              </w:rPr>
            </w:pPr>
            <w:r>
              <w:rPr>
                <w:rFonts w:hint="eastAsia"/>
                <w:color w:val="auto"/>
                <w:highlight w:val="none"/>
              </w:rPr>
              <w:t>4</w:t>
            </w:r>
          </w:p>
        </w:tc>
        <w:tc>
          <w:tcPr>
            <w:tcW w:w="4520" w:type="pct"/>
            <w:noWrap w:val="0"/>
            <w:vAlign w:val="center"/>
          </w:tcPr>
          <w:p w14:paraId="46E16C4D">
            <w:pPr>
              <w:pStyle w:val="74"/>
              <w:jc w:val="left"/>
              <w:rPr>
                <w:rFonts w:hint="eastAsia"/>
                <w:color w:val="auto"/>
                <w:highlight w:val="none"/>
              </w:rPr>
            </w:pPr>
            <w:r>
              <w:rPr>
                <w:rFonts w:hint="eastAsia"/>
                <w:color w:val="auto"/>
                <w:highlight w:val="none"/>
              </w:rPr>
              <w:t>现场材料库应设货架，分类摆好，挂设标签、库内整洁行走道路通畅。</w:t>
            </w:r>
          </w:p>
        </w:tc>
      </w:tr>
      <w:tr w14:paraId="34B8F8B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7" w:hRule="atLeast"/>
          <w:jc w:val="center"/>
        </w:trPr>
        <w:tc>
          <w:tcPr>
            <w:tcW w:w="479" w:type="pct"/>
            <w:noWrap w:val="0"/>
            <w:vAlign w:val="center"/>
          </w:tcPr>
          <w:p w14:paraId="0EC25C23">
            <w:pPr>
              <w:pStyle w:val="74"/>
              <w:jc w:val="center"/>
              <w:rPr>
                <w:rFonts w:hint="eastAsia"/>
                <w:color w:val="auto"/>
                <w:highlight w:val="none"/>
              </w:rPr>
            </w:pPr>
            <w:r>
              <w:rPr>
                <w:rFonts w:hint="eastAsia"/>
                <w:color w:val="auto"/>
                <w:highlight w:val="none"/>
              </w:rPr>
              <w:t>5</w:t>
            </w:r>
          </w:p>
        </w:tc>
        <w:tc>
          <w:tcPr>
            <w:tcW w:w="4520" w:type="pct"/>
            <w:noWrap w:val="0"/>
            <w:vAlign w:val="center"/>
          </w:tcPr>
          <w:p w14:paraId="60486A49">
            <w:pPr>
              <w:pStyle w:val="74"/>
              <w:jc w:val="left"/>
              <w:rPr>
                <w:rFonts w:hint="eastAsia"/>
                <w:color w:val="auto"/>
                <w:highlight w:val="none"/>
              </w:rPr>
            </w:pPr>
            <w:r>
              <w:rPr>
                <w:rFonts w:hint="eastAsia"/>
                <w:color w:val="auto"/>
                <w:highlight w:val="none"/>
              </w:rPr>
              <w:t>泵送机、钢筋机械操作场、通道口、操作点、进料口以及其他按规定要求达设的防护棚的，必须搭设防护棚。防护棚必须稳固、整洁、每天的机具应清洁干净、做好日常保养、用完清理完毕送回现场材料库房。</w:t>
            </w:r>
          </w:p>
        </w:tc>
      </w:tr>
    </w:tbl>
    <w:p w14:paraId="2FDF3CE0">
      <w:pPr>
        <w:pStyle w:val="89"/>
        <w:spacing w:before="24" w:beforeLines="10" w:after="24" w:afterLines="10" w:line="432" w:lineRule="auto"/>
        <w:ind w:firstLine="560"/>
        <w:rPr>
          <w:rFonts w:hint="eastAsia"/>
          <w:color w:val="auto"/>
          <w:sz w:val="24"/>
          <w:szCs w:val="24"/>
          <w:lang w:val="en-US" w:eastAsia="zh-CN"/>
        </w:rPr>
      </w:pPr>
      <w:bookmarkStart w:id="261" w:name="_Toc53530323"/>
      <w:bookmarkStart w:id="262" w:name="_Toc62402055"/>
      <w:r>
        <w:rPr>
          <w:rFonts w:hint="eastAsia"/>
          <w:color w:val="auto"/>
          <w:sz w:val="24"/>
          <w:szCs w:val="24"/>
          <w:lang w:val="en-US" w:eastAsia="zh-CN"/>
        </w:rPr>
        <w:t>3、清洁施工现场及垃圾处理管理制度</w:t>
      </w:r>
      <w:bookmarkEnd w:id="261"/>
      <w:bookmarkEnd w:id="262"/>
    </w:p>
    <w:p w14:paraId="16D7D5DD">
      <w:pPr>
        <w:pStyle w:val="89"/>
        <w:spacing w:before="24" w:beforeLines="10" w:after="24" w:afterLines="10" w:line="432" w:lineRule="auto"/>
        <w:ind w:firstLine="560"/>
        <w:rPr>
          <w:color w:val="auto"/>
          <w:sz w:val="24"/>
          <w:szCs w:val="24"/>
        </w:rPr>
      </w:pPr>
      <w:r>
        <w:rPr>
          <w:rFonts w:hint="eastAsia"/>
          <w:color w:val="auto"/>
          <w:sz w:val="24"/>
          <w:szCs w:val="24"/>
        </w:rPr>
        <w:t>为进一步做好施工现场的安全生产和文明施工工作，保证场容场貌整洁卫生、场地平整、道路畅通、材料堆放有序等，结合本工程实际情况，特定本制度，见下表：</w:t>
      </w:r>
    </w:p>
    <w:p w14:paraId="3072BB5A">
      <w:pPr>
        <w:pStyle w:val="104"/>
        <w:numPr>
          <w:ilvl w:val="0"/>
          <w:numId w:val="0"/>
        </w:numPr>
        <w:spacing w:before="24" w:beforeLines="10" w:after="24" w:afterLines="10" w:line="432" w:lineRule="auto"/>
        <w:rPr>
          <w:color w:val="auto"/>
          <w:sz w:val="24"/>
          <w:szCs w:val="24"/>
          <w:highlight w:val="none"/>
        </w:rPr>
      </w:pPr>
      <w:r>
        <w:rPr>
          <w:rFonts w:hint="eastAsia"/>
          <w:color w:val="auto"/>
          <w:sz w:val="24"/>
          <w:szCs w:val="24"/>
          <w:highlight w:val="none"/>
        </w:rPr>
        <w:t>插表 清洁施工现场及垃圾处理管理制度</w:t>
      </w:r>
    </w:p>
    <w:tbl>
      <w:tblPr>
        <w:tblStyle w:val="29"/>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68"/>
        <w:gridCol w:w="8192"/>
      </w:tblGrid>
      <w:tr w14:paraId="202EBD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8" w:hRule="atLeast"/>
          <w:jc w:val="center"/>
        </w:trPr>
        <w:tc>
          <w:tcPr>
            <w:tcW w:w="479" w:type="pct"/>
            <w:noWrap w:val="0"/>
            <w:vAlign w:val="center"/>
          </w:tcPr>
          <w:p w14:paraId="0E15232D">
            <w:pPr>
              <w:pStyle w:val="74"/>
              <w:jc w:val="center"/>
              <w:rPr>
                <w:rFonts w:hint="eastAsia"/>
                <w:color w:val="auto"/>
                <w:highlight w:val="none"/>
              </w:rPr>
            </w:pPr>
            <w:r>
              <w:rPr>
                <w:rFonts w:hint="eastAsia"/>
                <w:color w:val="auto"/>
                <w:highlight w:val="none"/>
              </w:rPr>
              <w:t>序号</w:t>
            </w:r>
          </w:p>
        </w:tc>
        <w:tc>
          <w:tcPr>
            <w:tcW w:w="4521" w:type="pct"/>
            <w:noWrap w:val="0"/>
            <w:vAlign w:val="center"/>
          </w:tcPr>
          <w:p w14:paraId="41DC635F">
            <w:pPr>
              <w:pStyle w:val="74"/>
              <w:jc w:val="center"/>
              <w:rPr>
                <w:rFonts w:hint="eastAsia"/>
                <w:color w:val="auto"/>
                <w:highlight w:val="none"/>
              </w:rPr>
            </w:pPr>
            <w:r>
              <w:rPr>
                <w:rFonts w:hint="eastAsia"/>
                <w:color w:val="auto"/>
                <w:highlight w:val="none"/>
              </w:rPr>
              <w:t>主要内容</w:t>
            </w:r>
          </w:p>
        </w:tc>
      </w:tr>
      <w:tr w14:paraId="7637626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58" w:hRule="atLeast"/>
          <w:jc w:val="center"/>
        </w:trPr>
        <w:tc>
          <w:tcPr>
            <w:tcW w:w="479" w:type="pct"/>
            <w:noWrap w:val="0"/>
            <w:vAlign w:val="center"/>
          </w:tcPr>
          <w:p w14:paraId="1928250A">
            <w:pPr>
              <w:pStyle w:val="74"/>
              <w:jc w:val="center"/>
              <w:rPr>
                <w:rFonts w:hint="eastAsia"/>
                <w:color w:val="auto"/>
                <w:highlight w:val="none"/>
              </w:rPr>
            </w:pPr>
            <w:r>
              <w:rPr>
                <w:rFonts w:hint="eastAsia"/>
                <w:color w:val="auto"/>
                <w:highlight w:val="none"/>
              </w:rPr>
              <w:t>1</w:t>
            </w:r>
          </w:p>
        </w:tc>
        <w:tc>
          <w:tcPr>
            <w:tcW w:w="4521" w:type="pct"/>
            <w:noWrap w:val="0"/>
            <w:vAlign w:val="center"/>
          </w:tcPr>
          <w:p w14:paraId="12B580FB">
            <w:pPr>
              <w:pStyle w:val="74"/>
              <w:jc w:val="left"/>
              <w:rPr>
                <w:rFonts w:hint="eastAsia"/>
                <w:color w:val="auto"/>
                <w:highlight w:val="none"/>
              </w:rPr>
            </w:pPr>
            <w:r>
              <w:rPr>
                <w:rFonts w:hint="eastAsia"/>
                <w:color w:val="auto"/>
                <w:highlight w:val="none"/>
              </w:rPr>
              <w:t>施工作业时不得造成严重环境污染。</w:t>
            </w:r>
          </w:p>
        </w:tc>
      </w:tr>
      <w:tr w14:paraId="561D99C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479" w:type="pct"/>
            <w:noWrap w:val="0"/>
            <w:vAlign w:val="center"/>
          </w:tcPr>
          <w:p w14:paraId="5C006058">
            <w:pPr>
              <w:pStyle w:val="74"/>
              <w:jc w:val="center"/>
              <w:rPr>
                <w:rFonts w:hint="eastAsia"/>
                <w:color w:val="auto"/>
                <w:highlight w:val="none"/>
              </w:rPr>
            </w:pPr>
            <w:r>
              <w:rPr>
                <w:rFonts w:hint="eastAsia"/>
                <w:color w:val="auto"/>
                <w:highlight w:val="none"/>
              </w:rPr>
              <w:t>2</w:t>
            </w:r>
          </w:p>
        </w:tc>
        <w:tc>
          <w:tcPr>
            <w:tcW w:w="4521" w:type="pct"/>
            <w:noWrap w:val="0"/>
            <w:vAlign w:val="center"/>
          </w:tcPr>
          <w:p w14:paraId="58F9F637">
            <w:pPr>
              <w:pStyle w:val="74"/>
              <w:jc w:val="left"/>
              <w:rPr>
                <w:rFonts w:hint="eastAsia"/>
                <w:color w:val="auto"/>
                <w:highlight w:val="none"/>
              </w:rPr>
            </w:pPr>
            <w:r>
              <w:rPr>
                <w:rFonts w:hint="eastAsia"/>
                <w:color w:val="auto"/>
                <w:highlight w:val="none"/>
              </w:rPr>
              <w:t>操作人员应做到工完料尽、物尽其用、废料归堆，并清运出场的责任到位工作。</w:t>
            </w:r>
          </w:p>
        </w:tc>
      </w:tr>
      <w:tr w14:paraId="13F77F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9" w:hRule="atLeast"/>
          <w:jc w:val="center"/>
        </w:trPr>
        <w:tc>
          <w:tcPr>
            <w:tcW w:w="479" w:type="pct"/>
            <w:noWrap w:val="0"/>
            <w:vAlign w:val="center"/>
          </w:tcPr>
          <w:p w14:paraId="2432957E">
            <w:pPr>
              <w:pStyle w:val="74"/>
              <w:jc w:val="center"/>
              <w:rPr>
                <w:rFonts w:hint="eastAsia"/>
                <w:color w:val="auto"/>
                <w:highlight w:val="none"/>
              </w:rPr>
            </w:pPr>
            <w:r>
              <w:rPr>
                <w:rFonts w:hint="eastAsia"/>
                <w:color w:val="auto"/>
                <w:highlight w:val="none"/>
              </w:rPr>
              <w:t>3</w:t>
            </w:r>
          </w:p>
        </w:tc>
        <w:tc>
          <w:tcPr>
            <w:tcW w:w="4521" w:type="pct"/>
            <w:noWrap w:val="0"/>
            <w:vAlign w:val="center"/>
          </w:tcPr>
          <w:p w14:paraId="1BA6821D">
            <w:pPr>
              <w:pStyle w:val="74"/>
              <w:jc w:val="left"/>
              <w:rPr>
                <w:rFonts w:hint="eastAsia"/>
                <w:color w:val="auto"/>
                <w:highlight w:val="none"/>
              </w:rPr>
            </w:pPr>
            <w:r>
              <w:rPr>
                <w:rFonts w:hint="eastAsia"/>
                <w:color w:val="auto"/>
                <w:highlight w:val="none"/>
              </w:rPr>
              <w:t>落地料、碎砖料、废料必须按时清理干净。</w:t>
            </w:r>
          </w:p>
        </w:tc>
      </w:tr>
      <w:tr w14:paraId="681D77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83" w:hRule="atLeast"/>
          <w:jc w:val="center"/>
        </w:trPr>
        <w:tc>
          <w:tcPr>
            <w:tcW w:w="479" w:type="pct"/>
            <w:noWrap w:val="0"/>
            <w:vAlign w:val="center"/>
          </w:tcPr>
          <w:p w14:paraId="3AD625EE">
            <w:pPr>
              <w:pStyle w:val="74"/>
              <w:jc w:val="center"/>
              <w:rPr>
                <w:rFonts w:hint="eastAsia"/>
                <w:color w:val="auto"/>
                <w:highlight w:val="none"/>
              </w:rPr>
            </w:pPr>
            <w:r>
              <w:rPr>
                <w:rFonts w:hint="eastAsia"/>
                <w:color w:val="auto"/>
                <w:highlight w:val="none"/>
              </w:rPr>
              <w:t>4</w:t>
            </w:r>
          </w:p>
        </w:tc>
        <w:tc>
          <w:tcPr>
            <w:tcW w:w="4521" w:type="pct"/>
            <w:noWrap w:val="0"/>
            <w:vAlign w:val="center"/>
          </w:tcPr>
          <w:p w14:paraId="24324089">
            <w:pPr>
              <w:pStyle w:val="74"/>
              <w:jc w:val="left"/>
              <w:rPr>
                <w:rFonts w:hint="eastAsia"/>
                <w:color w:val="auto"/>
                <w:highlight w:val="none"/>
              </w:rPr>
            </w:pPr>
            <w:r>
              <w:rPr>
                <w:rFonts w:hint="eastAsia"/>
                <w:color w:val="auto"/>
                <w:highlight w:val="none"/>
              </w:rPr>
              <w:t>砖块堆放应成垛，在脚手板上堆放不得超过三皮。</w:t>
            </w:r>
          </w:p>
        </w:tc>
      </w:tr>
      <w:tr w14:paraId="385446F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63" w:hRule="atLeast"/>
          <w:jc w:val="center"/>
        </w:trPr>
        <w:tc>
          <w:tcPr>
            <w:tcW w:w="479" w:type="pct"/>
            <w:noWrap w:val="0"/>
            <w:vAlign w:val="center"/>
          </w:tcPr>
          <w:p w14:paraId="61FC66D3">
            <w:pPr>
              <w:pStyle w:val="74"/>
              <w:jc w:val="center"/>
              <w:rPr>
                <w:rFonts w:hint="eastAsia"/>
                <w:color w:val="auto"/>
                <w:highlight w:val="none"/>
              </w:rPr>
            </w:pPr>
            <w:r>
              <w:rPr>
                <w:rFonts w:hint="eastAsia"/>
                <w:color w:val="auto"/>
                <w:highlight w:val="none"/>
              </w:rPr>
              <w:t>5</w:t>
            </w:r>
          </w:p>
        </w:tc>
        <w:tc>
          <w:tcPr>
            <w:tcW w:w="4521" w:type="pct"/>
            <w:noWrap w:val="0"/>
            <w:vAlign w:val="center"/>
          </w:tcPr>
          <w:p w14:paraId="4A803C0F">
            <w:pPr>
              <w:pStyle w:val="74"/>
              <w:jc w:val="left"/>
              <w:rPr>
                <w:rFonts w:hint="eastAsia"/>
                <w:color w:val="auto"/>
                <w:highlight w:val="none"/>
              </w:rPr>
            </w:pPr>
            <w:r>
              <w:rPr>
                <w:rFonts w:hint="eastAsia"/>
                <w:color w:val="auto"/>
                <w:highlight w:val="none"/>
              </w:rPr>
              <w:t>模板、木料不准乱堆、混放、散落或随意作它用。</w:t>
            </w:r>
          </w:p>
        </w:tc>
      </w:tr>
      <w:tr w14:paraId="2752471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3" w:hRule="atLeast"/>
          <w:jc w:val="center"/>
        </w:trPr>
        <w:tc>
          <w:tcPr>
            <w:tcW w:w="479" w:type="pct"/>
            <w:noWrap w:val="0"/>
            <w:vAlign w:val="center"/>
          </w:tcPr>
          <w:p w14:paraId="25D1559F">
            <w:pPr>
              <w:pStyle w:val="74"/>
              <w:jc w:val="center"/>
              <w:rPr>
                <w:rFonts w:hint="eastAsia"/>
                <w:color w:val="auto"/>
                <w:highlight w:val="none"/>
              </w:rPr>
            </w:pPr>
            <w:r>
              <w:rPr>
                <w:rFonts w:hint="eastAsia"/>
                <w:color w:val="auto"/>
                <w:highlight w:val="none"/>
              </w:rPr>
              <w:t>6</w:t>
            </w:r>
          </w:p>
        </w:tc>
        <w:tc>
          <w:tcPr>
            <w:tcW w:w="4521" w:type="pct"/>
            <w:noWrap w:val="0"/>
            <w:vAlign w:val="center"/>
          </w:tcPr>
          <w:p w14:paraId="12179871">
            <w:pPr>
              <w:pStyle w:val="74"/>
              <w:jc w:val="left"/>
              <w:rPr>
                <w:rFonts w:hint="eastAsia"/>
                <w:color w:val="auto"/>
                <w:highlight w:val="none"/>
              </w:rPr>
            </w:pPr>
            <w:r>
              <w:rPr>
                <w:rFonts w:hint="eastAsia"/>
                <w:color w:val="auto"/>
                <w:highlight w:val="none"/>
              </w:rPr>
              <w:t>零配件、钢扣件等存放集中，不得散乱并有散失。</w:t>
            </w:r>
          </w:p>
        </w:tc>
      </w:tr>
      <w:tr w14:paraId="5E347C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5374BA1E">
            <w:pPr>
              <w:pStyle w:val="74"/>
              <w:jc w:val="center"/>
              <w:rPr>
                <w:rFonts w:hint="eastAsia"/>
                <w:color w:val="auto"/>
                <w:highlight w:val="none"/>
              </w:rPr>
            </w:pPr>
            <w:r>
              <w:rPr>
                <w:rFonts w:hint="eastAsia"/>
                <w:color w:val="auto"/>
                <w:highlight w:val="none"/>
              </w:rPr>
              <w:t>7</w:t>
            </w:r>
          </w:p>
        </w:tc>
        <w:tc>
          <w:tcPr>
            <w:tcW w:w="4521" w:type="pct"/>
            <w:noWrap w:val="0"/>
            <w:vAlign w:val="center"/>
          </w:tcPr>
          <w:p w14:paraId="7E99A3B7">
            <w:pPr>
              <w:pStyle w:val="74"/>
              <w:jc w:val="left"/>
              <w:rPr>
                <w:rFonts w:hint="eastAsia"/>
                <w:color w:val="auto"/>
                <w:highlight w:val="none"/>
              </w:rPr>
            </w:pPr>
            <w:r>
              <w:rPr>
                <w:rFonts w:hint="eastAsia"/>
                <w:color w:val="auto"/>
                <w:highlight w:val="none"/>
              </w:rPr>
              <w:t>每月对检查进行张榜公布。</w:t>
            </w:r>
          </w:p>
        </w:tc>
      </w:tr>
      <w:tr w14:paraId="53F82C5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atLeast"/>
          <w:jc w:val="center"/>
        </w:trPr>
        <w:tc>
          <w:tcPr>
            <w:tcW w:w="479" w:type="pct"/>
            <w:noWrap w:val="0"/>
            <w:vAlign w:val="center"/>
          </w:tcPr>
          <w:p w14:paraId="6045EEAE">
            <w:pPr>
              <w:pStyle w:val="74"/>
              <w:jc w:val="center"/>
              <w:rPr>
                <w:rFonts w:hint="eastAsia"/>
                <w:color w:val="auto"/>
                <w:highlight w:val="none"/>
              </w:rPr>
            </w:pPr>
            <w:r>
              <w:rPr>
                <w:rFonts w:hint="eastAsia"/>
                <w:color w:val="auto"/>
                <w:highlight w:val="none"/>
              </w:rPr>
              <w:t>8</w:t>
            </w:r>
          </w:p>
        </w:tc>
        <w:tc>
          <w:tcPr>
            <w:tcW w:w="4521" w:type="pct"/>
            <w:noWrap w:val="0"/>
            <w:vAlign w:val="center"/>
          </w:tcPr>
          <w:p w14:paraId="0F3BB2B2">
            <w:pPr>
              <w:pStyle w:val="74"/>
              <w:jc w:val="left"/>
              <w:rPr>
                <w:rFonts w:hint="eastAsia"/>
                <w:color w:val="auto"/>
                <w:highlight w:val="none"/>
              </w:rPr>
            </w:pPr>
            <w:r>
              <w:rPr>
                <w:rFonts w:hint="eastAsia"/>
                <w:color w:val="auto"/>
                <w:highlight w:val="none"/>
              </w:rPr>
              <w:t>每月项目部检查评分一次，对各作业班组进行评分，评选到优良的班组奖励500～1000元，合格的奖励100～400元，不及格的罚款500～1000元。</w:t>
            </w:r>
          </w:p>
        </w:tc>
      </w:tr>
    </w:tbl>
    <w:p w14:paraId="5AE2A3DD">
      <w:pPr>
        <w:pStyle w:val="89"/>
        <w:spacing w:before="24" w:beforeLines="10" w:after="24" w:afterLines="10" w:line="432" w:lineRule="auto"/>
        <w:ind w:firstLine="560"/>
        <w:rPr>
          <w:rFonts w:hint="eastAsia"/>
          <w:color w:val="auto"/>
          <w:sz w:val="24"/>
          <w:szCs w:val="24"/>
          <w:lang w:val="en-US" w:eastAsia="zh-CN"/>
        </w:rPr>
      </w:pPr>
      <w:bookmarkStart w:id="263" w:name="_Toc62402056"/>
      <w:bookmarkStart w:id="264" w:name="_Toc53530324"/>
      <w:r>
        <w:rPr>
          <w:rFonts w:hint="eastAsia"/>
          <w:color w:val="auto"/>
          <w:sz w:val="24"/>
          <w:szCs w:val="24"/>
          <w:lang w:val="en-US" w:eastAsia="zh-CN"/>
        </w:rPr>
        <w:t>4、施工现场门卫管理制度</w:t>
      </w:r>
      <w:bookmarkEnd w:id="263"/>
      <w:bookmarkEnd w:id="264"/>
    </w:p>
    <w:p w14:paraId="5F9ECF9A">
      <w:pPr>
        <w:pStyle w:val="104"/>
        <w:numPr>
          <w:ilvl w:val="0"/>
          <w:numId w:val="0"/>
        </w:numPr>
        <w:spacing w:before="24" w:beforeLines="10" w:after="24" w:afterLines="10" w:line="432" w:lineRule="auto"/>
        <w:rPr>
          <w:color w:val="auto"/>
          <w:sz w:val="24"/>
          <w:szCs w:val="24"/>
        </w:rPr>
      </w:pPr>
      <w:r>
        <w:rPr>
          <w:rFonts w:hint="eastAsia"/>
          <w:color w:val="auto"/>
          <w:sz w:val="24"/>
          <w:szCs w:val="24"/>
        </w:rPr>
        <w:t>插表 施工现场门卫管理制度内容</w:t>
      </w:r>
    </w:p>
    <w:tbl>
      <w:tblPr>
        <w:tblStyle w:val="29"/>
        <w:tblW w:w="5000"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autofit"/>
        <w:tblCellMar>
          <w:top w:w="0" w:type="dxa"/>
          <w:left w:w="108" w:type="dxa"/>
          <w:bottom w:w="0" w:type="dxa"/>
          <w:right w:w="108" w:type="dxa"/>
        </w:tblCellMar>
      </w:tblPr>
      <w:tblGrid>
        <w:gridCol w:w="868"/>
        <w:gridCol w:w="8192"/>
      </w:tblGrid>
      <w:tr w14:paraId="5F12FF1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2EF3EEA4">
            <w:pPr>
              <w:pStyle w:val="74"/>
              <w:jc w:val="center"/>
              <w:rPr>
                <w:rFonts w:hint="eastAsia"/>
                <w:color w:val="auto"/>
                <w:highlight w:val="none"/>
              </w:rPr>
            </w:pPr>
            <w:r>
              <w:rPr>
                <w:rFonts w:hint="eastAsia"/>
                <w:color w:val="auto"/>
                <w:highlight w:val="none"/>
              </w:rPr>
              <w:t>序号</w:t>
            </w:r>
          </w:p>
        </w:tc>
        <w:tc>
          <w:tcPr>
            <w:tcW w:w="4521" w:type="pct"/>
            <w:noWrap w:val="0"/>
            <w:vAlign w:val="center"/>
          </w:tcPr>
          <w:p w14:paraId="611C9B6B">
            <w:pPr>
              <w:pStyle w:val="74"/>
              <w:jc w:val="center"/>
              <w:rPr>
                <w:rFonts w:hint="eastAsia"/>
                <w:color w:val="auto"/>
                <w:highlight w:val="none"/>
              </w:rPr>
            </w:pPr>
            <w:r>
              <w:rPr>
                <w:rFonts w:hint="eastAsia"/>
                <w:color w:val="auto"/>
                <w:highlight w:val="none"/>
              </w:rPr>
              <w:t>主要内容</w:t>
            </w:r>
          </w:p>
        </w:tc>
      </w:tr>
      <w:tr w14:paraId="7F11223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343A309A">
            <w:pPr>
              <w:pStyle w:val="74"/>
              <w:jc w:val="center"/>
              <w:rPr>
                <w:rFonts w:hint="eastAsia"/>
                <w:color w:val="auto"/>
                <w:highlight w:val="none"/>
              </w:rPr>
            </w:pPr>
            <w:r>
              <w:rPr>
                <w:rFonts w:hint="eastAsia"/>
                <w:color w:val="auto"/>
                <w:highlight w:val="none"/>
              </w:rPr>
              <w:t>1</w:t>
            </w:r>
          </w:p>
        </w:tc>
        <w:tc>
          <w:tcPr>
            <w:tcW w:w="4521" w:type="pct"/>
            <w:noWrap w:val="0"/>
            <w:vAlign w:val="center"/>
          </w:tcPr>
          <w:p w14:paraId="2E3C3C5A">
            <w:pPr>
              <w:pStyle w:val="74"/>
              <w:jc w:val="center"/>
              <w:rPr>
                <w:rFonts w:hint="eastAsia"/>
                <w:color w:val="auto"/>
                <w:highlight w:val="none"/>
              </w:rPr>
            </w:pPr>
            <w:r>
              <w:rPr>
                <w:rFonts w:hint="eastAsia"/>
                <w:color w:val="auto"/>
                <w:highlight w:val="none"/>
              </w:rPr>
              <w:t>上班要佩带袖章，严守岗位，不擅自离岗。</w:t>
            </w:r>
          </w:p>
        </w:tc>
      </w:tr>
      <w:tr w14:paraId="00E7106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PrEx>
        <w:trPr>
          <w:trHeight w:val="454" w:hRule="atLeast"/>
          <w:jc w:val="center"/>
        </w:trPr>
        <w:tc>
          <w:tcPr>
            <w:tcW w:w="479" w:type="pct"/>
            <w:noWrap w:val="0"/>
            <w:vAlign w:val="center"/>
          </w:tcPr>
          <w:p w14:paraId="2B9B6126">
            <w:pPr>
              <w:pStyle w:val="74"/>
              <w:jc w:val="center"/>
              <w:rPr>
                <w:rFonts w:hint="eastAsia"/>
                <w:color w:val="auto"/>
                <w:highlight w:val="none"/>
              </w:rPr>
            </w:pPr>
            <w:r>
              <w:rPr>
                <w:rFonts w:hint="eastAsia"/>
                <w:color w:val="auto"/>
                <w:highlight w:val="none"/>
              </w:rPr>
              <w:t>2</w:t>
            </w:r>
          </w:p>
        </w:tc>
        <w:tc>
          <w:tcPr>
            <w:tcW w:w="4521" w:type="pct"/>
            <w:noWrap w:val="0"/>
            <w:vAlign w:val="center"/>
          </w:tcPr>
          <w:p w14:paraId="5347943E">
            <w:pPr>
              <w:pStyle w:val="74"/>
              <w:jc w:val="center"/>
              <w:rPr>
                <w:rFonts w:hint="eastAsia"/>
                <w:color w:val="auto"/>
                <w:highlight w:val="none"/>
              </w:rPr>
            </w:pPr>
            <w:r>
              <w:rPr>
                <w:rFonts w:hint="eastAsia"/>
                <w:color w:val="auto"/>
                <w:highlight w:val="none"/>
              </w:rPr>
              <w:t>保持仪容严整，使用文明语言，待人礼貌。</w:t>
            </w:r>
          </w:p>
        </w:tc>
      </w:tr>
      <w:tr w14:paraId="4D0288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49B42A2D">
            <w:pPr>
              <w:pStyle w:val="74"/>
              <w:jc w:val="center"/>
              <w:rPr>
                <w:rFonts w:hint="eastAsia"/>
                <w:color w:val="auto"/>
                <w:highlight w:val="none"/>
              </w:rPr>
            </w:pPr>
            <w:r>
              <w:rPr>
                <w:rFonts w:hint="eastAsia"/>
                <w:color w:val="auto"/>
                <w:highlight w:val="none"/>
              </w:rPr>
              <w:t>3</w:t>
            </w:r>
          </w:p>
        </w:tc>
        <w:tc>
          <w:tcPr>
            <w:tcW w:w="4521" w:type="pct"/>
            <w:noWrap w:val="0"/>
            <w:vAlign w:val="center"/>
          </w:tcPr>
          <w:p w14:paraId="13BFE9A4">
            <w:pPr>
              <w:pStyle w:val="74"/>
              <w:jc w:val="center"/>
              <w:rPr>
                <w:rFonts w:hint="eastAsia"/>
                <w:color w:val="auto"/>
                <w:highlight w:val="none"/>
              </w:rPr>
            </w:pPr>
            <w:r>
              <w:rPr>
                <w:rFonts w:hint="eastAsia"/>
                <w:color w:val="auto"/>
                <w:highlight w:val="none"/>
              </w:rPr>
              <w:t>认真做好出入车辆和来访人员的进出登记。</w:t>
            </w:r>
          </w:p>
        </w:tc>
      </w:tr>
      <w:tr w14:paraId="463FC37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775AA729">
            <w:pPr>
              <w:pStyle w:val="74"/>
              <w:jc w:val="center"/>
              <w:rPr>
                <w:rFonts w:hint="eastAsia"/>
                <w:color w:val="auto"/>
                <w:highlight w:val="none"/>
              </w:rPr>
            </w:pPr>
            <w:r>
              <w:rPr>
                <w:rFonts w:hint="eastAsia"/>
                <w:color w:val="auto"/>
                <w:highlight w:val="none"/>
              </w:rPr>
              <w:t>4</w:t>
            </w:r>
          </w:p>
        </w:tc>
        <w:tc>
          <w:tcPr>
            <w:tcW w:w="4521" w:type="pct"/>
            <w:noWrap w:val="0"/>
            <w:vAlign w:val="center"/>
          </w:tcPr>
          <w:p w14:paraId="321E3928">
            <w:pPr>
              <w:pStyle w:val="74"/>
              <w:jc w:val="center"/>
              <w:rPr>
                <w:rFonts w:hint="eastAsia"/>
                <w:color w:val="auto"/>
                <w:highlight w:val="none"/>
              </w:rPr>
            </w:pPr>
            <w:r>
              <w:rPr>
                <w:rFonts w:hint="eastAsia"/>
                <w:color w:val="auto"/>
                <w:highlight w:val="none"/>
              </w:rPr>
              <w:t>没有持证或工作卡的人员，不经允许，不得进入工地。</w:t>
            </w:r>
          </w:p>
        </w:tc>
      </w:tr>
      <w:tr w14:paraId="7AE7684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059C43EF">
            <w:pPr>
              <w:pStyle w:val="74"/>
              <w:jc w:val="center"/>
              <w:rPr>
                <w:rFonts w:hint="eastAsia"/>
                <w:color w:val="auto"/>
                <w:highlight w:val="none"/>
              </w:rPr>
            </w:pPr>
            <w:r>
              <w:rPr>
                <w:rFonts w:hint="eastAsia"/>
                <w:color w:val="auto"/>
                <w:highlight w:val="none"/>
              </w:rPr>
              <w:t>5</w:t>
            </w:r>
          </w:p>
        </w:tc>
        <w:tc>
          <w:tcPr>
            <w:tcW w:w="4521" w:type="pct"/>
            <w:noWrap w:val="0"/>
            <w:vAlign w:val="center"/>
          </w:tcPr>
          <w:p w14:paraId="1F6508AA">
            <w:pPr>
              <w:pStyle w:val="74"/>
              <w:jc w:val="center"/>
              <w:rPr>
                <w:rFonts w:hint="eastAsia"/>
                <w:color w:val="auto"/>
                <w:highlight w:val="none"/>
              </w:rPr>
            </w:pPr>
            <w:r>
              <w:rPr>
                <w:rFonts w:hint="eastAsia"/>
                <w:color w:val="auto"/>
                <w:highlight w:val="none"/>
              </w:rPr>
              <w:t>所有的材料和机具没有批条，一律不得放行。</w:t>
            </w:r>
          </w:p>
        </w:tc>
      </w:tr>
      <w:tr w14:paraId="6B82CB5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0" w:hRule="atLeast"/>
          <w:jc w:val="center"/>
        </w:trPr>
        <w:tc>
          <w:tcPr>
            <w:tcW w:w="479" w:type="pct"/>
            <w:noWrap w:val="0"/>
            <w:vAlign w:val="center"/>
          </w:tcPr>
          <w:p w14:paraId="25FD6CA9">
            <w:pPr>
              <w:pStyle w:val="74"/>
              <w:jc w:val="center"/>
              <w:rPr>
                <w:rFonts w:hint="eastAsia"/>
                <w:color w:val="auto"/>
                <w:highlight w:val="none"/>
              </w:rPr>
            </w:pPr>
            <w:r>
              <w:rPr>
                <w:rFonts w:hint="eastAsia"/>
                <w:color w:val="auto"/>
                <w:highlight w:val="none"/>
              </w:rPr>
              <w:t>6</w:t>
            </w:r>
          </w:p>
        </w:tc>
        <w:tc>
          <w:tcPr>
            <w:tcW w:w="4521" w:type="pct"/>
            <w:noWrap w:val="0"/>
            <w:vAlign w:val="center"/>
          </w:tcPr>
          <w:p w14:paraId="673103AF">
            <w:pPr>
              <w:pStyle w:val="74"/>
              <w:jc w:val="center"/>
              <w:rPr>
                <w:rFonts w:hint="eastAsia"/>
                <w:color w:val="auto"/>
                <w:highlight w:val="none"/>
              </w:rPr>
            </w:pPr>
            <w:r>
              <w:rPr>
                <w:rFonts w:hint="eastAsia"/>
                <w:color w:val="auto"/>
                <w:highlight w:val="none"/>
              </w:rPr>
              <w:t>保持清醒头脑，提高安全意识，做好施工现场安全保护工作，防止材料、机具失窃，一旦发现，要及时向领导汇报。</w:t>
            </w:r>
          </w:p>
        </w:tc>
      </w:tr>
      <w:tr w14:paraId="352B678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135CA616">
            <w:pPr>
              <w:pStyle w:val="74"/>
              <w:jc w:val="center"/>
              <w:rPr>
                <w:rFonts w:hint="eastAsia"/>
                <w:color w:val="auto"/>
                <w:highlight w:val="none"/>
              </w:rPr>
            </w:pPr>
            <w:r>
              <w:rPr>
                <w:rFonts w:hint="eastAsia"/>
                <w:color w:val="auto"/>
                <w:highlight w:val="none"/>
              </w:rPr>
              <w:t>7</w:t>
            </w:r>
          </w:p>
        </w:tc>
        <w:tc>
          <w:tcPr>
            <w:tcW w:w="4521" w:type="pct"/>
            <w:noWrap w:val="0"/>
            <w:vAlign w:val="center"/>
          </w:tcPr>
          <w:p w14:paraId="62A784C2">
            <w:pPr>
              <w:pStyle w:val="74"/>
              <w:jc w:val="center"/>
              <w:rPr>
                <w:rFonts w:hint="eastAsia"/>
                <w:color w:val="auto"/>
                <w:highlight w:val="none"/>
              </w:rPr>
            </w:pPr>
            <w:r>
              <w:rPr>
                <w:rFonts w:hint="eastAsia"/>
                <w:color w:val="auto"/>
                <w:highlight w:val="none"/>
              </w:rPr>
              <w:t>做好安全值班记录、交接班手续。</w:t>
            </w:r>
          </w:p>
        </w:tc>
      </w:tr>
      <w:tr w14:paraId="0ED7ADF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479" w:type="pct"/>
            <w:noWrap w:val="0"/>
            <w:vAlign w:val="center"/>
          </w:tcPr>
          <w:p w14:paraId="5849D297">
            <w:pPr>
              <w:pStyle w:val="74"/>
              <w:jc w:val="center"/>
              <w:rPr>
                <w:rFonts w:hint="eastAsia"/>
                <w:color w:val="auto"/>
                <w:highlight w:val="none"/>
              </w:rPr>
            </w:pPr>
            <w:r>
              <w:rPr>
                <w:rFonts w:hint="eastAsia"/>
                <w:color w:val="auto"/>
                <w:highlight w:val="none"/>
              </w:rPr>
              <w:t>8</w:t>
            </w:r>
          </w:p>
        </w:tc>
        <w:tc>
          <w:tcPr>
            <w:tcW w:w="4521" w:type="pct"/>
            <w:noWrap w:val="0"/>
            <w:vAlign w:val="center"/>
          </w:tcPr>
          <w:p w14:paraId="704F4B34">
            <w:pPr>
              <w:pStyle w:val="74"/>
              <w:jc w:val="center"/>
              <w:rPr>
                <w:rFonts w:hint="eastAsia"/>
                <w:color w:val="auto"/>
                <w:highlight w:val="none"/>
              </w:rPr>
            </w:pPr>
            <w:r>
              <w:rPr>
                <w:rFonts w:hint="eastAsia"/>
                <w:color w:val="auto"/>
                <w:highlight w:val="none"/>
              </w:rPr>
              <w:t>自觉遵守各项规章制度，做遵章守纪的模范带头人。</w:t>
            </w:r>
          </w:p>
        </w:tc>
      </w:tr>
    </w:tbl>
    <w:p w14:paraId="6F158212">
      <w:pPr>
        <w:pStyle w:val="5"/>
        <w:spacing w:before="24" w:beforeLines="10" w:after="24" w:afterLines="10" w:line="432" w:lineRule="auto"/>
        <w:ind w:firstLine="562"/>
        <w:rPr>
          <w:color w:val="auto"/>
          <w:sz w:val="24"/>
          <w:szCs w:val="24"/>
          <w:highlight w:val="none"/>
        </w:rPr>
      </w:pPr>
      <w:bookmarkStart w:id="265" w:name="_Toc11838"/>
      <w:r>
        <w:rPr>
          <w:rFonts w:hint="eastAsia"/>
          <w:color w:val="auto"/>
          <w:sz w:val="24"/>
          <w:szCs w:val="24"/>
          <w:highlight w:val="none"/>
        </w:rPr>
        <w:t>各施工阶段控制要求</w:t>
      </w:r>
      <w:bookmarkEnd w:id="256"/>
      <w:bookmarkEnd w:id="265"/>
    </w:p>
    <w:p w14:paraId="521A7DF9">
      <w:pPr>
        <w:pStyle w:val="97"/>
        <w:spacing w:before="24" w:beforeLines="10" w:after="24" w:afterLines="10" w:line="432" w:lineRule="auto"/>
        <w:ind w:firstLine="560"/>
        <w:rPr>
          <w:color w:val="auto"/>
          <w:sz w:val="24"/>
          <w:szCs w:val="24"/>
          <w:highlight w:val="none"/>
        </w:rPr>
      </w:pPr>
      <w:r>
        <w:rPr>
          <w:color w:val="auto"/>
          <w:sz w:val="24"/>
          <w:szCs w:val="24"/>
          <w:highlight w:val="none"/>
        </w:rPr>
        <w:t>1、施工准备阶段</w:t>
      </w:r>
    </w:p>
    <w:tbl>
      <w:tblPr>
        <w:tblStyle w:val="29"/>
        <w:tblpPr w:leftFromText="180" w:rightFromText="180" w:vertAnchor="text" w:tblpXSpec="right" w:tblpY="1"/>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8245"/>
      </w:tblGrid>
      <w:tr w14:paraId="04BBC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50" w:type="pct"/>
            <w:tcBorders>
              <w:top w:val="single" w:color="auto" w:sz="4" w:space="0"/>
              <w:left w:val="single" w:color="auto" w:sz="4" w:space="0"/>
              <w:bottom w:val="single" w:color="auto" w:sz="4" w:space="0"/>
              <w:right w:val="single" w:color="auto" w:sz="4" w:space="0"/>
            </w:tcBorders>
            <w:noWrap w:val="0"/>
            <w:vAlign w:val="center"/>
          </w:tcPr>
          <w:p w14:paraId="3E160FAC">
            <w:pPr>
              <w:pStyle w:val="74"/>
              <w:rPr>
                <w:rFonts w:hint="eastAsia"/>
                <w:color w:val="auto"/>
                <w:highlight w:val="none"/>
              </w:rPr>
            </w:pPr>
            <w:r>
              <w:rPr>
                <w:rFonts w:hint="eastAsia"/>
                <w:color w:val="auto"/>
                <w:highlight w:val="none"/>
              </w:rPr>
              <w:t>序号</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234FC160">
            <w:pPr>
              <w:pStyle w:val="74"/>
              <w:rPr>
                <w:rFonts w:hint="eastAsia"/>
                <w:color w:val="auto"/>
                <w:highlight w:val="none"/>
              </w:rPr>
            </w:pPr>
            <w:r>
              <w:rPr>
                <w:rFonts w:hint="eastAsia"/>
                <w:color w:val="auto"/>
                <w:highlight w:val="none"/>
              </w:rPr>
              <w:t>主要内容</w:t>
            </w:r>
          </w:p>
        </w:tc>
      </w:tr>
      <w:tr w14:paraId="1EC7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393EE13D">
            <w:pPr>
              <w:pStyle w:val="74"/>
              <w:rPr>
                <w:rFonts w:hint="eastAsia"/>
                <w:color w:val="auto"/>
                <w:highlight w:val="none"/>
              </w:rPr>
            </w:pPr>
            <w:r>
              <w:rPr>
                <w:rFonts w:hint="eastAsia"/>
                <w:color w:val="auto"/>
                <w:highlight w:val="none"/>
              </w:rPr>
              <w:t>1</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109FB52E">
            <w:pPr>
              <w:pStyle w:val="74"/>
              <w:jc w:val="left"/>
              <w:rPr>
                <w:rFonts w:hint="eastAsia"/>
                <w:color w:val="auto"/>
                <w:highlight w:val="none"/>
              </w:rPr>
            </w:pPr>
            <w:r>
              <w:rPr>
                <w:rFonts w:hint="eastAsia"/>
                <w:color w:val="auto"/>
                <w:highlight w:val="none"/>
              </w:rPr>
              <w:t>施工单位应根据设计资料、场地条件、周边环境和绿色施工总体要求，明确绿色施工的目标、材料、方法和实施内容，并在图纸会审时提出需要设计单位配合的建议和意见。</w:t>
            </w:r>
          </w:p>
        </w:tc>
      </w:tr>
      <w:tr w14:paraId="613F6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6310F0F9">
            <w:pPr>
              <w:pStyle w:val="74"/>
              <w:rPr>
                <w:rFonts w:hint="eastAsia"/>
                <w:color w:val="auto"/>
                <w:highlight w:val="none"/>
              </w:rPr>
            </w:pPr>
            <w:r>
              <w:rPr>
                <w:rFonts w:hint="eastAsia"/>
                <w:color w:val="auto"/>
                <w:highlight w:val="none"/>
              </w:rPr>
              <w:t>2</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29C81244">
            <w:pPr>
              <w:pStyle w:val="74"/>
              <w:jc w:val="left"/>
              <w:rPr>
                <w:rFonts w:hint="eastAsia"/>
                <w:color w:val="auto"/>
                <w:highlight w:val="none"/>
              </w:rPr>
            </w:pPr>
            <w:r>
              <w:rPr>
                <w:rFonts w:hint="eastAsia"/>
                <w:color w:val="auto"/>
                <w:highlight w:val="none"/>
              </w:rPr>
              <w:t>施工单位应编制包含绿色施工管理和技术要求的工程绿色施工组织设计、绿色施工方案或绿色施工专项方案，并经审批通过后实施。</w:t>
            </w:r>
          </w:p>
        </w:tc>
      </w:tr>
      <w:tr w14:paraId="063C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45BABB85">
            <w:pPr>
              <w:pStyle w:val="74"/>
              <w:rPr>
                <w:rFonts w:hint="eastAsia"/>
                <w:color w:val="auto"/>
                <w:highlight w:val="none"/>
              </w:rPr>
            </w:pPr>
            <w:r>
              <w:rPr>
                <w:rFonts w:hint="eastAsia"/>
                <w:color w:val="auto"/>
                <w:highlight w:val="none"/>
              </w:rPr>
              <w:t>3</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68B63727">
            <w:pPr>
              <w:pStyle w:val="74"/>
              <w:jc w:val="left"/>
              <w:rPr>
                <w:rFonts w:hint="eastAsia"/>
                <w:color w:val="auto"/>
                <w:highlight w:val="none"/>
              </w:rPr>
            </w:pPr>
            <w:r>
              <w:rPr>
                <w:rFonts w:hint="eastAsia"/>
                <w:color w:val="auto"/>
                <w:highlight w:val="none"/>
              </w:rPr>
              <w:t>绿色施工组织设计、绿色施工方案或绿色施工专项方案编制应符合下列规定：</w:t>
            </w:r>
          </w:p>
          <w:p w14:paraId="1342F1E4">
            <w:pPr>
              <w:pStyle w:val="74"/>
              <w:jc w:val="left"/>
              <w:rPr>
                <w:rFonts w:hint="eastAsia"/>
                <w:color w:val="auto"/>
                <w:highlight w:val="none"/>
              </w:rPr>
            </w:pPr>
            <w:r>
              <w:rPr>
                <w:rFonts w:hint="eastAsia"/>
                <w:color w:val="auto"/>
                <w:highlight w:val="none"/>
              </w:rPr>
              <w:t>1、应考虑施工现场自然与人文环境特点；</w:t>
            </w:r>
          </w:p>
          <w:p w14:paraId="4256C814">
            <w:pPr>
              <w:pStyle w:val="74"/>
              <w:jc w:val="left"/>
              <w:rPr>
                <w:rFonts w:hint="eastAsia"/>
                <w:color w:val="auto"/>
                <w:highlight w:val="none"/>
              </w:rPr>
            </w:pPr>
            <w:r>
              <w:rPr>
                <w:rFonts w:hint="eastAsia"/>
                <w:color w:val="auto"/>
                <w:highlight w:val="none"/>
              </w:rPr>
              <w:t>2、应有减少资源浪费和环境污染的措施；</w:t>
            </w:r>
          </w:p>
          <w:p w14:paraId="1CB203EA">
            <w:pPr>
              <w:pStyle w:val="74"/>
              <w:jc w:val="left"/>
              <w:rPr>
                <w:rFonts w:hint="eastAsia"/>
                <w:color w:val="auto"/>
                <w:highlight w:val="none"/>
              </w:rPr>
            </w:pPr>
            <w:r>
              <w:rPr>
                <w:rFonts w:hint="eastAsia"/>
                <w:color w:val="auto"/>
                <w:highlight w:val="none"/>
              </w:rPr>
              <w:t>3、应明确绿色施工的组织管理体系、技术要求和措施；</w:t>
            </w:r>
          </w:p>
          <w:p w14:paraId="2CA169C5">
            <w:pPr>
              <w:pStyle w:val="74"/>
              <w:jc w:val="left"/>
              <w:rPr>
                <w:rFonts w:hint="eastAsia"/>
                <w:color w:val="auto"/>
                <w:highlight w:val="none"/>
              </w:rPr>
            </w:pPr>
            <w:r>
              <w:rPr>
                <w:rFonts w:hint="eastAsia"/>
                <w:color w:val="auto"/>
                <w:highlight w:val="none"/>
              </w:rPr>
              <w:t>4、应选用先进的产品、技术、设备、施工工艺和方法，利用规划区域内设施；</w:t>
            </w:r>
          </w:p>
          <w:p w14:paraId="5AF99017">
            <w:pPr>
              <w:pStyle w:val="74"/>
              <w:jc w:val="left"/>
              <w:rPr>
                <w:rFonts w:hint="eastAsia"/>
                <w:color w:val="auto"/>
                <w:highlight w:val="none"/>
              </w:rPr>
            </w:pPr>
            <w:r>
              <w:rPr>
                <w:rFonts w:hint="eastAsia"/>
                <w:color w:val="auto"/>
                <w:highlight w:val="none"/>
              </w:rPr>
              <w:t>5、应包含改善作业条件、降低劳动强度、节约人力资源等内容。</w:t>
            </w:r>
          </w:p>
        </w:tc>
      </w:tr>
      <w:tr w14:paraId="5BB40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0FF5AE0C">
            <w:pPr>
              <w:pStyle w:val="74"/>
              <w:rPr>
                <w:rFonts w:hint="eastAsia"/>
                <w:color w:val="auto"/>
                <w:highlight w:val="none"/>
              </w:rPr>
            </w:pPr>
            <w:r>
              <w:rPr>
                <w:rFonts w:hint="eastAsia"/>
                <w:color w:val="auto"/>
                <w:highlight w:val="none"/>
              </w:rPr>
              <w:t>4</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0B133B20">
            <w:pPr>
              <w:pStyle w:val="74"/>
              <w:jc w:val="left"/>
              <w:rPr>
                <w:rFonts w:hint="eastAsia"/>
                <w:color w:val="auto"/>
                <w:highlight w:val="none"/>
              </w:rPr>
            </w:pPr>
            <w:r>
              <w:rPr>
                <w:rFonts w:hint="eastAsia"/>
                <w:color w:val="auto"/>
                <w:highlight w:val="none"/>
              </w:rPr>
              <w:t>施工单位建立建筑材料数据库，应采用绿色性能相对优良的建筑材料。</w:t>
            </w:r>
          </w:p>
        </w:tc>
      </w:tr>
      <w:tr w14:paraId="5CFA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6C1FA972">
            <w:pPr>
              <w:pStyle w:val="74"/>
              <w:rPr>
                <w:rFonts w:hint="eastAsia"/>
                <w:color w:val="auto"/>
                <w:highlight w:val="none"/>
              </w:rPr>
            </w:pPr>
            <w:r>
              <w:rPr>
                <w:rFonts w:hint="eastAsia"/>
                <w:color w:val="auto"/>
                <w:highlight w:val="none"/>
              </w:rPr>
              <w:t>5</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1E0FC880">
            <w:pPr>
              <w:pStyle w:val="74"/>
              <w:jc w:val="left"/>
              <w:rPr>
                <w:rFonts w:hint="eastAsia"/>
                <w:color w:val="auto"/>
                <w:highlight w:val="none"/>
              </w:rPr>
            </w:pPr>
            <w:r>
              <w:rPr>
                <w:rFonts w:hint="eastAsia"/>
                <w:color w:val="auto"/>
                <w:highlight w:val="none"/>
              </w:rPr>
              <w:t>施工单位宜建立施工机械设备数据库。应根据现场和周边环境情况，对施工机械和设备进行节能、减排和降耗指标分析和比较，采用高性能、低噪音和低能耗的机械设备。</w:t>
            </w:r>
          </w:p>
        </w:tc>
      </w:tr>
      <w:tr w14:paraId="7A0E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40E1A52C">
            <w:pPr>
              <w:pStyle w:val="74"/>
              <w:rPr>
                <w:rFonts w:hint="eastAsia"/>
                <w:color w:val="auto"/>
                <w:highlight w:val="none"/>
              </w:rPr>
            </w:pPr>
            <w:r>
              <w:rPr>
                <w:rFonts w:hint="eastAsia"/>
                <w:color w:val="auto"/>
                <w:highlight w:val="none"/>
              </w:rPr>
              <w:t>6</w:t>
            </w:r>
          </w:p>
        </w:tc>
        <w:tc>
          <w:tcPr>
            <w:tcW w:w="4550" w:type="pct"/>
            <w:tcBorders>
              <w:top w:val="single" w:color="auto" w:sz="4" w:space="0"/>
              <w:left w:val="single" w:color="auto" w:sz="4" w:space="0"/>
              <w:bottom w:val="single" w:color="auto" w:sz="4" w:space="0"/>
              <w:right w:val="single" w:color="auto" w:sz="4" w:space="0"/>
            </w:tcBorders>
            <w:noWrap w:val="0"/>
            <w:vAlign w:val="center"/>
          </w:tcPr>
          <w:p w14:paraId="43E405C2">
            <w:pPr>
              <w:pStyle w:val="74"/>
              <w:jc w:val="left"/>
              <w:rPr>
                <w:rFonts w:hint="eastAsia"/>
                <w:color w:val="auto"/>
                <w:highlight w:val="none"/>
              </w:rPr>
            </w:pPr>
            <w:r>
              <w:rPr>
                <w:rFonts w:hint="eastAsia"/>
                <w:color w:val="auto"/>
                <w:highlight w:val="none"/>
              </w:rPr>
              <w:t>在绿色施工评价前，依据工程项目环境影响因素分析情况，应对绿色施工评价要素中一般项和优选项的条目数进行相应调整，并经工程项目建设和监理方确认后，作为绿色施工的相应评价依据。</w:t>
            </w:r>
          </w:p>
        </w:tc>
      </w:tr>
    </w:tbl>
    <w:p w14:paraId="39499614">
      <w:pPr>
        <w:pStyle w:val="97"/>
        <w:spacing w:before="24" w:beforeLines="10" w:after="24" w:afterLines="10" w:line="432" w:lineRule="auto"/>
        <w:ind w:firstLine="560"/>
        <w:rPr>
          <w:color w:val="auto"/>
          <w:sz w:val="24"/>
          <w:szCs w:val="24"/>
          <w:highlight w:val="none"/>
        </w:rPr>
      </w:pPr>
      <w:r>
        <w:rPr>
          <w:color w:val="auto"/>
          <w:sz w:val="24"/>
          <w:szCs w:val="24"/>
          <w:highlight w:val="none"/>
        </w:rPr>
        <w:t>2、施工场地</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1227"/>
        <w:gridCol w:w="7020"/>
      </w:tblGrid>
      <w:tr w14:paraId="29DE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6EE8F3B3">
            <w:pPr>
              <w:pStyle w:val="74"/>
              <w:rPr>
                <w:rFonts w:hint="eastAsia"/>
                <w:color w:val="auto"/>
                <w:highlight w:val="none"/>
              </w:rPr>
            </w:pPr>
            <w:r>
              <w:rPr>
                <w:rFonts w:hint="eastAsia"/>
                <w:color w:val="auto"/>
                <w:highlight w:val="none"/>
              </w:rPr>
              <w:t>序号</w:t>
            </w:r>
          </w:p>
        </w:tc>
        <w:tc>
          <w:tcPr>
            <w:tcW w:w="677" w:type="pct"/>
            <w:tcBorders>
              <w:top w:val="single" w:color="auto" w:sz="4" w:space="0"/>
              <w:left w:val="single" w:color="auto" w:sz="4" w:space="0"/>
              <w:bottom w:val="single" w:color="auto" w:sz="4" w:space="0"/>
              <w:right w:val="single" w:color="auto" w:sz="4" w:space="0"/>
            </w:tcBorders>
            <w:noWrap w:val="0"/>
            <w:vAlign w:val="center"/>
          </w:tcPr>
          <w:p w14:paraId="0703FCC0">
            <w:pPr>
              <w:pStyle w:val="74"/>
              <w:rPr>
                <w:rFonts w:hint="eastAsia"/>
                <w:color w:val="auto"/>
                <w:highlight w:val="none"/>
              </w:rPr>
            </w:pPr>
            <w:r>
              <w:rPr>
                <w:rFonts w:hint="eastAsia"/>
                <w:color w:val="auto"/>
                <w:highlight w:val="none"/>
              </w:rPr>
              <w:t>主要内容</w:t>
            </w:r>
          </w:p>
        </w:tc>
        <w:tc>
          <w:tcPr>
            <w:tcW w:w="3874" w:type="pct"/>
            <w:tcBorders>
              <w:top w:val="single" w:color="auto" w:sz="4" w:space="0"/>
              <w:left w:val="single" w:color="auto" w:sz="4" w:space="0"/>
              <w:bottom w:val="single" w:color="auto" w:sz="4" w:space="0"/>
              <w:right w:val="single" w:color="auto" w:sz="4" w:space="0"/>
            </w:tcBorders>
            <w:noWrap w:val="0"/>
            <w:vAlign w:val="center"/>
          </w:tcPr>
          <w:p w14:paraId="341900ED">
            <w:pPr>
              <w:pStyle w:val="74"/>
              <w:rPr>
                <w:rFonts w:hint="eastAsia"/>
                <w:color w:val="auto"/>
                <w:highlight w:val="none"/>
              </w:rPr>
            </w:pPr>
            <w:r>
              <w:rPr>
                <w:rFonts w:hint="eastAsia"/>
                <w:color w:val="auto"/>
                <w:highlight w:val="none"/>
              </w:rPr>
              <w:t>具体措施</w:t>
            </w:r>
          </w:p>
        </w:tc>
      </w:tr>
      <w:tr w14:paraId="2CD0D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D58C89B">
            <w:pPr>
              <w:pStyle w:val="74"/>
              <w:rPr>
                <w:rFonts w:hint="eastAsia"/>
                <w:color w:val="auto"/>
                <w:highlight w:val="none"/>
              </w:rPr>
            </w:pPr>
            <w:r>
              <w:rPr>
                <w:rFonts w:hint="eastAsia"/>
                <w:color w:val="auto"/>
                <w:highlight w:val="none"/>
              </w:rPr>
              <w:t>1</w:t>
            </w:r>
          </w:p>
        </w:tc>
        <w:tc>
          <w:tcPr>
            <w:tcW w:w="677" w:type="pct"/>
            <w:tcBorders>
              <w:top w:val="single" w:color="auto" w:sz="4" w:space="0"/>
              <w:left w:val="single" w:color="auto" w:sz="4" w:space="0"/>
              <w:bottom w:val="single" w:color="auto" w:sz="4" w:space="0"/>
              <w:right w:val="single" w:color="auto" w:sz="4" w:space="0"/>
            </w:tcBorders>
            <w:noWrap w:val="0"/>
            <w:vAlign w:val="center"/>
          </w:tcPr>
          <w:p w14:paraId="6AFA0C9A">
            <w:pPr>
              <w:pStyle w:val="74"/>
              <w:rPr>
                <w:rFonts w:hint="eastAsia"/>
                <w:color w:val="auto"/>
                <w:highlight w:val="none"/>
              </w:rPr>
            </w:pPr>
            <w:r>
              <w:rPr>
                <w:rFonts w:hint="eastAsia"/>
                <w:color w:val="auto"/>
                <w:highlight w:val="none"/>
              </w:rPr>
              <w:t>一般规定</w:t>
            </w:r>
          </w:p>
        </w:tc>
        <w:tc>
          <w:tcPr>
            <w:tcW w:w="3874" w:type="pct"/>
            <w:tcBorders>
              <w:top w:val="single" w:color="auto" w:sz="4" w:space="0"/>
              <w:left w:val="single" w:color="auto" w:sz="4" w:space="0"/>
              <w:bottom w:val="single" w:color="auto" w:sz="4" w:space="0"/>
              <w:right w:val="single" w:color="auto" w:sz="4" w:space="0"/>
            </w:tcBorders>
            <w:noWrap w:val="0"/>
            <w:vAlign w:val="center"/>
          </w:tcPr>
          <w:p w14:paraId="5EF68C07">
            <w:pPr>
              <w:pStyle w:val="74"/>
              <w:jc w:val="left"/>
              <w:rPr>
                <w:rFonts w:hint="eastAsia"/>
                <w:color w:val="auto"/>
                <w:highlight w:val="none"/>
              </w:rPr>
            </w:pPr>
            <w:r>
              <w:rPr>
                <w:rFonts w:hint="eastAsia"/>
                <w:color w:val="auto"/>
                <w:highlight w:val="none"/>
              </w:rPr>
              <w:t>1、在施工总平面设计时，应对施工场地、环境和条件进行分析，确定具体实施方案。</w:t>
            </w:r>
          </w:p>
          <w:p w14:paraId="1EBA08B8">
            <w:pPr>
              <w:pStyle w:val="74"/>
              <w:jc w:val="left"/>
              <w:rPr>
                <w:rFonts w:hint="eastAsia"/>
                <w:color w:val="auto"/>
                <w:highlight w:val="none"/>
              </w:rPr>
            </w:pPr>
            <w:r>
              <w:rPr>
                <w:rFonts w:hint="eastAsia"/>
                <w:color w:val="auto"/>
                <w:highlight w:val="none"/>
              </w:rPr>
              <w:t>2、施工总平面布置宜利用场地及周边现有和拟建建筑物、构筑物、道路和管线等。</w:t>
            </w:r>
          </w:p>
          <w:p w14:paraId="155A56FD">
            <w:pPr>
              <w:pStyle w:val="74"/>
              <w:jc w:val="left"/>
              <w:rPr>
                <w:rFonts w:hint="eastAsia"/>
                <w:color w:val="auto"/>
                <w:highlight w:val="none"/>
              </w:rPr>
            </w:pPr>
            <w:r>
              <w:rPr>
                <w:rFonts w:hint="eastAsia"/>
                <w:color w:val="auto"/>
                <w:highlight w:val="none"/>
              </w:rPr>
              <w:t>3、施工前应制定合理的场地使用计划；施工中应减少场地干扰，保护环境。</w:t>
            </w:r>
          </w:p>
          <w:p w14:paraId="524D28EC">
            <w:pPr>
              <w:pStyle w:val="74"/>
              <w:jc w:val="left"/>
              <w:rPr>
                <w:rFonts w:hint="eastAsia"/>
                <w:color w:val="auto"/>
                <w:highlight w:val="none"/>
              </w:rPr>
            </w:pPr>
            <w:r>
              <w:rPr>
                <w:rFonts w:hint="eastAsia"/>
                <w:color w:val="auto"/>
                <w:highlight w:val="none"/>
              </w:rPr>
              <w:t>4、临时设施的占地面积按最低面积指标设计，有效使用临时设施用地。</w:t>
            </w:r>
          </w:p>
          <w:p w14:paraId="510B7D38">
            <w:pPr>
              <w:pStyle w:val="74"/>
              <w:jc w:val="left"/>
              <w:rPr>
                <w:rFonts w:hint="eastAsia"/>
                <w:color w:val="auto"/>
                <w:highlight w:val="none"/>
              </w:rPr>
            </w:pPr>
            <w:r>
              <w:rPr>
                <w:rFonts w:hint="eastAsia"/>
                <w:color w:val="auto"/>
                <w:highlight w:val="none"/>
              </w:rPr>
              <w:t>5、塔吊等垂直运输设施基座宜利用在建工程的结构。</w:t>
            </w:r>
          </w:p>
        </w:tc>
      </w:tr>
      <w:tr w14:paraId="009F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BFEB14A">
            <w:pPr>
              <w:pStyle w:val="74"/>
              <w:rPr>
                <w:rFonts w:hint="eastAsia"/>
                <w:color w:val="auto"/>
                <w:highlight w:val="none"/>
              </w:rPr>
            </w:pPr>
            <w:r>
              <w:rPr>
                <w:rFonts w:hint="eastAsia"/>
                <w:color w:val="auto"/>
                <w:highlight w:val="none"/>
              </w:rPr>
              <w:t>2</w:t>
            </w:r>
          </w:p>
        </w:tc>
        <w:tc>
          <w:tcPr>
            <w:tcW w:w="677" w:type="pct"/>
            <w:tcBorders>
              <w:top w:val="single" w:color="auto" w:sz="4" w:space="0"/>
              <w:left w:val="single" w:color="auto" w:sz="4" w:space="0"/>
              <w:bottom w:val="single" w:color="auto" w:sz="4" w:space="0"/>
              <w:right w:val="single" w:color="auto" w:sz="4" w:space="0"/>
            </w:tcBorders>
            <w:noWrap w:val="0"/>
            <w:vAlign w:val="center"/>
          </w:tcPr>
          <w:p w14:paraId="2B011E25">
            <w:pPr>
              <w:pStyle w:val="74"/>
              <w:rPr>
                <w:rFonts w:hint="eastAsia"/>
                <w:color w:val="auto"/>
                <w:highlight w:val="none"/>
              </w:rPr>
            </w:pPr>
            <w:r>
              <w:rPr>
                <w:rFonts w:hint="eastAsia"/>
                <w:color w:val="auto"/>
                <w:highlight w:val="none"/>
              </w:rPr>
              <w:t>施工总平面布置</w:t>
            </w:r>
          </w:p>
        </w:tc>
        <w:tc>
          <w:tcPr>
            <w:tcW w:w="3874" w:type="pct"/>
            <w:tcBorders>
              <w:top w:val="single" w:color="auto" w:sz="4" w:space="0"/>
              <w:left w:val="single" w:color="auto" w:sz="4" w:space="0"/>
              <w:bottom w:val="single" w:color="auto" w:sz="4" w:space="0"/>
              <w:right w:val="single" w:color="auto" w:sz="4" w:space="0"/>
            </w:tcBorders>
            <w:noWrap w:val="0"/>
            <w:vAlign w:val="center"/>
          </w:tcPr>
          <w:p w14:paraId="6177DB9B">
            <w:pPr>
              <w:pStyle w:val="74"/>
              <w:jc w:val="left"/>
              <w:rPr>
                <w:rFonts w:hint="eastAsia"/>
                <w:color w:val="auto"/>
                <w:highlight w:val="none"/>
              </w:rPr>
            </w:pPr>
            <w:r>
              <w:rPr>
                <w:rFonts w:hint="eastAsia"/>
                <w:color w:val="auto"/>
                <w:highlight w:val="none"/>
              </w:rPr>
              <w:t>1、施工现场平面布置应符合下列原则：</w:t>
            </w:r>
          </w:p>
          <w:p w14:paraId="50C9BD30">
            <w:pPr>
              <w:pStyle w:val="74"/>
              <w:jc w:val="left"/>
              <w:rPr>
                <w:rFonts w:hint="eastAsia"/>
                <w:color w:val="auto"/>
                <w:highlight w:val="none"/>
              </w:rPr>
            </w:pPr>
            <w:r>
              <w:rPr>
                <w:rFonts w:hint="eastAsia"/>
                <w:color w:val="auto"/>
                <w:highlight w:val="none"/>
              </w:rPr>
              <w:t>（1）在满足施工需要前提下，应减少施工用地；</w:t>
            </w:r>
          </w:p>
          <w:p w14:paraId="6A352890">
            <w:pPr>
              <w:pStyle w:val="74"/>
              <w:jc w:val="left"/>
              <w:rPr>
                <w:rFonts w:hint="eastAsia"/>
                <w:color w:val="auto"/>
                <w:highlight w:val="none"/>
              </w:rPr>
            </w:pPr>
            <w:r>
              <w:rPr>
                <w:rFonts w:hint="eastAsia"/>
                <w:color w:val="auto"/>
                <w:highlight w:val="none"/>
              </w:rPr>
              <w:t>（2）应合理布置起重机械和各项施工设施，统筹规划施工道路；</w:t>
            </w:r>
          </w:p>
          <w:p w14:paraId="3BB923D7">
            <w:pPr>
              <w:pStyle w:val="74"/>
              <w:jc w:val="left"/>
              <w:rPr>
                <w:rFonts w:hint="eastAsia"/>
                <w:color w:val="auto"/>
                <w:highlight w:val="none"/>
              </w:rPr>
            </w:pPr>
            <w:r>
              <w:rPr>
                <w:rFonts w:hint="eastAsia"/>
                <w:color w:val="auto"/>
                <w:highlight w:val="none"/>
              </w:rPr>
              <w:t>（3）应合理划分施工分区和流水段，减少专业工种之间交叉作业。</w:t>
            </w:r>
          </w:p>
          <w:p w14:paraId="1FFB5C4E">
            <w:pPr>
              <w:pStyle w:val="74"/>
              <w:jc w:val="left"/>
              <w:rPr>
                <w:rFonts w:hint="eastAsia"/>
                <w:color w:val="auto"/>
                <w:highlight w:val="none"/>
              </w:rPr>
            </w:pPr>
            <w:r>
              <w:rPr>
                <w:rFonts w:hint="eastAsia"/>
                <w:color w:val="auto"/>
                <w:highlight w:val="none"/>
              </w:rPr>
              <w:t>2、施工现场平面布置根据施工各阶段的特点和要求，实行动态管理。</w:t>
            </w:r>
          </w:p>
          <w:p w14:paraId="7B72714F">
            <w:pPr>
              <w:pStyle w:val="74"/>
              <w:jc w:val="left"/>
              <w:rPr>
                <w:rFonts w:hint="eastAsia"/>
                <w:color w:val="auto"/>
                <w:highlight w:val="none"/>
              </w:rPr>
            </w:pPr>
            <w:r>
              <w:rPr>
                <w:rFonts w:hint="eastAsia"/>
                <w:color w:val="auto"/>
                <w:highlight w:val="none"/>
              </w:rPr>
              <w:t>3、施工现场生产区、办公区和生活区应实现相对隔离。</w:t>
            </w:r>
          </w:p>
          <w:p w14:paraId="06FD9BB2">
            <w:pPr>
              <w:pStyle w:val="74"/>
              <w:jc w:val="left"/>
              <w:rPr>
                <w:rFonts w:hint="eastAsia"/>
                <w:color w:val="auto"/>
                <w:highlight w:val="none"/>
              </w:rPr>
            </w:pPr>
            <w:r>
              <w:rPr>
                <w:rFonts w:hint="eastAsia"/>
                <w:color w:val="auto"/>
                <w:highlight w:val="none"/>
              </w:rPr>
              <w:t>4、施工现场作业棚、库房、材料堆场等布置宜靠近交通线路和主要用料部位。</w:t>
            </w:r>
          </w:p>
          <w:p w14:paraId="497C4854">
            <w:pPr>
              <w:pStyle w:val="74"/>
              <w:jc w:val="left"/>
              <w:rPr>
                <w:rFonts w:hint="eastAsia"/>
                <w:color w:val="auto"/>
                <w:highlight w:val="none"/>
              </w:rPr>
            </w:pPr>
            <w:r>
              <w:rPr>
                <w:rFonts w:hint="eastAsia"/>
                <w:color w:val="auto"/>
                <w:highlight w:val="none"/>
              </w:rPr>
              <w:t>5、施工现场的强噪声机械设备宜远离噪声敏感区。</w:t>
            </w:r>
          </w:p>
        </w:tc>
      </w:tr>
      <w:tr w14:paraId="5D0E1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56125F7">
            <w:pPr>
              <w:pStyle w:val="74"/>
              <w:rPr>
                <w:rFonts w:hint="eastAsia"/>
                <w:color w:val="auto"/>
                <w:highlight w:val="none"/>
              </w:rPr>
            </w:pPr>
            <w:r>
              <w:rPr>
                <w:rFonts w:hint="eastAsia"/>
                <w:color w:val="auto"/>
                <w:highlight w:val="none"/>
              </w:rPr>
              <w:t>3</w:t>
            </w:r>
          </w:p>
        </w:tc>
        <w:tc>
          <w:tcPr>
            <w:tcW w:w="677" w:type="pct"/>
            <w:tcBorders>
              <w:top w:val="single" w:color="auto" w:sz="4" w:space="0"/>
              <w:left w:val="single" w:color="auto" w:sz="4" w:space="0"/>
              <w:bottom w:val="single" w:color="auto" w:sz="4" w:space="0"/>
              <w:right w:val="single" w:color="auto" w:sz="4" w:space="0"/>
            </w:tcBorders>
            <w:noWrap w:val="0"/>
            <w:vAlign w:val="center"/>
          </w:tcPr>
          <w:p w14:paraId="76DDABDD">
            <w:pPr>
              <w:pStyle w:val="74"/>
              <w:rPr>
                <w:rFonts w:hint="eastAsia"/>
                <w:color w:val="auto"/>
                <w:highlight w:val="none"/>
              </w:rPr>
            </w:pPr>
            <w:r>
              <w:rPr>
                <w:rFonts w:hint="eastAsia"/>
                <w:color w:val="auto"/>
                <w:highlight w:val="none"/>
              </w:rPr>
              <w:t>场区围护及道路</w:t>
            </w:r>
          </w:p>
        </w:tc>
        <w:tc>
          <w:tcPr>
            <w:tcW w:w="3874" w:type="pct"/>
            <w:tcBorders>
              <w:top w:val="single" w:color="auto" w:sz="4" w:space="0"/>
              <w:left w:val="single" w:color="auto" w:sz="4" w:space="0"/>
              <w:bottom w:val="single" w:color="auto" w:sz="4" w:space="0"/>
              <w:right w:val="single" w:color="auto" w:sz="4" w:space="0"/>
            </w:tcBorders>
            <w:noWrap w:val="0"/>
            <w:vAlign w:val="center"/>
          </w:tcPr>
          <w:p w14:paraId="7C214B02">
            <w:pPr>
              <w:pStyle w:val="74"/>
              <w:jc w:val="left"/>
              <w:rPr>
                <w:rFonts w:hint="eastAsia"/>
                <w:color w:val="auto"/>
                <w:highlight w:val="none"/>
              </w:rPr>
            </w:pPr>
            <w:r>
              <w:rPr>
                <w:rFonts w:hint="eastAsia"/>
                <w:color w:val="auto"/>
                <w:highlight w:val="none"/>
              </w:rPr>
              <w:t>1、施工现场大门、围挡和围墙宜采用可重复利用的材料和部件，并应工具化、标准化。</w:t>
            </w:r>
          </w:p>
          <w:p w14:paraId="65E8A1CB">
            <w:pPr>
              <w:pStyle w:val="74"/>
              <w:jc w:val="left"/>
              <w:rPr>
                <w:rFonts w:hint="eastAsia"/>
                <w:color w:val="auto"/>
                <w:highlight w:val="none"/>
              </w:rPr>
            </w:pPr>
            <w:r>
              <w:rPr>
                <w:rFonts w:hint="eastAsia"/>
                <w:color w:val="auto"/>
                <w:highlight w:val="none"/>
              </w:rPr>
              <w:t>2、施工现场入口应设置绿色施工制度图牌。</w:t>
            </w:r>
          </w:p>
          <w:p w14:paraId="579DE5C7">
            <w:pPr>
              <w:pStyle w:val="74"/>
              <w:jc w:val="left"/>
              <w:rPr>
                <w:rFonts w:hint="eastAsia"/>
                <w:color w:val="auto"/>
                <w:highlight w:val="none"/>
              </w:rPr>
            </w:pPr>
            <w:r>
              <w:rPr>
                <w:rFonts w:hint="eastAsia"/>
                <w:color w:val="auto"/>
                <w:highlight w:val="none"/>
              </w:rPr>
              <w:t>3、施工现场道路布置应遵循永久道路和临时道路相结合的原则。</w:t>
            </w:r>
          </w:p>
          <w:p w14:paraId="6B7D4982">
            <w:pPr>
              <w:pStyle w:val="74"/>
              <w:jc w:val="left"/>
              <w:rPr>
                <w:rFonts w:hint="eastAsia"/>
                <w:color w:val="auto"/>
                <w:highlight w:val="none"/>
              </w:rPr>
            </w:pPr>
            <w:r>
              <w:rPr>
                <w:rFonts w:hint="eastAsia"/>
                <w:color w:val="auto"/>
                <w:highlight w:val="none"/>
              </w:rPr>
              <w:t>4、施工现场部分道路的硬化处理可采用可周转使用的材料和构件。</w:t>
            </w:r>
          </w:p>
          <w:p w14:paraId="534615CF">
            <w:pPr>
              <w:pStyle w:val="74"/>
              <w:jc w:val="left"/>
              <w:rPr>
                <w:rFonts w:hint="eastAsia"/>
                <w:color w:val="auto"/>
                <w:highlight w:val="none"/>
              </w:rPr>
            </w:pPr>
            <w:r>
              <w:rPr>
                <w:rFonts w:hint="eastAsia"/>
                <w:color w:val="auto"/>
                <w:highlight w:val="none"/>
              </w:rPr>
              <w:t>5、施工现场围墙、大门和施工道路周边宜设绿化隔离带。</w:t>
            </w:r>
          </w:p>
        </w:tc>
      </w:tr>
      <w:tr w14:paraId="4FF6A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FD1C743">
            <w:pPr>
              <w:pStyle w:val="74"/>
              <w:rPr>
                <w:rFonts w:hint="eastAsia"/>
                <w:color w:val="auto"/>
                <w:highlight w:val="none"/>
              </w:rPr>
            </w:pPr>
            <w:r>
              <w:rPr>
                <w:rFonts w:hint="eastAsia"/>
                <w:color w:val="auto"/>
                <w:highlight w:val="none"/>
              </w:rPr>
              <w:t>4</w:t>
            </w:r>
          </w:p>
        </w:tc>
        <w:tc>
          <w:tcPr>
            <w:tcW w:w="677" w:type="pct"/>
            <w:tcBorders>
              <w:top w:val="single" w:color="auto" w:sz="4" w:space="0"/>
              <w:left w:val="single" w:color="auto" w:sz="4" w:space="0"/>
              <w:bottom w:val="single" w:color="auto" w:sz="4" w:space="0"/>
              <w:right w:val="single" w:color="auto" w:sz="4" w:space="0"/>
            </w:tcBorders>
            <w:noWrap w:val="0"/>
            <w:vAlign w:val="center"/>
          </w:tcPr>
          <w:p w14:paraId="7A2F1354">
            <w:pPr>
              <w:pStyle w:val="74"/>
              <w:rPr>
                <w:rFonts w:hint="eastAsia"/>
                <w:color w:val="auto"/>
                <w:highlight w:val="none"/>
              </w:rPr>
            </w:pPr>
            <w:r>
              <w:rPr>
                <w:rFonts w:hint="eastAsia"/>
                <w:color w:val="auto"/>
                <w:highlight w:val="none"/>
              </w:rPr>
              <w:t>临时设施</w:t>
            </w:r>
          </w:p>
        </w:tc>
        <w:tc>
          <w:tcPr>
            <w:tcW w:w="3874" w:type="pct"/>
            <w:tcBorders>
              <w:top w:val="single" w:color="auto" w:sz="4" w:space="0"/>
              <w:left w:val="single" w:color="auto" w:sz="4" w:space="0"/>
              <w:bottom w:val="single" w:color="auto" w:sz="4" w:space="0"/>
              <w:right w:val="single" w:color="auto" w:sz="4" w:space="0"/>
            </w:tcBorders>
            <w:noWrap w:val="0"/>
            <w:vAlign w:val="center"/>
          </w:tcPr>
          <w:p w14:paraId="610FA8E0">
            <w:pPr>
              <w:pStyle w:val="74"/>
              <w:jc w:val="left"/>
              <w:rPr>
                <w:rFonts w:hint="eastAsia"/>
                <w:color w:val="auto"/>
                <w:highlight w:val="none"/>
              </w:rPr>
            </w:pPr>
            <w:r>
              <w:rPr>
                <w:rFonts w:hint="eastAsia"/>
                <w:color w:val="auto"/>
                <w:highlight w:val="none"/>
              </w:rPr>
              <w:t>1、临时设施的设计、布置和使用，应采取有效的节能降耗措施，并符合下列规定：</w:t>
            </w:r>
          </w:p>
          <w:p w14:paraId="646DC363">
            <w:pPr>
              <w:pStyle w:val="74"/>
              <w:jc w:val="left"/>
              <w:rPr>
                <w:rFonts w:hint="eastAsia"/>
                <w:color w:val="auto"/>
                <w:highlight w:val="none"/>
              </w:rPr>
            </w:pPr>
            <w:r>
              <w:rPr>
                <w:rFonts w:hint="eastAsia"/>
                <w:color w:val="auto"/>
                <w:highlight w:val="none"/>
              </w:rPr>
              <w:t>（1）应利用场地自然条件，临时建筑的体形宜规整，应有自然通风和采光，并应满足节能要求；</w:t>
            </w:r>
          </w:p>
          <w:p w14:paraId="73168875">
            <w:pPr>
              <w:pStyle w:val="74"/>
              <w:jc w:val="left"/>
              <w:rPr>
                <w:rFonts w:hint="eastAsia"/>
                <w:color w:val="auto"/>
                <w:highlight w:val="none"/>
              </w:rPr>
            </w:pPr>
            <w:r>
              <w:rPr>
                <w:rFonts w:hint="eastAsia"/>
                <w:color w:val="auto"/>
                <w:highlight w:val="none"/>
              </w:rPr>
              <w:t>（2）临时设施宜选用由高效保温、隔热、防火材料制成的复合墙体和屋面，以及密封保温隔热性能好的门窗；</w:t>
            </w:r>
          </w:p>
          <w:p w14:paraId="34A10048">
            <w:pPr>
              <w:pStyle w:val="74"/>
              <w:jc w:val="left"/>
              <w:rPr>
                <w:rFonts w:hint="eastAsia"/>
                <w:color w:val="auto"/>
                <w:highlight w:val="none"/>
              </w:rPr>
            </w:pPr>
            <w:r>
              <w:rPr>
                <w:rFonts w:hint="eastAsia"/>
                <w:color w:val="auto"/>
                <w:highlight w:val="none"/>
              </w:rPr>
              <w:t>（3）临时设施建设不宜使用一次性墙体材料。</w:t>
            </w:r>
          </w:p>
          <w:p w14:paraId="24F6F71A">
            <w:pPr>
              <w:pStyle w:val="74"/>
              <w:jc w:val="left"/>
              <w:rPr>
                <w:rFonts w:hint="eastAsia"/>
                <w:color w:val="auto"/>
                <w:highlight w:val="none"/>
              </w:rPr>
            </w:pPr>
            <w:r>
              <w:rPr>
                <w:rFonts w:hint="eastAsia"/>
                <w:color w:val="auto"/>
                <w:highlight w:val="none"/>
              </w:rPr>
              <w:t>2、办公和生活临时用房应采用可重复利用的房屋。</w:t>
            </w:r>
          </w:p>
          <w:p w14:paraId="24FFA883">
            <w:pPr>
              <w:pStyle w:val="74"/>
              <w:jc w:val="left"/>
              <w:rPr>
                <w:rFonts w:hint="eastAsia"/>
                <w:color w:val="auto"/>
                <w:highlight w:val="none"/>
              </w:rPr>
            </w:pPr>
            <w:r>
              <w:rPr>
                <w:rFonts w:hint="eastAsia"/>
                <w:color w:val="auto"/>
                <w:highlight w:val="none"/>
              </w:rPr>
              <w:t>3、塔楼高层建筑内可设置临时可周转卫生间。</w:t>
            </w:r>
          </w:p>
          <w:p w14:paraId="7323BDC3">
            <w:pPr>
              <w:pStyle w:val="74"/>
              <w:jc w:val="left"/>
              <w:rPr>
                <w:rFonts w:hint="eastAsia"/>
                <w:color w:val="auto"/>
                <w:highlight w:val="none"/>
              </w:rPr>
            </w:pPr>
            <w:r>
              <w:rPr>
                <w:rFonts w:hint="eastAsia"/>
                <w:color w:val="auto"/>
                <w:highlight w:val="none"/>
              </w:rPr>
              <w:t>4、施工现场临时防护等设施宜采用周转率高的定性防护材料。</w:t>
            </w:r>
          </w:p>
        </w:tc>
      </w:tr>
    </w:tbl>
    <w:p w14:paraId="140B069C">
      <w:pPr>
        <w:pStyle w:val="97"/>
        <w:spacing w:before="24" w:beforeLines="10" w:after="24" w:afterLines="10" w:line="432" w:lineRule="auto"/>
        <w:ind w:firstLine="560"/>
        <w:rPr>
          <w:color w:val="auto"/>
          <w:sz w:val="24"/>
          <w:szCs w:val="24"/>
          <w:highlight w:val="none"/>
        </w:rPr>
      </w:pPr>
      <w:r>
        <w:rPr>
          <w:color w:val="auto"/>
          <w:sz w:val="24"/>
          <w:szCs w:val="24"/>
          <w:highlight w:val="none"/>
        </w:rPr>
        <w:t>3、主体结构工程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393"/>
        <w:gridCol w:w="6853"/>
      </w:tblGrid>
      <w:tr w14:paraId="7088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7224702E">
            <w:pPr>
              <w:pStyle w:val="74"/>
              <w:rPr>
                <w:rFonts w:hint="eastAsia"/>
                <w:color w:val="auto"/>
                <w:highlight w:val="none"/>
              </w:rPr>
            </w:pPr>
            <w:r>
              <w:rPr>
                <w:rFonts w:hint="eastAsia"/>
                <w:color w:val="auto"/>
                <w:highlight w:val="none"/>
              </w:rPr>
              <w:t>序号</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718B340E">
            <w:pPr>
              <w:pStyle w:val="74"/>
              <w:rPr>
                <w:rFonts w:hint="eastAsia"/>
                <w:color w:val="auto"/>
                <w:highlight w:val="none"/>
              </w:rPr>
            </w:pPr>
            <w:r>
              <w:rPr>
                <w:rFonts w:hint="eastAsia"/>
                <w:color w:val="auto"/>
                <w:highlight w:val="none"/>
              </w:rPr>
              <w:t>主要内容</w:t>
            </w:r>
          </w:p>
        </w:tc>
        <w:tc>
          <w:tcPr>
            <w:tcW w:w="3782" w:type="pct"/>
            <w:tcBorders>
              <w:top w:val="single" w:color="auto" w:sz="4" w:space="0"/>
              <w:left w:val="single" w:color="auto" w:sz="4" w:space="0"/>
              <w:bottom w:val="single" w:color="auto" w:sz="4" w:space="0"/>
              <w:right w:val="single" w:color="auto" w:sz="4" w:space="0"/>
            </w:tcBorders>
            <w:noWrap w:val="0"/>
            <w:vAlign w:val="center"/>
          </w:tcPr>
          <w:p w14:paraId="0D2D2F76">
            <w:pPr>
              <w:pStyle w:val="74"/>
              <w:rPr>
                <w:rFonts w:hint="eastAsia"/>
                <w:color w:val="auto"/>
                <w:highlight w:val="none"/>
              </w:rPr>
            </w:pPr>
            <w:r>
              <w:rPr>
                <w:rFonts w:hint="eastAsia"/>
                <w:color w:val="auto"/>
                <w:highlight w:val="none"/>
              </w:rPr>
              <w:t>具体措施</w:t>
            </w:r>
          </w:p>
        </w:tc>
      </w:tr>
      <w:tr w14:paraId="3DF9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1A1B051">
            <w:pPr>
              <w:pStyle w:val="74"/>
              <w:rPr>
                <w:rFonts w:hint="eastAsia"/>
                <w:color w:val="auto"/>
                <w:highlight w:val="none"/>
              </w:rPr>
            </w:pPr>
            <w:r>
              <w:rPr>
                <w:rFonts w:hint="eastAsia"/>
                <w:color w:val="auto"/>
                <w:highlight w:val="none"/>
              </w:rPr>
              <w:t>1</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36E94FB6">
            <w:pPr>
              <w:pStyle w:val="74"/>
              <w:rPr>
                <w:rFonts w:hint="eastAsia"/>
                <w:color w:val="auto"/>
                <w:highlight w:val="none"/>
              </w:rPr>
            </w:pPr>
            <w:r>
              <w:rPr>
                <w:rFonts w:hint="eastAsia"/>
                <w:color w:val="auto"/>
                <w:highlight w:val="none"/>
              </w:rPr>
              <w:t>一般规定</w:t>
            </w:r>
          </w:p>
        </w:tc>
        <w:tc>
          <w:tcPr>
            <w:tcW w:w="3782" w:type="pct"/>
            <w:tcBorders>
              <w:top w:val="single" w:color="auto" w:sz="4" w:space="0"/>
              <w:left w:val="single" w:color="auto" w:sz="4" w:space="0"/>
              <w:bottom w:val="single" w:color="auto" w:sz="4" w:space="0"/>
              <w:right w:val="single" w:color="auto" w:sz="4" w:space="0"/>
            </w:tcBorders>
            <w:noWrap w:val="0"/>
            <w:vAlign w:val="center"/>
          </w:tcPr>
          <w:p w14:paraId="2FEB3C31">
            <w:pPr>
              <w:pStyle w:val="74"/>
              <w:jc w:val="left"/>
              <w:rPr>
                <w:rFonts w:hint="eastAsia"/>
                <w:color w:val="auto"/>
                <w:highlight w:val="none"/>
              </w:rPr>
            </w:pPr>
            <w:r>
              <w:rPr>
                <w:rFonts w:hint="eastAsia"/>
                <w:color w:val="auto"/>
                <w:highlight w:val="none"/>
              </w:rPr>
              <w:t>1、预制叠合板等构件的存放和运输应采取防止变形和损坏的措施；构件的加工和进场顺序应与现场安装顺序一致。</w:t>
            </w:r>
          </w:p>
          <w:p w14:paraId="21A0F9DC">
            <w:pPr>
              <w:pStyle w:val="74"/>
              <w:jc w:val="left"/>
              <w:rPr>
                <w:rFonts w:hint="eastAsia"/>
                <w:color w:val="auto"/>
                <w:highlight w:val="none"/>
              </w:rPr>
            </w:pPr>
            <w:r>
              <w:rPr>
                <w:rFonts w:hint="eastAsia"/>
                <w:color w:val="auto"/>
                <w:highlight w:val="none"/>
              </w:rPr>
              <w:t>2、主体结构施工应统筹安排垂直和水平运输机械。</w:t>
            </w:r>
          </w:p>
          <w:p w14:paraId="6C24789C">
            <w:pPr>
              <w:pStyle w:val="74"/>
              <w:jc w:val="left"/>
              <w:rPr>
                <w:rFonts w:hint="eastAsia"/>
                <w:color w:val="auto"/>
                <w:highlight w:val="none"/>
              </w:rPr>
            </w:pPr>
            <w:r>
              <w:rPr>
                <w:rFonts w:hint="eastAsia"/>
                <w:color w:val="auto"/>
                <w:highlight w:val="none"/>
              </w:rPr>
              <w:t>3、施工现场采用预拌混凝土和预拌砂浆。</w:t>
            </w:r>
          </w:p>
        </w:tc>
      </w:tr>
      <w:tr w14:paraId="39E11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8F0188F">
            <w:pPr>
              <w:pStyle w:val="74"/>
              <w:rPr>
                <w:rFonts w:hint="eastAsia"/>
                <w:color w:val="auto"/>
                <w:highlight w:val="none"/>
              </w:rPr>
            </w:pPr>
            <w:r>
              <w:rPr>
                <w:rFonts w:hint="eastAsia"/>
                <w:color w:val="auto"/>
                <w:highlight w:val="none"/>
              </w:rPr>
              <w:t>2</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3B7D7435">
            <w:pPr>
              <w:pStyle w:val="74"/>
              <w:rPr>
                <w:rFonts w:hint="eastAsia"/>
                <w:color w:val="auto"/>
                <w:highlight w:val="none"/>
              </w:rPr>
            </w:pPr>
            <w:r>
              <w:rPr>
                <w:rFonts w:hint="eastAsia"/>
                <w:color w:val="auto"/>
                <w:highlight w:val="none"/>
              </w:rPr>
              <w:t>混凝土结构工程</w:t>
            </w:r>
          </w:p>
        </w:tc>
        <w:tc>
          <w:tcPr>
            <w:tcW w:w="3782" w:type="pct"/>
            <w:tcBorders>
              <w:top w:val="single" w:color="auto" w:sz="4" w:space="0"/>
              <w:left w:val="single" w:color="auto" w:sz="4" w:space="0"/>
              <w:bottom w:val="single" w:color="auto" w:sz="4" w:space="0"/>
              <w:right w:val="single" w:color="auto" w:sz="4" w:space="0"/>
            </w:tcBorders>
            <w:noWrap w:val="0"/>
            <w:vAlign w:val="center"/>
          </w:tcPr>
          <w:p w14:paraId="034A5968">
            <w:pPr>
              <w:pStyle w:val="74"/>
              <w:jc w:val="left"/>
              <w:rPr>
                <w:rFonts w:hint="eastAsia"/>
                <w:color w:val="auto"/>
                <w:highlight w:val="none"/>
              </w:rPr>
            </w:pPr>
            <w:r>
              <w:rPr>
                <w:rFonts w:hint="eastAsia"/>
                <w:color w:val="auto"/>
                <w:highlight w:val="none"/>
              </w:rPr>
              <w:t>1、钢筋宜采用专用广联达软件优化放样下料，根据优化配料结果合理确定进场钢筋的定尺长度；在满足规范要求的前提下，合理利用短筋。</w:t>
            </w:r>
          </w:p>
          <w:p w14:paraId="61EFE7E5">
            <w:pPr>
              <w:pStyle w:val="74"/>
              <w:jc w:val="left"/>
              <w:rPr>
                <w:rFonts w:hint="eastAsia"/>
                <w:color w:val="auto"/>
                <w:highlight w:val="none"/>
              </w:rPr>
            </w:pPr>
            <w:r>
              <w:rPr>
                <w:rFonts w:hint="eastAsia"/>
                <w:color w:val="auto"/>
                <w:highlight w:val="none"/>
              </w:rPr>
              <w:t>2、钢筋工程宜采用专业化生产的成型钢筋。钢筋现场加工时，宜采取集中加工方式。</w:t>
            </w:r>
          </w:p>
          <w:p w14:paraId="7930D131">
            <w:pPr>
              <w:pStyle w:val="74"/>
              <w:jc w:val="left"/>
              <w:rPr>
                <w:rFonts w:hint="eastAsia"/>
                <w:color w:val="auto"/>
                <w:highlight w:val="none"/>
              </w:rPr>
            </w:pPr>
            <w:r>
              <w:rPr>
                <w:rFonts w:hint="eastAsia"/>
                <w:color w:val="auto"/>
                <w:highlight w:val="none"/>
              </w:rPr>
              <w:t>3、进场钢筋原材料和加工半成品应存放有序、标识清晰、储存环境适宜，并应采取防潮、防污染等措施，建立健全保管制度。</w:t>
            </w:r>
          </w:p>
          <w:p w14:paraId="44CD10B7">
            <w:pPr>
              <w:pStyle w:val="74"/>
              <w:jc w:val="left"/>
              <w:rPr>
                <w:rFonts w:hint="eastAsia"/>
                <w:color w:val="auto"/>
                <w:highlight w:val="none"/>
              </w:rPr>
            </w:pPr>
            <w:r>
              <w:rPr>
                <w:rFonts w:hint="eastAsia"/>
                <w:color w:val="auto"/>
                <w:highlight w:val="none"/>
              </w:rPr>
              <w:t>4、钢筋加工中使用的冷却液体，应过滤后循环使用，不得随意排放。</w:t>
            </w:r>
          </w:p>
          <w:p w14:paraId="05F5E413">
            <w:pPr>
              <w:pStyle w:val="74"/>
              <w:jc w:val="left"/>
              <w:rPr>
                <w:rFonts w:hint="eastAsia"/>
                <w:color w:val="auto"/>
                <w:highlight w:val="none"/>
              </w:rPr>
            </w:pPr>
            <w:r>
              <w:rPr>
                <w:rFonts w:hint="eastAsia"/>
                <w:color w:val="auto"/>
                <w:highlight w:val="none"/>
              </w:rPr>
              <w:t>5、钢筋加工产生的粉末状废料，应按建筑垃圾及时收集和处理，不得随意掩埋或丢弃。</w:t>
            </w:r>
          </w:p>
        </w:tc>
      </w:tr>
      <w:tr w14:paraId="721A7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69E9EA3">
            <w:pPr>
              <w:pStyle w:val="74"/>
              <w:rPr>
                <w:rFonts w:hint="eastAsia"/>
                <w:color w:val="auto"/>
                <w:highlight w:val="none"/>
              </w:rPr>
            </w:pPr>
            <w:r>
              <w:rPr>
                <w:rFonts w:hint="eastAsia"/>
                <w:color w:val="auto"/>
                <w:highlight w:val="none"/>
              </w:rPr>
              <w:t>3</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115D7155">
            <w:pPr>
              <w:pStyle w:val="74"/>
              <w:rPr>
                <w:rFonts w:hint="eastAsia"/>
                <w:color w:val="auto"/>
                <w:highlight w:val="none"/>
              </w:rPr>
            </w:pPr>
            <w:r>
              <w:rPr>
                <w:rFonts w:hint="eastAsia"/>
                <w:color w:val="auto"/>
                <w:highlight w:val="none"/>
              </w:rPr>
              <w:t>模板工程</w:t>
            </w:r>
          </w:p>
        </w:tc>
        <w:tc>
          <w:tcPr>
            <w:tcW w:w="3782" w:type="pct"/>
            <w:tcBorders>
              <w:top w:val="single" w:color="auto" w:sz="4" w:space="0"/>
              <w:left w:val="single" w:color="auto" w:sz="4" w:space="0"/>
              <w:bottom w:val="single" w:color="auto" w:sz="4" w:space="0"/>
              <w:right w:val="single" w:color="auto" w:sz="4" w:space="0"/>
            </w:tcBorders>
            <w:noWrap w:val="0"/>
            <w:vAlign w:val="center"/>
          </w:tcPr>
          <w:p w14:paraId="3C15D4E8">
            <w:pPr>
              <w:pStyle w:val="74"/>
              <w:jc w:val="left"/>
              <w:rPr>
                <w:rFonts w:hint="eastAsia"/>
                <w:color w:val="auto"/>
                <w:highlight w:val="none"/>
              </w:rPr>
            </w:pPr>
            <w:r>
              <w:rPr>
                <w:rFonts w:hint="eastAsia"/>
                <w:color w:val="auto"/>
                <w:highlight w:val="none"/>
              </w:rPr>
              <w:t>1、应选用木模体系。</w:t>
            </w:r>
          </w:p>
          <w:p w14:paraId="5FCDAEAF">
            <w:pPr>
              <w:pStyle w:val="74"/>
              <w:jc w:val="left"/>
              <w:rPr>
                <w:rFonts w:hint="eastAsia"/>
                <w:color w:val="auto"/>
                <w:highlight w:val="none"/>
              </w:rPr>
            </w:pPr>
            <w:r>
              <w:rPr>
                <w:rFonts w:hint="eastAsia"/>
                <w:color w:val="auto"/>
                <w:highlight w:val="none"/>
              </w:rPr>
              <w:t>2、模板下料准确，减少资源浪费</w:t>
            </w:r>
          </w:p>
        </w:tc>
      </w:tr>
      <w:tr w14:paraId="15D2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41B8B88">
            <w:pPr>
              <w:pStyle w:val="74"/>
              <w:rPr>
                <w:rFonts w:hint="eastAsia"/>
                <w:color w:val="auto"/>
                <w:highlight w:val="none"/>
              </w:rPr>
            </w:pPr>
            <w:r>
              <w:rPr>
                <w:rFonts w:hint="eastAsia"/>
                <w:color w:val="auto"/>
                <w:highlight w:val="none"/>
              </w:rPr>
              <w:t>4</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39BBF461">
            <w:pPr>
              <w:pStyle w:val="74"/>
              <w:rPr>
                <w:rFonts w:hint="eastAsia"/>
                <w:color w:val="auto"/>
                <w:highlight w:val="none"/>
              </w:rPr>
            </w:pPr>
            <w:r>
              <w:rPr>
                <w:rFonts w:hint="eastAsia"/>
                <w:color w:val="auto"/>
                <w:highlight w:val="none"/>
              </w:rPr>
              <w:t>混凝土工程</w:t>
            </w:r>
          </w:p>
        </w:tc>
        <w:tc>
          <w:tcPr>
            <w:tcW w:w="3782" w:type="pct"/>
            <w:tcBorders>
              <w:top w:val="single" w:color="auto" w:sz="4" w:space="0"/>
              <w:left w:val="single" w:color="auto" w:sz="4" w:space="0"/>
              <w:bottom w:val="single" w:color="auto" w:sz="4" w:space="0"/>
              <w:right w:val="single" w:color="auto" w:sz="4" w:space="0"/>
            </w:tcBorders>
            <w:noWrap w:val="0"/>
            <w:vAlign w:val="center"/>
          </w:tcPr>
          <w:p w14:paraId="6DA67AAD">
            <w:pPr>
              <w:pStyle w:val="74"/>
              <w:jc w:val="left"/>
              <w:rPr>
                <w:rFonts w:hint="eastAsia"/>
                <w:color w:val="auto"/>
                <w:highlight w:val="none"/>
              </w:rPr>
            </w:pPr>
            <w:r>
              <w:rPr>
                <w:rFonts w:hint="eastAsia"/>
                <w:color w:val="auto"/>
                <w:highlight w:val="none"/>
              </w:rPr>
              <w:t>1、在混凝土配合比设计时，应减少水泥用量，增加工业废料、矿山废渣的掺量；当混凝土中添加粉煤灰时，宜利用其后期强度。</w:t>
            </w:r>
          </w:p>
          <w:p w14:paraId="65371E48">
            <w:pPr>
              <w:pStyle w:val="74"/>
              <w:jc w:val="left"/>
              <w:rPr>
                <w:rFonts w:hint="eastAsia"/>
                <w:color w:val="auto"/>
                <w:highlight w:val="none"/>
              </w:rPr>
            </w:pPr>
            <w:r>
              <w:rPr>
                <w:rFonts w:hint="eastAsia"/>
                <w:color w:val="auto"/>
                <w:highlight w:val="none"/>
              </w:rPr>
              <w:t>2、混凝土应采用低噪声振捣设备振捣，也可采取围挡降噪措施；在噪声敏感环境或钢筋密集时，宜采用自密实混凝土。</w:t>
            </w:r>
          </w:p>
          <w:p w14:paraId="72A55DAD">
            <w:pPr>
              <w:pStyle w:val="74"/>
              <w:jc w:val="left"/>
              <w:rPr>
                <w:rFonts w:hint="eastAsia"/>
                <w:color w:val="auto"/>
                <w:highlight w:val="none"/>
              </w:rPr>
            </w:pPr>
            <w:r>
              <w:rPr>
                <w:rFonts w:hint="eastAsia"/>
                <w:color w:val="auto"/>
                <w:highlight w:val="none"/>
              </w:rPr>
              <w:t>3、混凝土宜采用塑料薄膜加保温材料覆盖保湿、保温养护；当采用洒水或喷雾养护时，养护用水宜使用回收的雨水；混凝土竖向构件宜采用养护剂进行养护。</w:t>
            </w:r>
          </w:p>
          <w:p w14:paraId="004DB54A">
            <w:pPr>
              <w:pStyle w:val="74"/>
              <w:jc w:val="left"/>
              <w:rPr>
                <w:rFonts w:hint="eastAsia"/>
                <w:color w:val="auto"/>
                <w:highlight w:val="none"/>
              </w:rPr>
            </w:pPr>
            <w:r>
              <w:rPr>
                <w:rFonts w:hint="eastAsia"/>
                <w:color w:val="auto"/>
                <w:highlight w:val="none"/>
              </w:rPr>
              <w:t>4、混凝土浇筑余料应制成小型预制件，或采用其他措施加以利用，不得随意倾倒。</w:t>
            </w:r>
          </w:p>
          <w:p w14:paraId="5DE5ACAD">
            <w:pPr>
              <w:pStyle w:val="74"/>
              <w:jc w:val="left"/>
              <w:rPr>
                <w:rFonts w:hint="eastAsia"/>
                <w:color w:val="auto"/>
                <w:highlight w:val="none"/>
              </w:rPr>
            </w:pPr>
            <w:r>
              <w:rPr>
                <w:rFonts w:hint="eastAsia"/>
                <w:color w:val="auto"/>
                <w:highlight w:val="none"/>
              </w:rPr>
              <w:t>5、清洗泵送设备和管道的污水应经沉淀后回收利用，浆料分离后可作室外道路、地面等垫层的回填材料。</w:t>
            </w:r>
          </w:p>
        </w:tc>
      </w:tr>
      <w:tr w14:paraId="785C2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2AED801">
            <w:pPr>
              <w:pStyle w:val="74"/>
              <w:rPr>
                <w:rFonts w:hint="eastAsia"/>
                <w:color w:val="auto"/>
                <w:highlight w:val="none"/>
              </w:rPr>
            </w:pPr>
            <w:r>
              <w:rPr>
                <w:rFonts w:hint="eastAsia"/>
                <w:color w:val="auto"/>
                <w:highlight w:val="none"/>
              </w:rPr>
              <w:t>5</w:t>
            </w:r>
          </w:p>
        </w:tc>
        <w:tc>
          <w:tcPr>
            <w:tcW w:w="769" w:type="pct"/>
            <w:tcBorders>
              <w:top w:val="single" w:color="auto" w:sz="4" w:space="0"/>
              <w:left w:val="single" w:color="auto" w:sz="4" w:space="0"/>
              <w:bottom w:val="single" w:color="auto" w:sz="4" w:space="0"/>
              <w:right w:val="single" w:color="auto" w:sz="4" w:space="0"/>
            </w:tcBorders>
            <w:noWrap w:val="0"/>
            <w:vAlign w:val="center"/>
          </w:tcPr>
          <w:p w14:paraId="68672118">
            <w:pPr>
              <w:pStyle w:val="74"/>
              <w:rPr>
                <w:rFonts w:hint="eastAsia"/>
                <w:color w:val="auto"/>
                <w:highlight w:val="none"/>
              </w:rPr>
            </w:pPr>
            <w:r>
              <w:rPr>
                <w:rFonts w:hint="eastAsia"/>
                <w:color w:val="auto"/>
                <w:highlight w:val="none"/>
              </w:rPr>
              <w:t>砌体结构工程</w:t>
            </w:r>
          </w:p>
        </w:tc>
        <w:tc>
          <w:tcPr>
            <w:tcW w:w="3782" w:type="pct"/>
            <w:tcBorders>
              <w:top w:val="single" w:color="auto" w:sz="4" w:space="0"/>
              <w:left w:val="single" w:color="auto" w:sz="4" w:space="0"/>
              <w:bottom w:val="single" w:color="auto" w:sz="4" w:space="0"/>
              <w:right w:val="single" w:color="auto" w:sz="4" w:space="0"/>
            </w:tcBorders>
            <w:noWrap w:val="0"/>
            <w:vAlign w:val="center"/>
          </w:tcPr>
          <w:p w14:paraId="73145245">
            <w:pPr>
              <w:pStyle w:val="74"/>
              <w:jc w:val="left"/>
              <w:rPr>
                <w:rFonts w:hint="eastAsia"/>
                <w:color w:val="auto"/>
                <w:highlight w:val="none"/>
              </w:rPr>
            </w:pPr>
            <w:r>
              <w:rPr>
                <w:rFonts w:hint="eastAsia"/>
                <w:color w:val="auto"/>
                <w:highlight w:val="none"/>
              </w:rPr>
              <w:t>1、砌块运输宜采用托板整体包装，现场应减少二次搬运。</w:t>
            </w:r>
          </w:p>
          <w:p w14:paraId="1D88D5F3">
            <w:pPr>
              <w:pStyle w:val="74"/>
              <w:jc w:val="left"/>
              <w:rPr>
                <w:rFonts w:hint="eastAsia"/>
                <w:color w:val="auto"/>
                <w:highlight w:val="none"/>
              </w:rPr>
            </w:pPr>
            <w:r>
              <w:rPr>
                <w:rFonts w:hint="eastAsia"/>
                <w:color w:val="auto"/>
                <w:highlight w:val="none"/>
              </w:rPr>
              <w:t>2、砌块湿润和砌体养护宜使用检验合格的非自来水水源。</w:t>
            </w:r>
          </w:p>
          <w:p w14:paraId="423F54E3">
            <w:pPr>
              <w:pStyle w:val="74"/>
              <w:jc w:val="left"/>
              <w:rPr>
                <w:rFonts w:hint="eastAsia"/>
                <w:color w:val="auto"/>
                <w:highlight w:val="none"/>
              </w:rPr>
            </w:pPr>
            <w:r>
              <w:rPr>
                <w:rFonts w:hint="eastAsia"/>
                <w:color w:val="auto"/>
                <w:highlight w:val="none"/>
              </w:rPr>
              <w:t>3、砌筑施工时，落地灰应及时清理、收集和再利用。</w:t>
            </w:r>
          </w:p>
          <w:p w14:paraId="42898CF5">
            <w:pPr>
              <w:pStyle w:val="74"/>
              <w:jc w:val="left"/>
              <w:rPr>
                <w:rFonts w:hint="eastAsia"/>
                <w:color w:val="auto"/>
                <w:highlight w:val="none"/>
              </w:rPr>
            </w:pPr>
            <w:r>
              <w:rPr>
                <w:rFonts w:hint="eastAsia"/>
                <w:color w:val="auto"/>
                <w:highlight w:val="none"/>
              </w:rPr>
              <w:t>4、砌块应按砌体图砌筑，现场切割时应采取防尘降噪措施。</w:t>
            </w:r>
          </w:p>
        </w:tc>
      </w:tr>
    </w:tbl>
    <w:p w14:paraId="2238E7F1">
      <w:pPr>
        <w:pStyle w:val="97"/>
        <w:spacing w:before="24" w:beforeLines="10" w:after="24" w:afterLines="10" w:line="432" w:lineRule="auto"/>
        <w:ind w:firstLine="560"/>
        <w:rPr>
          <w:color w:val="auto"/>
          <w:sz w:val="24"/>
          <w:szCs w:val="24"/>
          <w:highlight w:val="none"/>
        </w:rPr>
      </w:pPr>
      <w:r>
        <w:rPr>
          <w:color w:val="auto"/>
          <w:sz w:val="24"/>
          <w:szCs w:val="24"/>
          <w:highlight w:val="none"/>
        </w:rPr>
        <w:t>4、装饰装修工程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5"/>
        <w:gridCol w:w="1395"/>
        <w:gridCol w:w="6850"/>
      </w:tblGrid>
      <w:tr w14:paraId="0809C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50" w:type="pct"/>
            <w:tcBorders>
              <w:top w:val="single" w:color="auto" w:sz="4" w:space="0"/>
              <w:left w:val="single" w:color="auto" w:sz="4" w:space="0"/>
              <w:bottom w:val="single" w:color="auto" w:sz="4" w:space="0"/>
              <w:right w:val="single" w:color="auto" w:sz="4" w:space="0"/>
            </w:tcBorders>
            <w:noWrap w:val="0"/>
            <w:vAlign w:val="center"/>
          </w:tcPr>
          <w:p w14:paraId="46F941A5">
            <w:pPr>
              <w:pStyle w:val="74"/>
              <w:rPr>
                <w:rFonts w:hint="eastAsia"/>
                <w:color w:val="auto"/>
                <w:highlight w:val="none"/>
              </w:rPr>
            </w:pPr>
            <w:r>
              <w:rPr>
                <w:rFonts w:hint="eastAsia"/>
                <w:color w:val="auto"/>
                <w:highlight w:val="none"/>
              </w:rPr>
              <w:t>序号</w:t>
            </w:r>
          </w:p>
        </w:tc>
        <w:tc>
          <w:tcPr>
            <w:tcW w:w="770" w:type="pct"/>
            <w:tcBorders>
              <w:top w:val="single" w:color="auto" w:sz="4" w:space="0"/>
              <w:left w:val="single" w:color="auto" w:sz="4" w:space="0"/>
              <w:bottom w:val="single" w:color="auto" w:sz="4" w:space="0"/>
              <w:right w:val="single" w:color="auto" w:sz="4" w:space="0"/>
            </w:tcBorders>
            <w:noWrap w:val="0"/>
            <w:vAlign w:val="center"/>
          </w:tcPr>
          <w:p w14:paraId="12B1B7F8">
            <w:pPr>
              <w:pStyle w:val="74"/>
              <w:rPr>
                <w:rFonts w:hint="eastAsia"/>
                <w:color w:val="auto"/>
                <w:highlight w:val="none"/>
              </w:rPr>
            </w:pPr>
            <w:r>
              <w:rPr>
                <w:rFonts w:hint="eastAsia"/>
                <w:color w:val="auto"/>
                <w:highlight w:val="none"/>
              </w:rPr>
              <w:t>主要内容</w:t>
            </w:r>
          </w:p>
        </w:tc>
        <w:tc>
          <w:tcPr>
            <w:tcW w:w="3780" w:type="pct"/>
            <w:tcBorders>
              <w:top w:val="single" w:color="auto" w:sz="4" w:space="0"/>
              <w:left w:val="single" w:color="auto" w:sz="4" w:space="0"/>
              <w:bottom w:val="single" w:color="auto" w:sz="4" w:space="0"/>
              <w:right w:val="single" w:color="auto" w:sz="4" w:space="0"/>
            </w:tcBorders>
            <w:noWrap w:val="0"/>
            <w:vAlign w:val="center"/>
          </w:tcPr>
          <w:p w14:paraId="54DDC52F">
            <w:pPr>
              <w:pStyle w:val="74"/>
              <w:rPr>
                <w:rFonts w:hint="eastAsia"/>
                <w:color w:val="auto"/>
                <w:highlight w:val="none"/>
              </w:rPr>
            </w:pPr>
            <w:r>
              <w:rPr>
                <w:rFonts w:hint="eastAsia"/>
                <w:color w:val="auto"/>
                <w:highlight w:val="none"/>
              </w:rPr>
              <w:t>具体措施</w:t>
            </w:r>
          </w:p>
        </w:tc>
      </w:tr>
      <w:tr w14:paraId="448C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2B7A5988">
            <w:pPr>
              <w:pStyle w:val="74"/>
              <w:rPr>
                <w:rFonts w:hint="eastAsia"/>
                <w:color w:val="auto"/>
                <w:highlight w:val="none"/>
              </w:rPr>
            </w:pPr>
            <w:r>
              <w:rPr>
                <w:rFonts w:hint="eastAsia"/>
                <w:color w:val="auto"/>
                <w:highlight w:val="none"/>
              </w:rPr>
              <w:t>1</w:t>
            </w:r>
          </w:p>
        </w:tc>
        <w:tc>
          <w:tcPr>
            <w:tcW w:w="770" w:type="pct"/>
            <w:tcBorders>
              <w:top w:val="single" w:color="auto" w:sz="4" w:space="0"/>
              <w:left w:val="single" w:color="auto" w:sz="4" w:space="0"/>
              <w:bottom w:val="single" w:color="auto" w:sz="4" w:space="0"/>
              <w:right w:val="single" w:color="auto" w:sz="4" w:space="0"/>
            </w:tcBorders>
            <w:noWrap w:val="0"/>
            <w:vAlign w:val="center"/>
          </w:tcPr>
          <w:p w14:paraId="7BCE9942">
            <w:pPr>
              <w:pStyle w:val="74"/>
              <w:rPr>
                <w:rFonts w:hint="eastAsia"/>
                <w:color w:val="auto"/>
                <w:highlight w:val="none"/>
              </w:rPr>
            </w:pPr>
            <w:r>
              <w:rPr>
                <w:rFonts w:hint="eastAsia"/>
                <w:color w:val="auto"/>
                <w:highlight w:val="none"/>
              </w:rPr>
              <w:t>一般规定</w:t>
            </w:r>
          </w:p>
        </w:tc>
        <w:tc>
          <w:tcPr>
            <w:tcW w:w="3780" w:type="pct"/>
            <w:tcBorders>
              <w:top w:val="single" w:color="auto" w:sz="4" w:space="0"/>
              <w:left w:val="single" w:color="auto" w:sz="4" w:space="0"/>
              <w:bottom w:val="single" w:color="auto" w:sz="4" w:space="0"/>
              <w:right w:val="single" w:color="auto" w:sz="4" w:space="0"/>
            </w:tcBorders>
            <w:noWrap w:val="0"/>
            <w:vAlign w:val="center"/>
          </w:tcPr>
          <w:p w14:paraId="4A7EF6C0">
            <w:pPr>
              <w:pStyle w:val="74"/>
              <w:jc w:val="left"/>
              <w:rPr>
                <w:rFonts w:hint="eastAsia"/>
                <w:color w:val="auto"/>
                <w:highlight w:val="none"/>
              </w:rPr>
            </w:pPr>
            <w:r>
              <w:rPr>
                <w:rFonts w:hint="eastAsia"/>
                <w:color w:val="auto"/>
                <w:highlight w:val="none"/>
              </w:rPr>
              <w:t>1、施工前，块材、板材和卷材应进行排版优化设计。</w:t>
            </w:r>
          </w:p>
          <w:p w14:paraId="0135B3C6">
            <w:pPr>
              <w:pStyle w:val="74"/>
              <w:jc w:val="left"/>
              <w:rPr>
                <w:rFonts w:hint="eastAsia"/>
                <w:color w:val="auto"/>
                <w:highlight w:val="none"/>
              </w:rPr>
            </w:pPr>
            <w:r>
              <w:rPr>
                <w:rFonts w:hint="eastAsia"/>
                <w:color w:val="auto"/>
                <w:highlight w:val="none"/>
              </w:rPr>
              <w:t>2、门窗、幕墙、块材、板材宜采用工厂化加工。</w:t>
            </w:r>
          </w:p>
          <w:p w14:paraId="6119DBA2">
            <w:pPr>
              <w:pStyle w:val="74"/>
              <w:jc w:val="left"/>
              <w:rPr>
                <w:rFonts w:hint="eastAsia"/>
                <w:color w:val="auto"/>
                <w:highlight w:val="none"/>
              </w:rPr>
            </w:pPr>
            <w:r>
              <w:rPr>
                <w:rFonts w:hint="eastAsia"/>
                <w:color w:val="auto"/>
                <w:highlight w:val="none"/>
              </w:rPr>
              <w:t>3、装饰用砂浆采用预拌砂浆，落地灰应回收使用。</w:t>
            </w:r>
          </w:p>
          <w:p w14:paraId="2553909F">
            <w:pPr>
              <w:pStyle w:val="74"/>
              <w:jc w:val="left"/>
              <w:rPr>
                <w:rFonts w:hint="eastAsia"/>
                <w:color w:val="auto"/>
                <w:highlight w:val="none"/>
              </w:rPr>
            </w:pPr>
            <w:r>
              <w:rPr>
                <w:rFonts w:hint="eastAsia"/>
                <w:color w:val="auto"/>
                <w:highlight w:val="none"/>
              </w:rPr>
              <w:t>4、装饰装修成品、半成品应采取保护措施。</w:t>
            </w:r>
          </w:p>
          <w:p w14:paraId="433B91CF">
            <w:pPr>
              <w:pStyle w:val="74"/>
              <w:jc w:val="left"/>
              <w:rPr>
                <w:rFonts w:hint="eastAsia"/>
                <w:color w:val="auto"/>
                <w:highlight w:val="none"/>
              </w:rPr>
            </w:pPr>
            <w:r>
              <w:rPr>
                <w:rFonts w:hint="eastAsia"/>
                <w:color w:val="auto"/>
                <w:highlight w:val="none"/>
              </w:rPr>
              <w:t>5、材料的包装物应全部分类回收。</w:t>
            </w:r>
          </w:p>
          <w:p w14:paraId="25A9B626">
            <w:pPr>
              <w:pStyle w:val="74"/>
              <w:jc w:val="left"/>
              <w:rPr>
                <w:rFonts w:hint="eastAsia"/>
                <w:color w:val="auto"/>
                <w:highlight w:val="none"/>
              </w:rPr>
            </w:pPr>
            <w:r>
              <w:rPr>
                <w:rFonts w:hint="eastAsia"/>
                <w:color w:val="auto"/>
                <w:highlight w:val="none"/>
              </w:rPr>
              <w:t>6、不得采用沥青类、煤焦油类材料作为室内防腐、防潮处理剂。</w:t>
            </w:r>
          </w:p>
          <w:p w14:paraId="77C610BD">
            <w:pPr>
              <w:pStyle w:val="74"/>
              <w:jc w:val="left"/>
              <w:rPr>
                <w:rFonts w:hint="eastAsia"/>
                <w:color w:val="auto"/>
                <w:highlight w:val="none"/>
              </w:rPr>
            </w:pPr>
            <w:r>
              <w:rPr>
                <w:rFonts w:hint="eastAsia"/>
                <w:color w:val="auto"/>
                <w:highlight w:val="none"/>
              </w:rPr>
              <w:t>7、应制定材料使用的减量计划，材料损耗宜比额定损耗率降低30%。</w:t>
            </w:r>
          </w:p>
          <w:p w14:paraId="22BADB8B">
            <w:pPr>
              <w:pStyle w:val="74"/>
              <w:jc w:val="left"/>
              <w:rPr>
                <w:rFonts w:hint="eastAsia"/>
                <w:color w:val="auto"/>
                <w:highlight w:val="none"/>
              </w:rPr>
            </w:pPr>
            <w:r>
              <w:rPr>
                <w:rFonts w:hint="eastAsia"/>
                <w:color w:val="auto"/>
                <w:highlight w:val="none"/>
              </w:rPr>
              <w:t>8、民用建筑工程验收时，必须进行室内环境污染物浓度检测。</w:t>
            </w:r>
          </w:p>
        </w:tc>
      </w:tr>
      <w:tr w14:paraId="4F3C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28C5EE92">
            <w:pPr>
              <w:pStyle w:val="74"/>
              <w:rPr>
                <w:rFonts w:hint="eastAsia"/>
                <w:color w:val="auto"/>
                <w:highlight w:val="none"/>
              </w:rPr>
            </w:pPr>
            <w:r>
              <w:rPr>
                <w:rFonts w:hint="eastAsia"/>
                <w:color w:val="auto"/>
                <w:highlight w:val="none"/>
              </w:rPr>
              <w:t>2</w:t>
            </w:r>
          </w:p>
        </w:tc>
        <w:tc>
          <w:tcPr>
            <w:tcW w:w="770" w:type="pct"/>
            <w:tcBorders>
              <w:top w:val="single" w:color="auto" w:sz="4" w:space="0"/>
              <w:left w:val="single" w:color="auto" w:sz="4" w:space="0"/>
              <w:bottom w:val="single" w:color="auto" w:sz="4" w:space="0"/>
              <w:right w:val="single" w:color="auto" w:sz="4" w:space="0"/>
            </w:tcBorders>
            <w:noWrap w:val="0"/>
            <w:vAlign w:val="center"/>
          </w:tcPr>
          <w:p w14:paraId="15DDE6DF">
            <w:pPr>
              <w:pStyle w:val="74"/>
              <w:rPr>
                <w:rFonts w:hint="eastAsia"/>
                <w:color w:val="auto"/>
                <w:highlight w:val="none"/>
              </w:rPr>
            </w:pPr>
            <w:r>
              <w:rPr>
                <w:rFonts w:hint="eastAsia"/>
                <w:color w:val="auto"/>
                <w:highlight w:val="none"/>
              </w:rPr>
              <w:t>地面工程</w:t>
            </w:r>
          </w:p>
        </w:tc>
        <w:tc>
          <w:tcPr>
            <w:tcW w:w="3780" w:type="pct"/>
            <w:tcBorders>
              <w:top w:val="single" w:color="auto" w:sz="4" w:space="0"/>
              <w:left w:val="single" w:color="auto" w:sz="4" w:space="0"/>
              <w:bottom w:val="single" w:color="auto" w:sz="4" w:space="0"/>
              <w:right w:val="single" w:color="auto" w:sz="4" w:space="0"/>
            </w:tcBorders>
            <w:noWrap w:val="0"/>
            <w:vAlign w:val="center"/>
          </w:tcPr>
          <w:p w14:paraId="241BCBB8">
            <w:pPr>
              <w:pStyle w:val="74"/>
              <w:jc w:val="left"/>
              <w:rPr>
                <w:rFonts w:hint="eastAsia"/>
                <w:color w:val="auto"/>
                <w:highlight w:val="none"/>
              </w:rPr>
            </w:pPr>
            <w:r>
              <w:rPr>
                <w:rFonts w:hint="eastAsia"/>
                <w:color w:val="auto"/>
                <w:highlight w:val="none"/>
              </w:rPr>
              <w:t>1、基层粉尘清理应采用吸尘器；没有防潮要求的，可采用洒水降尘措施。</w:t>
            </w:r>
          </w:p>
          <w:p w14:paraId="2B440642">
            <w:pPr>
              <w:pStyle w:val="74"/>
              <w:jc w:val="left"/>
              <w:rPr>
                <w:rFonts w:hint="eastAsia"/>
                <w:color w:val="auto"/>
                <w:highlight w:val="none"/>
              </w:rPr>
            </w:pPr>
            <w:r>
              <w:rPr>
                <w:rFonts w:hint="eastAsia"/>
                <w:color w:val="auto"/>
                <w:highlight w:val="none"/>
              </w:rPr>
              <w:t>2、基层需要剔凿的，应采用噪声剔凿机具和剔凿方式。</w:t>
            </w:r>
          </w:p>
          <w:p w14:paraId="5E1EF50D">
            <w:pPr>
              <w:pStyle w:val="74"/>
              <w:jc w:val="left"/>
              <w:rPr>
                <w:rFonts w:hint="eastAsia"/>
                <w:color w:val="auto"/>
                <w:highlight w:val="none"/>
              </w:rPr>
            </w:pPr>
            <w:r>
              <w:rPr>
                <w:rFonts w:hint="eastAsia"/>
                <w:color w:val="auto"/>
                <w:highlight w:val="none"/>
              </w:rPr>
              <w:t>3、湿作业应采用喷洒方式保湿养护。</w:t>
            </w:r>
          </w:p>
          <w:p w14:paraId="1E5135AC">
            <w:pPr>
              <w:pStyle w:val="74"/>
              <w:jc w:val="left"/>
              <w:rPr>
                <w:rFonts w:hint="eastAsia"/>
                <w:color w:val="auto"/>
                <w:highlight w:val="none"/>
              </w:rPr>
            </w:pPr>
            <w:r>
              <w:rPr>
                <w:rFonts w:hint="eastAsia"/>
                <w:color w:val="auto"/>
                <w:highlight w:val="none"/>
              </w:rPr>
              <w:t>4、施工现场切割地面块材时，应采取降噪措施；污水集中收集处理。</w:t>
            </w:r>
          </w:p>
          <w:p w14:paraId="363E1244">
            <w:pPr>
              <w:pStyle w:val="74"/>
              <w:jc w:val="left"/>
              <w:rPr>
                <w:rFonts w:hint="eastAsia"/>
                <w:color w:val="auto"/>
                <w:highlight w:val="none"/>
              </w:rPr>
            </w:pPr>
            <w:r>
              <w:rPr>
                <w:rFonts w:hint="eastAsia"/>
                <w:color w:val="auto"/>
                <w:highlight w:val="none"/>
              </w:rPr>
              <w:t>5、应对地面洞口、管线口进行封堵，墙面应采取防污染措施。</w:t>
            </w:r>
          </w:p>
          <w:p w14:paraId="531572E8">
            <w:pPr>
              <w:pStyle w:val="74"/>
              <w:jc w:val="left"/>
              <w:rPr>
                <w:rFonts w:hint="eastAsia"/>
                <w:color w:val="auto"/>
                <w:highlight w:val="none"/>
              </w:rPr>
            </w:pPr>
            <w:r>
              <w:rPr>
                <w:rFonts w:hint="eastAsia"/>
                <w:color w:val="auto"/>
                <w:highlight w:val="none"/>
              </w:rPr>
              <w:t>6、地面养护期内不得上人或堆物，对地面养护用水，应采用喷洒方式，严禁养护用水溢流。</w:t>
            </w:r>
          </w:p>
        </w:tc>
      </w:tr>
      <w:tr w14:paraId="748EC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08EDAD04">
            <w:pPr>
              <w:pStyle w:val="74"/>
              <w:rPr>
                <w:rFonts w:hint="eastAsia"/>
                <w:color w:val="auto"/>
                <w:highlight w:val="none"/>
              </w:rPr>
            </w:pPr>
            <w:r>
              <w:rPr>
                <w:rFonts w:hint="eastAsia"/>
                <w:color w:val="auto"/>
                <w:highlight w:val="none"/>
              </w:rPr>
              <w:t>3</w:t>
            </w:r>
          </w:p>
        </w:tc>
        <w:tc>
          <w:tcPr>
            <w:tcW w:w="770" w:type="pct"/>
            <w:tcBorders>
              <w:top w:val="single" w:color="auto" w:sz="4" w:space="0"/>
              <w:left w:val="single" w:color="auto" w:sz="4" w:space="0"/>
              <w:bottom w:val="single" w:color="auto" w:sz="4" w:space="0"/>
              <w:right w:val="single" w:color="auto" w:sz="4" w:space="0"/>
            </w:tcBorders>
            <w:noWrap w:val="0"/>
            <w:vAlign w:val="center"/>
          </w:tcPr>
          <w:p w14:paraId="0041AE27">
            <w:pPr>
              <w:pStyle w:val="74"/>
              <w:rPr>
                <w:rFonts w:hint="eastAsia"/>
                <w:color w:val="auto"/>
                <w:highlight w:val="none"/>
              </w:rPr>
            </w:pPr>
            <w:r>
              <w:rPr>
                <w:rFonts w:hint="eastAsia"/>
                <w:color w:val="auto"/>
                <w:highlight w:val="none"/>
              </w:rPr>
              <w:t>门窗及幕墙工程</w:t>
            </w:r>
          </w:p>
        </w:tc>
        <w:tc>
          <w:tcPr>
            <w:tcW w:w="3780" w:type="pct"/>
            <w:tcBorders>
              <w:top w:val="single" w:color="auto" w:sz="4" w:space="0"/>
              <w:left w:val="single" w:color="auto" w:sz="4" w:space="0"/>
              <w:bottom w:val="single" w:color="auto" w:sz="4" w:space="0"/>
              <w:right w:val="single" w:color="auto" w:sz="4" w:space="0"/>
            </w:tcBorders>
            <w:noWrap w:val="0"/>
            <w:vAlign w:val="center"/>
          </w:tcPr>
          <w:p w14:paraId="07F94F63">
            <w:pPr>
              <w:pStyle w:val="74"/>
              <w:jc w:val="left"/>
              <w:rPr>
                <w:rFonts w:hint="eastAsia"/>
                <w:color w:val="auto"/>
                <w:highlight w:val="none"/>
              </w:rPr>
            </w:pPr>
            <w:r>
              <w:rPr>
                <w:rFonts w:hint="eastAsia"/>
                <w:color w:val="auto"/>
                <w:highlight w:val="none"/>
              </w:rPr>
              <w:t>1、金属门窗应采取成品保护措施。</w:t>
            </w:r>
          </w:p>
          <w:p w14:paraId="26FC9114">
            <w:pPr>
              <w:pStyle w:val="74"/>
              <w:jc w:val="left"/>
              <w:rPr>
                <w:rFonts w:hint="eastAsia"/>
                <w:color w:val="auto"/>
                <w:highlight w:val="none"/>
              </w:rPr>
            </w:pPr>
            <w:r>
              <w:rPr>
                <w:rFonts w:hint="eastAsia"/>
                <w:color w:val="auto"/>
                <w:highlight w:val="none"/>
              </w:rPr>
              <w:t>2、外门窗安装应与外墙面装修同步进行，宜采取遮阳措施。</w:t>
            </w:r>
          </w:p>
          <w:p w14:paraId="0AE09688">
            <w:pPr>
              <w:pStyle w:val="74"/>
              <w:jc w:val="left"/>
              <w:rPr>
                <w:rFonts w:hint="eastAsia"/>
                <w:color w:val="auto"/>
                <w:highlight w:val="none"/>
              </w:rPr>
            </w:pPr>
            <w:r>
              <w:rPr>
                <w:rFonts w:hint="eastAsia"/>
                <w:color w:val="auto"/>
                <w:highlight w:val="none"/>
              </w:rPr>
              <w:t>3、门窗框周围的缝隙填充应采用憎水保温材料。</w:t>
            </w:r>
          </w:p>
          <w:p w14:paraId="2CAD5DB0">
            <w:pPr>
              <w:pStyle w:val="74"/>
              <w:jc w:val="left"/>
              <w:rPr>
                <w:rFonts w:hint="eastAsia"/>
                <w:color w:val="auto"/>
                <w:highlight w:val="none"/>
              </w:rPr>
            </w:pPr>
            <w:r>
              <w:rPr>
                <w:rFonts w:hint="eastAsia"/>
                <w:color w:val="auto"/>
                <w:highlight w:val="none"/>
              </w:rPr>
              <w:t>4、幕墙与主体结构的预埋件应在结构施工时埋设。</w:t>
            </w:r>
          </w:p>
          <w:p w14:paraId="3492BD18">
            <w:pPr>
              <w:pStyle w:val="74"/>
              <w:jc w:val="left"/>
              <w:rPr>
                <w:rFonts w:hint="eastAsia"/>
                <w:color w:val="auto"/>
                <w:highlight w:val="none"/>
              </w:rPr>
            </w:pPr>
            <w:r>
              <w:rPr>
                <w:rFonts w:hint="eastAsia"/>
                <w:color w:val="auto"/>
                <w:highlight w:val="none"/>
              </w:rPr>
              <w:t>5、连接件应采用耐腐蚀材料或采取可靠的防腐措施。</w:t>
            </w:r>
          </w:p>
          <w:p w14:paraId="693A91CC">
            <w:pPr>
              <w:pStyle w:val="74"/>
              <w:jc w:val="left"/>
              <w:rPr>
                <w:rFonts w:hint="eastAsia"/>
                <w:color w:val="auto"/>
                <w:highlight w:val="none"/>
              </w:rPr>
            </w:pPr>
            <w:r>
              <w:rPr>
                <w:rFonts w:hint="eastAsia"/>
                <w:color w:val="auto"/>
                <w:highlight w:val="none"/>
              </w:rPr>
              <w:t>6、硅胶使用应进行相容性和耐候性复试。</w:t>
            </w:r>
          </w:p>
        </w:tc>
      </w:tr>
      <w:tr w14:paraId="5FB8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0" w:type="pct"/>
            <w:tcBorders>
              <w:top w:val="single" w:color="auto" w:sz="4" w:space="0"/>
              <w:left w:val="single" w:color="auto" w:sz="4" w:space="0"/>
              <w:bottom w:val="single" w:color="auto" w:sz="4" w:space="0"/>
              <w:right w:val="single" w:color="auto" w:sz="4" w:space="0"/>
            </w:tcBorders>
            <w:noWrap w:val="0"/>
            <w:vAlign w:val="center"/>
          </w:tcPr>
          <w:p w14:paraId="3C36E5B4">
            <w:pPr>
              <w:pStyle w:val="74"/>
              <w:rPr>
                <w:rFonts w:hint="eastAsia"/>
                <w:color w:val="auto"/>
                <w:highlight w:val="none"/>
              </w:rPr>
            </w:pPr>
            <w:r>
              <w:rPr>
                <w:rFonts w:hint="eastAsia"/>
                <w:color w:val="auto"/>
                <w:highlight w:val="none"/>
              </w:rPr>
              <w:t>4</w:t>
            </w:r>
          </w:p>
        </w:tc>
        <w:tc>
          <w:tcPr>
            <w:tcW w:w="770" w:type="pct"/>
            <w:tcBorders>
              <w:top w:val="single" w:color="auto" w:sz="4" w:space="0"/>
              <w:left w:val="single" w:color="auto" w:sz="4" w:space="0"/>
              <w:bottom w:val="single" w:color="auto" w:sz="4" w:space="0"/>
              <w:right w:val="single" w:color="auto" w:sz="4" w:space="0"/>
            </w:tcBorders>
            <w:noWrap w:val="0"/>
            <w:vAlign w:val="center"/>
          </w:tcPr>
          <w:p w14:paraId="31E7ED62">
            <w:pPr>
              <w:pStyle w:val="74"/>
              <w:rPr>
                <w:rFonts w:hint="eastAsia"/>
                <w:color w:val="auto"/>
                <w:highlight w:val="none"/>
              </w:rPr>
            </w:pPr>
            <w:r>
              <w:rPr>
                <w:rFonts w:hint="eastAsia"/>
                <w:color w:val="auto"/>
                <w:highlight w:val="none"/>
              </w:rPr>
              <w:t>装饰装修工程</w:t>
            </w:r>
          </w:p>
        </w:tc>
        <w:tc>
          <w:tcPr>
            <w:tcW w:w="3780" w:type="pct"/>
            <w:tcBorders>
              <w:top w:val="single" w:color="auto" w:sz="4" w:space="0"/>
              <w:left w:val="single" w:color="auto" w:sz="4" w:space="0"/>
              <w:bottom w:val="single" w:color="auto" w:sz="4" w:space="0"/>
              <w:right w:val="single" w:color="auto" w:sz="4" w:space="0"/>
            </w:tcBorders>
            <w:noWrap w:val="0"/>
            <w:vAlign w:val="center"/>
          </w:tcPr>
          <w:p w14:paraId="2CEA673D">
            <w:pPr>
              <w:pStyle w:val="74"/>
              <w:jc w:val="left"/>
              <w:rPr>
                <w:rFonts w:hint="eastAsia"/>
                <w:color w:val="auto"/>
                <w:highlight w:val="none"/>
              </w:rPr>
            </w:pPr>
            <w:r>
              <w:rPr>
                <w:rFonts w:hint="eastAsia"/>
                <w:color w:val="auto"/>
                <w:highlight w:val="none"/>
              </w:rPr>
              <w:t>1、吊顶施工应减少板材、型材的切割。</w:t>
            </w:r>
          </w:p>
          <w:p w14:paraId="7525A84E">
            <w:pPr>
              <w:pStyle w:val="74"/>
              <w:jc w:val="left"/>
              <w:rPr>
                <w:rFonts w:hint="eastAsia"/>
                <w:color w:val="auto"/>
                <w:highlight w:val="none"/>
              </w:rPr>
            </w:pPr>
            <w:r>
              <w:rPr>
                <w:rFonts w:hint="eastAsia"/>
                <w:color w:val="auto"/>
                <w:highlight w:val="none"/>
              </w:rPr>
              <w:t>2、应避免采用温湿度敏感材料进行大面积吊顶施工时。</w:t>
            </w:r>
          </w:p>
          <w:p w14:paraId="0A75CD8F">
            <w:pPr>
              <w:pStyle w:val="74"/>
              <w:jc w:val="left"/>
              <w:rPr>
                <w:rFonts w:hint="eastAsia"/>
                <w:color w:val="auto"/>
                <w:highlight w:val="none"/>
              </w:rPr>
            </w:pPr>
            <w:r>
              <w:rPr>
                <w:rFonts w:hint="eastAsia"/>
                <w:color w:val="auto"/>
                <w:highlight w:val="none"/>
              </w:rPr>
              <w:t>3、高大空间吊顶施工时，宜采用可移动式操作平台等节能节材设施。</w:t>
            </w:r>
          </w:p>
        </w:tc>
      </w:tr>
    </w:tbl>
    <w:p w14:paraId="4C4788C7">
      <w:pPr>
        <w:pStyle w:val="97"/>
        <w:spacing w:before="24" w:beforeLines="10" w:after="24" w:afterLines="10" w:line="432" w:lineRule="auto"/>
        <w:ind w:firstLine="560"/>
        <w:rPr>
          <w:color w:val="auto"/>
          <w:sz w:val="24"/>
          <w:szCs w:val="24"/>
          <w:highlight w:val="none"/>
        </w:rPr>
      </w:pPr>
      <w:r>
        <w:rPr>
          <w:color w:val="auto"/>
          <w:sz w:val="24"/>
          <w:szCs w:val="24"/>
          <w:highlight w:val="none"/>
        </w:rPr>
        <w:t>5、机电安装工程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433"/>
        <w:gridCol w:w="6813"/>
      </w:tblGrid>
      <w:tr w14:paraId="27BB6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728217FD">
            <w:pPr>
              <w:pStyle w:val="74"/>
              <w:rPr>
                <w:rFonts w:hint="eastAsia"/>
                <w:color w:val="auto"/>
                <w:highlight w:val="none"/>
              </w:rPr>
            </w:pPr>
            <w:r>
              <w:rPr>
                <w:rFonts w:hint="eastAsia"/>
                <w:color w:val="auto"/>
                <w:highlight w:val="none"/>
              </w:rPr>
              <w:t>序号</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1E52DF34">
            <w:pPr>
              <w:pStyle w:val="74"/>
              <w:rPr>
                <w:rFonts w:hint="eastAsia"/>
                <w:color w:val="auto"/>
                <w:highlight w:val="none"/>
              </w:rPr>
            </w:pPr>
            <w:r>
              <w:rPr>
                <w:rFonts w:hint="eastAsia"/>
                <w:color w:val="auto"/>
                <w:highlight w:val="none"/>
              </w:rPr>
              <w:t>主要内容</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09712403">
            <w:pPr>
              <w:pStyle w:val="74"/>
              <w:rPr>
                <w:rFonts w:hint="eastAsia"/>
                <w:color w:val="auto"/>
                <w:highlight w:val="none"/>
              </w:rPr>
            </w:pPr>
            <w:r>
              <w:rPr>
                <w:rFonts w:hint="eastAsia"/>
                <w:color w:val="auto"/>
                <w:highlight w:val="none"/>
              </w:rPr>
              <w:t>具体措施</w:t>
            </w:r>
          </w:p>
        </w:tc>
      </w:tr>
      <w:tr w14:paraId="4246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8D7E59D">
            <w:pPr>
              <w:pStyle w:val="74"/>
              <w:rPr>
                <w:rFonts w:hint="eastAsia"/>
                <w:color w:val="auto"/>
                <w:highlight w:val="none"/>
              </w:rPr>
            </w:pPr>
            <w:r>
              <w:rPr>
                <w:rFonts w:hint="eastAsia"/>
                <w:color w:val="auto"/>
                <w:highlight w:val="none"/>
              </w:rPr>
              <w:t>1</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5AEB01D0">
            <w:pPr>
              <w:pStyle w:val="74"/>
              <w:rPr>
                <w:rFonts w:hint="eastAsia"/>
                <w:color w:val="auto"/>
                <w:highlight w:val="none"/>
              </w:rPr>
            </w:pPr>
            <w:r>
              <w:rPr>
                <w:rFonts w:hint="eastAsia"/>
                <w:color w:val="auto"/>
                <w:highlight w:val="none"/>
              </w:rPr>
              <w:t>一般规定</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7B4992E0">
            <w:pPr>
              <w:pStyle w:val="74"/>
              <w:jc w:val="left"/>
              <w:rPr>
                <w:rFonts w:hint="eastAsia"/>
                <w:color w:val="auto"/>
                <w:highlight w:val="none"/>
              </w:rPr>
            </w:pPr>
            <w:r>
              <w:rPr>
                <w:rFonts w:hint="eastAsia"/>
                <w:color w:val="auto"/>
                <w:highlight w:val="none"/>
              </w:rPr>
              <w:t>1、机电安装工程施工应采用工厂化制作，整体化安装的方法。</w:t>
            </w:r>
          </w:p>
          <w:p w14:paraId="32BEDD1A">
            <w:pPr>
              <w:pStyle w:val="74"/>
              <w:jc w:val="left"/>
              <w:rPr>
                <w:rFonts w:hint="eastAsia"/>
                <w:color w:val="auto"/>
                <w:highlight w:val="none"/>
              </w:rPr>
            </w:pPr>
            <w:r>
              <w:rPr>
                <w:rFonts w:hint="eastAsia"/>
                <w:color w:val="auto"/>
                <w:highlight w:val="none"/>
              </w:rPr>
              <w:t>2、机电安装工程施工前应对通风空调、给排水、强弱电、末端设施布置及装修等进行综合分析，并绘制综合管线图。</w:t>
            </w:r>
          </w:p>
          <w:p w14:paraId="2759F128">
            <w:pPr>
              <w:pStyle w:val="74"/>
              <w:jc w:val="left"/>
              <w:rPr>
                <w:rFonts w:hint="eastAsia"/>
                <w:color w:val="auto"/>
                <w:highlight w:val="none"/>
              </w:rPr>
            </w:pPr>
            <w:r>
              <w:rPr>
                <w:rFonts w:hint="eastAsia"/>
                <w:color w:val="auto"/>
                <w:highlight w:val="none"/>
              </w:rPr>
              <w:t>3、机电安装工程的临时设施安排应与工程总体部署协调。</w:t>
            </w:r>
          </w:p>
          <w:p w14:paraId="7A734CC9">
            <w:pPr>
              <w:pStyle w:val="74"/>
              <w:jc w:val="left"/>
              <w:rPr>
                <w:rFonts w:hint="eastAsia"/>
                <w:color w:val="auto"/>
                <w:highlight w:val="none"/>
              </w:rPr>
            </w:pPr>
            <w:r>
              <w:rPr>
                <w:rFonts w:hint="eastAsia"/>
                <w:color w:val="auto"/>
                <w:highlight w:val="none"/>
              </w:rPr>
              <w:t>4、管线的预埋、预留应与土建及装修工程同步进行，不得临时剔凿。</w:t>
            </w:r>
          </w:p>
          <w:p w14:paraId="6476ADF6">
            <w:pPr>
              <w:pStyle w:val="74"/>
              <w:jc w:val="left"/>
              <w:rPr>
                <w:rFonts w:hint="eastAsia"/>
                <w:color w:val="auto"/>
                <w:highlight w:val="none"/>
              </w:rPr>
            </w:pPr>
            <w:r>
              <w:rPr>
                <w:rFonts w:hint="eastAsia"/>
                <w:color w:val="auto"/>
                <w:highlight w:val="none"/>
              </w:rPr>
              <w:t>5、除锈、防腐宜在工厂完成，现场涂装应采用无污染、耐候性好的材料。</w:t>
            </w:r>
          </w:p>
          <w:p w14:paraId="4DAA2EE5">
            <w:pPr>
              <w:pStyle w:val="74"/>
              <w:jc w:val="left"/>
              <w:rPr>
                <w:rFonts w:hint="eastAsia"/>
                <w:color w:val="auto"/>
                <w:highlight w:val="none"/>
              </w:rPr>
            </w:pPr>
            <w:r>
              <w:rPr>
                <w:rFonts w:hint="eastAsia"/>
                <w:color w:val="auto"/>
                <w:highlight w:val="none"/>
              </w:rPr>
              <w:t>6、机电安装工程应采用低能耗的施工机械。</w:t>
            </w:r>
          </w:p>
        </w:tc>
      </w:tr>
      <w:tr w14:paraId="6FFE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4268B77">
            <w:pPr>
              <w:pStyle w:val="74"/>
              <w:rPr>
                <w:rFonts w:hint="eastAsia"/>
                <w:color w:val="auto"/>
                <w:highlight w:val="none"/>
              </w:rPr>
            </w:pPr>
            <w:r>
              <w:rPr>
                <w:rFonts w:hint="eastAsia"/>
                <w:color w:val="auto"/>
                <w:highlight w:val="none"/>
              </w:rPr>
              <w:t>2</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3D5A845F">
            <w:pPr>
              <w:pStyle w:val="74"/>
              <w:rPr>
                <w:rFonts w:hint="eastAsia"/>
                <w:color w:val="auto"/>
                <w:highlight w:val="none"/>
              </w:rPr>
            </w:pPr>
            <w:r>
              <w:rPr>
                <w:rFonts w:hint="eastAsia"/>
                <w:color w:val="auto"/>
                <w:highlight w:val="none"/>
              </w:rPr>
              <w:t>管道工程</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7BD0DBE7">
            <w:pPr>
              <w:pStyle w:val="74"/>
              <w:jc w:val="left"/>
              <w:rPr>
                <w:rFonts w:hint="eastAsia"/>
                <w:color w:val="auto"/>
                <w:highlight w:val="none"/>
              </w:rPr>
            </w:pPr>
            <w:r>
              <w:rPr>
                <w:rFonts w:hint="eastAsia"/>
                <w:color w:val="auto"/>
                <w:highlight w:val="none"/>
              </w:rPr>
              <w:t>1、管道连接宜采用机械连接方式。</w:t>
            </w:r>
          </w:p>
          <w:p w14:paraId="6118B86C">
            <w:pPr>
              <w:pStyle w:val="74"/>
              <w:jc w:val="left"/>
              <w:rPr>
                <w:rFonts w:hint="eastAsia"/>
                <w:color w:val="auto"/>
                <w:highlight w:val="none"/>
              </w:rPr>
            </w:pPr>
            <w:r>
              <w:rPr>
                <w:rFonts w:hint="eastAsia"/>
                <w:color w:val="auto"/>
                <w:highlight w:val="none"/>
              </w:rPr>
              <w:t>2、采暖散热片组装应在工厂完成。</w:t>
            </w:r>
          </w:p>
          <w:p w14:paraId="7CA956DF">
            <w:pPr>
              <w:pStyle w:val="74"/>
              <w:jc w:val="left"/>
              <w:rPr>
                <w:rFonts w:hint="eastAsia"/>
                <w:color w:val="auto"/>
                <w:highlight w:val="none"/>
              </w:rPr>
            </w:pPr>
            <w:r>
              <w:rPr>
                <w:rFonts w:hint="eastAsia"/>
                <w:color w:val="auto"/>
                <w:highlight w:val="none"/>
              </w:rPr>
              <w:t>3、设备安装产生的油污应随即清理。</w:t>
            </w:r>
          </w:p>
          <w:p w14:paraId="7CC58659">
            <w:pPr>
              <w:pStyle w:val="74"/>
              <w:jc w:val="left"/>
              <w:rPr>
                <w:rFonts w:hint="eastAsia"/>
                <w:color w:val="auto"/>
                <w:highlight w:val="none"/>
              </w:rPr>
            </w:pPr>
            <w:r>
              <w:rPr>
                <w:rFonts w:hint="eastAsia"/>
                <w:color w:val="auto"/>
                <w:highlight w:val="none"/>
              </w:rPr>
              <w:t>4、管道试验及冲洗用水应有组织排放，处理后重复利用。</w:t>
            </w:r>
          </w:p>
          <w:p w14:paraId="4B154AFF">
            <w:pPr>
              <w:pStyle w:val="74"/>
              <w:jc w:val="left"/>
              <w:rPr>
                <w:rFonts w:hint="eastAsia"/>
                <w:color w:val="auto"/>
                <w:highlight w:val="none"/>
              </w:rPr>
            </w:pPr>
            <w:r>
              <w:rPr>
                <w:rFonts w:hint="eastAsia"/>
                <w:color w:val="auto"/>
                <w:highlight w:val="none"/>
              </w:rPr>
              <w:t>5、污水管道、雨水管道试验及冲洗用水宜利用非自来水水源。</w:t>
            </w:r>
          </w:p>
        </w:tc>
      </w:tr>
      <w:tr w14:paraId="622DD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384F00B">
            <w:pPr>
              <w:pStyle w:val="74"/>
              <w:rPr>
                <w:rFonts w:hint="eastAsia"/>
                <w:color w:val="auto"/>
                <w:highlight w:val="none"/>
              </w:rPr>
            </w:pPr>
            <w:r>
              <w:rPr>
                <w:rFonts w:hint="eastAsia"/>
                <w:color w:val="auto"/>
                <w:highlight w:val="none"/>
              </w:rPr>
              <w:t>3</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1E98DD99">
            <w:pPr>
              <w:pStyle w:val="74"/>
              <w:rPr>
                <w:rFonts w:hint="eastAsia"/>
                <w:color w:val="auto"/>
                <w:highlight w:val="none"/>
              </w:rPr>
            </w:pPr>
            <w:r>
              <w:rPr>
                <w:rFonts w:hint="eastAsia"/>
                <w:color w:val="auto"/>
                <w:highlight w:val="none"/>
              </w:rPr>
              <w:t>通风工程</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67DDD9CC">
            <w:pPr>
              <w:pStyle w:val="74"/>
              <w:jc w:val="left"/>
              <w:rPr>
                <w:rFonts w:hint="eastAsia"/>
                <w:color w:val="auto"/>
                <w:highlight w:val="none"/>
              </w:rPr>
            </w:pPr>
            <w:r>
              <w:rPr>
                <w:rFonts w:hint="eastAsia"/>
                <w:color w:val="auto"/>
                <w:highlight w:val="none"/>
              </w:rPr>
              <w:t>1、预制风管宜进行工厂化制作。下料时应先大管料，再小管料，先长料，后短料的顺序进行。</w:t>
            </w:r>
          </w:p>
          <w:p w14:paraId="318A3894">
            <w:pPr>
              <w:pStyle w:val="74"/>
              <w:jc w:val="left"/>
              <w:rPr>
                <w:rFonts w:hint="eastAsia"/>
                <w:color w:val="auto"/>
                <w:highlight w:val="none"/>
              </w:rPr>
            </w:pPr>
            <w:r>
              <w:rPr>
                <w:rFonts w:hint="eastAsia"/>
                <w:color w:val="auto"/>
                <w:highlight w:val="none"/>
              </w:rPr>
              <w:t>2、预制风管安装前应将内壁清扫干净。</w:t>
            </w:r>
          </w:p>
          <w:p w14:paraId="0D240CD3">
            <w:pPr>
              <w:pStyle w:val="74"/>
              <w:jc w:val="left"/>
              <w:rPr>
                <w:rFonts w:hint="eastAsia"/>
                <w:color w:val="auto"/>
                <w:highlight w:val="none"/>
              </w:rPr>
            </w:pPr>
            <w:r>
              <w:rPr>
                <w:rFonts w:hint="eastAsia"/>
                <w:color w:val="auto"/>
                <w:highlight w:val="none"/>
              </w:rPr>
              <w:t>3、预制风管连接宜采用机械连接方式。</w:t>
            </w:r>
          </w:p>
          <w:p w14:paraId="513C86BD">
            <w:pPr>
              <w:pStyle w:val="74"/>
              <w:jc w:val="left"/>
              <w:rPr>
                <w:rFonts w:hint="eastAsia"/>
                <w:color w:val="auto"/>
                <w:highlight w:val="none"/>
              </w:rPr>
            </w:pPr>
            <w:r>
              <w:rPr>
                <w:rFonts w:hint="eastAsia"/>
                <w:color w:val="auto"/>
                <w:highlight w:val="none"/>
              </w:rPr>
              <w:t>4、冷媒储存应采用压力密闭容器。</w:t>
            </w:r>
          </w:p>
        </w:tc>
      </w:tr>
      <w:tr w14:paraId="1B70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B4BFE8A">
            <w:pPr>
              <w:pStyle w:val="74"/>
              <w:rPr>
                <w:rFonts w:hint="eastAsia"/>
                <w:color w:val="auto"/>
                <w:highlight w:val="none"/>
              </w:rPr>
            </w:pPr>
            <w:r>
              <w:rPr>
                <w:rFonts w:hint="eastAsia"/>
                <w:color w:val="auto"/>
                <w:highlight w:val="none"/>
              </w:rPr>
              <w:t>4</w:t>
            </w:r>
          </w:p>
        </w:tc>
        <w:tc>
          <w:tcPr>
            <w:tcW w:w="791" w:type="pct"/>
            <w:tcBorders>
              <w:top w:val="single" w:color="auto" w:sz="4" w:space="0"/>
              <w:left w:val="single" w:color="auto" w:sz="4" w:space="0"/>
              <w:bottom w:val="single" w:color="auto" w:sz="4" w:space="0"/>
              <w:right w:val="single" w:color="auto" w:sz="4" w:space="0"/>
            </w:tcBorders>
            <w:noWrap w:val="0"/>
            <w:vAlign w:val="center"/>
          </w:tcPr>
          <w:p w14:paraId="055CEE3E">
            <w:pPr>
              <w:pStyle w:val="74"/>
              <w:rPr>
                <w:rFonts w:hint="eastAsia"/>
                <w:color w:val="auto"/>
                <w:highlight w:val="none"/>
              </w:rPr>
            </w:pPr>
            <w:r>
              <w:rPr>
                <w:rFonts w:hint="eastAsia"/>
                <w:color w:val="auto"/>
                <w:highlight w:val="none"/>
              </w:rPr>
              <w:t>电气工程</w:t>
            </w:r>
          </w:p>
        </w:tc>
        <w:tc>
          <w:tcPr>
            <w:tcW w:w="3760" w:type="pct"/>
            <w:tcBorders>
              <w:top w:val="single" w:color="auto" w:sz="4" w:space="0"/>
              <w:left w:val="single" w:color="auto" w:sz="4" w:space="0"/>
              <w:bottom w:val="single" w:color="auto" w:sz="4" w:space="0"/>
              <w:right w:val="single" w:color="auto" w:sz="4" w:space="0"/>
            </w:tcBorders>
            <w:noWrap w:val="0"/>
            <w:vAlign w:val="center"/>
          </w:tcPr>
          <w:p w14:paraId="3CEF744B">
            <w:pPr>
              <w:pStyle w:val="74"/>
              <w:jc w:val="left"/>
              <w:rPr>
                <w:rFonts w:hint="eastAsia"/>
                <w:color w:val="auto"/>
                <w:highlight w:val="none"/>
              </w:rPr>
            </w:pPr>
            <w:r>
              <w:rPr>
                <w:rFonts w:hint="eastAsia"/>
                <w:color w:val="auto"/>
                <w:highlight w:val="none"/>
              </w:rPr>
              <w:t>1、电线导管暗敷应做到线路最短。</w:t>
            </w:r>
          </w:p>
          <w:p w14:paraId="6FC57FD4">
            <w:pPr>
              <w:pStyle w:val="74"/>
              <w:jc w:val="left"/>
              <w:rPr>
                <w:rFonts w:hint="eastAsia"/>
                <w:color w:val="auto"/>
                <w:highlight w:val="none"/>
              </w:rPr>
            </w:pPr>
            <w:r>
              <w:rPr>
                <w:rFonts w:hint="eastAsia"/>
                <w:color w:val="auto"/>
                <w:highlight w:val="none"/>
              </w:rPr>
              <w:t>2、应选用节能型电线、电缆和灯具等，并应进行节能测试。</w:t>
            </w:r>
          </w:p>
          <w:p w14:paraId="31F35C73">
            <w:pPr>
              <w:pStyle w:val="74"/>
              <w:jc w:val="left"/>
              <w:rPr>
                <w:rFonts w:hint="eastAsia"/>
                <w:color w:val="auto"/>
                <w:highlight w:val="none"/>
              </w:rPr>
            </w:pPr>
            <w:r>
              <w:rPr>
                <w:rFonts w:hint="eastAsia"/>
                <w:color w:val="auto"/>
                <w:highlight w:val="none"/>
              </w:rPr>
              <w:t>3、预埋管线口应采取临时封堵措施。</w:t>
            </w:r>
          </w:p>
          <w:p w14:paraId="2B18429F">
            <w:pPr>
              <w:pStyle w:val="74"/>
              <w:jc w:val="left"/>
              <w:rPr>
                <w:rFonts w:hint="eastAsia"/>
                <w:color w:val="auto"/>
                <w:highlight w:val="none"/>
              </w:rPr>
            </w:pPr>
            <w:r>
              <w:rPr>
                <w:rFonts w:hint="eastAsia"/>
                <w:color w:val="auto"/>
                <w:highlight w:val="none"/>
              </w:rPr>
              <w:t>4、线路连接宜采用免焊接头和机械压接方式。</w:t>
            </w:r>
          </w:p>
          <w:p w14:paraId="0088EE93">
            <w:pPr>
              <w:pStyle w:val="74"/>
              <w:jc w:val="left"/>
              <w:rPr>
                <w:rFonts w:hint="eastAsia"/>
                <w:color w:val="auto"/>
                <w:highlight w:val="none"/>
              </w:rPr>
            </w:pPr>
            <w:r>
              <w:rPr>
                <w:rFonts w:hint="eastAsia"/>
                <w:color w:val="auto"/>
                <w:highlight w:val="none"/>
              </w:rPr>
              <w:t>5、不间断电源安装应防止电池液泄漏，废旧电池应回收。</w:t>
            </w:r>
          </w:p>
          <w:p w14:paraId="16CE0870">
            <w:pPr>
              <w:pStyle w:val="74"/>
              <w:jc w:val="left"/>
              <w:rPr>
                <w:rFonts w:hint="eastAsia"/>
                <w:color w:val="auto"/>
                <w:highlight w:val="none"/>
              </w:rPr>
            </w:pPr>
            <w:r>
              <w:rPr>
                <w:rFonts w:hint="eastAsia"/>
                <w:color w:val="auto"/>
                <w:highlight w:val="none"/>
              </w:rPr>
              <w:t>6、电气设备的试运行不低于规定时间，且不超过规定时间的1.5倍。</w:t>
            </w:r>
          </w:p>
        </w:tc>
      </w:tr>
    </w:tbl>
    <w:p w14:paraId="3E959143">
      <w:pPr>
        <w:pStyle w:val="5"/>
        <w:spacing w:before="24" w:beforeLines="10" w:after="24" w:afterLines="10" w:line="432" w:lineRule="auto"/>
        <w:ind w:firstLine="562"/>
        <w:rPr>
          <w:rFonts w:hint="eastAsia"/>
          <w:color w:val="auto"/>
        </w:rPr>
      </w:pPr>
      <w:bookmarkStart w:id="266" w:name="_Toc11651"/>
      <w:bookmarkStart w:id="267" w:name="_Toc202510567"/>
      <w:r>
        <w:rPr>
          <w:rFonts w:hint="eastAsia"/>
          <w:color w:val="auto"/>
        </w:rPr>
        <w:t>节材与材料资源利用技术要点</w:t>
      </w:r>
      <w:bookmarkEnd w:id="266"/>
    </w:p>
    <w:p w14:paraId="182B2353">
      <w:pPr>
        <w:rPr>
          <w:rFonts w:hint="eastAsia"/>
          <w:color w:val="auto"/>
        </w:rPr>
      </w:pPr>
      <w:r>
        <w:rPr>
          <w:rFonts w:hint="eastAsia"/>
          <w:color w:val="auto"/>
        </w:rPr>
        <w:t>1、节材措施</w:t>
      </w:r>
    </w:p>
    <w:p w14:paraId="1C788944">
      <w:pPr>
        <w:rPr>
          <w:rFonts w:hint="eastAsia"/>
          <w:color w:val="auto"/>
        </w:rPr>
      </w:pPr>
      <w:r>
        <w:rPr>
          <w:rFonts w:hint="eastAsia"/>
          <w:color w:val="auto"/>
        </w:rPr>
        <w:t>（1）图纸会审时，应审核节材与材料资源利用的相关内容，达到材料损耗率比定额损耗率降低30%。</w:t>
      </w:r>
    </w:p>
    <w:p w14:paraId="27F01AFE">
      <w:pPr>
        <w:rPr>
          <w:rFonts w:hint="eastAsia"/>
          <w:color w:val="auto"/>
        </w:rPr>
      </w:pPr>
      <w:r>
        <w:rPr>
          <w:rFonts w:hint="eastAsia"/>
          <w:color w:val="auto"/>
        </w:rPr>
        <w:t>（2）根据施工进度、库存情况等合理安排材料的采购、进场时间和批次，减少库存。</w:t>
      </w:r>
    </w:p>
    <w:p w14:paraId="1EC587B4">
      <w:pPr>
        <w:rPr>
          <w:rFonts w:hint="eastAsia"/>
          <w:color w:val="auto"/>
        </w:rPr>
      </w:pPr>
      <w:r>
        <w:rPr>
          <w:rFonts w:hint="eastAsia"/>
          <w:color w:val="auto"/>
        </w:rPr>
        <w:t>（3）现场材料堆放有序。储存环境适宜，措施得当。保管制度健全，责任落实。</w:t>
      </w:r>
    </w:p>
    <w:p w14:paraId="18237984">
      <w:pPr>
        <w:rPr>
          <w:rFonts w:hint="eastAsia"/>
          <w:color w:val="auto"/>
        </w:rPr>
      </w:pPr>
      <w:r>
        <w:rPr>
          <w:rFonts w:hint="eastAsia"/>
          <w:color w:val="auto"/>
        </w:rPr>
        <w:t>（4）材料运输工具适宜，装卸方法得当，防止损坏和遗洒。根据现场平面布置情况就近卸载，避免和减少二次搬运。</w:t>
      </w:r>
    </w:p>
    <w:p w14:paraId="10CAC9EB">
      <w:pPr>
        <w:rPr>
          <w:rFonts w:hint="eastAsia"/>
          <w:color w:val="auto"/>
        </w:rPr>
      </w:pPr>
      <w:r>
        <w:rPr>
          <w:rFonts w:hint="eastAsia"/>
          <w:color w:val="auto"/>
        </w:rPr>
        <w:t>（5）采取技术和管理措施提高模板、脚手架等的周转次数。</w:t>
      </w:r>
    </w:p>
    <w:p w14:paraId="4C99A276">
      <w:pPr>
        <w:rPr>
          <w:rFonts w:hint="eastAsia"/>
          <w:color w:val="auto"/>
        </w:rPr>
      </w:pPr>
      <w:r>
        <w:rPr>
          <w:rFonts w:hint="eastAsia"/>
          <w:color w:val="auto"/>
        </w:rPr>
        <w:t>（6）优化安装工程的预留、预埋、管线路径等方案。</w:t>
      </w:r>
    </w:p>
    <w:p w14:paraId="6967ACBE">
      <w:pPr>
        <w:rPr>
          <w:rFonts w:hint="eastAsia"/>
          <w:color w:val="auto"/>
        </w:rPr>
      </w:pPr>
      <w:r>
        <w:rPr>
          <w:rFonts w:hint="eastAsia"/>
          <w:color w:val="auto"/>
        </w:rPr>
        <w:t>（7）应就地取材，施工现场500公里以内生产的建筑材料用量占建筑材料总重量的70％以上。</w:t>
      </w:r>
    </w:p>
    <w:p w14:paraId="18FF430B">
      <w:pPr>
        <w:rPr>
          <w:rFonts w:hint="eastAsia"/>
          <w:color w:val="auto"/>
        </w:rPr>
      </w:pPr>
      <w:r>
        <w:rPr>
          <w:rFonts w:hint="eastAsia"/>
          <w:color w:val="auto"/>
        </w:rPr>
        <w:t>2、结构材料</w:t>
      </w:r>
    </w:p>
    <w:p w14:paraId="3D7CF13E">
      <w:pPr>
        <w:rPr>
          <w:rFonts w:hint="eastAsia"/>
          <w:color w:val="auto"/>
        </w:rPr>
      </w:pPr>
      <w:r>
        <w:rPr>
          <w:rFonts w:hint="eastAsia"/>
          <w:color w:val="auto"/>
        </w:rPr>
        <w:t>（1）推广使用预拌混凝土和商品砂浆。准确计算采购数量、供应频率、施工速度等，在施工过程中动态控制。结构工程使用散装水泥。</w:t>
      </w:r>
    </w:p>
    <w:p w14:paraId="683F8866">
      <w:pPr>
        <w:rPr>
          <w:rFonts w:hint="eastAsia"/>
          <w:color w:val="auto"/>
        </w:rPr>
      </w:pPr>
      <w:r>
        <w:rPr>
          <w:rFonts w:hint="eastAsia"/>
          <w:color w:val="auto"/>
        </w:rPr>
        <w:t>（2）推广使用高强钢筋和高性能混凝土，减少资源消耗。</w:t>
      </w:r>
    </w:p>
    <w:p w14:paraId="48E93684">
      <w:pPr>
        <w:rPr>
          <w:rFonts w:hint="eastAsia"/>
          <w:color w:val="auto"/>
        </w:rPr>
      </w:pPr>
      <w:r>
        <w:rPr>
          <w:rFonts w:hint="eastAsia"/>
          <w:color w:val="auto"/>
        </w:rPr>
        <w:t>（3）推广钢筋专业化加工和配送。</w:t>
      </w:r>
    </w:p>
    <w:p w14:paraId="1C259509">
      <w:pPr>
        <w:rPr>
          <w:rFonts w:hint="eastAsia"/>
          <w:color w:val="auto"/>
        </w:rPr>
      </w:pPr>
      <w:r>
        <w:rPr>
          <w:rFonts w:hint="eastAsia"/>
          <w:color w:val="auto"/>
        </w:rPr>
        <w:t>（4）优化钢筋配料和钢构件下料方案。钢筋制作前应对下料单及样品进行复核，无误后方可批量下料。</w:t>
      </w:r>
    </w:p>
    <w:p w14:paraId="270DB4AA">
      <w:pPr>
        <w:rPr>
          <w:rFonts w:hint="eastAsia"/>
          <w:color w:val="auto"/>
        </w:rPr>
      </w:pPr>
      <w:r>
        <w:rPr>
          <w:rFonts w:hint="eastAsia"/>
          <w:color w:val="auto"/>
        </w:rPr>
        <w:t>（5）采取数字化技术，对大体积混凝土、大跨度结构等专项施工方案进行优化。</w:t>
      </w:r>
    </w:p>
    <w:p w14:paraId="3EA253A5">
      <w:pPr>
        <w:rPr>
          <w:rFonts w:hint="eastAsia"/>
          <w:color w:val="auto"/>
        </w:rPr>
      </w:pPr>
      <w:r>
        <w:rPr>
          <w:rFonts w:hint="eastAsia"/>
          <w:color w:val="auto"/>
        </w:rPr>
        <w:t>3、围护材料</w:t>
      </w:r>
    </w:p>
    <w:p w14:paraId="18326F86">
      <w:pPr>
        <w:rPr>
          <w:rFonts w:hint="eastAsia"/>
          <w:color w:val="auto"/>
        </w:rPr>
      </w:pPr>
      <w:r>
        <w:rPr>
          <w:rFonts w:hint="eastAsia"/>
          <w:color w:val="auto"/>
        </w:rPr>
        <w:t>（1）门窗、屋面、外墙等围护结构选用耐候性及耐久性良好的材料，施工确保密封性、防水性和保温隔热性。</w:t>
      </w:r>
    </w:p>
    <w:p w14:paraId="67E560CB">
      <w:pPr>
        <w:rPr>
          <w:rFonts w:hint="eastAsia"/>
          <w:color w:val="auto"/>
        </w:rPr>
      </w:pPr>
      <w:r>
        <w:rPr>
          <w:rFonts w:hint="eastAsia"/>
          <w:color w:val="auto"/>
        </w:rPr>
        <w:t>（2）门窗采用密封性、保温隔热性能、隔音性能良好的型材和玻璃等材料。</w:t>
      </w:r>
    </w:p>
    <w:p w14:paraId="061C9048">
      <w:pPr>
        <w:rPr>
          <w:rFonts w:hint="eastAsia"/>
          <w:color w:val="auto"/>
        </w:rPr>
      </w:pPr>
      <w:r>
        <w:rPr>
          <w:rFonts w:hint="eastAsia"/>
          <w:color w:val="auto"/>
        </w:rPr>
        <w:t>（3）屋面材料、外墙材料具有良好的防水性能和保温隔热性能。</w:t>
      </w:r>
    </w:p>
    <w:p w14:paraId="4E03E724">
      <w:pPr>
        <w:rPr>
          <w:rFonts w:hint="eastAsia"/>
          <w:color w:val="auto"/>
        </w:rPr>
      </w:pPr>
      <w:r>
        <w:rPr>
          <w:rFonts w:hint="eastAsia"/>
          <w:color w:val="auto"/>
        </w:rPr>
        <w:t>（4）当屋面或墙体等部位采用基层加设保温隔热系统的方式施工时，应选择高效节能、耐久性好的保温隔热材料，以减小保温隔热层的厚度及材料用量。</w:t>
      </w:r>
    </w:p>
    <w:p w14:paraId="5F160878">
      <w:pPr>
        <w:rPr>
          <w:rFonts w:hint="eastAsia"/>
          <w:color w:val="auto"/>
        </w:rPr>
      </w:pPr>
      <w:r>
        <w:rPr>
          <w:rFonts w:hint="eastAsia"/>
          <w:color w:val="auto"/>
        </w:rPr>
        <w:t>（5）屋面或墙体等部位的保温隔热系统采用专用的配套材料，以加强各层次之间的粘结或连接强度，确保系统的安全性和耐久性。</w:t>
      </w:r>
    </w:p>
    <w:p w14:paraId="1AE8F2D9">
      <w:pPr>
        <w:rPr>
          <w:rFonts w:hint="eastAsia"/>
          <w:color w:val="auto"/>
        </w:rPr>
      </w:pPr>
      <w:r>
        <w:rPr>
          <w:rFonts w:hint="eastAsia"/>
          <w:color w:val="auto"/>
        </w:rPr>
        <w:t>（6）根据建筑物的实际特点，优选屋面或外墙的保温隔热材料系统和施工方式，例如保温板粘贴、保温板干挂、聚氨酯硬泡喷涂、保温浆料涂抹等，以保证保温隔热效果，并减少材料浪费。</w:t>
      </w:r>
    </w:p>
    <w:p w14:paraId="5DD20FCD">
      <w:pPr>
        <w:rPr>
          <w:rFonts w:hint="eastAsia"/>
          <w:color w:val="auto"/>
        </w:rPr>
      </w:pPr>
      <w:r>
        <w:rPr>
          <w:rFonts w:hint="eastAsia"/>
          <w:color w:val="auto"/>
        </w:rPr>
        <w:t>（7）加强保温隔热系统与围护结构的节点处理，尽量降低热桥效应。针对建筑物的不同部位保温隔热特点，选用不同的保温隔热材料及系统，以做到经济适用。</w:t>
      </w:r>
    </w:p>
    <w:p w14:paraId="16B4C915">
      <w:pPr>
        <w:rPr>
          <w:rFonts w:hint="eastAsia"/>
          <w:color w:val="auto"/>
        </w:rPr>
      </w:pPr>
      <w:r>
        <w:rPr>
          <w:rFonts w:hint="eastAsia"/>
          <w:color w:val="auto"/>
        </w:rPr>
        <w:t>4、装饰装修材料</w:t>
      </w:r>
    </w:p>
    <w:p w14:paraId="6771F31E">
      <w:pPr>
        <w:rPr>
          <w:rFonts w:hint="eastAsia"/>
          <w:color w:val="auto"/>
        </w:rPr>
      </w:pPr>
      <w:r>
        <w:rPr>
          <w:rFonts w:hint="eastAsia"/>
          <w:color w:val="auto"/>
        </w:rPr>
        <w:t>（1）贴面类材料在施工前，应进行总体排版策划，减少非整块材的数量。</w:t>
      </w:r>
    </w:p>
    <w:p w14:paraId="53E9547F">
      <w:pPr>
        <w:rPr>
          <w:rFonts w:hint="eastAsia"/>
          <w:color w:val="auto"/>
        </w:rPr>
      </w:pPr>
      <w:r>
        <w:rPr>
          <w:rFonts w:hint="eastAsia"/>
          <w:color w:val="auto"/>
        </w:rPr>
        <w:t>（2）采用非木质的新材料或人造板材代替木质板材。</w:t>
      </w:r>
    </w:p>
    <w:p w14:paraId="3C4B4746">
      <w:pPr>
        <w:rPr>
          <w:rFonts w:hint="eastAsia"/>
          <w:color w:val="auto"/>
        </w:rPr>
      </w:pPr>
      <w:r>
        <w:rPr>
          <w:rFonts w:hint="eastAsia"/>
          <w:color w:val="auto"/>
        </w:rPr>
        <w:t>（3）防水卷材、壁纸、油漆及各类涂料基层必须符合要求，避免起皮、脱落。各类油漆及粘结剂应随用随开启，不用时及时封闭。</w:t>
      </w:r>
    </w:p>
    <w:p w14:paraId="3471AA14">
      <w:pPr>
        <w:rPr>
          <w:rFonts w:hint="eastAsia"/>
          <w:color w:val="auto"/>
        </w:rPr>
      </w:pPr>
      <w:r>
        <w:rPr>
          <w:rFonts w:hint="eastAsia"/>
          <w:color w:val="auto"/>
        </w:rPr>
        <w:t>（4）各类预留预埋应与结构施工同步。</w:t>
      </w:r>
    </w:p>
    <w:p w14:paraId="3929CDF8">
      <w:pPr>
        <w:rPr>
          <w:rFonts w:hint="eastAsia"/>
          <w:color w:val="auto"/>
        </w:rPr>
      </w:pPr>
      <w:r>
        <w:rPr>
          <w:rFonts w:hint="eastAsia"/>
          <w:color w:val="auto"/>
        </w:rPr>
        <w:t>（5）木制品及木装饰用料、玻璃等各类板材等宜在工厂采购或定制。</w:t>
      </w:r>
    </w:p>
    <w:p w14:paraId="35B37616">
      <w:pPr>
        <w:rPr>
          <w:rFonts w:hint="eastAsia"/>
          <w:color w:val="auto"/>
        </w:rPr>
      </w:pPr>
      <w:r>
        <w:rPr>
          <w:rFonts w:hint="eastAsia"/>
          <w:color w:val="auto"/>
        </w:rPr>
        <w:t>（6）采用自粘类片材，减少现场液态粘结剂的使用量。</w:t>
      </w:r>
    </w:p>
    <w:p w14:paraId="3F9F02F7">
      <w:pPr>
        <w:rPr>
          <w:rFonts w:hint="eastAsia"/>
          <w:color w:val="auto"/>
        </w:rPr>
      </w:pPr>
      <w:r>
        <w:rPr>
          <w:rFonts w:hint="eastAsia"/>
          <w:color w:val="auto"/>
        </w:rPr>
        <w:t>5、周转材料</w:t>
      </w:r>
    </w:p>
    <w:p w14:paraId="41192D99">
      <w:pPr>
        <w:rPr>
          <w:rFonts w:hint="eastAsia"/>
          <w:color w:val="auto"/>
        </w:rPr>
      </w:pPr>
      <w:r>
        <w:rPr>
          <w:rFonts w:hint="eastAsia"/>
          <w:color w:val="auto"/>
        </w:rPr>
        <w:t>（1）应选用耐用、维护与拆卸方便的周转材料和机具。</w:t>
      </w:r>
    </w:p>
    <w:p w14:paraId="7700D0F5">
      <w:pPr>
        <w:rPr>
          <w:rFonts w:hint="eastAsia"/>
          <w:color w:val="auto"/>
        </w:rPr>
      </w:pPr>
      <w:r>
        <w:rPr>
          <w:rFonts w:hint="eastAsia"/>
          <w:color w:val="auto"/>
        </w:rPr>
        <w:t>（2）优先选用制作、安装、拆除一体化的专业队伍进行模板工程施工。</w:t>
      </w:r>
    </w:p>
    <w:p w14:paraId="472E29F4">
      <w:pPr>
        <w:rPr>
          <w:rFonts w:hint="eastAsia"/>
          <w:color w:val="auto"/>
        </w:rPr>
      </w:pPr>
      <w:r>
        <w:rPr>
          <w:rFonts w:hint="eastAsia"/>
          <w:color w:val="auto"/>
        </w:rPr>
        <w:t>（3）模板应以节约自然资源为原则，推广使用定型钢模、钢框竹模、竹胶板。</w:t>
      </w:r>
    </w:p>
    <w:p w14:paraId="09B79D9F">
      <w:pPr>
        <w:rPr>
          <w:rFonts w:hint="eastAsia"/>
          <w:color w:val="auto"/>
        </w:rPr>
      </w:pPr>
      <w:r>
        <w:rPr>
          <w:rFonts w:hint="eastAsia"/>
          <w:color w:val="auto"/>
        </w:rPr>
        <w:t>（4）施工前应对模板工程的方案进行优化。多层、高层建筑使用可重复利用的模板体系，模板支撑宜采用工具式支撑。</w:t>
      </w:r>
    </w:p>
    <w:p w14:paraId="710ABAD9">
      <w:pPr>
        <w:rPr>
          <w:rFonts w:hint="eastAsia"/>
          <w:color w:val="auto"/>
        </w:rPr>
      </w:pPr>
      <w:r>
        <w:rPr>
          <w:rFonts w:hint="eastAsia"/>
          <w:color w:val="auto"/>
        </w:rPr>
        <w:t>（5）优化高层建筑的外脚手架方案，采用整体提升、分段悬挑等方案。</w:t>
      </w:r>
    </w:p>
    <w:p w14:paraId="66B18A69">
      <w:pPr>
        <w:rPr>
          <w:rFonts w:hint="eastAsia"/>
          <w:color w:val="auto"/>
        </w:rPr>
      </w:pPr>
      <w:r>
        <w:rPr>
          <w:rFonts w:hint="eastAsia"/>
          <w:color w:val="auto"/>
        </w:rPr>
        <w:t>（6）推广采用外墙保温板替代混凝土施工模板的技术。</w:t>
      </w:r>
    </w:p>
    <w:p w14:paraId="7B00EAFE">
      <w:pPr>
        <w:rPr>
          <w:color w:val="auto"/>
        </w:rPr>
      </w:pPr>
      <w:r>
        <w:rPr>
          <w:rFonts w:hint="eastAsia"/>
          <w:color w:val="auto"/>
        </w:rPr>
        <w:t>（7）现场办公和生活用房采用周转式活动房。现场围挡应最大限度地利用已有围墙，或采用装配式可重复使用围挡封闭。力争工地临房、临时围挡材料的可重复使用率达到70％。</w:t>
      </w:r>
    </w:p>
    <w:p w14:paraId="682E556C">
      <w:pPr>
        <w:pStyle w:val="5"/>
        <w:spacing w:before="24" w:beforeLines="10" w:after="24" w:afterLines="10" w:line="432" w:lineRule="auto"/>
        <w:ind w:firstLine="562"/>
        <w:rPr>
          <w:rFonts w:hint="eastAsia"/>
          <w:color w:val="auto"/>
        </w:rPr>
      </w:pPr>
      <w:bookmarkStart w:id="268" w:name="_Toc24599"/>
      <w:r>
        <w:rPr>
          <w:rFonts w:hint="eastAsia"/>
          <w:color w:val="auto"/>
          <w:lang w:val="en-US" w:eastAsia="zh-CN"/>
        </w:rPr>
        <w:t>节</w:t>
      </w:r>
      <w:r>
        <w:rPr>
          <w:rFonts w:hint="eastAsia"/>
          <w:color w:val="auto"/>
        </w:rPr>
        <w:t>地与施工用地保护的技术要点</w:t>
      </w:r>
      <w:bookmarkEnd w:id="268"/>
    </w:p>
    <w:p w14:paraId="3ED9F97C">
      <w:pPr>
        <w:rPr>
          <w:rFonts w:hint="eastAsia"/>
          <w:color w:val="auto"/>
        </w:rPr>
      </w:pPr>
      <w:r>
        <w:rPr>
          <w:rFonts w:hint="eastAsia"/>
          <w:color w:val="auto"/>
        </w:rPr>
        <w:t>1、临时用地指标</w:t>
      </w:r>
    </w:p>
    <w:p w14:paraId="6D078EF9">
      <w:pPr>
        <w:rPr>
          <w:rFonts w:hint="eastAsia"/>
          <w:color w:val="auto"/>
        </w:rPr>
      </w:pPr>
      <w:r>
        <w:rPr>
          <w:rFonts w:hint="eastAsia"/>
          <w:color w:val="auto"/>
        </w:rPr>
        <w:t>（1）根据施工规模及现场条件等因素合理确定临时设施，如临时加工厂、现场作业棚及材料堆场、办公生活设施等的占地指标。临时设施的占地面积应按用地指标所需的最低面积设计。</w:t>
      </w:r>
    </w:p>
    <w:p w14:paraId="7D0F90C1">
      <w:pPr>
        <w:rPr>
          <w:rFonts w:hint="eastAsia"/>
          <w:color w:val="auto"/>
        </w:rPr>
      </w:pPr>
      <w:r>
        <w:rPr>
          <w:rFonts w:hint="eastAsia"/>
          <w:color w:val="auto"/>
        </w:rPr>
        <w:t>（2）要求平面布置合理、紧凑，在满足环境、职业健康与安全及文明施工要求的前提下尽可能减少废弃地和死角，临时设施占地面积有效利用率大于90%。</w:t>
      </w:r>
    </w:p>
    <w:p w14:paraId="00A03A38">
      <w:pPr>
        <w:rPr>
          <w:rFonts w:hint="eastAsia"/>
          <w:color w:val="auto"/>
        </w:rPr>
      </w:pPr>
      <w:r>
        <w:rPr>
          <w:rFonts w:hint="eastAsia"/>
          <w:color w:val="auto"/>
        </w:rPr>
        <w:t>2、临时用地保护</w:t>
      </w:r>
    </w:p>
    <w:p w14:paraId="0BD7B56F">
      <w:pPr>
        <w:rPr>
          <w:rFonts w:hint="eastAsia"/>
          <w:color w:val="auto"/>
        </w:rPr>
      </w:pPr>
      <w:r>
        <w:rPr>
          <w:rFonts w:hint="eastAsia"/>
          <w:color w:val="auto"/>
        </w:rPr>
        <w:t>（1）应对深基坑施工方案进行优化，减少土方开挖和回填量，最大限度地减少对土地的扰动，保护周边自然生态环境。</w:t>
      </w:r>
    </w:p>
    <w:p w14:paraId="2F2AD142">
      <w:pPr>
        <w:rPr>
          <w:rFonts w:hint="eastAsia"/>
          <w:color w:val="auto"/>
        </w:rPr>
      </w:pPr>
      <w:r>
        <w:rPr>
          <w:rFonts w:hint="eastAsia"/>
          <w:color w:val="auto"/>
        </w:rPr>
        <w:t>（2）红线外临时占地应尽量使用荒地、废地，少占用农田和耕地。工程完工后，及时对红线外占地恢复原地形、地貌，使施工活动对周边环境的影响降至最低。</w:t>
      </w:r>
    </w:p>
    <w:p w14:paraId="48DF802E">
      <w:pPr>
        <w:rPr>
          <w:rFonts w:hint="eastAsia"/>
          <w:color w:val="auto"/>
        </w:rPr>
      </w:pPr>
      <w:r>
        <w:rPr>
          <w:rFonts w:hint="eastAsia"/>
          <w:color w:val="auto"/>
        </w:rPr>
        <w:t>（3）利用和保护施工用地范围内原有绿色植被。</w:t>
      </w:r>
    </w:p>
    <w:p w14:paraId="7F3BF156">
      <w:pPr>
        <w:rPr>
          <w:rFonts w:hint="eastAsia"/>
          <w:color w:val="auto"/>
        </w:rPr>
      </w:pPr>
      <w:r>
        <w:rPr>
          <w:rFonts w:hint="eastAsia"/>
          <w:color w:val="auto"/>
        </w:rPr>
        <w:t>3、施工总平面布置</w:t>
      </w:r>
    </w:p>
    <w:p w14:paraId="2A50F197">
      <w:pPr>
        <w:rPr>
          <w:rFonts w:hint="eastAsia"/>
          <w:color w:val="auto"/>
        </w:rPr>
      </w:pPr>
      <w:r>
        <w:rPr>
          <w:rFonts w:hint="eastAsia"/>
          <w:color w:val="auto"/>
        </w:rPr>
        <w:t>（1）施工总平面布置应做到科学、合理，充分利用原有建筑物、构筑物、道路、管线为施工服务。</w:t>
      </w:r>
    </w:p>
    <w:p w14:paraId="0E76BF27">
      <w:pPr>
        <w:rPr>
          <w:rFonts w:hint="eastAsia"/>
          <w:color w:val="auto"/>
        </w:rPr>
      </w:pPr>
      <w:r>
        <w:rPr>
          <w:rFonts w:hint="eastAsia"/>
          <w:color w:val="auto"/>
        </w:rPr>
        <w:t>（2）施工现场仓库、加工厂、作业棚、材料堆场等布置应尽量靠近已有交通线路或即将修建的正式或临时交通线路，缩短运输距离。</w:t>
      </w:r>
    </w:p>
    <w:p w14:paraId="001BC4B2">
      <w:pPr>
        <w:rPr>
          <w:rFonts w:hint="eastAsia"/>
          <w:color w:val="auto"/>
        </w:rPr>
      </w:pPr>
      <w:r>
        <w:rPr>
          <w:rFonts w:hint="eastAsia"/>
          <w:color w:val="auto"/>
        </w:rPr>
        <w:t>（3）临时办公和生活用房应采用经济、美观、占地面积小、对周边地貌环境影响较小，且适合于施工平面布置动态调整的箱式板房等标准化装配式结构。生活区与生产区应分开布置，并设置标准的分隔设施。</w:t>
      </w:r>
    </w:p>
    <w:p w14:paraId="7F03CD9D">
      <w:pPr>
        <w:rPr>
          <w:rFonts w:hint="eastAsia"/>
          <w:color w:val="auto"/>
        </w:rPr>
      </w:pPr>
      <w:r>
        <w:rPr>
          <w:rFonts w:hint="eastAsia"/>
          <w:color w:val="auto"/>
        </w:rPr>
        <w:t>（4）施工现场道路按照永久道路和临时道路相结合的原则布置。施工现场内形成环形通路，减少道路占用土地。</w:t>
      </w:r>
    </w:p>
    <w:p w14:paraId="1AEAD48D">
      <w:pPr>
        <w:rPr>
          <w:color w:val="auto"/>
        </w:rPr>
      </w:pPr>
      <w:r>
        <w:rPr>
          <w:rFonts w:hint="eastAsia"/>
          <w:color w:val="auto"/>
        </w:rPr>
        <w:t>（5）临时设施布置应注意远近结合，努力减少和避免大量临时建筑拆迁和场地搬迁。</w:t>
      </w:r>
    </w:p>
    <w:p w14:paraId="0A8D6CD1">
      <w:pPr>
        <w:pStyle w:val="5"/>
        <w:spacing w:before="24" w:beforeLines="10" w:after="24" w:afterLines="10" w:line="432" w:lineRule="auto"/>
        <w:ind w:firstLine="562"/>
        <w:rPr>
          <w:color w:val="auto"/>
          <w:sz w:val="24"/>
          <w:szCs w:val="24"/>
          <w:highlight w:val="none"/>
        </w:rPr>
      </w:pPr>
      <w:bookmarkStart w:id="269" w:name="_Toc6178"/>
      <w:r>
        <w:rPr>
          <w:rFonts w:hint="eastAsia"/>
          <w:color w:val="auto"/>
          <w:sz w:val="24"/>
          <w:szCs w:val="24"/>
          <w:highlight w:val="none"/>
        </w:rPr>
        <w:t>能源节约与利用</w:t>
      </w:r>
      <w:bookmarkEnd w:id="267"/>
      <w:bookmarkEnd w:id="269"/>
    </w:p>
    <w:p w14:paraId="6548734B">
      <w:pPr>
        <w:pStyle w:val="97"/>
        <w:spacing w:before="24" w:beforeLines="10" w:after="24" w:afterLines="10" w:line="432" w:lineRule="auto"/>
        <w:ind w:firstLine="560"/>
        <w:rPr>
          <w:color w:val="auto"/>
          <w:sz w:val="24"/>
          <w:szCs w:val="24"/>
          <w:highlight w:val="none"/>
        </w:rPr>
      </w:pPr>
      <w:bookmarkStart w:id="270" w:name="_Toc296604956"/>
      <w:r>
        <w:rPr>
          <w:color w:val="auto"/>
          <w:sz w:val="24"/>
          <w:szCs w:val="24"/>
          <w:highlight w:val="none"/>
        </w:rPr>
        <w:t>1、节约能耗主要措施</w:t>
      </w:r>
      <w:bookmarkEnd w:id="270"/>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4120"/>
        <w:gridCol w:w="4126"/>
      </w:tblGrid>
      <w:tr w14:paraId="69ED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5F58A5AA">
            <w:pPr>
              <w:pStyle w:val="74"/>
              <w:rPr>
                <w:rFonts w:hint="eastAsia"/>
                <w:color w:val="auto"/>
                <w:highlight w:val="none"/>
              </w:rPr>
            </w:pPr>
            <w:r>
              <w:rPr>
                <w:rFonts w:hint="eastAsia"/>
                <w:color w:val="auto"/>
                <w:highlight w:val="none"/>
              </w:rPr>
              <w:t>序号</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907B448">
            <w:pPr>
              <w:pStyle w:val="74"/>
              <w:rPr>
                <w:rFonts w:hint="eastAsia"/>
                <w:color w:val="auto"/>
                <w:highlight w:val="none"/>
              </w:rPr>
            </w:pPr>
            <w:r>
              <w:rPr>
                <w:rFonts w:hint="eastAsia"/>
                <w:color w:val="auto"/>
                <w:highlight w:val="none"/>
              </w:rPr>
              <w:t>具体措施</w:t>
            </w:r>
          </w:p>
        </w:tc>
      </w:tr>
      <w:tr w14:paraId="260C0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B307636">
            <w:pPr>
              <w:pStyle w:val="74"/>
              <w:rPr>
                <w:rFonts w:hint="eastAsia"/>
                <w:color w:val="auto"/>
                <w:highlight w:val="none"/>
              </w:rPr>
            </w:pPr>
            <w:r>
              <w:rPr>
                <w:rFonts w:hint="eastAsia"/>
                <w:color w:val="auto"/>
                <w:highlight w:val="none"/>
              </w:rPr>
              <w:t>1</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F621AE6">
            <w:pPr>
              <w:pStyle w:val="74"/>
              <w:jc w:val="left"/>
              <w:rPr>
                <w:rFonts w:hint="eastAsia"/>
                <w:color w:val="auto"/>
                <w:highlight w:val="none"/>
              </w:rPr>
            </w:pPr>
            <w:r>
              <w:rPr>
                <w:rFonts w:hint="eastAsia"/>
                <w:color w:val="auto"/>
                <w:highlight w:val="none"/>
              </w:rPr>
              <w:t>施工现场分别设定生产、生活、办公和施工设备的用电控制指标，定期进行计量、核算、对比分析，并有预防与纠正措施。</w:t>
            </w:r>
          </w:p>
        </w:tc>
      </w:tr>
      <w:tr w14:paraId="31EC0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B4A4755">
            <w:pPr>
              <w:pStyle w:val="74"/>
              <w:rPr>
                <w:rFonts w:hint="eastAsia"/>
                <w:color w:val="auto"/>
                <w:highlight w:val="none"/>
              </w:rPr>
            </w:pPr>
            <w:r>
              <w:rPr>
                <w:rFonts w:hint="eastAsia"/>
                <w:color w:val="auto"/>
                <w:highlight w:val="none"/>
              </w:rPr>
              <w:t>2</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58509199">
            <w:pPr>
              <w:pStyle w:val="74"/>
              <w:jc w:val="left"/>
              <w:rPr>
                <w:rFonts w:hint="eastAsia"/>
                <w:color w:val="auto"/>
                <w:highlight w:val="none"/>
              </w:rPr>
            </w:pPr>
            <w:r>
              <w:rPr>
                <w:rFonts w:hint="eastAsia"/>
                <w:color w:val="auto"/>
                <w:highlight w:val="none"/>
              </w:rPr>
              <w:t>在施工组织设计中，合理安排施工顺序、工作面，减少作业区域的机具数量，相邻作业区充分利用共有的机具资源。安排施工工艺时，优先考虑耗用电能低的或其他能耗较少的施工工艺，避免设备额定功率远大于使用功率或超负荷使用设备的现象。</w:t>
            </w:r>
          </w:p>
        </w:tc>
      </w:tr>
      <w:tr w14:paraId="051C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0E9780F">
            <w:pPr>
              <w:pStyle w:val="74"/>
              <w:rPr>
                <w:rFonts w:hint="eastAsia"/>
                <w:color w:val="auto"/>
                <w:highlight w:val="none"/>
              </w:rPr>
            </w:pPr>
            <w:r>
              <w:rPr>
                <w:rFonts w:hint="eastAsia"/>
                <w:color w:val="auto"/>
                <w:highlight w:val="none"/>
              </w:rPr>
              <w:t>3</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2C3A041B">
            <w:pPr>
              <w:pStyle w:val="74"/>
              <w:jc w:val="left"/>
              <w:rPr>
                <w:rFonts w:hint="eastAsia"/>
                <w:color w:val="auto"/>
                <w:highlight w:val="none"/>
              </w:rPr>
            </w:pPr>
            <w:r>
              <w:rPr>
                <w:rFonts w:hint="eastAsia"/>
                <w:color w:val="auto"/>
                <w:highlight w:val="none"/>
              </w:rPr>
              <w:t>现场办公室采用活动板房集中办公格局，以自然通风、自然光照明为主，各办公室室内均安装用电限流装置；办公及生活区室内照明采用新型节能LED灯具。</w:t>
            </w:r>
          </w:p>
        </w:tc>
      </w:tr>
      <w:tr w14:paraId="303C4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6B3560F">
            <w:pPr>
              <w:pStyle w:val="74"/>
              <w:rPr>
                <w:rFonts w:hint="eastAsia"/>
                <w:color w:val="auto"/>
                <w:highlight w:val="none"/>
              </w:rPr>
            </w:pPr>
            <w:r>
              <w:rPr>
                <w:rFonts w:hint="eastAsia"/>
                <w:color w:val="auto"/>
                <w:highlight w:val="none"/>
              </w:rPr>
              <w:t>4</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739EA3EC">
            <w:pPr>
              <w:pStyle w:val="74"/>
              <w:jc w:val="left"/>
              <w:rPr>
                <w:rFonts w:hint="eastAsia"/>
                <w:color w:val="auto"/>
                <w:highlight w:val="none"/>
              </w:rPr>
            </w:pPr>
            <w:r>
              <w:rPr>
                <w:rFonts w:hint="eastAsia"/>
                <w:color w:val="auto"/>
                <w:highlight w:val="none"/>
              </w:rPr>
              <w:t>生活区每间寝室均安装限流装置，尽量节约用电同时也保证生活区的正常用电，避免出现使用大功率用电器而出现整体跳闸、断电等情况。</w:t>
            </w:r>
          </w:p>
        </w:tc>
      </w:tr>
      <w:tr w14:paraId="46F23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5FCF2B5">
            <w:pPr>
              <w:pStyle w:val="74"/>
              <w:rPr>
                <w:rFonts w:hint="eastAsia"/>
                <w:color w:val="auto"/>
                <w:highlight w:val="none"/>
              </w:rPr>
            </w:pPr>
            <w:r>
              <w:rPr>
                <w:rFonts w:hint="eastAsia"/>
                <w:color w:val="auto"/>
                <w:highlight w:val="none"/>
              </w:rPr>
              <w:t>5</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BAF9BBE">
            <w:pPr>
              <w:pStyle w:val="74"/>
              <w:jc w:val="left"/>
              <w:rPr>
                <w:rFonts w:hint="eastAsia"/>
                <w:color w:val="auto"/>
                <w:highlight w:val="none"/>
              </w:rPr>
            </w:pPr>
            <w:r>
              <w:rPr>
                <w:rFonts w:hint="eastAsia"/>
                <w:color w:val="auto"/>
                <w:highlight w:val="none"/>
              </w:rPr>
              <w:t>现场安装水表、电表，随时了解用水，用电情况。经常检测现场供水阀门，杜绝跑、冒、滴、漏现象，对浪费能源的责任人实行奖罚制度，并公告处理结果。</w:t>
            </w:r>
          </w:p>
        </w:tc>
      </w:tr>
      <w:tr w14:paraId="0B58D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4EFE46B">
            <w:pPr>
              <w:pStyle w:val="74"/>
              <w:rPr>
                <w:rFonts w:hint="eastAsia"/>
                <w:color w:val="auto"/>
                <w:highlight w:val="none"/>
              </w:rPr>
            </w:pPr>
            <w:r>
              <w:rPr>
                <w:rFonts w:hint="eastAsia"/>
                <w:color w:val="auto"/>
                <w:highlight w:val="none"/>
              </w:rPr>
              <w:t>6</w:t>
            </w:r>
          </w:p>
        </w:tc>
        <w:tc>
          <w:tcPr>
            <w:tcW w:w="2274" w:type="pct"/>
            <w:tcBorders>
              <w:top w:val="single" w:color="auto" w:sz="4" w:space="0"/>
              <w:left w:val="single" w:color="auto" w:sz="4" w:space="0"/>
              <w:bottom w:val="single" w:color="auto" w:sz="4" w:space="0"/>
              <w:right w:val="single" w:color="auto" w:sz="4" w:space="0"/>
            </w:tcBorders>
            <w:noWrap w:val="0"/>
            <w:vAlign w:val="center"/>
          </w:tcPr>
          <w:p w14:paraId="0EAADD89">
            <w:pPr>
              <w:pStyle w:val="74"/>
              <w:rPr>
                <w:rFonts w:hint="eastAsia"/>
                <w:color w:val="auto"/>
                <w:highlight w:val="none"/>
              </w:rPr>
            </w:pPr>
            <w:r>
              <w:rPr>
                <w:rFonts w:hint="eastAsia"/>
                <w:color w:val="auto"/>
                <w:highlight w:val="none"/>
              </w:rPr>
              <w:drawing>
                <wp:inline distT="0" distB="0" distL="114300" distR="114300">
                  <wp:extent cx="1804035" cy="1371600"/>
                  <wp:effectExtent l="0" t="0" r="12065" b="0"/>
                  <wp:docPr id="8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9"/>
                          <pic:cNvPicPr>
                            <a:picLocks noChangeAspect="1"/>
                          </pic:cNvPicPr>
                        </pic:nvPicPr>
                        <pic:blipFill>
                          <a:blip r:embed="rId191"/>
                          <a:stretch>
                            <a:fillRect/>
                          </a:stretch>
                        </pic:blipFill>
                        <pic:spPr>
                          <a:xfrm>
                            <a:off x="0" y="0"/>
                            <a:ext cx="1804035" cy="1371600"/>
                          </a:xfrm>
                          <a:prstGeom prst="rect">
                            <a:avLst/>
                          </a:prstGeom>
                          <a:noFill/>
                          <a:ln>
                            <a:noFill/>
                          </a:ln>
                        </pic:spPr>
                      </pic:pic>
                    </a:graphicData>
                  </a:graphic>
                </wp:inline>
              </w:drawing>
            </w:r>
          </w:p>
          <w:p w14:paraId="05E0140B">
            <w:pPr>
              <w:pStyle w:val="74"/>
              <w:rPr>
                <w:rFonts w:hint="eastAsia"/>
                <w:color w:val="auto"/>
                <w:highlight w:val="none"/>
              </w:rPr>
            </w:pPr>
            <w:r>
              <w:rPr>
                <w:rFonts w:hint="eastAsia"/>
                <w:color w:val="auto"/>
                <w:highlight w:val="none"/>
              </w:rPr>
              <w:t>太阳能路灯</w:t>
            </w:r>
          </w:p>
        </w:tc>
        <w:tc>
          <w:tcPr>
            <w:tcW w:w="2277" w:type="pct"/>
            <w:tcBorders>
              <w:top w:val="single" w:color="auto" w:sz="4" w:space="0"/>
              <w:left w:val="single" w:color="auto" w:sz="4" w:space="0"/>
              <w:bottom w:val="single" w:color="auto" w:sz="4" w:space="0"/>
              <w:right w:val="single" w:color="auto" w:sz="4" w:space="0"/>
            </w:tcBorders>
            <w:noWrap w:val="0"/>
            <w:vAlign w:val="center"/>
          </w:tcPr>
          <w:p w14:paraId="48A02B8A">
            <w:pPr>
              <w:pStyle w:val="74"/>
              <w:rPr>
                <w:rFonts w:hint="eastAsia"/>
                <w:color w:val="auto"/>
                <w:highlight w:val="none"/>
              </w:rPr>
            </w:pPr>
            <w:r>
              <w:rPr>
                <w:rFonts w:hint="eastAsia"/>
                <w:color w:val="auto"/>
                <w:highlight w:val="none"/>
              </w:rPr>
              <w:drawing>
                <wp:inline distT="0" distB="0" distL="114300" distR="114300">
                  <wp:extent cx="1899285" cy="1371600"/>
                  <wp:effectExtent l="0" t="0" r="5715" b="0"/>
                  <wp:docPr id="82" name="图片 30" descr="商店的玻璃窗上有贴商标&#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0" descr="商店的玻璃窗上有贴商标&#10;&#10;低可信度描述已自动生成"/>
                          <pic:cNvPicPr>
                            <a:picLocks noChangeAspect="1"/>
                          </pic:cNvPicPr>
                        </pic:nvPicPr>
                        <pic:blipFill>
                          <a:blip r:embed="rId192"/>
                          <a:stretch>
                            <a:fillRect/>
                          </a:stretch>
                        </pic:blipFill>
                        <pic:spPr>
                          <a:xfrm>
                            <a:off x="0" y="0"/>
                            <a:ext cx="1899285" cy="1371600"/>
                          </a:xfrm>
                          <a:prstGeom prst="rect">
                            <a:avLst/>
                          </a:prstGeom>
                          <a:noFill/>
                          <a:ln>
                            <a:noFill/>
                          </a:ln>
                        </pic:spPr>
                      </pic:pic>
                    </a:graphicData>
                  </a:graphic>
                </wp:inline>
              </w:drawing>
            </w:r>
          </w:p>
          <w:p w14:paraId="4E832A63">
            <w:pPr>
              <w:pStyle w:val="74"/>
              <w:rPr>
                <w:rFonts w:hint="eastAsia"/>
                <w:color w:val="auto"/>
                <w:highlight w:val="none"/>
              </w:rPr>
            </w:pPr>
            <w:r>
              <w:rPr>
                <w:rFonts w:hint="eastAsia"/>
                <w:color w:val="auto"/>
                <w:highlight w:val="none"/>
              </w:rPr>
              <w:t>空气能热水器</w:t>
            </w:r>
          </w:p>
        </w:tc>
      </w:tr>
    </w:tbl>
    <w:p w14:paraId="7026F4B4">
      <w:pPr>
        <w:pStyle w:val="97"/>
        <w:spacing w:before="24" w:beforeLines="10" w:after="24" w:afterLines="10" w:line="432" w:lineRule="auto"/>
        <w:ind w:firstLine="560"/>
        <w:rPr>
          <w:color w:val="auto"/>
          <w:sz w:val="24"/>
          <w:szCs w:val="24"/>
          <w:highlight w:val="none"/>
        </w:rPr>
      </w:pPr>
      <w:bookmarkStart w:id="271" w:name="_Toc296604959"/>
      <w:r>
        <w:rPr>
          <w:color w:val="auto"/>
          <w:sz w:val="24"/>
          <w:szCs w:val="24"/>
          <w:highlight w:val="none"/>
        </w:rPr>
        <w:t>2、施工用电及照明</w:t>
      </w:r>
      <w:bookmarkEnd w:id="271"/>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4429"/>
        <w:gridCol w:w="4090"/>
      </w:tblGrid>
      <w:tr w14:paraId="3480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299" w:type="pct"/>
            <w:tcBorders>
              <w:top w:val="single" w:color="auto" w:sz="4" w:space="0"/>
              <w:left w:val="single" w:color="auto" w:sz="4" w:space="0"/>
              <w:bottom w:val="single" w:color="auto" w:sz="4" w:space="0"/>
              <w:right w:val="single" w:color="auto" w:sz="4" w:space="0"/>
            </w:tcBorders>
            <w:noWrap w:val="0"/>
            <w:vAlign w:val="center"/>
          </w:tcPr>
          <w:p w14:paraId="3ADD74C1">
            <w:pPr>
              <w:pStyle w:val="74"/>
              <w:rPr>
                <w:rFonts w:hint="eastAsia"/>
                <w:color w:val="auto"/>
                <w:highlight w:val="none"/>
              </w:rPr>
            </w:pPr>
            <w:r>
              <w:rPr>
                <w:rFonts w:hint="eastAsia"/>
                <w:color w:val="auto"/>
                <w:highlight w:val="none"/>
              </w:rPr>
              <w:t>序号</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6E1EB15C">
            <w:pPr>
              <w:pStyle w:val="74"/>
              <w:rPr>
                <w:rFonts w:hint="eastAsia"/>
                <w:color w:val="auto"/>
                <w:highlight w:val="none"/>
              </w:rPr>
            </w:pPr>
            <w:r>
              <w:rPr>
                <w:rFonts w:hint="eastAsia"/>
                <w:color w:val="auto"/>
                <w:highlight w:val="none"/>
              </w:rPr>
              <w:t>具体措施</w:t>
            </w:r>
          </w:p>
        </w:tc>
      </w:tr>
      <w:tr w14:paraId="449E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2E6F3A17">
            <w:pPr>
              <w:pStyle w:val="74"/>
              <w:rPr>
                <w:rFonts w:hint="eastAsia"/>
                <w:color w:val="auto"/>
                <w:highlight w:val="none"/>
              </w:rPr>
            </w:pPr>
            <w:r>
              <w:rPr>
                <w:rFonts w:hint="eastAsia"/>
                <w:color w:val="auto"/>
                <w:highlight w:val="none"/>
              </w:rPr>
              <w:t>1</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678146C6">
            <w:pPr>
              <w:pStyle w:val="74"/>
              <w:jc w:val="left"/>
              <w:rPr>
                <w:rFonts w:hint="eastAsia"/>
                <w:color w:val="auto"/>
                <w:highlight w:val="none"/>
              </w:rPr>
            </w:pPr>
            <w:r>
              <w:rPr>
                <w:rFonts w:hint="eastAsia"/>
                <w:color w:val="auto"/>
                <w:highlight w:val="none"/>
              </w:rPr>
              <w:t>根据工程需要，统计设备加工的工作量，合理使用国家、行业推荐的节能、高效、环保的施工设备和机具。</w:t>
            </w:r>
          </w:p>
        </w:tc>
      </w:tr>
      <w:tr w14:paraId="5D01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249872B0">
            <w:pPr>
              <w:pStyle w:val="74"/>
              <w:rPr>
                <w:rFonts w:hint="eastAsia"/>
                <w:color w:val="auto"/>
                <w:highlight w:val="none"/>
              </w:rPr>
            </w:pPr>
            <w:r>
              <w:rPr>
                <w:rFonts w:hint="eastAsia"/>
                <w:color w:val="auto"/>
                <w:highlight w:val="none"/>
              </w:rPr>
              <w:t>2</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289B323F">
            <w:pPr>
              <w:pStyle w:val="74"/>
              <w:jc w:val="left"/>
              <w:rPr>
                <w:rFonts w:hint="eastAsia"/>
                <w:color w:val="auto"/>
                <w:highlight w:val="none"/>
              </w:rPr>
            </w:pPr>
            <w:r>
              <w:rPr>
                <w:rFonts w:hint="eastAsia"/>
                <w:color w:val="auto"/>
                <w:highlight w:val="none"/>
              </w:rPr>
              <w:t>对于生活区，制定相应的用电管理制度，不使用大功率用电器等。</w:t>
            </w:r>
          </w:p>
        </w:tc>
      </w:tr>
      <w:tr w14:paraId="2F46E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488BED40">
            <w:pPr>
              <w:pStyle w:val="74"/>
              <w:rPr>
                <w:rFonts w:hint="eastAsia"/>
                <w:color w:val="auto"/>
                <w:highlight w:val="none"/>
              </w:rPr>
            </w:pPr>
            <w:r>
              <w:rPr>
                <w:rFonts w:hint="eastAsia"/>
                <w:color w:val="auto"/>
                <w:highlight w:val="none"/>
              </w:rPr>
              <w:t>3</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6202DFFA">
            <w:pPr>
              <w:pStyle w:val="74"/>
              <w:jc w:val="left"/>
              <w:rPr>
                <w:rFonts w:hint="eastAsia"/>
                <w:color w:val="auto"/>
                <w:highlight w:val="none"/>
              </w:rPr>
            </w:pPr>
            <w:r>
              <w:rPr>
                <w:rFonts w:hint="eastAsia"/>
                <w:color w:val="auto"/>
                <w:highlight w:val="none"/>
              </w:rPr>
              <w:t>照明设计以满足最低照度为原则，照度不超过最低照度的20%。</w:t>
            </w:r>
          </w:p>
        </w:tc>
      </w:tr>
      <w:tr w14:paraId="239AB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370F5043">
            <w:pPr>
              <w:pStyle w:val="74"/>
              <w:rPr>
                <w:rFonts w:hint="eastAsia"/>
                <w:color w:val="auto"/>
                <w:highlight w:val="none"/>
              </w:rPr>
            </w:pPr>
            <w:r>
              <w:rPr>
                <w:rFonts w:hint="eastAsia"/>
                <w:color w:val="auto"/>
                <w:highlight w:val="none"/>
              </w:rPr>
              <w:t>4</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079CD484">
            <w:pPr>
              <w:pStyle w:val="74"/>
              <w:jc w:val="left"/>
              <w:rPr>
                <w:rFonts w:hint="eastAsia"/>
                <w:color w:val="auto"/>
                <w:highlight w:val="none"/>
              </w:rPr>
            </w:pPr>
            <w:r>
              <w:rPr>
                <w:rFonts w:hint="eastAsia"/>
                <w:color w:val="auto"/>
                <w:highlight w:val="none"/>
              </w:rPr>
              <w:t>合理安排工期，尽量减少夜间施工。</w:t>
            </w:r>
          </w:p>
        </w:tc>
      </w:tr>
      <w:tr w14:paraId="4413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48AD9A40">
            <w:pPr>
              <w:pStyle w:val="74"/>
              <w:rPr>
                <w:rFonts w:hint="eastAsia"/>
                <w:color w:val="auto"/>
                <w:highlight w:val="none"/>
              </w:rPr>
            </w:pPr>
            <w:r>
              <w:rPr>
                <w:rFonts w:hint="eastAsia"/>
                <w:color w:val="auto"/>
                <w:highlight w:val="none"/>
              </w:rPr>
              <w:t>5</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5627A8AD">
            <w:pPr>
              <w:pStyle w:val="74"/>
              <w:jc w:val="left"/>
              <w:rPr>
                <w:rFonts w:hint="eastAsia"/>
                <w:color w:val="auto"/>
                <w:highlight w:val="none"/>
              </w:rPr>
            </w:pPr>
            <w:r>
              <w:rPr>
                <w:rFonts w:hint="eastAsia"/>
                <w:color w:val="auto"/>
                <w:highlight w:val="none"/>
              </w:rPr>
              <w:t>夜间施工确保施工段的照明，无关区域不开灯。</w:t>
            </w:r>
          </w:p>
        </w:tc>
      </w:tr>
      <w:tr w14:paraId="0DD7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316E298A">
            <w:pPr>
              <w:pStyle w:val="74"/>
              <w:rPr>
                <w:rFonts w:hint="eastAsia"/>
                <w:color w:val="auto"/>
                <w:highlight w:val="none"/>
              </w:rPr>
            </w:pPr>
            <w:r>
              <w:rPr>
                <w:rFonts w:hint="eastAsia"/>
                <w:color w:val="auto"/>
                <w:highlight w:val="none"/>
              </w:rPr>
              <w:t>6</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75BF5436">
            <w:pPr>
              <w:pStyle w:val="74"/>
              <w:jc w:val="left"/>
              <w:rPr>
                <w:rFonts w:hint="eastAsia"/>
                <w:color w:val="auto"/>
                <w:highlight w:val="none"/>
              </w:rPr>
            </w:pPr>
            <w:r>
              <w:rPr>
                <w:rFonts w:hint="eastAsia"/>
                <w:color w:val="auto"/>
                <w:highlight w:val="none"/>
              </w:rPr>
              <w:t>电焊机配备空载短路装置，降低功耗，配置率100%。</w:t>
            </w:r>
          </w:p>
        </w:tc>
      </w:tr>
      <w:tr w14:paraId="3E1FD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1C0A94BD">
            <w:pPr>
              <w:pStyle w:val="74"/>
              <w:rPr>
                <w:rFonts w:hint="eastAsia"/>
                <w:color w:val="auto"/>
                <w:highlight w:val="none"/>
              </w:rPr>
            </w:pPr>
            <w:r>
              <w:rPr>
                <w:rFonts w:hint="eastAsia"/>
                <w:color w:val="auto"/>
                <w:highlight w:val="none"/>
              </w:rPr>
              <w:t>7</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66350862">
            <w:pPr>
              <w:pStyle w:val="74"/>
              <w:jc w:val="left"/>
              <w:rPr>
                <w:rFonts w:hint="eastAsia"/>
                <w:color w:val="auto"/>
                <w:highlight w:val="none"/>
              </w:rPr>
            </w:pPr>
            <w:r>
              <w:rPr>
                <w:rFonts w:hint="eastAsia"/>
                <w:color w:val="auto"/>
                <w:highlight w:val="none"/>
              </w:rPr>
              <w:t>分区段安装电度表，进行计量并对生活区宿舍用电进行考核。</w:t>
            </w:r>
          </w:p>
        </w:tc>
      </w:tr>
      <w:tr w14:paraId="44519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1FEAB0B8">
            <w:pPr>
              <w:pStyle w:val="74"/>
              <w:rPr>
                <w:rFonts w:hint="eastAsia"/>
                <w:color w:val="auto"/>
                <w:highlight w:val="none"/>
              </w:rPr>
            </w:pPr>
            <w:r>
              <w:rPr>
                <w:rFonts w:hint="eastAsia"/>
                <w:color w:val="auto"/>
                <w:highlight w:val="none"/>
              </w:rPr>
              <w:t>8</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029F7AFC">
            <w:pPr>
              <w:pStyle w:val="74"/>
              <w:jc w:val="left"/>
              <w:rPr>
                <w:rFonts w:hint="eastAsia"/>
                <w:color w:val="auto"/>
                <w:highlight w:val="none"/>
              </w:rPr>
            </w:pPr>
            <w:r>
              <w:rPr>
                <w:rFonts w:hint="eastAsia"/>
                <w:color w:val="auto"/>
                <w:highlight w:val="none"/>
              </w:rPr>
              <w:t>办公室及生活区门口粘贴“节约用电、下班关好电源”等宣传标语。</w:t>
            </w:r>
          </w:p>
        </w:tc>
      </w:tr>
      <w:tr w14:paraId="7081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9" w:type="pct"/>
            <w:tcBorders>
              <w:top w:val="single" w:color="auto" w:sz="4" w:space="0"/>
              <w:left w:val="single" w:color="auto" w:sz="4" w:space="0"/>
              <w:bottom w:val="single" w:color="auto" w:sz="4" w:space="0"/>
              <w:right w:val="single" w:color="auto" w:sz="4" w:space="0"/>
            </w:tcBorders>
            <w:noWrap w:val="0"/>
            <w:vAlign w:val="center"/>
          </w:tcPr>
          <w:p w14:paraId="5C4F2ED6">
            <w:pPr>
              <w:pStyle w:val="74"/>
              <w:rPr>
                <w:rFonts w:hint="eastAsia"/>
                <w:color w:val="auto"/>
                <w:highlight w:val="none"/>
              </w:rPr>
            </w:pPr>
            <w:r>
              <w:rPr>
                <w:rFonts w:hint="eastAsia"/>
                <w:color w:val="auto"/>
                <w:highlight w:val="none"/>
              </w:rPr>
              <w:t>9</w:t>
            </w:r>
          </w:p>
        </w:tc>
        <w:tc>
          <w:tcPr>
            <w:tcW w:w="4701" w:type="pct"/>
            <w:gridSpan w:val="2"/>
            <w:tcBorders>
              <w:top w:val="single" w:color="auto" w:sz="4" w:space="0"/>
              <w:left w:val="single" w:color="auto" w:sz="4" w:space="0"/>
              <w:bottom w:val="single" w:color="auto" w:sz="4" w:space="0"/>
              <w:right w:val="single" w:color="auto" w:sz="4" w:space="0"/>
            </w:tcBorders>
            <w:noWrap w:val="0"/>
            <w:vAlign w:val="center"/>
          </w:tcPr>
          <w:p w14:paraId="63DB74AE">
            <w:pPr>
              <w:pStyle w:val="74"/>
              <w:jc w:val="left"/>
              <w:rPr>
                <w:rFonts w:hint="eastAsia"/>
                <w:color w:val="auto"/>
                <w:highlight w:val="none"/>
              </w:rPr>
            </w:pPr>
            <w:r>
              <w:rPr>
                <w:rFonts w:hint="eastAsia"/>
                <w:color w:val="auto"/>
                <w:highlight w:val="none"/>
              </w:rPr>
              <w:t>施工现场照明采用节能LED照明灯具，地下室、楼梯间采用LED灯带照明。夜间施工时，派专人对现场灯具进行管理。杜绝在没有夜间施工作业时也将灯具打开照明。</w:t>
            </w:r>
          </w:p>
        </w:tc>
      </w:tr>
      <w:tr w14:paraId="3379E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trPr>
        <w:tc>
          <w:tcPr>
            <w:tcW w:w="299" w:type="pct"/>
            <w:tcBorders>
              <w:top w:val="single" w:color="auto" w:sz="4" w:space="0"/>
              <w:left w:val="single" w:color="auto" w:sz="4" w:space="0"/>
              <w:right w:val="single" w:color="auto" w:sz="4" w:space="0"/>
            </w:tcBorders>
            <w:noWrap w:val="0"/>
            <w:vAlign w:val="center"/>
          </w:tcPr>
          <w:p w14:paraId="0DA42A3D">
            <w:pPr>
              <w:pStyle w:val="74"/>
              <w:rPr>
                <w:rFonts w:hint="eastAsia"/>
                <w:color w:val="auto"/>
              </w:rPr>
            </w:pPr>
            <w:r>
              <w:rPr>
                <w:rFonts w:hint="eastAsia"/>
                <w:color w:val="auto"/>
              </w:rPr>
              <w:t>10</w:t>
            </w:r>
          </w:p>
        </w:tc>
        <w:tc>
          <w:tcPr>
            <w:tcW w:w="2444" w:type="pct"/>
            <w:tcBorders>
              <w:top w:val="single" w:color="auto" w:sz="4" w:space="0"/>
              <w:left w:val="single" w:color="auto" w:sz="4" w:space="0"/>
              <w:bottom w:val="single" w:color="auto" w:sz="4" w:space="0"/>
              <w:right w:val="single" w:color="auto" w:sz="4" w:space="0"/>
            </w:tcBorders>
            <w:noWrap w:val="0"/>
            <w:vAlign w:val="center"/>
          </w:tcPr>
          <w:p w14:paraId="053C1E3F">
            <w:pPr>
              <w:pStyle w:val="74"/>
              <w:rPr>
                <w:rFonts w:hint="eastAsia"/>
                <w:color w:val="auto"/>
              </w:rPr>
            </w:pPr>
            <w:r>
              <w:rPr>
                <w:rFonts w:hint="eastAsia"/>
                <w:color w:val="auto"/>
              </w:rPr>
              <w:drawing>
                <wp:inline distT="0" distB="0" distL="114300" distR="114300">
                  <wp:extent cx="2509520" cy="1772285"/>
                  <wp:effectExtent l="0" t="0" r="5080" b="5715"/>
                  <wp:docPr id="83"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31"/>
                          <pic:cNvPicPr>
                            <a:picLocks noChangeAspect="1"/>
                          </pic:cNvPicPr>
                        </pic:nvPicPr>
                        <pic:blipFill>
                          <a:blip r:embed="rId193"/>
                          <a:stretch>
                            <a:fillRect/>
                          </a:stretch>
                        </pic:blipFill>
                        <pic:spPr>
                          <a:xfrm>
                            <a:off x="0" y="0"/>
                            <a:ext cx="2509520" cy="1772285"/>
                          </a:xfrm>
                          <a:prstGeom prst="rect">
                            <a:avLst/>
                          </a:prstGeom>
                          <a:noFill/>
                          <a:ln>
                            <a:noFill/>
                          </a:ln>
                        </pic:spPr>
                      </pic:pic>
                    </a:graphicData>
                  </a:graphic>
                </wp:inline>
              </w:drawing>
            </w:r>
          </w:p>
          <w:p w14:paraId="756E7546">
            <w:pPr>
              <w:pStyle w:val="74"/>
              <w:rPr>
                <w:rFonts w:hint="eastAsia"/>
                <w:color w:val="auto"/>
              </w:rPr>
            </w:pPr>
            <w:r>
              <w:rPr>
                <w:rFonts w:hint="eastAsia"/>
                <w:color w:val="auto"/>
              </w:rPr>
              <w:t>LED灯带照明</w:t>
            </w:r>
          </w:p>
        </w:tc>
        <w:tc>
          <w:tcPr>
            <w:tcW w:w="2257" w:type="pct"/>
            <w:tcBorders>
              <w:top w:val="single" w:color="auto" w:sz="4" w:space="0"/>
              <w:left w:val="single" w:color="auto" w:sz="4" w:space="0"/>
              <w:bottom w:val="single" w:color="auto" w:sz="4" w:space="0"/>
              <w:right w:val="single" w:color="auto" w:sz="4" w:space="0"/>
            </w:tcBorders>
            <w:noWrap w:val="0"/>
            <w:vAlign w:val="center"/>
          </w:tcPr>
          <w:p w14:paraId="5CC8B750">
            <w:pPr>
              <w:pStyle w:val="74"/>
              <w:rPr>
                <w:rFonts w:hint="eastAsia"/>
                <w:color w:val="auto"/>
              </w:rPr>
            </w:pPr>
            <w:r>
              <w:rPr>
                <w:rFonts w:hint="eastAsia"/>
                <w:color w:val="auto"/>
              </w:rPr>
              <w:drawing>
                <wp:inline distT="0" distB="0" distL="114300" distR="114300">
                  <wp:extent cx="2305050" cy="1765935"/>
                  <wp:effectExtent l="0" t="0" r="6350" b="12065"/>
                  <wp:docPr id="76"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2"/>
                          <pic:cNvPicPr>
                            <a:picLocks noChangeAspect="1"/>
                          </pic:cNvPicPr>
                        </pic:nvPicPr>
                        <pic:blipFill>
                          <a:blip r:embed="rId194"/>
                          <a:srcRect l="3252" t="2646" r="2032" b="2646"/>
                          <a:stretch>
                            <a:fillRect/>
                          </a:stretch>
                        </pic:blipFill>
                        <pic:spPr>
                          <a:xfrm>
                            <a:off x="0" y="0"/>
                            <a:ext cx="2305050" cy="1765935"/>
                          </a:xfrm>
                          <a:prstGeom prst="rect">
                            <a:avLst/>
                          </a:prstGeom>
                          <a:noFill/>
                          <a:ln>
                            <a:noFill/>
                          </a:ln>
                        </pic:spPr>
                      </pic:pic>
                    </a:graphicData>
                  </a:graphic>
                </wp:inline>
              </w:drawing>
            </w:r>
          </w:p>
          <w:p w14:paraId="5E4A2513">
            <w:pPr>
              <w:pStyle w:val="74"/>
              <w:rPr>
                <w:rFonts w:hint="eastAsia"/>
                <w:color w:val="auto"/>
              </w:rPr>
            </w:pPr>
            <w:r>
              <w:rPr>
                <w:rFonts w:hint="eastAsia"/>
                <w:color w:val="auto"/>
              </w:rPr>
              <w:t>LED灯带照明</w:t>
            </w:r>
          </w:p>
        </w:tc>
      </w:tr>
    </w:tbl>
    <w:p w14:paraId="482C910C">
      <w:pPr>
        <w:pStyle w:val="5"/>
        <w:spacing w:before="24" w:beforeLines="10" w:after="24" w:afterLines="10" w:line="432" w:lineRule="auto"/>
        <w:ind w:firstLine="562"/>
        <w:rPr>
          <w:color w:val="auto"/>
          <w:sz w:val="24"/>
          <w:szCs w:val="24"/>
          <w:highlight w:val="none"/>
        </w:rPr>
      </w:pPr>
      <w:bookmarkStart w:id="272" w:name="_Toc202510568"/>
      <w:bookmarkStart w:id="273" w:name="_Toc7646"/>
      <w:r>
        <w:rPr>
          <w:rFonts w:hint="eastAsia"/>
          <w:color w:val="auto"/>
          <w:sz w:val="24"/>
          <w:szCs w:val="24"/>
          <w:highlight w:val="none"/>
        </w:rPr>
        <w:t>水资源利用节约措施</w:t>
      </w:r>
      <w:bookmarkEnd w:id="272"/>
      <w:bookmarkEnd w:id="273"/>
    </w:p>
    <w:p w14:paraId="07068918">
      <w:pPr>
        <w:pStyle w:val="89"/>
        <w:spacing w:before="32" w:beforeLines="10" w:after="32" w:afterLines="10" w:line="432" w:lineRule="auto"/>
        <w:ind w:firstLine="480"/>
        <w:rPr>
          <w:rFonts w:hint="eastAsia" w:ascii="Times New Roman" w:cstheme="minorBidi"/>
          <w:color w:val="auto"/>
          <w:sz w:val="24"/>
          <w:szCs w:val="21"/>
        </w:rPr>
      </w:pPr>
      <w:bookmarkStart w:id="274" w:name="_Toc296604953"/>
      <w:r>
        <w:rPr>
          <w:rFonts w:hint="eastAsia" w:ascii="Times New Roman" w:cstheme="minorBidi"/>
          <w:color w:val="auto"/>
          <w:sz w:val="24"/>
          <w:szCs w:val="21"/>
        </w:rPr>
        <w:t>1、提高水资源利用效率</w:t>
      </w:r>
      <w:bookmarkEnd w:id="274"/>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8248"/>
      </w:tblGrid>
      <w:tr w14:paraId="6AC14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22504A12">
            <w:pPr>
              <w:pStyle w:val="74"/>
              <w:rPr>
                <w:rFonts w:hint="eastAsia"/>
                <w:color w:val="auto"/>
                <w:highlight w:val="none"/>
              </w:rPr>
            </w:pPr>
            <w:r>
              <w:rPr>
                <w:rFonts w:hint="eastAsia"/>
                <w:color w:val="auto"/>
                <w:highlight w:val="none"/>
              </w:rPr>
              <w:t>序号</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22C1FF8F">
            <w:pPr>
              <w:pStyle w:val="74"/>
              <w:rPr>
                <w:rFonts w:hint="eastAsia"/>
                <w:color w:val="auto"/>
                <w:highlight w:val="none"/>
              </w:rPr>
            </w:pPr>
            <w:r>
              <w:rPr>
                <w:rFonts w:hint="eastAsia"/>
                <w:color w:val="auto"/>
                <w:highlight w:val="none"/>
              </w:rPr>
              <w:t>具体措施</w:t>
            </w:r>
          </w:p>
        </w:tc>
      </w:tr>
      <w:tr w14:paraId="48904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50343072">
            <w:pPr>
              <w:pStyle w:val="74"/>
              <w:rPr>
                <w:rFonts w:hint="eastAsia"/>
                <w:color w:val="auto"/>
                <w:highlight w:val="none"/>
              </w:rPr>
            </w:pPr>
            <w:r>
              <w:rPr>
                <w:rFonts w:hint="eastAsia"/>
                <w:color w:val="auto"/>
                <w:highlight w:val="none"/>
              </w:rPr>
              <w:t>1</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222FE3B6">
            <w:pPr>
              <w:pStyle w:val="74"/>
              <w:jc w:val="left"/>
              <w:rPr>
                <w:rFonts w:hint="eastAsia"/>
                <w:color w:val="auto"/>
                <w:highlight w:val="none"/>
              </w:rPr>
            </w:pPr>
            <w:r>
              <w:rPr>
                <w:rFonts w:hint="eastAsia"/>
                <w:color w:val="auto"/>
                <w:highlight w:val="none"/>
              </w:rPr>
              <w:t>整个施工现场生产、生活用水均在水源处设置明显的节约用水标识。</w:t>
            </w:r>
          </w:p>
        </w:tc>
      </w:tr>
      <w:tr w14:paraId="65692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2341B0A5">
            <w:pPr>
              <w:pStyle w:val="74"/>
              <w:rPr>
                <w:rFonts w:hint="eastAsia"/>
                <w:color w:val="auto"/>
                <w:highlight w:val="none"/>
              </w:rPr>
            </w:pPr>
            <w:r>
              <w:rPr>
                <w:rFonts w:hint="eastAsia"/>
                <w:color w:val="auto"/>
                <w:highlight w:val="none"/>
              </w:rPr>
              <w:t>2</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0E300F00">
            <w:pPr>
              <w:pStyle w:val="74"/>
              <w:jc w:val="left"/>
              <w:rPr>
                <w:rFonts w:hint="eastAsia"/>
                <w:color w:val="auto"/>
                <w:highlight w:val="none"/>
              </w:rPr>
            </w:pPr>
            <w:r>
              <w:rPr>
                <w:rFonts w:hint="eastAsia"/>
                <w:color w:val="auto"/>
                <w:highlight w:val="none"/>
              </w:rPr>
              <w:t>施工现场供水管网根据用水量设计布置，使得整个现场管径合理、管路简捷，同时，采取有效措施减少管网和用水器具的漏损。</w:t>
            </w:r>
          </w:p>
        </w:tc>
      </w:tr>
      <w:tr w14:paraId="09BE8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4201C93B">
            <w:pPr>
              <w:pStyle w:val="74"/>
              <w:rPr>
                <w:rFonts w:hint="eastAsia"/>
                <w:color w:val="auto"/>
                <w:highlight w:val="none"/>
              </w:rPr>
            </w:pPr>
            <w:r>
              <w:rPr>
                <w:rFonts w:hint="eastAsia"/>
                <w:color w:val="auto"/>
                <w:highlight w:val="none"/>
              </w:rPr>
              <w:t>3</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1FDC0EA3">
            <w:pPr>
              <w:pStyle w:val="74"/>
              <w:jc w:val="left"/>
              <w:rPr>
                <w:rFonts w:hint="eastAsia"/>
                <w:color w:val="auto"/>
                <w:highlight w:val="none"/>
              </w:rPr>
            </w:pPr>
            <w:r>
              <w:rPr>
                <w:rFonts w:hint="eastAsia"/>
                <w:color w:val="auto"/>
                <w:highlight w:val="none"/>
              </w:rPr>
              <w:t>现场主要机具、设备、车辆冲洗用水设立循环用水装置。施工现场办公区、生活区的生活用水采用节水系统和节水器具，提高节水器具配置比率，项目临时用水使用节水型产品，安装计量装置，采取针对性的节水措施。</w:t>
            </w:r>
          </w:p>
        </w:tc>
      </w:tr>
      <w:tr w14:paraId="214E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0D0C1E27">
            <w:pPr>
              <w:pStyle w:val="74"/>
              <w:rPr>
                <w:rFonts w:hint="eastAsia"/>
                <w:color w:val="auto"/>
                <w:highlight w:val="none"/>
              </w:rPr>
            </w:pPr>
            <w:r>
              <w:rPr>
                <w:rFonts w:hint="eastAsia"/>
                <w:color w:val="auto"/>
                <w:highlight w:val="none"/>
              </w:rPr>
              <w:t>4</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2A313A7A">
            <w:pPr>
              <w:pStyle w:val="74"/>
              <w:jc w:val="left"/>
              <w:rPr>
                <w:rFonts w:hint="eastAsia"/>
                <w:color w:val="auto"/>
                <w:highlight w:val="none"/>
              </w:rPr>
            </w:pPr>
            <w:r>
              <w:rPr>
                <w:rFonts w:hint="eastAsia"/>
                <w:color w:val="auto"/>
                <w:highlight w:val="none"/>
              </w:rPr>
              <w:t>加强用水管理，由办公室设专人每日检查水龙头，杜绝冒水、滴水、漏水现象。</w:t>
            </w:r>
          </w:p>
        </w:tc>
      </w:tr>
      <w:tr w14:paraId="777B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52E31EBB">
            <w:pPr>
              <w:pStyle w:val="74"/>
              <w:rPr>
                <w:rFonts w:hint="eastAsia"/>
                <w:color w:val="auto"/>
                <w:highlight w:val="none"/>
              </w:rPr>
            </w:pPr>
            <w:r>
              <w:rPr>
                <w:rFonts w:hint="eastAsia"/>
                <w:color w:val="auto"/>
                <w:highlight w:val="none"/>
              </w:rPr>
              <w:t>5</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0EB81ED5">
            <w:pPr>
              <w:pStyle w:val="74"/>
              <w:jc w:val="left"/>
              <w:rPr>
                <w:rFonts w:hint="eastAsia"/>
                <w:color w:val="auto"/>
                <w:highlight w:val="none"/>
              </w:rPr>
            </w:pPr>
            <w:r>
              <w:rPr>
                <w:rFonts w:hint="eastAsia"/>
                <w:color w:val="auto"/>
                <w:highlight w:val="none"/>
              </w:rPr>
              <w:t>主体施工过程中，施工现场设置绿化带，种植耐旱类花草类植物，减少现场浇水量。</w:t>
            </w:r>
          </w:p>
        </w:tc>
      </w:tr>
      <w:tr w14:paraId="2898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4B6D7E49">
            <w:pPr>
              <w:pStyle w:val="74"/>
              <w:rPr>
                <w:rFonts w:hint="eastAsia"/>
                <w:color w:val="auto"/>
                <w:highlight w:val="none"/>
              </w:rPr>
            </w:pPr>
            <w:r>
              <w:rPr>
                <w:rFonts w:hint="eastAsia"/>
                <w:color w:val="auto"/>
                <w:highlight w:val="none"/>
              </w:rPr>
              <w:t>6</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55C8C5F9">
            <w:pPr>
              <w:pStyle w:val="74"/>
              <w:jc w:val="left"/>
              <w:rPr>
                <w:rFonts w:hint="eastAsia"/>
                <w:color w:val="auto"/>
                <w:highlight w:val="none"/>
              </w:rPr>
            </w:pPr>
            <w:r>
              <w:rPr>
                <w:rFonts w:hint="eastAsia"/>
                <w:color w:val="auto"/>
                <w:highlight w:val="none"/>
              </w:rPr>
              <w:t>强调节约用水理念，如办公室每日喝剩的饮用水用于浇花等。</w:t>
            </w:r>
          </w:p>
        </w:tc>
      </w:tr>
      <w:tr w14:paraId="2D8A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8" w:type="pct"/>
            <w:tcBorders>
              <w:top w:val="single" w:color="auto" w:sz="4" w:space="0"/>
              <w:left w:val="single" w:color="auto" w:sz="4" w:space="0"/>
              <w:bottom w:val="single" w:color="auto" w:sz="4" w:space="0"/>
              <w:right w:val="single" w:color="auto" w:sz="4" w:space="0"/>
            </w:tcBorders>
            <w:noWrap w:val="0"/>
            <w:vAlign w:val="center"/>
          </w:tcPr>
          <w:p w14:paraId="39C97260">
            <w:pPr>
              <w:pStyle w:val="74"/>
              <w:rPr>
                <w:rFonts w:hint="eastAsia"/>
                <w:color w:val="auto"/>
                <w:highlight w:val="none"/>
              </w:rPr>
            </w:pPr>
            <w:r>
              <w:rPr>
                <w:rFonts w:hint="eastAsia"/>
                <w:color w:val="auto"/>
                <w:highlight w:val="none"/>
              </w:rPr>
              <w:t>7</w:t>
            </w:r>
          </w:p>
        </w:tc>
        <w:tc>
          <w:tcPr>
            <w:tcW w:w="4552" w:type="pct"/>
            <w:tcBorders>
              <w:top w:val="single" w:color="auto" w:sz="4" w:space="0"/>
              <w:left w:val="single" w:color="auto" w:sz="4" w:space="0"/>
              <w:bottom w:val="single" w:color="auto" w:sz="4" w:space="0"/>
              <w:right w:val="single" w:color="auto" w:sz="4" w:space="0"/>
            </w:tcBorders>
            <w:noWrap w:val="0"/>
            <w:vAlign w:val="center"/>
          </w:tcPr>
          <w:p w14:paraId="741339E5">
            <w:pPr>
              <w:pStyle w:val="74"/>
              <w:jc w:val="left"/>
              <w:rPr>
                <w:rFonts w:hint="eastAsia"/>
                <w:color w:val="auto"/>
                <w:highlight w:val="none"/>
              </w:rPr>
            </w:pPr>
            <w:r>
              <w:rPr>
                <w:rFonts w:hint="eastAsia"/>
                <w:color w:val="auto"/>
                <w:highlight w:val="none"/>
              </w:rPr>
              <w:t>所有办公区、生活区厕所安装手动节水型冲水箱。</w:t>
            </w:r>
          </w:p>
        </w:tc>
      </w:tr>
    </w:tbl>
    <w:p w14:paraId="7973813D">
      <w:pPr>
        <w:pStyle w:val="89"/>
        <w:spacing w:before="32" w:beforeLines="10" w:after="32" w:afterLines="10" w:line="432" w:lineRule="auto"/>
        <w:ind w:firstLine="480"/>
        <w:rPr>
          <w:rFonts w:hint="eastAsia" w:ascii="Times New Roman" w:cstheme="minorBidi"/>
          <w:color w:val="auto"/>
          <w:sz w:val="24"/>
          <w:szCs w:val="21"/>
        </w:rPr>
      </w:pPr>
      <w:bookmarkStart w:id="275" w:name="_Toc165099996"/>
      <w:r>
        <w:rPr>
          <w:rFonts w:hint="eastAsia" w:ascii="Times New Roman" w:cstheme="minorBidi"/>
          <w:color w:val="auto"/>
          <w:sz w:val="24"/>
          <w:szCs w:val="21"/>
        </w:rPr>
        <w:t>2、非传统水源利用</w:t>
      </w:r>
      <w:bookmarkEnd w:id="275"/>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246"/>
      </w:tblGrid>
      <w:tr w14:paraId="346A8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0A0A8555">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B28ADB1">
            <w:pPr>
              <w:pStyle w:val="74"/>
              <w:rPr>
                <w:rFonts w:hint="eastAsia"/>
                <w:color w:val="auto"/>
                <w:highlight w:val="none"/>
              </w:rPr>
            </w:pPr>
            <w:r>
              <w:rPr>
                <w:rFonts w:hint="eastAsia"/>
                <w:color w:val="auto"/>
                <w:highlight w:val="none"/>
              </w:rPr>
              <w:t>具体措施</w:t>
            </w:r>
          </w:p>
        </w:tc>
      </w:tr>
      <w:tr w14:paraId="46802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9D07758">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667CDC4B">
            <w:pPr>
              <w:pStyle w:val="74"/>
              <w:jc w:val="left"/>
              <w:rPr>
                <w:rFonts w:hint="eastAsia"/>
                <w:color w:val="auto"/>
                <w:highlight w:val="none"/>
              </w:rPr>
            </w:pPr>
            <w:r>
              <w:rPr>
                <w:rFonts w:hint="eastAsia"/>
                <w:color w:val="auto"/>
                <w:highlight w:val="none"/>
              </w:rPr>
              <w:t>收集降排水、雨水等用于降尘、洗车等，减少传统水使用。</w:t>
            </w:r>
          </w:p>
        </w:tc>
      </w:tr>
      <w:tr w14:paraId="5002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7E8EF62">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C9995BE">
            <w:pPr>
              <w:pStyle w:val="74"/>
              <w:jc w:val="left"/>
              <w:rPr>
                <w:rFonts w:hint="eastAsia"/>
                <w:color w:val="auto"/>
                <w:highlight w:val="none"/>
              </w:rPr>
            </w:pPr>
            <w:r>
              <w:rPr>
                <w:rFonts w:hint="eastAsia"/>
                <w:color w:val="auto"/>
                <w:highlight w:val="none"/>
              </w:rPr>
              <w:t>施工现场四周布置排水系统，现场各设置多个相应的集水池，雨水经三级沉淀过滤后进入集水池，用以喷洒路面、绿化浇灌等，使水资源得到梯级循环利用。</w:t>
            </w:r>
          </w:p>
        </w:tc>
      </w:tr>
      <w:tr w14:paraId="2566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0F757C4">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8989F31">
            <w:pPr>
              <w:pStyle w:val="74"/>
              <w:jc w:val="left"/>
              <w:rPr>
                <w:rFonts w:hint="eastAsia"/>
                <w:color w:val="auto"/>
                <w:highlight w:val="none"/>
              </w:rPr>
            </w:pPr>
            <w:r>
              <w:rPr>
                <w:rFonts w:hint="eastAsia"/>
                <w:color w:val="auto"/>
                <w:highlight w:val="none"/>
              </w:rPr>
              <w:t>在生活区厕所的旁边设置沉淀池，将生活区的生活用水引流到此，经过沉淀后，通过水泵与厕所的卫生器具连接，将生活用水再次利用。</w:t>
            </w:r>
          </w:p>
        </w:tc>
      </w:tr>
    </w:tbl>
    <w:p w14:paraId="29A89173">
      <w:pPr>
        <w:pStyle w:val="89"/>
        <w:spacing w:before="32" w:beforeLines="10" w:after="32" w:afterLines="10" w:line="432" w:lineRule="auto"/>
        <w:ind w:firstLine="480"/>
        <w:rPr>
          <w:rFonts w:hint="eastAsia" w:ascii="Times New Roman" w:cstheme="minorBidi"/>
          <w:color w:val="auto"/>
          <w:sz w:val="24"/>
          <w:szCs w:val="21"/>
        </w:rPr>
      </w:pPr>
      <w:r>
        <w:rPr>
          <w:rFonts w:hint="eastAsia" w:ascii="Times New Roman" w:cstheme="minorBidi"/>
          <w:color w:val="auto"/>
          <w:sz w:val="24"/>
          <w:szCs w:val="21"/>
        </w:rPr>
        <w:t>3、用水安全</w:t>
      </w:r>
    </w:p>
    <w:p w14:paraId="21AAD7BC">
      <w:pPr>
        <w:pStyle w:val="89"/>
        <w:spacing w:before="32" w:beforeLines="10" w:after="32" w:afterLines="10" w:line="432" w:lineRule="auto"/>
        <w:ind w:firstLine="480"/>
        <w:rPr>
          <w:rFonts w:hint="eastAsia" w:ascii="Times New Roman" w:cstheme="minorBidi"/>
          <w:color w:val="auto"/>
          <w:sz w:val="24"/>
          <w:szCs w:val="21"/>
        </w:rPr>
      </w:pPr>
      <w:r>
        <w:rPr>
          <w:rFonts w:hint="eastAsia" w:ascii="Times New Roman" w:cstheme="minorBidi"/>
          <w:color w:val="auto"/>
          <w:sz w:val="24"/>
          <w:szCs w:val="21"/>
        </w:rPr>
        <w:t>在非传统水源和现场循环再利用水的使用过程中，我司将制定有效的水质检测与卫生保障措施，确保避免对人体健康、工程质量以及周围环境产生不良影响。</w:t>
      </w:r>
    </w:p>
    <w:p w14:paraId="73CA1611">
      <w:pPr>
        <w:pStyle w:val="94"/>
        <w:snapToGrid/>
        <w:spacing w:before="32" w:beforeLines="10" w:after="32" w:afterLines="10" w:line="432" w:lineRule="auto"/>
        <w:rPr>
          <w:rFonts w:hint="eastAsia"/>
          <w:color w:val="auto"/>
          <w:szCs w:val="28"/>
        </w:rPr>
      </w:pPr>
      <w:bookmarkStart w:id="276" w:name="_Toc27517"/>
      <w:r>
        <w:rPr>
          <w:rFonts w:hint="eastAsia"/>
          <w:color w:val="auto"/>
          <w:szCs w:val="28"/>
        </w:rPr>
        <w:t>工程资料管理方案</w:t>
      </w:r>
      <w:bookmarkEnd w:id="276"/>
    </w:p>
    <w:p w14:paraId="2ABD7806">
      <w:pPr>
        <w:pStyle w:val="5"/>
        <w:rPr>
          <w:color w:val="auto"/>
        </w:rPr>
      </w:pPr>
      <w:bookmarkStart w:id="277" w:name="_Toc166339890"/>
      <w:bookmarkStart w:id="278" w:name="_Toc166086502"/>
      <w:bookmarkStart w:id="279" w:name="_Toc165965890"/>
      <w:bookmarkStart w:id="280" w:name="_Toc27868"/>
      <w:bookmarkStart w:id="281" w:name="_Toc202510511"/>
      <w:r>
        <w:rPr>
          <w:rFonts w:hint="eastAsia"/>
          <w:color w:val="auto"/>
        </w:rPr>
        <w:t>工程资料管理机构</w:t>
      </w:r>
      <w:bookmarkEnd w:id="277"/>
      <w:bookmarkEnd w:id="278"/>
      <w:bookmarkEnd w:id="279"/>
      <w:bookmarkEnd w:id="280"/>
      <w:bookmarkEnd w:id="281"/>
    </w:p>
    <w:p w14:paraId="6F548C01">
      <w:pPr>
        <w:pStyle w:val="89"/>
        <w:spacing w:before="32" w:beforeLines="10" w:after="32" w:afterLines="10" w:line="432" w:lineRule="auto"/>
        <w:ind w:firstLine="480"/>
        <w:jc w:val="center"/>
        <w:rPr>
          <w:rStyle w:val="93"/>
          <w:color w:val="auto"/>
          <w:sz w:val="21"/>
          <w:szCs w:val="21"/>
        </w:rPr>
      </w:pPr>
      <w:r>
        <w:rPr>
          <w:rStyle w:val="93"/>
          <w:color w:val="auto"/>
          <w:sz w:val="21"/>
          <w:szCs w:val="21"/>
        </w:rPr>
        <w:drawing>
          <wp:inline distT="0" distB="0" distL="114300" distR="114300">
            <wp:extent cx="3829685" cy="2804160"/>
            <wp:effectExtent l="0" t="0" r="5715" b="2540"/>
            <wp:docPr id="6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0"/>
                    <pic:cNvPicPr>
                      <a:picLocks noChangeAspect="1"/>
                    </pic:cNvPicPr>
                  </pic:nvPicPr>
                  <pic:blipFill>
                    <a:blip r:embed="rId195"/>
                    <a:stretch>
                      <a:fillRect/>
                    </a:stretch>
                  </pic:blipFill>
                  <pic:spPr>
                    <a:xfrm>
                      <a:off x="0" y="0"/>
                      <a:ext cx="3829685" cy="2804160"/>
                    </a:xfrm>
                    <a:prstGeom prst="rect">
                      <a:avLst/>
                    </a:prstGeom>
                    <a:noFill/>
                    <a:ln>
                      <a:noFill/>
                    </a:ln>
                  </pic:spPr>
                </pic:pic>
              </a:graphicData>
            </a:graphic>
          </wp:inline>
        </w:drawing>
      </w:r>
    </w:p>
    <w:p w14:paraId="39C2C0DF">
      <w:pPr>
        <w:pStyle w:val="53"/>
        <w:rPr>
          <w:rFonts w:hint="default" w:ascii="Arial" w:hAnsi="Arial"/>
          <w:color w:val="auto"/>
          <w:lang w:val="en-US" w:eastAsia="zh-CN"/>
        </w:rPr>
      </w:pPr>
      <w:r>
        <w:rPr>
          <w:rFonts w:hint="eastAsia" w:ascii="Arial" w:hAnsi="Arial"/>
          <w:color w:val="auto"/>
          <w:lang w:val="en-US" w:eastAsia="zh-CN"/>
        </w:rPr>
        <w:t>工程资料管理组织机构</w:t>
      </w:r>
    </w:p>
    <w:p w14:paraId="41B23CBF">
      <w:pPr>
        <w:pStyle w:val="89"/>
        <w:spacing w:before="32" w:beforeLines="10" w:after="32" w:afterLines="10" w:line="432" w:lineRule="auto"/>
        <w:ind w:firstLine="480"/>
        <w:rPr>
          <w:rFonts w:hint="default" w:ascii="Times New Roman" w:eastAsia="宋体" w:cstheme="minorBidi"/>
          <w:color w:val="auto"/>
          <w:sz w:val="24"/>
          <w:szCs w:val="21"/>
          <w:lang w:val="en-US" w:eastAsia="zh-CN"/>
        </w:rPr>
      </w:pPr>
      <w:r>
        <w:rPr>
          <w:rFonts w:hint="eastAsia" w:ascii="Times New Roman" w:cstheme="minorBidi"/>
          <w:color w:val="auto"/>
          <w:sz w:val="24"/>
          <w:szCs w:val="21"/>
        </w:rPr>
        <w:t>建立以项目经理为首的工程资料管理小组，确保对项目各类资料归档工作控制；确保项目使用的文件为有效版本，易于识别；确保工程施工记录达到规范化，标准化和完整化；确定分部、分项及检验批划分方法；明确施工记录内容、记录质量要求和责任划分；保证各类资料的及时、准确、齐全、有效。</w:t>
      </w:r>
      <w:r>
        <w:rPr>
          <w:rFonts w:hint="eastAsia" w:ascii="Times New Roman" w:cstheme="minorBidi"/>
          <w:color w:val="auto"/>
          <w:sz w:val="24"/>
          <w:szCs w:val="21"/>
          <w:lang w:val="en-US" w:eastAsia="zh-CN"/>
        </w:rPr>
        <w:t>各岗位职责划分如下：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0"/>
        <w:gridCol w:w="1662"/>
        <w:gridCol w:w="6368"/>
      </w:tblGrid>
      <w:tr w14:paraId="1284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3D606595">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序号</w:t>
            </w:r>
          </w:p>
        </w:tc>
        <w:tc>
          <w:tcPr>
            <w:tcW w:w="917" w:type="pct"/>
            <w:tcBorders>
              <w:top w:val="single" w:color="auto" w:sz="4" w:space="0"/>
              <w:left w:val="single" w:color="auto" w:sz="4" w:space="0"/>
              <w:bottom w:val="single" w:color="auto" w:sz="4" w:space="0"/>
              <w:right w:val="single" w:color="auto" w:sz="4" w:space="0"/>
            </w:tcBorders>
            <w:vAlign w:val="center"/>
          </w:tcPr>
          <w:p w14:paraId="3625C8B7">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岗位</w:t>
            </w:r>
          </w:p>
        </w:tc>
        <w:tc>
          <w:tcPr>
            <w:tcW w:w="3513" w:type="pct"/>
            <w:tcBorders>
              <w:top w:val="single" w:color="auto" w:sz="4" w:space="0"/>
              <w:left w:val="single" w:color="auto" w:sz="4" w:space="0"/>
              <w:bottom w:val="single" w:color="auto" w:sz="4" w:space="0"/>
              <w:right w:val="single" w:color="auto" w:sz="4" w:space="0"/>
            </w:tcBorders>
            <w:vAlign w:val="center"/>
          </w:tcPr>
          <w:p w14:paraId="6291E82C">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职责</w:t>
            </w:r>
          </w:p>
        </w:tc>
      </w:tr>
      <w:tr w14:paraId="66746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0DFB4A3A">
            <w:pPr>
              <w:spacing w:before="32" w:beforeLines="10" w:after="32" w:afterLines="10" w:line="240" w:lineRule="auto"/>
              <w:ind w:firstLine="0" w:firstLineChars="0"/>
              <w:jc w:val="center"/>
              <w:rPr>
                <w:rStyle w:val="93"/>
                <w:color w:val="auto"/>
                <w:sz w:val="21"/>
                <w:szCs w:val="21"/>
              </w:rPr>
            </w:pPr>
            <w:r>
              <w:rPr>
                <w:rStyle w:val="93"/>
                <w:color w:val="auto"/>
                <w:sz w:val="21"/>
                <w:szCs w:val="21"/>
              </w:rPr>
              <w:t>1</w:t>
            </w:r>
          </w:p>
        </w:tc>
        <w:tc>
          <w:tcPr>
            <w:tcW w:w="917" w:type="pct"/>
            <w:tcBorders>
              <w:top w:val="single" w:color="auto" w:sz="4" w:space="0"/>
              <w:left w:val="single" w:color="auto" w:sz="4" w:space="0"/>
              <w:bottom w:val="single" w:color="auto" w:sz="4" w:space="0"/>
              <w:right w:val="single" w:color="auto" w:sz="4" w:space="0"/>
            </w:tcBorders>
            <w:vAlign w:val="center"/>
          </w:tcPr>
          <w:p w14:paraId="7C5B4292">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项目经理</w:t>
            </w:r>
          </w:p>
        </w:tc>
        <w:tc>
          <w:tcPr>
            <w:tcW w:w="3513" w:type="pct"/>
            <w:tcBorders>
              <w:top w:val="single" w:color="auto" w:sz="4" w:space="0"/>
              <w:left w:val="single" w:color="auto" w:sz="4" w:space="0"/>
              <w:bottom w:val="single" w:color="auto" w:sz="4" w:space="0"/>
              <w:right w:val="single" w:color="auto" w:sz="4" w:space="0"/>
            </w:tcBorders>
            <w:vAlign w:val="center"/>
          </w:tcPr>
          <w:p w14:paraId="5415E162">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工程资料记录及归档工作第一责任人，对施工记录文件和资料管理提出总体设想、要求。定期或不定期对整个项目的施工记录文件资料管理工作进行督促、检查、评定。制定有关奖惩措施。支持相关人员的工作。</w:t>
            </w:r>
          </w:p>
        </w:tc>
      </w:tr>
      <w:tr w14:paraId="3C1F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19AD4176">
            <w:pPr>
              <w:spacing w:before="32" w:beforeLines="10" w:after="32" w:afterLines="10" w:line="240" w:lineRule="auto"/>
              <w:ind w:firstLine="0" w:firstLineChars="0"/>
              <w:jc w:val="center"/>
              <w:rPr>
                <w:rStyle w:val="93"/>
                <w:color w:val="auto"/>
                <w:sz w:val="21"/>
                <w:szCs w:val="21"/>
              </w:rPr>
            </w:pPr>
            <w:r>
              <w:rPr>
                <w:rStyle w:val="93"/>
                <w:color w:val="auto"/>
                <w:sz w:val="21"/>
                <w:szCs w:val="21"/>
              </w:rPr>
              <w:t>2</w:t>
            </w:r>
          </w:p>
        </w:tc>
        <w:tc>
          <w:tcPr>
            <w:tcW w:w="917" w:type="pct"/>
            <w:tcBorders>
              <w:top w:val="single" w:color="auto" w:sz="4" w:space="0"/>
              <w:left w:val="single" w:color="auto" w:sz="4" w:space="0"/>
              <w:bottom w:val="single" w:color="auto" w:sz="4" w:space="0"/>
              <w:right w:val="single" w:color="auto" w:sz="4" w:space="0"/>
            </w:tcBorders>
            <w:vAlign w:val="center"/>
          </w:tcPr>
          <w:p w14:paraId="26B50E55">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项目技术负责人</w:t>
            </w:r>
          </w:p>
        </w:tc>
        <w:tc>
          <w:tcPr>
            <w:tcW w:w="3513" w:type="pct"/>
            <w:tcBorders>
              <w:top w:val="single" w:color="auto" w:sz="4" w:space="0"/>
              <w:left w:val="single" w:color="auto" w:sz="4" w:space="0"/>
              <w:bottom w:val="single" w:color="auto" w:sz="4" w:space="0"/>
              <w:right w:val="single" w:color="auto" w:sz="4" w:space="0"/>
            </w:tcBorders>
            <w:vAlign w:val="center"/>
          </w:tcPr>
          <w:p w14:paraId="0AF38AC7">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负责工程资料管理的策划、实施、监督、检查，是工程资料管理主要责任人。</w:t>
            </w:r>
          </w:p>
        </w:tc>
      </w:tr>
      <w:tr w14:paraId="73E59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2859A0E0">
            <w:pPr>
              <w:spacing w:before="32" w:beforeLines="10" w:after="32" w:afterLines="10" w:line="240" w:lineRule="auto"/>
              <w:ind w:firstLine="0" w:firstLineChars="0"/>
              <w:jc w:val="center"/>
              <w:rPr>
                <w:rStyle w:val="93"/>
                <w:color w:val="auto"/>
                <w:sz w:val="21"/>
                <w:szCs w:val="21"/>
              </w:rPr>
            </w:pPr>
            <w:r>
              <w:rPr>
                <w:rStyle w:val="93"/>
                <w:color w:val="auto"/>
                <w:sz w:val="21"/>
                <w:szCs w:val="21"/>
              </w:rPr>
              <w:t>3</w:t>
            </w:r>
          </w:p>
        </w:tc>
        <w:tc>
          <w:tcPr>
            <w:tcW w:w="917" w:type="pct"/>
            <w:tcBorders>
              <w:top w:val="single" w:color="auto" w:sz="4" w:space="0"/>
              <w:left w:val="single" w:color="auto" w:sz="4" w:space="0"/>
              <w:bottom w:val="single" w:color="auto" w:sz="4" w:space="0"/>
              <w:right w:val="single" w:color="auto" w:sz="4" w:space="0"/>
            </w:tcBorders>
            <w:vAlign w:val="center"/>
          </w:tcPr>
          <w:p w14:paraId="117D6F58">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试验员</w:t>
            </w:r>
          </w:p>
        </w:tc>
        <w:tc>
          <w:tcPr>
            <w:tcW w:w="3513" w:type="pct"/>
            <w:tcBorders>
              <w:top w:val="single" w:color="auto" w:sz="4" w:space="0"/>
              <w:left w:val="single" w:color="auto" w:sz="4" w:space="0"/>
              <w:bottom w:val="single" w:color="auto" w:sz="4" w:space="0"/>
              <w:right w:val="single" w:color="auto" w:sz="4" w:space="0"/>
            </w:tcBorders>
            <w:vAlign w:val="center"/>
          </w:tcPr>
          <w:p w14:paraId="14253EC4">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负责本工程钢筋、防水等材料、钢筋接头、混凝土试块、砂浆试块等各项试验取样、送检，相应资料收集及记录。</w:t>
            </w:r>
          </w:p>
        </w:tc>
      </w:tr>
      <w:tr w14:paraId="2F9E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49D4603F">
            <w:pPr>
              <w:spacing w:before="32" w:beforeLines="10" w:after="32" w:afterLines="10" w:line="240" w:lineRule="auto"/>
              <w:ind w:firstLine="0" w:firstLineChars="0"/>
              <w:jc w:val="center"/>
              <w:rPr>
                <w:rStyle w:val="93"/>
                <w:color w:val="auto"/>
                <w:sz w:val="21"/>
                <w:szCs w:val="21"/>
              </w:rPr>
            </w:pPr>
            <w:r>
              <w:rPr>
                <w:rStyle w:val="93"/>
                <w:color w:val="auto"/>
                <w:sz w:val="21"/>
                <w:szCs w:val="21"/>
              </w:rPr>
              <w:t>4</w:t>
            </w:r>
          </w:p>
        </w:tc>
        <w:tc>
          <w:tcPr>
            <w:tcW w:w="917" w:type="pct"/>
            <w:tcBorders>
              <w:top w:val="single" w:color="auto" w:sz="4" w:space="0"/>
              <w:left w:val="single" w:color="auto" w:sz="4" w:space="0"/>
              <w:bottom w:val="single" w:color="auto" w:sz="4" w:space="0"/>
              <w:right w:val="single" w:color="auto" w:sz="4" w:space="0"/>
            </w:tcBorders>
            <w:vAlign w:val="center"/>
          </w:tcPr>
          <w:p w14:paraId="737D2255">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质量员</w:t>
            </w:r>
          </w:p>
        </w:tc>
        <w:tc>
          <w:tcPr>
            <w:tcW w:w="3513" w:type="pct"/>
            <w:tcBorders>
              <w:top w:val="single" w:color="auto" w:sz="4" w:space="0"/>
              <w:left w:val="single" w:color="auto" w:sz="4" w:space="0"/>
              <w:bottom w:val="single" w:color="auto" w:sz="4" w:space="0"/>
              <w:right w:val="single" w:color="auto" w:sz="4" w:space="0"/>
            </w:tcBorders>
            <w:vAlign w:val="center"/>
          </w:tcPr>
          <w:p w14:paraId="229B01BB">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负责检验批、分项、分部工程验收资料的编制、报送和评定。</w:t>
            </w:r>
          </w:p>
        </w:tc>
      </w:tr>
      <w:tr w14:paraId="4492F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5EF10A43">
            <w:pPr>
              <w:spacing w:before="32" w:beforeLines="10" w:after="32" w:afterLines="10" w:line="240" w:lineRule="auto"/>
              <w:ind w:firstLine="0" w:firstLineChars="0"/>
              <w:jc w:val="center"/>
              <w:rPr>
                <w:rStyle w:val="93"/>
                <w:color w:val="auto"/>
                <w:sz w:val="21"/>
                <w:szCs w:val="21"/>
              </w:rPr>
            </w:pPr>
            <w:r>
              <w:rPr>
                <w:rStyle w:val="93"/>
                <w:color w:val="auto"/>
                <w:sz w:val="21"/>
                <w:szCs w:val="21"/>
              </w:rPr>
              <w:t>5</w:t>
            </w:r>
          </w:p>
        </w:tc>
        <w:tc>
          <w:tcPr>
            <w:tcW w:w="917" w:type="pct"/>
            <w:tcBorders>
              <w:top w:val="single" w:color="auto" w:sz="4" w:space="0"/>
              <w:left w:val="single" w:color="auto" w:sz="4" w:space="0"/>
              <w:bottom w:val="single" w:color="auto" w:sz="4" w:space="0"/>
              <w:right w:val="single" w:color="auto" w:sz="4" w:space="0"/>
            </w:tcBorders>
            <w:vAlign w:val="center"/>
          </w:tcPr>
          <w:p w14:paraId="6023A100">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安全员</w:t>
            </w:r>
          </w:p>
        </w:tc>
        <w:tc>
          <w:tcPr>
            <w:tcW w:w="3513" w:type="pct"/>
            <w:tcBorders>
              <w:top w:val="single" w:color="auto" w:sz="4" w:space="0"/>
              <w:left w:val="single" w:color="auto" w:sz="4" w:space="0"/>
              <w:bottom w:val="single" w:color="auto" w:sz="4" w:space="0"/>
              <w:right w:val="single" w:color="auto" w:sz="4" w:space="0"/>
            </w:tcBorders>
            <w:vAlign w:val="center"/>
          </w:tcPr>
          <w:p w14:paraId="51E47615">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负责安全技术有关资料。</w:t>
            </w:r>
          </w:p>
        </w:tc>
      </w:tr>
      <w:tr w14:paraId="693B3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5454F317">
            <w:pPr>
              <w:spacing w:before="32" w:beforeLines="10" w:after="32" w:afterLines="10" w:line="240" w:lineRule="auto"/>
              <w:ind w:firstLine="0" w:firstLineChars="0"/>
              <w:jc w:val="center"/>
              <w:rPr>
                <w:rStyle w:val="93"/>
                <w:color w:val="auto"/>
                <w:sz w:val="21"/>
                <w:szCs w:val="21"/>
              </w:rPr>
            </w:pPr>
            <w:r>
              <w:rPr>
                <w:rStyle w:val="93"/>
                <w:color w:val="auto"/>
                <w:sz w:val="21"/>
                <w:szCs w:val="21"/>
              </w:rPr>
              <w:t>6</w:t>
            </w:r>
          </w:p>
        </w:tc>
        <w:tc>
          <w:tcPr>
            <w:tcW w:w="917" w:type="pct"/>
            <w:tcBorders>
              <w:top w:val="single" w:color="auto" w:sz="4" w:space="0"/>
              <w:left w:val="single" w:color="auto" w:sz="4" w:space="0"/>
              <w:bottom w:val="single" w:color="auto" w:sz="4" w:space="0"/>
              <w:right w:val="single" w:color="auto" w:sz="4" w:space="0"/>
            </w:tcBorders>
            <w:vAlign w:val="center"/>
          </w:tcPr>
          <w:p w14:paraId="59FE8A5A">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测量员</w:t>
            </w:r>
          </w:p>
        </w:tc>
        <w:tc>
          <w:tcPr>
            <w:tcW w:w="3513" w:type="pct"/>
            <w:tcBorders>
              <w:top w:val="single" w:color="auto" w:sz="4" w:space="0"/>
              <w:left w:val="single" w:color="auto" w:sz="4" w:space="0"/>
              <w:bottom w:val="single" w:color="auto" w:sz="4" w:space="0"/>
              <w:right w:val="single" w:color="auto" w:sz="4" w:space="0"/>
            </w:tcBorders>
            <w:vAlign w:val="center"/>
          </w:tcPr>
          <w:p w14:paraId="150E8619">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负责定位测量、基槽验线、楼层定位和标高控制等测量资料。</w:t>
            </w:r>
          </w:p>
        </w:tc>
      </w:tr>
      <w:tr w14:paraId="62B1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202E33A7">
            <w:pPr>
              <w:spacing w:before="32" w:beforeLines="10" w:after="32" w:afterLines="10" w:line="240" w:lineRule="auto"/>
              <w:ind w:firstLine="0" w:firstLineChars="0"/>
              <w:jc w:val="center"/>
              <w:rPr>
                <w:rStyle w:val="93"/>
                <w:color w:val="auto"/>
                <w:sz w:val="21"/>
                <w:szCs w:val="21"/>
              </w:rPr>
            </w:pPr>
            <w:r>
              <w:rPr>
                <w:rStyle w:val="93"/>
                <w:color w:val="auto"/>
                <w:sz w:val="21"/>
                <w:szCs w:val="21"/>
              </w:rPr>
              <w:t>7</w:t>
            </w:r>
          </w:p>
        </w:tc>
        <w:tc>
          <w:tcPr>
            <w:tcW w:w="917" w:type="pct"/>
            <w:tcBorders>
              <w:top w:val="single" w:color="auto" w:sz="4" w:space="0"/>
              <w:left w:val="single" w:color="auto" w:sz="4" w:space="0"/>
              <w:bottom w:val="single" w:color="auto" w:sz="4" w:space="0"/>
              <w:right w:val="single" w:color="auto" w:sz="4" w:space="0"/>
            </w:tcBorders>
            <w:vAlign w:val="center"/>
          </w:tcPr>
          <w:p w14:paraId="278052FA">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材料员</w:t>
            </w:r>
          </w:p>
        </w:tc>
        <w:tc>
          <w:tcPr>
            <w:tcW w:w="3513" w:type="pct"/>
            <w:tcBorders>
              <w:top w:val="single" w:color="auto" w:sz="4" w:space="0"/>
              <w:left w:val="single" w:color="auto" w:sz="4" w:space="0"/>
              <w:bottom w:val="single" w:color="auto" w:sz="4" w:space="0"/>
              <w:right w:val="single" w:color="auto" w:sz="4" w:space="0"/>
            </w:tcBorders>
            <w:vAlign w:val="center"/>
          </w:tcPr>
          <w:p w14:paraId="00FC1B56">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负责收集各类物资的质量证明文件，发送取样通知，编制材料台帐。</w:t>
            </w:r>
          </w:p>
        </w:tc>
      </w:tr>
      <w:tr w14:paraId="65E06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4D04F995">
            <w:pPr>
              <w:spacing w:before="32" w:beforeLines="10" w:after="32" w:afterLines="10" w:line="240" w:lineRule="auto"/>
              <w:ind w:firstLine="0" w:firstLineChars="0"/>
              <w:jc w:val="center"/>
              <w:rPr>
                <w:rStyle w:val="93"/>
                <w:color w:val="auto"/>
                <w:sz w:val="21"/>
                <w:szCs w:val="21"/>
              </w:rPr>
            </w:pPr>
            <w:r>
              <w:rPr>
                <w:rStyle w:val="93"/>
                <w:color w:val="auto"/>
                <w:sz w:val="21"/>
                <w:szCs w:val="21"/>
              </w:rPr>
              <w:t>8</w:t>
            </w:r>
          </w:p>
        </w:tc>
        <w:tc>
          <w:tcPr>
            <w:tcW w:w="917" w:type="pct"/>
            <w:tcBorders>
              <w:top w:val="single" w:color="auto" w:sz="4" w:space="0"/>
              <w:left w:val="single" w:color="auto" w:sz="4" w:space="0"/>
              <w:bottom w:val="single" w:color="auto" w:sz="4" w:space="0"/>
              <w:right w:val="single" w:color="auto" w:sz="4" w:space="0"/>
            </w:tcBorders>
            <w:vAlign w:val="center"/>
          </w:tcPr>
          <w:p w14:paraId="52E7A630">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专业工长</w:t>
            </w:r>
          </w:p>
        </w:tc>
        <w:tc>
          <w:tcPr>
            <w:tcW w:w="3513" w:type="pct"/>
            <w:tcBorders>
              <w:top w:val="single" w:color="auto" w:sz="4" w:space="0"/>
              <w:left w:val="single" w:color="auto" w:sz="4" w:space="0"/>
              <w:bottom w:val="single" w:color="auto" w:sz="4" w:space="0"/>
              <w:right w:val="single" w:color="auto" w:sz="4" w:space="0"/>
            </w:tcBorders>
            <w:vAlign w:val="center"/>
          </w:tcPr>
          <w:p w14:paraId="1BDF7035">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负责隐预检、班组交底记录、施工日志、混凝土浇筑申请、混凝土施工记录、隐蔽验收记录及其它各类施工记录。</w:t>
            </w:r>
          </w:p>
        </w:tc>
      </w:tr>
      <w:tr w14:paraId="7035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68" w:type="pct"/>
            <w:tcBorders>
              <w:top w:val="single" w:color="auto" w:sz="4" w:space="0"/>
              <w:left w:val="single" w:color="auto" w:sz="4" w:space="0"/>
              <w:bottom w:val="single" w:color="auto" w:sz="4" w:space="0"/>
              <w:right w:val="single" w:color="auto" w:sz="4" w:space="0"/>
            </w:tcBorders>
            <w:vAlign w:val="center"/>
          </w:tcPr>
          <w:p w14:paraId="6C3EA329">
            <w:pPr>
              <w:spacing w:before="32" w:beforeLines="10" w:after="32" w:afterLines="10" w:line="240" w:lineRule="auto"/>
              <w:ind w:firstLine="0" w:firstLineChars="0"/>
              <w:jc w:val="center"/>
              <w:rPr>
                <w:rStyle w:val="93"/>
                <w:color w:val="auto"/>
                <w:sz w:val="21"/>
                <w:szCs w:val="21"/>
              </w:rPr>
            </w:pPr>
            <w:r>
              <w:rPr>
                <w:rStyle w:val="93"/>
                <w:color w:val="auto"/>
                <w:sz w:val="21"/>
                <w:szCs w:val="21"/>
              </w:rPr>
              <w:t>9</w:t>
            </w:r>
          </w:p>
        </w:tc>
        <w:tc>
          <w:tcPr>
            <w:tcW w:w="917" w:type="pct"/>
            <w:tcBorders>
              <w:top w:val="single" w:color="auto" w:sz="4" w:space="0"/>
              <w:left w:val="single" w:color="auto" w:sz="4" w:space="0"/>
              <w:bottom w:val="single" w:color="auto" w:sz="4" w:space="0"/>
              <w:right w:val="single" w:color="auto" w:sz="4" w:space="0"/>
            </w:tcBorders>
            <w:vAlign w:val="center"/>
          </w:tcPr>
          <w:p w14:paraId="3A065009">
            <w:pPr>
              <w:spacing w:before="32" w:beforeLines="10" w:after="32" w:afterLines="10" w:line="240" w:lineRule="auto"/>
              <w:ind w:firstLine="0" w:firstLineChars="0"/>
              <w:jc w:val="center"/>
              <w:rPr>
                <w:rStyle w:val="93"/>
                <w:color w:val="auto"/>
                <w:sz w:val="21"/>
                <w:szCs w:val="21"/>
              </w:rPr>
            </w:pPr>
            <w:r>
              <w:rPr>
                <w:rStyle w:val="93"/>
                <w:rFonts w:hint="eastAsia"/>
                <w:color w:val="auto"/>
                <w:sz w:val="21"/>
                <w:szCs w:val="21"/>
              </w:rPr>
              <w:t>资料员</w:t>
            </w:r>
          </w:p>
        </w:tc>
        <w:tc>
          <w:tcPr>
            <w:tcW w:w="3513" w:type="pct"/>
            <w:tcBorders>
              <w:top w:val="single" w:color="auto" w:sz="4" w:space="0"/>
              <w:left w:val="single" w:color="auto" w:sz="4" w:space="0"/>
              <w:bottom w:val="single" w:color="auto" w:sz="4" w:space="0"/>
              <w:right w:val="single" w:color="auto" w:sz="4" w:space="0"/>
            </w:tcBorders>
            <w:vAlign w:val="center"/>
          </w:tcPr>
          <w:p w14:paraId="1F3931BA">
            <w:pPr>
              <w:spacing w:before="32" w:beforeLines="10" w:after="32" w:afterLines="10" w:line="240" w:lineRule="auto"/>
              <w:ind w:firstLine="420"/>
              <w:jc w:val="center"/>
              <w:rPr>
                <w:rStyle w:val="93"/>
                <w:color w:val="auto"/>
                <w:sz w:val="21"/>
                <w:szCs w:val="21"/>
              </w:rPr>
            </w:pPr>
            <w:r>
              <w:rPr>
                <w:rStyle w:val="93"/>
                <w:rFonts w:hint="eastAsia"/>
                <w:color w:val="auto"/>
                <w:sz w:val="21"/>
                <w:szCs w:val="21"/>
              </w:rPr>
              <w:t>负责收集、整理、归档、编目各类工程资料。</w:t>
            </w:r>
          </w:p>
        </w:tc>
      </w:tr>
    </w:tbl>
    <w:p w14:paraId="4E69F339">
      <w:pPr>
        <w:pStyle w:val="5"/>
        <w:rPr>
          <w:rFonts w:hint="eastAsia"/>
          <w:color w:val="auto"/>
        </w:rPr>
      </w:pPr>
      <w:bookmarkStart w:id="282" w:name="_Toc22016"/>
      <w:bookmarkStart w:id="283" w:name="_Toc166086503"/>
      <w:bookmarkStart w:id="284" w:name="_Toc166339891"/>
      <w:bookmarkStart w:id="285" w:name="_Toc202510512"/>
      <w:bookmarkStart w:id="286" w:name="_Toc165965891"/>
      <w:r>
        <w:rPr>
          <w:rFonts w:hint="eastAsia"/>
          <w:color w:val="auto"/>
          <w:lang w:val="en-US" w:eastAsia="zh-CN"/>
        </w:rPr>
        <w:t>工程资料管理要求及流程</w:t>
      </w:r>
      <w:bookmarkEnd w:id="282"/>
      <w:bookmarkEnd w:id="283"/>
      <w:bookmarkEnd w:id="284"/>
      <w:bookmarkEnd w:id="285"/>
      <w:bookmarkEnd w:id="286"/>
    </w:p>
    <w:p w14:paraId="51A4BC2E">
      <w:pPr>
        <w:pStyle w:val="6"/>
        <w:ind w:firstLine="480"/>
        <w:rPr>
          <w:b/>
          <w:color w:val="auto"/>
        </w:rPr>
      </w:pPr>
      <w:r>
        <w:rPr>
          <w:rFonts w:hint="eastAsia"/>
          <w:color w:val="auto"/>
        </w:rPr>
        <w:t>资料管理要求</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8216"/>
      </w:tblGrid>
      <w:tr w14:paraId="64FB8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466" w:type="pct"/>
            <w:vAlign w:val="center"/>
          </w:tcPr>
          <w:p w14:paraId="37D40ED2">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序号</w:t>
            </w:r>
          </w:p>
        </w:tc>
        <w:tc>
          <w:tcPr>
            <w:tcW w:w="4534" w:type="pct"/>
            <w:vAlign w:val="center"/>
          </w:tcPr>
          <w:p w14:paraId="5D496D85">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要求</w:t>
            </w:r>
          </w:p>
        </w:tc>
      </w:tr>
      <w:tr w14:paraId="5C042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1FC473EA">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1</w:t>
            </w:r>
          </w:p>
        </w:tc>
        <w:tc>
          <w:tcPr>
            <w:tcW w:w="4534" w:type="pct"/>
            <w:vAlign w:val="center"/>
          </w:tcPr>
          <w:p w14:paraId="4E9F9AD8">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施工归档记录应为原件，不得涂改。</w:t>
            </w:r>
          </w:p>
        </w:tc>
      </w:tr>
      <w:tr w14:paraId="1E008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26FA68D2">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2</w:t>
            </w:r>
          </w:p>
        </w:tc>
        <w:tc>
          <w:tcPr>
            <w:tcW w:w="4534" w:type="pct"/>
            <w:vAlign w:val="center"/>
          </w:tcPr>
          <w:p w14:paraId="6F940E96">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归档记录的内容必须符合国家有关工程勘察、设计、施工、监理等方面的技术规范、标准和规程和企业标准。</w:t>
            </w:r>
          </w:p>
        </w:tc>
      </w:tr>
      <w:tr w14:paraId="3E9F5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15AABAA0">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3</w:t>
            </w:r>
          </w:p>
        </w:tc>
        <w:tc>
          <w:tcPr>
            <w:tcW w:w="4534" w:type="pct"/>
            <w:vAlign w:val="center"/>
          </w:tcPr>
          <w:p w14:paraId="51C64705">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的内容必须真实、准确、与工程实际相符合。相关记录应相互对应，如施工日记、混凝土施工记录、浇筑申请、商品混凝土相关资料、混凝土检验报告、检验批验收资料中混凝土浇灌日期、部位、方量等。</w:t>
            </w:r>
          </w:p>
        </w:tc>
      </w:tr>
      <w:tr w14:paraId="6738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029221F8">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4</w:t>
            </w:r>
          </w:p>
        </w:tc>
        <w:tc>
          <w:tcPr>
            <w:tcW w:w="4534" w:type="pct"/>
            <w:vAlign w:val="center"/>
          </w:tcPr>
          <w:p w14:paraId="3B2DCDAF">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归档记录应采用资料软件填写打印或部分采用耐久性强的书写材料书写。</w:t>
            </w:r>
          </w:p>
        </w:tc>
      </w:tr>
      <w:tr w14:paraId="7954C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7CD1E550">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5</w:t>
            </w:r>
          </w:p>
        </w:tc>
        <w:tc>
          <w:tcPr>
            <w:tcW w:w="4534" w:type="pct"/>
            <w:vAlign w:val="center"/>
          </w:tcPr>
          <w:p w14:paraId="1B5725E0">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归档记录应字迹清楚、图样清晰、图表整洁、签字盖章手续完备。</w:t>
            </w:r>
          </w:p>
        </w:tc>
      </w:tr>
      <w:tr w14:paraId="6D924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4460A062">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6</w:t>
            </w:r>
          </w:p>
        </w:tc>
        <w:tc>
          <w:tcPr>
            <w:tcW w:w="4534" w:type="pct"/>
            <w:vAlign w:val="center"/>
          </w:tcPr>
          <w:p w14:paraId="49F59642">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归档记录中文字材料幅面尺寸规格为</w:t>
            </w:r>
            <w:r>
              <w:rPr>
                <w:rStyle w:val="93"/>
                <w:rFonts w:hAnsi="宋体"/>
                <w:color w:val="auto"/>
                <w:sz w:val="21"/>
                <w:szCs w:val="21"/>
              </w:rPr>
              <w:t>A4</w:t>
            </w:r>
            <w:r>
              <w:rPr>
                <w:rStyle w:val="93"/>
                <w:rFonts w:hint="eastAsia" w:hAnsi="宋体"/>
                <w:color w:val="auto"/>
                <w:sz w:val="21"/>
                <w:szCs w:val="21"/>
              </w:rPr>
              <w:t>幅面（</w:t>
            </w:r>
            <w:r>
              <w:rPr>
                <w:rStyle w:val="93"/>
                <w:rFonts w:hAnsi="宋体"/>
                <w:color w:val="auto"/>
                <w:sz w:val="21"/>
                <w:szCs w:val="21"/>
              </w:rPr>
              <w:t>297mm</w:t>
            </w:r>
            <w:r>
              <w:rPr>
                <w:rStyle w:val="93"/>
                <w:rFonts w:hint="eastAsia" w:hAnsi="宋体"/>
                <w:color w:val="auto"/>
                <w:sz w:val="21"/>
                <w:szCs w:val="21"/>
              </w:rPr>
              <w:t>×</w:t>
            </w:r>
            <w:r>
              <w:rPr>
                <w:rStyle w:val="93"/>
                <w:rFonts w:hAnsi="宋体"/>
                <w:color w:val="auto"/>
                <w:sz w:val="21"/>
                <w:szCs w:val="21"/>
              </w:rPr>
              <w:t>210mm</w:t>
            </w:r>
            <w:r>
              <w:rPr>
                <w:rStyle w:val="93"/>
                <w:rFonts w:hint="eastAsia" w:hAnsi="宋体"/>
                <w:color w:val="auto"/>
                <w:sz w:val="21"/>
                <w:szCs w:val="21"/>
              </w:rPr>
              <w:t>）。图纸采用国家标准图幅。</w:t>
            </w:r>
          </w:p>
        </w:tc>
      </w:tr>
      <w:tr w14:paraId="36DB9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1FB41F97">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7</w:t>
            </w:r>
          </w:p>
        </w:tc>
        <w:tc>
          <w:tcPr>
            <w:tcW w:w="4534" w:type="pct"/>
            <w:vAlign w:val="center"/>
          </w:tcPr>
          <w:p w14:paraId="5C2C9EF9">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归档记录的纸张应采用能够长期保存的韧力大、耐久性强的纸张。图纸一般采用蓝晒图，计算机出图必须清晰。</w:t>
            </w:r>
          </w:p>
        </w:tc>
      </w:tr>
      <w:tr w14:paraId="02D4D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220A5076">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8</w:t>
            </w:r>
          </w:p>
        </w:tc>
        <w:tc>
          <w:tcPr>
            <w:tcW w:w="4534" w:type="pct"/>
            <w:vAlign w:val="center"/>
          </w:tcPr>
          <w:p w14:paraId="00BD8CF2">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所有竣工图均应加盖竣工图章。竣工图章应使用不褪色的红色印泥，加盖在图标栏上方空白处。竣工图必须与工程实物相符，与设计变更单等资料一致，所有修改内容必须修改到位</w:t>
            </w:r>
          </w:p>
        </w:tc>
      </w:tr>
      <w:tr w14:paraId="5DC3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3B4B2328">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9</w:t>
            </w:r>
          </w:p>
        </w:tc>
        <w:tc>
          <w:tcPr>
            <w:tcW w:w="4534" w:type="pct"/>
            <w:vAlign w:val="center"/>
          </w:tcPr>
          <w:p w14:paraId="4C907ACD">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归档记录中凡涉及工程名称要填写全称，施工、监理、建设等单位名称或负责人必须和施工合同相对应，且单位要注明全称。单位负责人变更时要有相应委托书，且必须在施工大事记中注明。</w:t>
            </w:r>
          </w:p>
        </w:tc>
      </w:tr>
      <w:tr w14:paraId="01139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6" w:type="pct"/>
            <w:vAlign w:val="center"/>
          </w:tcPr>
          <w:p w14:paraId="3E1DAE1E">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10</w:t>
            </w:r>
          </w:p>
        </w:tc>
        <w:tc>
          <w:tcPr>
            <w:tcW w:w="4534" w:type="pct"/>
            <w:vAlign w:val="center"/>
          </w:tcPr>
          <w:p w14:paraId="13AD7950">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专业弱电系统施工资料（</w:t>
            </w:r>
            <w:r>
              <w:rPr>
                <w:rStyle w:val="93"/>
                <w:rFonts w:hAnsi="宋体"/>
                <w:color w:val="auto"/>
                <w:sz w:val="21"/>
                <w:szCs w:val="21"/>
              </w:rPr>
              <w:t>C-MHGR</w:t>
            </w:r>
            <w:r>
              <w:rPr>
                <w:rStyle w:val="93"/>
                <w:rFonts w:hint="eastAsia" w:hAnsi="宋体"/>
                <w:color w:val="auto"/>
                <w:sz w:val="21"/>
                <w:szCs w:val="21"/>
              </w:rPr>
              <w:t>）表格的编制、审核及审批应符合现行行业标准的有关规定。</w:t>
            </w:r>
          </w:p>
        </w:tc>
      </w:tr>
    </w:tbl>
    <w:p w14:paraId="68D3DB89">
      <w:pPr>
        <w:pStyle w:val="6"/>
        <w:ind w:firstLine="480"/>
        <w:rPr>
          <w:b/>
          <w:color w:val="auto"/>
        </w:rPr>
      </w:pPr>
      <w:r>
        <w:rPr>
          <w:rFonts w:hint="eastAsia"/>
          <w:color w:val="auto"/>
        </w:rPr>
        <w:t>施工归档资料标识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70"/>
        <w:gridCol w:w="872"/>
        <w:gridCol w:w="7018"/>
      </w:tblGrid>
      <w:tr w14:paraId="46D72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Align w:val="center"/>
          </w:tcPr>
          <w:p w14:paraId="229A134E">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类别</w:t>
            </w:r>
          </w:p>
        </w:tc>
        <w:tc>
          <w:tcPr>
            <w:tcW w:w="481" w:type="pct"/>
            <w:vAlign w:val="center"/>
          </w:tcPr>
          <w:p w14:paraId="0BE351EF">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序号</w:t>
            </w:r>
          </w:p>
        </w:tc>
        <w:tc>
          <w:tcPr>
            <w:tcW w:w="3873" w:type="pct"/>
            <w:vAlign w:val="center"/>
          </w:tcPr>
          <w:p w14:paraId="2ACAF2F3">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内容</w:t>
            </w:r>
          </w:p>
        </w:tc>
      </w:tr>
      <w:tr w14:paraId="4C91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restart"/>
            <w:vAlign w:val="center"/>
          </w:tcPr>
          <w:p w14:paraId="46D1F4ED">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卷内文件页号的编制</w:t>
            </w:r>
          </w:p>
        </w:tc>
        <w:tc>
          <w:tcPr>
            <w:tcW w:w="481" w:type="pct"/>
            <w:vAlign w:val="center"/>
          </w:tcPr>
          <w:p w14:paraId="7FADFE90">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1</w:t>
            </w:r>
          </w:p>
        </w:tc>
        <w:tc>
          <w:tcPr>
            <w:tcW w:w="3873" w:type="pct"/>
            <w:vAlign w:val="center"/>
          </w:tcPr>
          <w:p w14:paraId="510BCBAE">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卷内文件均按有书写内容的页面编号。每卷单独编号，页号从“</w:t>
            </w:r>
            <w:r>
              <w:rPr>
                <w:rStyle w:val="93"/>
                <w:rFonts w:ascii="宋体" w:hAnsi="宋体"/>
                <w:color w:val="auto"/>
                <w:sz w:val="21"/>
                <w:szCs w:val="21"/>
              </w:rPr>
              <w:t>1</w:t>
            </w:r>
            <w:r>
              <w:rPr>
                <w:rStyle w:val="93"/>
                <w:rFonts w:hint="eastAsia" w:ascii="宋体" w:hAnsi="宋体"/>
                <w:color w:val="auto"/>
                <w:sz w:val="21"/>
                <w:szCs w:val="21"/>
              </w:rPr>
              <w:t>”开始。</w:t>
            </w:r>
          </w:p>
        </w:tc>
      </w:tr>
      <w:tr w14:paraId="2B0F4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0A7F8C0A">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5A2C01EB">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2</w:t>
            </w:r>
          </w:p>
        </w:tc>
        <w:tc>
          <w:tcPr>
            <w:tcW w:w="3873" w:type="pct"/>
            <w:vAlign w:val="center"/>
          </w:tcPr>
          <w:p w14:paraId="65528D9A">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页号编写位置：单面书写的文件在右下角；双面书写的文件，正面在右下角，背面在左下角。折叠后的图纸一律在右下角。</w:t>
            </w:r>
          </w:p>
        </w:tc>
      </w:tr>
      <w:tr w14:paraId="51AF2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04744377">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7B4CD79C">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3</w:t>
            </w:r>
          </w:p>
        </w:tc>
        <w:tc>
          <w:tcPr>
            <w:tcW w:w="3873" w:type="pct"/>
            <w:vAlign w:val="center"/>
          </w:tcPr>
          <w:p w14:paraId="4DF88264">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印刷成册的科技文件，自成一卷的，不必重新编写页号。</w:t>
            </w:r>
          </w:p>
        </w:tc>
      </w:tr>
      <w:tr w14:paraId="41A1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4775EBFA">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11EABC66">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4</w:t>
            </w:r>
          </w:p>
        </w:tc>
        <w:tc>
          <w:tcPr>
            <w:tcW w:w="3873" w:type="pct"/>
            <w:vAlign w:val="center"/>
          </w:tcPr>
          <w:p w14:paraId="754A6214">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案卷封面、卷内目录、卷内备考表不编页号。</w:t>
            </w:r>
          </w:p>
        </w:tc>
      </w:tr>
      <w:tr w14:paraId="485E2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restart"/>
            <w:vAlign w:val="center"/>
          </w:tcPr>
          <w:p w14:paraId="6DF6F472">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卷内目录的编制</w:t>
            </w:r>
          </w:p>
        </w:tc>
        <w:tc>
          <w:tcPr>
            <w:tcW w:w="481" w:type="pct"/>
            <w:vAlign w:val="center"/>
          </w:tcPr>
          <w:p w14:paraId="360C9B45">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1</w:t>
            </w:r>
          </w:p>
        </w:tc>
        <w:tc>
          <w:tcPr>
            <w:tcW w:w="3873" w:type="pct"/>
            <w:vAlign w:val="center"/>
          </w:tcPr>
          <w:p w14:paraId="1CAD8899">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卷内目录排列在卷内文件首页之前，样式符合当地归档标准。</w:t>
            </w:r>
          </w:p>
        </w:tc>
      </w:tr>
      <w:tr w14:paraId="79F0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5F7C3D58">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3C4A52A7">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2</w:t>
            </w:r>
          </w:p>
        </w:tc>
        <w:tc>
          <w:tcPr>
            <w:tcW w:w="3873" w:type="pct"/>
            <w:vAlign w:val="center"/>
          </w:tcPr>
          <w:p w14:paraId="0A51A9E9">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序号：以一份文件为单位，用阿拉伯数字从</w:t>
            </w:r>
            <w:r>
              <w:rPr>
                <w:rStyle w:val="93"/>
                <w:rFonts w:ascii="宋体" w:hAnsi="宋体"/>
                <w:color w:val="auto"/>
                <w:sz w:val="21"/>
                <w:szCs w:val="21"/>
              </w:rPr>
              <w:t xml:space="preserve"> 1 </w:t>
            </w:r>
            <w:r>
              <w:rPr>
                <w:rStyle w:val="93"/>
                <w:rFonts w:hint="eastAsia" w:ascii="宋体" w:hAnsi="宋体"/>
                <w:color w:val="auto"/>
                <w:sz w:val="21"/>
                <w:szCs w:val="21"/>
              </w:rPr>
              <w:t>依次标注。</w:t>
            </w:r>
          </w:p>
        </w:tc>
      </w:tr>
      <w:tr w14:paraId="759E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09A017D3">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5DBE9E97">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3</w:t>
            </w:r>
          </w:p>
        </w:tc>
        <w:tc>
          <w:tcPr>
            <w:tcW w:w="3873" w:type="pct"/>
            <w:vAlign w:val="center"/>
          </w:tcPr>
          <w:p w14:paraId="74D6F5BF">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文件按照卷内目录的顺序排列</w:t>
            </w:r>
            <w:r>
              <w:rPr>
                <w:rStyle w:val="93"/>
                <w:rFonts w:ascii="宋体" w:hAnsi="宋体"/>
                <w:color w:val="auto"/>
                <w:sz w:val="21"/>
                <w:szCs w:val="21"/>
              </w:rPr>
              <w:t xml:space="preserve"> </w:t>
            </w:r>
            <w:r>
              <w:rPr>
                <w:rStyle w:val="93"/>
                <w:rFonts w:hint="eastAsia" w:ascii="宋体" w:hAnsi="宋体"/>
                <w:color w:val="auto"/>
                <w:sz w:val="21"/>
                <w:szCs w:val="21"/>
              </w:rPr>
              <w:t>，</w:t>
            </w:r>
            <w:r>
              <w:rPr>
                <w:rStyle w:val="93"/>
                <w:rFonts w:ascii="宋体" w:hAnsi="宋体"/>
                <w:color w:val="auto"/>
                <w:sz w:val="21"/>
                <w:szCs w:val="21"/>
              </w:rPr>
              <w:t xml:space="preserve"> </w:t>
            </w:r>
            <w:r>
              <w:rPr>
                <w:rStyle w:val="93"/>
                <w:rFonts w:hint="eastAsia" w:ascii="宋体" w:hAnsi="宋体"/>
                <w:color w:val="auto"/>
                <w:sz w:val="21"/>
                <w:szCs w:val="21"/>
              </w:rPr>
              <w:t>如果在施工中存在缺项的文件</w:t>
            </w:r>
            <w:r>
              <w:rPr>
                <w:rStyle w:val="93"/>
                <w:rFonts w:ascii="宋体" w:hAnsi="宋体"/>
                <w:color w:val="auto"/>
                <w:sz w:val="21"/>
                <w:szCs w:val="21"/>
              </w:rPr>
              <w:t xml:space="preserve"> </w:t>
            </w:r>
            <w:r>
              <w:rPr>
                <w:rStyle w:val="93"/>
                <w:rFonts w:hint="eastAsia" w:ascii="宋体" w:hAnsi="宋体"/>
                <w:color w:val="auto"/>
                <w:sz w:val="21"/>
                <w:szCs w:val="21"/>
              </w:rPr>
              <w:t>，</w:t>
            </w:r>
            <w:r>
              <w:rPr>
                <w:rStyle w:val="93"/>
                <w:rFonts w:ascii="宋体" w:hAnsi="宋体"/>
                <w:color w:val="auto"/>
                <w:sz w:val="21"/>
                <w:szCs w:val="21"/>
              </w:rPr>
              <w:t xml:space="preserve"> </w:t>
            </w:r>
            <w:r>
              <w:rPr>
                <w:rStyle w:val="93"/>
                <w:rFonts w:hint="eastAsia" w:ascii="宋体" w:hAnsi="宋体"/>
                <w:color w:val="auto"/>
                <w:sz w:val="21"/>
                <w:szCs w:val="21"/>
              </w:rPr>
              <w:t>在卷内目录上不用打印出来。</w:t>
            </w:r>
          </w:p>
        </w:tc>
      </w:tr>
      <w:tr w14:paraId="2A1AD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60869DFB">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27679800">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4</w:t>
            </w:r>
          </w:p>
        </w:tc>
        <w:tc>
          <w:tcPr>
            <w:tcW w:w="3873" w:type="pct"/>
            <w:vAlign w:val="center"/>
          </w:tcPr>
          <w:p w14:paraId="4C3F0E78">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责任者：填写文件的直接形成单位，有多个责任者时，选择一个主要责任者，其余用“等”代替。</w:t>
            </w:r>
          </w:p>
        </w:tc>
      </w:tr>
      <w:tr w14:paraId="42019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638DAC9A">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4D2373AD">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5</w:t>
            </w:r>
          </w:p>
        </w:tc>
        <w:tc>
          <w:tcPr>
            <w:tcW w:w="3873" w:type="pct"/>
            <w:vAlign w:val="center"/>
          </w:tcPr>
          <w:p w14:paraId="6419849E">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文件编号：填写文件的文号、施工用表编号或图号。</w:t>
            </w:r>
          </w:p>
        </w:tc>
      </w:tr>
      <w:tr w14:paraId="125B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5287AF4A">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3A5C9781">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6</w:t>
            </w:r>
          </w:p>
        </w:tc>
        <w:tc>
          <w:tcPr>
            <w:tcW w:w="3873" w:type="pct"/>
            <w:vAlign w:val="center"/>
          </w:tcPr>
          <w:p w14:paraId="0D2CFFBE">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文件题名：填写文件标题的全称。</w:t>
            </w:r>
          </w:p>
        </w:tc>
      </w:tr>
      <w:tr w14:paraId="52655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65120BBE">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00596127">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7</w:t>
            </w:r>
          </w:p>
        </w:tc>
        <w:tc>
          <w:tcPr>
            <w:tcW w:w="3873" w:type="pct"/>
            <w:vAlign w:val="center"/>
          </w:tcPr>
          <w:p w14:paraId="7FF0C292">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日期：填写文件形成的日期或起止日期（竣工图填写竣工图章上的日期）。</w:t>
            </w:r>
          </w:p>
        </w:tc>
      </w:tr>
      <w:tr w14:paraId="7BF22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15D774BF">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05A67571">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8</w:t>
            </w:r>
          </w:p>
        </w:tc>
        <w:tc>
          <w:tcPr>
            <w:tcW w:w="3873" w:type="pct"/>
            <w:vAlign w:val="center"/>
          </w:tcPr>
          <w:p w14:paraId="5DF4306A">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页次：填写文件在卷内所排的起始页号，最后一份文件填写起止页号。</w:t>
            </w:r>
          </w:p>
        </w:tc>
      </w:tr>
      <w:tr w14:paraId="22355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restart"/>
            <w:vAlign w:val="center"/>
          </w:tcPr>
          <w:p w14:paraId="14C74211">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卷内备考表的编制</w:t>
            </w:r>
          </w:p>
        </w:tc>
        <w:tc>
          <w:tcPr>
            <w:tcW w:w="481" w:type="pct"/>
            <w:vAlign w:val="center"/>
          </w:tcPr>
          <w:p w14:paraId="3B3E4830">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1</w:t>
            </w:r>
          </w:p>
        </w:tc>
        <w:tc>
          <w:tcPr>
            <w:tcW w:w="3873" w:type="pct"/>
            <w:vAlign w:val="center"/>
          </w:tcPr>
          <w:p w14:paraId="5F643440">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卷内备考表排列在卷内文件尾页之后，样式符合当地归档标准。</w:t>
            </w:r>
          </w:p>
        </w:tc>
      </w:tr>
      <w:tr w14:paraId="513D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46" w:type="pct"/>
            <w:vMerge w:val="continue"/>
            <w:vAlign w:val="center"/>
          </w:tcPr>
          <w:p w14:paraId="73E89B32">
            <w:pPr>
              <w:spacing w:before="32" w:beforeLines="10" w:after="32" w:afterLines="10" w:line="240" w:lineRule="auto"/>
              <w:ind w:firstLine="420"/>
              <w:jc w:val="center"/>
              <w:rPr>
                <w:rStyle w:val="93"/>
                <w:rFonts w:hint="eastAsia" w:ascii="宋体" w:hAnsi="宋体"/>
                <w:color w:val="auto"/>
                <w:sz w:val="21"/>
                <w:szCs w:val="21"/>
              </w:rPr>
            </w:pPr>
          </w:p>
        </w:tc>
        <w:tc>
          <w:tcPr>
            <w:tcW w:w="481" w:type="pct"/>
            <w:vAlign w:val="center"/>
          </w:tcPr>
          <w:p w14:paraId="3D96C6A0">
            <w:pPr>
              <w:spacing w:before="32" w:beforeLines="10" w:after="32" w:afterLines="10"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2</w:t>
            </w:r>
          </w:p>
        </w:tc>
        <w:tc>
          <w:tcPr>
            <w:tcW w:w="3873" w:type="pct"/>
            <w:vAlign w:val="center"/>
          </w:tcPr>
          <w:p w14:paraId="5C4EAC88">
            <w:pPr>
              <w:spacing w:before="32" w:beforeLines="10" w:after="32" w:afterLines="10"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卷内备考表主要标明卷内文件的总页数、各类文件页数（照片张数），以及立卷单位对案卷情况的说明。</w:t>
            </w:r>
          </w:p>
        </w:tc>
      </w:tr>
    </w:tbl>
    <w:p w14:paraId="4C7CE614">
      <w:pPr>
        <w:pStyle w:val="6"/>
        <w:ind w:firstLine="480"/>
        <w:rPr>
          <w:b/>
          <w:color w:val="auto"/>
        </w:rPr>
      </w:pPr>
      <w:r>
        <w:rPr>
          <w:rFonts w:hint="eastAsia"/>
          <w:color w:val="auto"/>
        </w:rPr>
        <w:t>工程资料管理流程</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0"/>
        <w:gridCol w:w="622"/>
        <w:gridCol w:w="7058"/>
      </w:tblGrid>
      <w:tr w14:paraId="535A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62" w:type="pct"/>
            <w:vAlign w:val="center"/>
          </w:tcPr>
          <w:p w14:paraId="6E93636E">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项目</w:t>
            </w:r>
          </w:p>
        </w:tc>
        <w:tc>
          <w:tcPr>
            <w:tcW w:w="4238" w:type="pct"/>
            <w:gridSpan w:val="2"/>
            <w:vAlign w:val="center"/>
          </w:tcPr>
          <w:p w14:paraId="275A6ED2">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管理流程</w:t>
            </w:r>
          </w:p>
        </w:tc>
      </w:tr>
      <w:tr w14:paraId="129D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Align w:val="center"/>
          </w:tcPr>
          <w:p w14:paraId="4543DD10">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施工报验资料管理流程</w:t>
            </w:r>
          </w:p>
        </w:tc>
        <w:tc>
          <w:tcPr>
            <w:tcW w:w="4238" w:type="pct"/>
            <w:gridSpan w:val="2"/>
            <w:vAlign w:val="center"/>
          </w:tcPr>
          <w:p w14:paraId="5784898D">
            <w:pPr>
              <w:pStyle w:val="92"/>
              <w:snapToGrid/>
              <w:spacing w:before="32" w:beforeLines="10" w:after="32" w:afterLines="10" w:line="240" w:lineRule="auto"/>
              <w:ind w:firstLine="420" w:firstLineChars="200"/>
              <w:jc w:val="left"/>
              <w:rPr>
                <w:rStyle w:val="93"/>
                <w:rFonts w:hint="eastAsia" w:hAnsi="宋体"/>
                <w:color w:val="auto"/>
                <w:sz w:val="21"/>
                <w:szCs w:val="21"/>
              </w:rPr>
            </w:pPr>
            <w:r>
              <w:rPr>
                <w:rStyle w:val="93"/>
                <w:rFonts w:hint="eastAsia" w:hAnsi="宋体"/>
                <w:color w:val="auto"/>
                <w:sz w:val="21"/>
                <w:szCs w:val="21"/>
              </w:rPr>
              <w:t>工程各相关部门应在工序施工前</w:t>
            </w:r>
            <w:r>
              <w:rPr>
                <w:rStyle w:val="93"/>
                <w:rFonts w:hAnsi="宋体"/>
                <w:color w:val="auto"/>
                <w:sz w:val="21"/>
                <w:szCs w:val="21"/>
              </w:rPr>
              <w:t>24</w:t>
            </w:r>
            <w:r>
              <w:rPr>
                <w:rStyle w:val="93"/>
                <w:rFonts w:hint="eastAsia" w:hAnsi="宋体"/>
                <w:color w:val="auto"/>
                <w:sz w:val="21"/>
                <w:szCs w:val="21"/>
              </w:rPr>
              <w:t>小时内将报验资料按检验批准备齐全。由各专业责任师提供的施工资料（如隐蔽验收记录、混凝土浇灌申请等），交质检员审核并填写检验批验收记录，交资料员登记后报送监理。监理验收合格签字后，由资料员收回并检查签字是否符合要求，然后返还一份给专业责任师或质检员，其余资料进行整理归档。分部分项工程施工验收记录在分部分项工程验收前由质检员汇总填写，验收后报监理、业主等相关单位签认，然后交资料员整理归档。</w:t>
            </w:r>
          </w:p>
        </w:tc>
      </w:tr>
      <w:tr w14:paraId="64B63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Align w:val="center"/>
          </w:tcPr>
          <w:p w14:paraId="48AD19AF">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施工物资资料管理流程</w:t>
            </w:r>
          </w:p>
        </w:tc>
        <w:tc>
          <w:tcPr>
            <w:tcW w:w="4238" w:type="pct"/>
            <w:gridSpan w:val="2"/>
            <w:vAlign w:val="center"/>
          </w:tcPr>
          <w:p w14:paraId="33BF214C">
            <w:pPr>
              <w:pStyle w:val="92"/>
              <w:snapToGrid/>
              <w:spacing w:before="32" w:beforeLines="10" w:after="32" w:afterLines="10" w:line="240" w:lineRule="auto"/>
              <w:ind w:firstLine="420" w:firstLineChars="200"/>
              <w:jc w:val="left"/>
              <w:rPr>
                <w:rStyle w:val="93"/>
                <w:rFonts w:hint="eastAsia" w:hAnsi="宋体"/>
                <w:color w:val="auto"/>
                <w:sz w:val="21"/>
                <w:szCs w:val="21"/>
              </w:rPr>
            </w:pPr>
            <w:r>
              <w:rPr>
                <w:rStyle w:val="93"/>
                <w:rFonts w:hint="eastAsia" w:hAnsi="宋体"/>
                <w:color w:val="auto"/>
                <w:sz w:val="21"/>
                <w:szCs w:val="21"/>
              </w:rPr>
              <w:t>由物资设备部门采购的各种原材料、成品、半成品出厂合格证由项目材料员向厂家及时索要，由专业分包包工包料材料合格证由试验员收集，试验员负责项目所有原材报验工作。不合格的产品不准使用并注明去向，退场材料由物资部门要有照片及详细记录。对于不符合施工方案要求的材料，如需技术部调整方案后能够满足使用要求的材料，须经项目负责人的批准后方可使用。材料进场的同必需附有合格证、试（检）验报告，钢筋合格证上必须注明以下信息：钢筋型号、炉批号、使用部位、使用数量。如果是抄件（复印件）应注明原件存放单位，并有抄件人、抄件（复印）单位的签字和盖章。资料要求一式四份。材料员要对进场的材料登记台帐，标明需要做试验的材料，填写材料取样通知单给试验员取样，合格后方可使用。</w:t>
            </w:r>
          </w:p>
          <w:p w14:paraId="466D2877">
            <w:pPr>
              <w:pStyle w:val="92"/>
              <w:snapToGrid/>
              <w:spacing w:before="32" w:beforeLines="10" w:after="32" w:afterLines="10" w:line="240" w:lineRule="auto"/>
              <w:ind w:firstLine="420" w:firstLineChars="200"/>
              <w:jc w:val="left"/>
              <w:rPr>
                <w:rStyle w:val="93"/>
                <w:rFonts w:hint="eastAsia" w:hAnsi="宋体"/>
                <w:color w:val="auto"/>
                <w:sz w:val="21"/>
                <w:szCs w:val="21"/>
              </w:rPr>
            </w:pPr>
            <w:r>
              <w:rPr>
                <w:rStyle w:val="93"/>
                <w:rFonts w:hint="eastAsia" w:hAnsi="宋体"/>
                <w:color w:val="auto"/>
                <w:sz w:val="21"/>
                <w:szCs w:val="21"/>
              </w:rPr>
              <w:t>凡使用新材料、新产品、新工艺、新技术，应有法定单位鉴定证明及地方有关设计技术部门签发的确认文件。产品要有质量标准、使用说明和工艺要求。使用前，应按其质量标准进行检验。</w:t>
            </w:r>
          </w:p>
        </w:tc>
      </w:tr>
      <w:tr w14:paraId="54B2C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restart"/>
            <w:vAlign w:val="center"/>
          </w:tcPr>
          <w:p w14:paraId="3E881268">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试验资料管理流程</w:t>
            </w:r>
          </w:p>
        </w:tc>
        <w:tc>
          <w:tcPr>
            <w:tcW w:w="343" w:type="pct"/>
            <w:vAlign w:val="center"/>
          </w:tcPr>
          <w:p w14:paraId="05370730">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1</w:t>
            </w:r>
          </w:p>
        </w:tc>
        <w:tc>
          <w:tcPr>
            <w:tcW w:w="3895" w:type="pct"/>
            <w:vAlign w:val="center"/>
          </w:tcPr>
          <w:p w14:paraId="2B1B6307">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需要进行试验的材料，试验员在收到材料取样通知单后按规定报请监理工程师见证取样，填写见证取样单并送检测单位试验，试验员及时取回试验报告，做好试验台帐后将报告和材料质量证明文件交项目资料员汇总。试验结果由试验员及时通知材料负责人、现场施工责任师和质检员，物资部门负责现场材料的标识。</w:t>
            </w:r>
          </w:p>
        </w:tc>
      </w:tr>
      <w:tr w14:paraId="42497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6A460867">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1BBD584C">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2</w:t>
            </w:r>
          </w:p>
        </w:tc>
        <w:tc>
          <w:tcPr>
            <w:tcW w:w="3895" w:type="pct"/>
            <w:vAlign w:val="center"/>
          </w:tcPr>
          <w:p w14:paraId="49F11F45">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试验员取回试验报告后，核定检查项目是否合格。如果试验项目合格，及时报监理工程师核定、签字后交资料员存档。如果取样不合格，按相关规范要求再次取样复试，试验员将试验结果及时通知物资部门、现场施工责任师和质检员；复试合格后，按要求通知现场并交项目资料员归档；如果复试后仍不合格，试验员及时通知材料和技术部门，并按公司程序文件要求，进行不合格品的评审处置，做好相关记录。</w:t>
            </w:r>
          </w:p>
        </w:tc>
      </w:tr>
      <w:tr w14:paraId="45D7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170FFB89">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5B3162D3">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3</w:t>
            </w:r>
          </w:p>
        </w:tc>
        <w:tc>
          <w:tcPr>
            <w:tcW w:w="3895" w:type="pct"/>
            <w:vAlign w:val="center"/>
          </w:tcPr>
          <w:p w14:paraId="10A9315D">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试验员负责材料取样台帐登记，负责合格证、试（检）验报告、复试报告编号核对，以及实验资料（混凝土坍落度记录等）的编制，每周技术内业配合资料员进行资料的审核和检查。</w:t>
            </w:r>
          </w:p>
        </w:tc>
      </w:tr>
      <w:tr w14:paraId="07AE4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restart"/>
            <w:vAlign w:val="center"/>
          </w:tcPr>
          <w:p w14:paraId="788F82C1">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商品混凝土资料管理流程</w:t>
            </w:r>
          </w:p>
        </w:tc>
        <w:tc>
          <w:tcPr>
            <w:tcW w:w="343" w:type="pct"/>
            <w:vAlign w:val="center"/>
          </w:tcPr>
          <w:p w14:paraId="34981B9A">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1</w:t>
            </w:r>
          </w:p>
        </w:tc>
        <w:tc>
          <w:tcPr>
            <w:tcW w:w="3895" w:type="pct"/>
            <w:vAlign w:val="center"/>
          </w:tcPr>
          <w:p w14:paraId="4A67B597">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混凝土浇灌申请填写前，相关的检验批资料、隐蔽资料均已完成，并报送监理验收。</w:t>
            </w:r>
          </w:p>
        </w:tc>
      </w:tr>
      <w:tr w14:paraId="214E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44377630">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1EBDE010">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2</w:t>
            </w:r>
          </w:p>
        </w:tc>
        <w:tc>
          <w:tcPr>
            <w:tcW w:w="3895" w:type="pct"/>
            <w:vAlign w:val="center"/>
          </w:tcPr>
          <w:p w14:paraId="75498A5E">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项目责任师填写混凝土浇筑计划一式四份，包括混凝土的施工部位、方量、标号、浇筑时间及其它技术要求等，报技术负责人和商务经理审核，项目经理审批后技术部和商务部各存底一份，一份传真至搅拌站，一份交试验员，试验员严格按混凝土浇筑计划进行取样。</w:t>
            </w:r>
          </w:p>
        </w:tc>
      </w:tr>
      <w:tr w14:paraId="236BC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51FCB932">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67599804">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3</w:t>
            </w:r>
          </w:p>
        </w:tc>
        <w:tc>
          <w:tcPr>
            <w:tcW w:w="3895" w:type="pct"/>
            <w:vAlign w:val="center"/>
          </w:tcPr>
          <w:p w14:paraId="7329BE05">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混凝土浇筑前，搅拌站提供一式四份的混凝土相关资料，包括配合比申请单、水泥、砂、石材料、外加剂试验报告等，并随车送达预拌混凝土运输单，将资料送交项目责任师，责任师检查提供资料是否齐全、部位内容是否正确，经项目技术负责人审核后方可开盘，资料由责任师及时整理后交资料员。</w:t>
            </w:r>
          </w:p>
        </w:tc>
      </w:tr>
      <w:tr w14:paraId="4097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79BAD26C">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0F277EC3">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4</w:t>
            </w:r>
          </w:p>
        </w:tc>
        <w:tc>
          <w:tcPr>
            <w:tcW w:w="3895" w:type="pct"/>
            <w:vAlign w:val="center"/>
          </w:tcPr>
          <w:p w14:paraId="7936A653">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试验员根据浇灌申请单中的部位、混凝土方量、混凝土强度等级等及时做好取样登记台帐，在混凝土浇筑期间做好混凝土坍落度记录、混凝土测温记录，并按照检验试验规定会同监理进行取样，留置好试块。并在混凝土达到龄期要求后送样试压，分阶段根据强度报告做好混凝土强度统计评定。</w:t>
            </w:r>
          </w:p>
        </w:tc>
      </w:tr>
      <w:tr w14:paraId="4AAF5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16D92D1E">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24A49E7C">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5</w:t>
            </w:r>
          </w:p>
        </w:tc>
        <w:tc>
          <w:tcPr>
            <w:tcW w:w="3895" w:type="pct"/>
            <w:vAlign w:val="center"/>
          </w:tcPr>
          <w:p w14:paraId="5A60B291">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责任师在混凝土浇筑之前应做好预检交接记录及隐蔽检查记录，在混凝土浇筑完成后根据现场情况和相关资料及时填写混凝土施工记录，此表格中试件情况待混凝土强度报告出具后，由试验员配合填写。</w:t>
            </w:r>
          </w:p>
        </w:tc>
      </w:tr>
      <w:tr w14:paraId="73AE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restart"/>
            <w:vAlign w:val="center"/>
          </w:tcPr>
          <w:p w14:paraId="436AD82E">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施工技术资料管理流程</w:t>
            </w:r>
          </w:p>
        </w:tc>
        <w:tc>
          <w:tcPr>
            <w:tcW w:w="4238" w:type="pct"/>
            <w:gridSpan w:val="2"/>
            <w:vAlign w:val="center"/>
          </w:tcPr>
          <w:p w14:paraId="74F43F2A">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施工组织设计、施工方案由项目技术负责人组织项目相关人员讨论，确定主要方法后由技术部门负责编写，经项目经理审核后根据方案类型分别报上级及监理单位进行审批。审批后由技术员下发责任师、质检、预算及其它相关人员。</w:t>
            </w:r>
          </w:p>
          <w:p w14:paraId="59282205">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技术交底按照分级管理的方式，可分成三个层次。</w:t>
            </w:r>
          </w:p>
        </w:tc>
      </w:tr>
      <w:tr w14:paraId="0835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77125B8A">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164EBC24">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一级交底</w:t>
            </w:r>
          </w:p>
        </w:tc>
        <w:tc>
          <w:tcPr>
            <w:tcW w:w="3895" w:type="pct"/>
            <w:vAlign w:val="center"/>
          </w:tcPr>
          <w:p w14:paraId="6594600E">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施工组织设计、施工方案交底，此层次交底资料由技术部门编制并下发，项目技术负责人负责交底，交底对象为项目相关管理人员，交底主要内容为：施工范围、施工条件、施工组织、计划安排、特殊技术要求、技术措施、资源投入、质量及安全要求等；</w:t>
            </w:r>
          </w:p>
        </w:tc>
      </w:tr>
      <w:tr w14:paraId="5021A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190584EE">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03C95636">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二级交底</w:t>
            </w:r>
          </w:p>
        </w:tc>
        <w:tc>
          <w:tcPr>
            <w:tcW w:w="3895" w:type="pct"/>
            <w:vAlign w:val="center"/>
          </w:tcPr>
          <w:p w14:paraId="5DFD0E7C">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针对方案及方案交底进行深化，作为分项工程的技术交底，这层交底应由专业责任师进行，交底对象为施工班组，交底主要内容为：具体工作内容、操作方案、施工工艺、质量标准、安全注意事项等；</w:t>
            </w:r>
          </w:p>
        </w:tc>
      </w:tr>
      <w:tr w14:paraId="565D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35ED30D9">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6777B7AA">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三级交底</w:t>
            </w:r>
          </w:p>
        </w:tc>
        <w:tc>
          <w:tcPr>
            <w:tcW w:w="3895" w:type="pct"/>
            <w:vAlign w:val="center"/>
          </w:tcPr>
          <w:p w14:paraId="76CDF5DB">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为施工班组的内部交底，施工班组根据分项工程的交底，针对每一个施工部位进行交底。其中第一层次和第二层次交底要形成文字记录，交资料员存档；第三层次的技术交底可以使口头交底，由作业班组长完成。</w:t>
            </w:r>
          </w:p>
        </w:tc>
      </w:tr>
      <w:tr w14:paraId="7A842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restart"/>
            <w:vAlign w:val="center"/>
          </w:tcPr>
          <w:p w14:paraId="683A76DC">
            <w:pPr>
              <w:pStyle w:val="92"/>
              <w:snapToGrid/>
              <w:spacing w:before="32" w:beforeLines="10" w:after="32" w:afterLines="10" w:line="240" w:lineRule="auto"/>
              <w:rPr>
                <w:rStyle w:val="93"/>
                <w:rFonts w:hint="eastAsia" w:hAnsi="宋体"/>
                <w:color w:val="auto"/>
                <w:sz w:val="21"/>
                <w:szCs w:val="21"/>
              </w:rPr>
            </w:pPr>
            <w:r>
              <w:rPr>
                <w:rStyle w:val="93"/>
                <w:rFonts w:hint="eastAsia" w:hAnsi="宋体"/>
                <w:color w:val="auto"/>
                <w:sz w:val="21"/>
                <w:szCs w:val="21"/>
              </w:rPr>
              <w:t>分包资料管理流程</w:t>
            </w:r>
          </w:p>
        </w:tc>
        <w:tc>
          <w:tcPr>
            <w:tcW w:w="343" w:type="pct"/>
            <w:vAlign w:val="center"/>
          </w:tcPr>
          <w:p w14:paraId="25EEB695">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1</w:t>
            </w:r>
          </w:p>
        </w:tc>
        <w:tc>
          <w:tcPr>
            <w:tcW w:w="3895" w:type="pct"/>
            <w:vAlign w:val="center"/>
          </w:tcPr>
          <w:p w14:paraId="51DF31BE">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项目技术负责人指导项目资料员进行分包资料的管理，做到及时准确的收集资料。</w:t>
            </w:r>
          </w:p>
        </w:tc>
      </w:tr>
      <w:tr w14:paraId="31E65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3B0084DC">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1DF5D08E">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2</w:t>
            </w:r>
          </w:p>
        </w:tc>
        <w:tc>
          <w:tcPr>
            <w:tcW w:w="3895" w:type="pct"/>
            <w:vAlign w:val="center"/>
          </w:tcPr>
          <w:p w14:paraId="7A4E88E3">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劳务队伍施工过程中的报审资料，由劳务队伍进行填写，总包单位审核确认后向监理单位上报。劳务队伍要积极主动的配合监理单位搞好分项、分部工程的检查验收工作，对监理单位提出的问题及时整改，并如实详细的填写工程的验收记录。</w:t>
            </w:r>
          </w:p>
        </w:tc>
      </w:tr>
      <w:tr w14:paraId="2AC92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6D208DAE">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14E83CE8">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3</w:t>
            </w:r>
          </w:p>
        </w:tc>
        <w:tc>
          <w:tcPr>
            <w:tcW w:w="3895" w:type="pct"/>
            <w:vAlign w:val="center"/>
          </w:tcPr>
          <w:p w14:paraId="2C754AF4">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为了确保工程质量，劳务队伍自行采购的材料，必须向总包项目部提供出厂合格证和质检报告、材质试验一式四份交由项目试验员；必须会同项目试验员取样送检。</w:t>
            </w:r>
          </w:p>
        </w:tc>
      </w:tr>
      <w:tr w14:paraId="19E3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0312AFB4">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7EEB31DA">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4</w:t>
            </w:r>
          </w:p>
        </w:tc>
        <w:tc>
          <w:tcPr>
            <w:tcW w:w="3895" w:type="pct"/>
            <w:vAlign w:val="center"/>
          </w:tcPr>
          <w:p w14:paraId="1FE47182">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分包资料的收集整理由劳务队伍负责，总包单位负责监督审查，分包工程完工时移交总包单位一式四份完整的工程资料原件。</w:t>
            </w:r>
          </w:p>
        </w:tc>
      </w:tr>
      <w:tr w14:paraId="55C08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2" w:type="pct"/>
            <w:vMerge w:val="continue"/>
            <w:vAlign w:val="center"/>
          </w:tcPr>
          <w:p w14:paraId="4158CD51">
            <w:pPr>
              <w:pStyle w:val="92"/>
              <w:snapToGrid/>
              <w:spacing w:before="32" w:beforeLines="10" w:after="32" w:afterLines="10" w:line="240" w:lineRule="auto"/>
              <w:rPr>
                <w:rStyle w:val="93"/>
                <w:rFonts w:hint="eastAsia" w:hAnsi="宋体"/>
                <w:color w:val="auto"/>
                <w:sz w:val="21"/>
                <w:szCs w:val="21"/>
              </w:rPr>
            </w:pPr>
          </w:p>
        </w:tc>
        <w:tc>
          <w:tcPr>
            <w:tcW w:w="343" w:type="pct"/>
            <w:vAlign w:val="center"/>
          </w:tcPr>
          <w:p w14:paraId="06C96F60">
            <w:pPr>
              <w:pStyle w:val="92"/>
              <w:snapToGrid/>
              <w:spacing w:before="32" w:beforeLines="10" w:after="32" w:afterLines="10" w:line="240" w:lineRule="auto"/>
              <w:rPr>
                <w:rStyle w:val="93"/>
                <w:rFonts w:hint="eastAsia" w:hAnsi="宋体"/>
                <w:color w:val="auto"/>
                <w:sz w:val="21"/>
                <w:szCs w:val="21"/>
              </w:rPr>
            </w:pPr>
            <w:r>
              <w:rPr>
                <w:rStyle w:val="93"/>
                <w:rFonts w:hAnsi="宋体"/>
                <w:color w:val="auto"/>
                <w:sz w:val="21"/>
                <w:szCs w:val="21"/>
              </w:rPr>
              <w:t>5</w:t>
            </w:r>
          </w:p>
        </w:tc>
        <w:tc>
          <w:tcPr>
            <w:tcW w:w="3895" w:type="pct"/>
            <w:vAlign w:val="center"/>
          </w:tcPr>
          <w:p w14:paraId="78C26C45">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部分劳务队伍（如土方、桩基等）不具备资料整理能力的劳务队伍，项目可收取一定费用将分包归档资料纳入总包进行统一管理。</w:t>
            </w:r>
          </w:p>
        </w:tc>
      </w:tr>
    </w:tbl>
    <w:p w14:paraId="5720D859">
      <w:pPr>
        <w:pStyle w:val="5"/>
        <w:rPr>
          <w:color w:val="auto"/>
        </w:rPr>
      </w:pPr>
      <w:bookmarkStart w:id="287" w:name="_Toc166339892"/>
      <w:bookmarkStart w:id="288" w:name="_Toc202510513"/>
      <w:bookmarkStart w:id="289" w:name="_Toc3839"/>
      <w:bookmarkStart w:id="290" w:name="_Toc166086504"/>
      <w:bookmarkStart w:id="291" w:name="_Toc165965892"/>
      <w:r>
        <w:rPr>
          <w:rFonts w:hint="eastAsia"/>
          <w:color w:val="auto"/>
        </w:rPr>
        <w:t>资料的阶段管理</w:t>
      </w:r>
      <w:bookmarkEnd w:id="287"/>
      <w:bookmarkEnd w:id="288"/>
      <w:bookmarkEnd w:id="289"/>
      <w:bookmarkEnd w:id="290"/>
      <w:bookmarkEnd w:id="291"/>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8024"/>
      </w:tblGrid>
      <w:tr w14:paraId="6EC2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572" w:type="pct"/>
            <w:vAlign w:val="center"/>
          </w:tcPr>
          <w:p w14:paraId="2218B223">
            <w:pPr>
              <w:pStyle w:val="92"/>
              <w:snapToGrid/>
              <w:spacing w:before="32" w:beforeLines="10" w:after="32" w:afterLines="10" w:line="240" w:lineRule="auto"/>
              <w:rPr>
                <w:rStyle w:val="93"/>
                <w:color w:val="auto"/>
                <w:sz w:val="21"/>
                <w:szCs w:val="21"/>
              </w:rPr>
            </w:pPr>
            <w:r>
              <w:rPr>
                <w:rStyle w:val="93"/>
                <w:rFonts w:hint="eastAsia"/>
                <w:color w:val="auto"/>
                <w:sz w:val="21"/>
                <w:szCs w:val="21"/>
              </w:rPr>
              <w:t>阶段</w:t>
            </w:r>
          </w:p>
        </w:tc>
        <w:tc>
          <w:tcPr>
            <w:tcW w:w="4428" w:type="pct"/>
            <w:vAlign w:val="center"/>
          </w:tcPr>
          <w:p w14:paraId="2876C075">
            <w:pPr>
              <w:pStyle w:val="92"/>
              <w:snapToGrid/>
              <w:spacing w:before="32" w:beforeLines="10" w:after="32" w:afterLines="10" w:line="240" w:lineRule="auto"/>
              <w:rPr>
                <w:rStyle w:val="93"/>
                <w:color w:val="auto"/>
                <w:sz w:val="21"/>
                <w:szCs w:val="21"/>
              </w:rPr>
            </w:pPr>
            <w:r>
              <w:rPr>
                <w:rStyle w:val="93"/>
                <w:rFonts w:hint="eastAsia"/>
                <w:color w:val="auto"/>
                <w:sz w:val="21"/>
                <w:szCs w:val="21"/>
              </w:rPr>
              <w:t>管理内容</w:t>
            </w:r>
          </w:p>
        </w:tc>
      </w:tr>
      <w:tr w14:paraId="20BB9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2" w:type="pct"/>
            <w:vAlign w:val="center"/>
          </w:tcPr>
          <w:p w14:paraId="26F48F6E">
            <w:pPr>
              <w:pStyle w:val="92"/>
              <w:snapToGrid/>
              <w:spacing w:before="32" w:beforeLines="10" w:after="32" w:afterLines="10" w:line="240" w:lineRule="auto"/>
              <w:rPr>
                <w:rStyle w:val="93"/>
                <w:color w:val="auto"/>
                <w:sz w:val="21"/>
                <w:szCs w:val="21"/>
              </w:rPr>
            </w:pPr>
            <w:r>
              <w:rPr>
                <w:rStyle w:val="93"/>
                <w:rFonts w:hint="eastAsia"/>
                <w:color w:val="auto"/>
                <w:sz w:val="21"/>
                <w:szCs w:val="21"/>
              </w:rPr>
              <w:t>工程开工前（或工程开工初期）</w:t>
            </w:r>
          </w:p>
        </w:tc>
        <w:tc>
          <w:tcPr>
            <w:tcW w:w="4428" w:type="pct"/>
            <w:vAlign w:val="center"/>
          </w:tcPr>
          <w:p w14:paraId="0F2F32C6">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在与业主、设计单位、监理单位、劳务队伍、供货单位签订合同或协议时，商务部通知质量部，对资料的技术标准、涉及内容、提供时间、套数（包括原件套数）及费用等问题予以明确。对物资进场报验的范围和要求、资料报验、报审的时间和验收、审批的时间及各自应当承担的责任予以约定。</w:t>
            </w:r>
          </w:p>
        </w:tc>
      </w:tr>
      <w:tr w14:paraId="087E1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2" w:type="pct"/>
            <w:vAlign w:val="center"/>
          </w:tcPr>
          <w:p w14:paraId="57C972FA">
            <w:pPr>
              <w:pStyle w:val="92"/>
              <w:snapToGrid/>
              <w:spacing w:before="32" w:beforeLines="10" w:after="32" w:afterLines="10" w:line="240" w:lineRule="auto"/>
              <w:rPr>
                <w:rStyle w:val="93"/>
                <w:color w:val="auto"/>
                <w:sz w:val="21"/>
                <w:szCs w:val="21"/>
              </w:rPr>
            </w:pPr>
            <w:r>
              <w:rPr>
                <w:rStyle w:val="93"/>
                <w:rFonts w:hint="eastAsia"/>
                <w:color w:val="auto"/>
                <w:sz w:val="21"/>
                <w:szCs w:val="21"/>
              </w:rPr>
              <w:t>前期</w:t>
            </w:r>
          </w:p>
          <w:p w14:paraId="664CB3FD">
            <w:pPr>
              <w:pStyle w:val="92"/>
              <w:snapToGrid/>
              <w:spacing w:before="32" w:beforeLines="10" w:after="32" w:afterLines="10" w:line="240" w:lineRule="auto"/>
              <w:rPr>
                <w:rStyle w:val="93"/>
                <w:color w:val="auto"/>
                <w:sz w:val="21"/>
                <w:szCs w:val="21"/>
              </w:rPr>
            </w:pPr>
            <w:r>
              <w:rPr>
                <w:rStyle w:val="93"/>
                <w:rFonts w:hint="eastAsia"/>
                <w:color w:val="auto"/>
                <w:sz w:val="21"/>
                <w:szCs w:val="21"/>
              </w:rPr>
              <w:t>交底</w:t>
            </w:r>
          </w:p>
        </w:tc>
        <w:tc>
          <w:tcPr>
            <w:tcW w:w="4428" w:type="pct"/>
            <w:vAlign w:val="center"/>
          </w:tcPr>
          <w:p w14:paraId="27A1E294">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由总承包项目技术负责人、劳务队伍技术负责人组织编写本单位施工范围内的施工资料目标设计，报上一级主管部门和领导审批。资料目标设计经审批合格后，资料员发放给各相关部门，由技术负责人组织进行交底。</w:t>
            </w:r>
          </w:p>
        </w:tc>
      </w:tr>
      <w:tr w14:paraId="5C90C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2" w:type="pct"/>
            <w:vMerge w:val="restart"/>
            <w:vAlign w:val="center"/>
          </w:tcPr>
          <w:p w14:paraId="674406DA">
            <w:pPr>
              <w:pStyle w:val="92"/>
              <w:snapToGrid/>
              <w:spacing w:before="32" w:beforeLines="10" w:after="32" w:afterLines="10" w:line="240" w:lineRule="auto"/>
              <w:rPr>
                <w:rStyle w:val="93"/>
                <w:color w:val="auto"/>
                <w:sz w:val="21"/>
                <w:szCs w:val="21"/>
              </w:rPr>
            </w:pPr>
            <w:r>
              <w:rPr>
                <w:rStyle w:val="93"/>
                <w:rFonts w:hint="eastAsia"/>
                <w:color w:val="auto"/>
                <w:sz w:val="21"/>
                <w:szCs w:val="21"/>
              </w:rPr>
              <w:t>施工</w:t>
            </w:r>
          </w:p>
          <w:p w14:paraId="37C7D1D5">
            <w:pPr>
              <w:pStyle w:val="92"/>
              <w:snapToGrid/>
              <w:spacing w:before="32" w:beforeLines="10" w:after="32" w:afterLines="10" w:line="240" w:lineRule="auto"/>
              <w:rPr>
                <w:rStyle w:val="93"/>
                <w:color w:val="auto"/>
                <w:sz w:val="21"/>
                <w:szCs w:val="21"/>
              </w:rPr>
            </w:pPr>
            <w:r>
              <w:rPr>
                <w:rStyle w:val="93"/>
                <w:rFonts w:hint="eastAsia"/>
                <w:color w:val="auto"/>
                <w:sz w:val="21"/>
                <w:szCs w:val="21"/>
              </w:rPr>
              <w:t>阶段</w:t>
            </w:r>
          </w:p>
        </w:tc>
        <w:tc>
          <w:tcPr>
            <w:tcW w:w="4428" w:type="pct"/>
            <w:vAlign w:val="center"/>
          </w:tcPr>
          <w:p w14:paraId="07C99CCB">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总承包各职能部门和劳务队伍随工程进度，按过程资料的填报时间要求在计算机上填写资料内容，通过网络，经相关人员确认无误后，提交给上级主管部门（领导）、监理单位审批。在提交电子版本的同时，将纸介资料打印输出，相关人员手写签字。</w:t>
            </w:r>
          </w:p>
        </w:tc>
      </w:tr>
      <w:tr w14:paraId="5E02B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14:paraId="38E2861D">
            <w:pPr>
              <w:pStyle w:val="92"/>
              <w:snapToGrid/>
              <w:spacing w:before="32" w:beforeLines="10" w:after="32" w:afterLines="10" w:line="240" w:lineRule="auto"/>
              <w:rPr>
                <w:rStyle w:val="93"/>
                <w:color w:val="auto"/>
                <w:sz w:val="21"/>
                <w:szCs w:val="21"/>
              </w:rPr>
            </w:pPr>
          </w:p>
        </w:tc>
        <w:tc>
          <w:tcPr>
            <w:tcW w:w="4428" w:type="pct"/>
            <w:vAlign w:val="center"/>
          </w:tcPr>
          <w:p w14:paraId="653FDCB3">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总承包各职能部门和劳务队伍将形成的纸质资料及时交给资料员收集，资料员对资料的填写日期、内容、签字、文档等进行审核，合格的分类放置，填写目录、管理台帐（包括收发文登记、试验、测量、计量器具检定、物资进场等），以方便查找和统计。对不合格的资料退回并要求按时上交合格的资料。</w:t>
            </w:r>
          </w:p>
        </w:tc>
      </w:tr>
      <w:tr w14:paraId="73F7E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14:paraId="29C8539C">
            <w:pPr>
              <w:pStyle w:val="92"/>
              <w:snapToGrid/>
              <w:spacing w:before="32" w:beforeLines="10" w:after="32" w:afterLines="10" w:line="240" w:lineRule="auto"/>
              <w:rPr>
                <w:rStyle w:val="93"/>
                <w:color w:val="auto"/>
                <w:sz w:val="21"/>
                <w:szCs w:val="21"/>
              </w:rPr>
            </w:pPr>
          </w:p>
        </w:tc>
        <w:tc>
          <w:tcPr>
            <w:tcW w:w="4428" w:type="pct"/>
            <w:vAlign w:val="center"/>
          </w:tcPr>
          <w:p w14:paraId="053C438B">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每月中，劳务队伍技术负责人组织资料自查，做到尽早发现、掌握存在的不合格项，整改落实到人。检查结果填在《施工资料检查表》上，报送总承包工程质量管理部。</w:t>
            </w:r>
          </w:p>
        </w:tc>
      </w:tr>
      <w:tr w14:paraId="106DF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14:paraId="07F25F78">
            <w:pPr>
              <w:pStyle w:val="92"/>
              <w:snapToGrid/>
              <w:spacing w:before="32" w:beforeLines="10" w:after="32" w:afterLines="10" w:line="240" w:lineRule="auto"/>
              <w:rPr>
                <w:rStyle w:val="93"/>
                <w:color w:val="auto"/>
                <w:sz w:val="21"/>
                <w:szCs w:val="21"/>
              </w:rPr>
            </w:pPr>
          </w:p>
        </w:tc>
        <w:tc>
          <w:tcPr>
            <w:tcW w:w="4428" w:type="pct"/>
            <w:vAlign w:val="center"/>
          </w:tcPr>
          <w:p w14:paraId="78452A20">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总承包质量管理人员对相关计划的资料准备情况进行预先评价，并及时督促总承包各施工管理部及劳务队伍完善相关资料。劳务队伍必须每天将发生的资料通过网络进行报送，总承包质量管理人员和资料管理人员监督其是否按要求进行报验和记录，并对违反规定的行为进行干预。</w:t>
            </w:r>
          </w:p>
        </w:tc>
      </w:tr>
      <w:tr w14:paraId="649E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14:paraId="66664E98">
            <w:pPr>
              <w:pStyle w:val="92"/>
              <w:snapToGrid/>
              <w:spacing w:before="32" w:beforeLines="10" w:after="32" w:afterLines="10" w:line="240" w:lineRule="auto"/>
              <w:rPr>
                <w:rStyle w:val="93"/>
                <w:color w:val="auto"/>
                <w:sz w:val="21"/>
                <w:szCs w:val="21"/>
              </w:rPr>
            </w:pPr>
          </w:p>
        </w:tc>
        <w:tc>
          <w:tcPr>
            <w:tcW w:w="4428" w:type="pct"/>
            <w:vAlign w:val="center"/>
          </w:tcPr>
          <w:p w14:paraId="7DE21074">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每月末，总承包工程质量管理部组织技术部、物资设备部、各施工管理部对劳务队伍的施工资料进行检查，检查内容包括：与工程进度的同步性、资料间的交圈、资料填写是否准确、签字是否齐全、文件整理等。发现问题，填写《施工资料检查表》，告知不合格资料原因，责令整改或重做。对问题严重且不改正的劳务队伍，根据相关规定予以处罚。</w:t>
            </w:r>
          </w:p>
        </w:tc>
      </w:tr>
      <w:tr w14:paraId="76E59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72" w:type="pct"/>
            <w:vMerge w:val="restart"/>
            <w:vAlign w:val="center"/>
          </w:tcPr>
          <w:p w14:paraId="2614D3AA">
            <w:pPr>
              <w:pStyle w:val="92"/>
              <w:snapToGrid/>
              <w:spacing w:before="32" w:beforeLines="10" w:after="32" w:afterLines="10" w:line="240" w:lineRule="auto"/>
              <w:rPr>
                <w:rStyle w:val="93"/>
                <w:color w:val="auto"/>
                <w:sz w:val="21"/>
                <w:szCs w:val="21"/>
              </w:rPr>
            </w:pPr>
            <w:r>
              <w:rPr>
                <w:rStyle w:val="93"/>
                <w:rFonts w:hint="eastAsia"/>
                <w:color w:val="auto"/>
                <w:sz w:val="21"/>
                <w:szCs w:val="21"/>
              </w:rPr>
              <w:t>施工</w:t>
            </w:r>
          </w:p>
          <w:p w14:paraId="0808DB81">
            <w:pPr>
              <w:pStyle w:val="92"/>
              <w:snapToGrid/>
              <w:spacing w:before="32" w:beforeLines="10" w:after="32" w:afterLines="10" w:line="240" w:lineRule="auto"/>
              <w:rPr>
                <w:rStyle w:val="93"/>
                <w:color w:val="auto"/>
                <w:sz w:val="21"/>
                <w:szCs w:val="21"/>
              </w:rPr>
            </w:pPr>
            <w:r>
              <w:rPr>
                <w:rStyle w:val="93"/>
                <w:rFonts w:hint="eastAsia"/>
                <w:color w:val="auto"/>
                <w:sz w:val="21"/>
                <w:szCs w:val="21"/>
              </w:rPr>
              <w:t>结束</w:t>
            </w:r>
          </w:p>
        </w:tc>
        <w:tc>
          <w:tcPr>
            <w:tcW w:w="4428" w:type="pct"/>
            <w:vAlign w:val="center"/>
          </w:tcPr>
          <w:p w14:paraId="56D9A6EC">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劳务队伍要在所承担的工程竣工验收前一周内，提出资料移交验收的计划（申请），资料未经验收不得进行其它验收结算手续。</w:t>
            </w:r>
          </w:p>
        </w:tc>
      </w:tr>
      <w:tr w14:paraId="34EEB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14:paraId="6186A470">
            <w:pPr>
              <w:pStyle w:val="92"/>
              <w:snapToGrid/>
              <w:spacing w:before="32" w:beforeLines="10" w:after="32" w:afterLines="10" w:line="240" w:lineRule="auto"/>
              <w:rPr>
                <w:rStyle w:val="93"/>
                <w:color w:val="auto"/>
                <w:sz w:val="21"/>
                <w:szCs w:val="21"/>
              </w:rPr>
            </w:pPr>
          </w:p>
        </w:tc>
        <w:tc>
          <w:tcPr>
            <w:tcW w:w="4428" w:type="pct"/>
            <w:vAlign w:val="center"/>
          </w:tcPr>
          <w:p w14:paraId="055F528E">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劳务队伍分包的工程完工后，劳务队伍技术负责人对本单位形成的施工资料进行审查，在一周内将资料组卷装订，经总承包单位资料员验收合格后，填写《竣工资料备案表》，双方技术负责人签字，移交总承包相关部门保存。</w:t>
            </w:r>
          </w:p>
        </w:tc>
      </w:tr>
      <w:tr w14:paraId="3D5AC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0" w:type="auto"/>
            <w:vMerge w:val="continue"/>
            <w:vAlign w:val="center"/>
          </w:tcPr>
          <w:p w14:paraId="456FBAFA">
            <w:pPr>
              <w:pStyle w:val="92"/>
              <w:snapToGrid/>
              <w:spacing w:before="32" w:beforeLines="10" w:after="32" w:afterLines="10" w:line="240" w:lineRule="auto"/>
              <w:rPr>
                <w:rStyle w:val="93"/>
                <w:color w:val="auto"/>
                <w:sz w:val="21"/>
                <w:szCs w:val="21"/>
              </w:rPr>
            </w:pPr>
          </w:p>
        </w:tc>
        <w:tc>
          <w:tcPr>
            <w:tcW w:w="4428" w:type="pct"/>
            <w:vAlign w:val="center"/>
          </w:tcPr>
          <w:p w14:paraId="6A64F012">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专业分包工程和直接发包工程的资料由总包单位负责收集汇总整理，向业主办理移交。</w:t>
            </w:r>
          </w:p>
        </w:tc>
      </w:tr>
      <w:tr w14:paraId="37F9F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vMerge w:val="continue"/>
            <w:vAlign w:val="center"/>
          </w:tcPr>
          <w:p w14:paraId="5EB452FE">
            <w:pPr>
              <w:pStyle w:val="92"/>
              <w:snapToGrid/>
              <w:spacing w:before="32" w:beforeLines="10" w:after="32" w:afterLines="10" w:line="240" w:lineRule="auto"/>
              <w:rPr>
                <w:rStyle w:val="93"/>
                <w:color w:val="auto"/>
                <w:sz w:val="21"/>
                <w:szCs w:val="21"/>
              </w:rPr>
            </w:pPr>
          </w:p>
        </w:tc>
        <w:tc>
          <w:tcPr>
            <w:tcW w:w="4428" w:type="pct"/>
            <w:vAlign w:val="center"/>
          </w:tcPr>
          <w:p w14:paraId="46E0C532">
            <w:pPr>
              <w:pStyle w:val="67"/>
              <w:spacing w:before="32" w:beforeLines="10" w:after="32" w:afterLines="10"/>
              <w:ind w:firstLine="420"/>
              <w:rPr>
                <w:rStyle w:val="93"/>
                <w:rFonts w:hint="eastAsia"/>
                <w:color w:val="auto"/>
                <w:sz w:val="21"/>
                <w:szCs w:val="21"/>
              </w:rPr>
            </w:pPr>
            <w:r>
              <w:rPr>
                <w:rStyle w:val="93"/>
                <w:rFonts w:hint="eastAsia"/>
                <w:color w:val="auto"/>
                <w:sz w:val="21"/>
                <w:szCs w:val="21"/>
              </w:rPr>
              <w:t>总承包部在工程竣工验收前，将施工资料整理汇总完成，交业主和监理单位验收，并提请业主组织档案馆进行工程档案预验收，取得《建设工程竣工档案预验收意见》。工程竣工后，在合同约定的时间内与业主办理施工资料移交。</w:t>
            </w:r>
          </w:p>
        </w:tc>
      </w:tr>
    </w:tbl>
    <w:p w14:paraId="0A94AFB8">
      <w:pPr>
        <w:pStyle w:val="5"/>
        <w:rPr>
          <w:color w:val="auto"/>
        </w:rPr>
      </w:pPr>
      <w:bookmarkStart w:id="292" w:name="_Toc202510514"/>
      <w:bookmarkStart w:id="293" w:name="_Toc4655"/>
      <w:bookmarkStart w:id="294" w:name="_Toc166339893"/>
      <w:bookmarkStart w:id="295" w:name="_Toc166086505"/>
      <w:bookmarkStart w:id="296" w:name="_Toc165965893"/>
      <w:r>
        <w:rPr>
          <w:rFonts w:hint="eastAsia"/>
          <w:color w:val="auto"/>
        </w:rPr>
        <w:t>项目文件管理</w:t>
      </w:r>
      <w:bookmarkEnd w:id="292"/>
      <w:bookmarkEnd w:id="293"/>
      <w:bookmarkEnd w:id="294"/>
      <w:bookmarkEnd w:id="295"/>
      <w:bookmarkEnd w:id="296"/>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8"/>
        <w:gridCol w:w="1508"/>
        <w:gridCol w:w="6684"/>
      </w:tblGrid>
      <w:tr w14:paraId="77A85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jc w:val="center"/>
        </w:trPr>
        <w:tc>
          <w:tcPr>
            <w:tcW w:w="479" w:type="pct"/>
            <w:vAlign w:val="center"/>
          </w:tcPr>
          <w:p w14:paraId="0525D667">
            <w:pPr>
              <w:pStyle w:val="92"/>
              <w:snapToGrid/>
              <w:spacing w:line="240" w:lineRule="auto"/>
              <w:rPr>
                <w:rStyle w:val="93"/>
                <w:color w:val="auto"/>
                <w:sz w:val="21"/>
                <w:szCs w:val="21"/>
              </w:rPr>
            </w:pPr>
            <w:r>
              <w:rPr>
                <w:rStyle w:val="93"/>
                <w:rFonts w:hint="eastAsia"/>
                <w:color w:val="auto"/>
                <w:sz w:val="21"/>
                <w:szCs w:val="21"/>
              </w:rPr>
              <w:t>序号</w:t>
            </w:r>
          </w:p>
        </w:tc>
        <w:tc>
          <w:tcPr>
            <w:tcW w:w="832" w:type="pct"/>
            <w:vAlign w:val="center"/>
          </w:tcPr>
          <w:p w14:paraId="179ED582">
            <w:pPr>
              <w:pStyle w:val="92"/>
              <w:snapToGrid/>
              <w:spacing w:line="240" w:lineRule="auto"/>
              <w:rPr>
                <w:rStyle w:val="93"/>
                <w:color w:val="auto"/>
                <w:sz w:val="21"/>
                <w:szCs w:val="21"/>
              </w:rPr>
            </w:pPr>
            <w:r>
              <w:rPr>
                <w:rStyle w:val="93"/>
                <w:rFonts w:hint="eastAsia"/>
                <w:color w:val="auto"/>
                <w:sz w:val="21"/>
                <w:szCs w:val="21"/>
              </w:rPr>
              <w:t>项目</w:t>
            </w:r>
          </w:p>
        </w:tc>
        <w:tc>
          <w:tcPr>
            <w:tcW w:w="3689" w:type="pct"/>
            <w:vAlign w:val="center"/>
          </w:tcPr>
          <w:p w14:paraId="43719685">
            <w:pPr>
              <w:pStyle w:val="92"/>
              <w:snapToGrid/>
              <w:spacing w:line="240" w:lineRule="auto"/>
              <w:rPr>
                <w:rStyle w:val="93"/>
                <w:color w:val="auto"/>
                <w:sz w:val="21"/>
                <w:szCs w:val="21"/>
              </w:rPr>
            </w:pPr>
            <w:r>
              <w:rPr>
                <w:rStyle w:val="93"/>
                <w:rFonts w:hint="eastAsia"/>
                <w:color w:val="auto"/>
                <w:sz w:val="21"/>
                <w:szCs w:val="21"/>
              </w:rPr>
              <w:t>内容</w:t>
            </w:r>
          </w:p>
        </w:tc>
      </w:tr>
      <w:tr w14:paraId="6150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vAlign w:val="center"/>
          </w:tcPr>
          <w:p w14:paraId="0F69E941">
            <w:pPr>
              <w:pStyle w:val="92"/>
              <w:snapToGrid/>
              <w:spacing w:line="240" w:lineRule="auto"/>
              <w:rPr>
                <w:rStyle w:val="93"/>
                <w:color w:val="auto"/>
                <w:sz w:val="21"/>
                <w:szCs w:val="21"/>
              </w:rPr>
            </w:pPr>
            <w:r>
              <w:rPr>
                <w:rStyle w:val="93"/>
                <w:color w:val="auto"/>
                <w:sz w:val="21"/>
                <w:szCs w:val="21"/>
              </w:rPr>
              <w:t>1</w:t>
            </w:r>
          </w:p>
        </w:tc>
        <w:tc>
          <w:tcPr>
            <w:tcW w:w="832" w:type="pct"/>
            <w:vAlign w:val="center"/>
          </w:tcPr>
          <w:p w14:paraId="6D262C91">
            <w:pPr>
              <w:pStyle w:val="92"/>
              <w:snapToGrid/>
              <w:spacing w:line="240" w:lineRule="auto"/>
              <w:rPr>
                <w:rStyle w:val="93"/>
                <w:color w:val="auto"/>
                <w:sz w:val="21"/>
                <w:szCs w:val="21"/>
              </w:rPr>
            </w:pPr>
            <w:r>
              <w:rPr>
                <w:rStyle w:val="93"/>
                <w:rFonts w:hint="eastAsia"/>
                <w:color w:val="auto"/>
                <w:sz w:val="21"/>
                <w:szCs w:val="21"/>
              </w:rPr>
              <w:t>项目收文管理</w:t>
            </w:r>
          </w:p>
        </w:tc>
        <w:tc>
          <w:tcPr>
            <w:tcW w:w="3689" w:type="pct"/>
            <w:vAlign w:val="center"/>
          </w:tcPr>
          <w:p w14:paraId="6C889B3A">
            <w:pPr>
              <w:pStyle w:val="67"/>
              <w:ind w:firstLine="420"/>
              <w:rPr>
                <w:rStyle w:val="93"/>
                <w:rFonts w:hint="eastAsia"/>
                <w:color w:val="auto"/>
                <w:sz w:val="21"/>
                <w:szCs w:val="21"/>
              </w:rPr>
            </w:pPr>
            <w:r>
              <w:rPr>
                <w:rStyle w:val="93"/>
                <w:color w:val="auto"/>
                <w:sz w:val="21"/>
                <w:szCs w:val="21"/>
              </w:rPr>
              <w:t>1</w:t>
            </w:r>
            <w:r>
              <w:rPr>
                <w:rStyle w:val="93"/>
                <w:rFonts w:hint="eastAsia"/>
                <w:color w:val="auto"/>
                <w:sz w:val="21"/>
                <w:szCs w:val="21"/>
              </w:rPr>
              <w:t>、项目部收到上级及其它单位文件后，由项目资料员交于项目经理审核。确认无误后进行签收并统一进行管理，填写收文登记簿，然后填写文件阅办单交项目经理批准，阅办单必须并明示如下事项：</w:t>
            </w:r>
          </w:p>
          <w:p w14:paraId="4FB7F748">
            <w:pPr>
              <w:pStyle w:val="67"/>
              <w:ind w:firstLine="420"/>
              <w:rPr>
                <w:rStyle w:val="93"/>
                <w:rFonts w:hint="eastAsia"/>
                <w:color w:val="auto"/>
                <w:sz w:val="21"/>
                <w:szCs w:val="21"/>
              </w:rPr>
            </w:pPr>
            <w:r>
              <w:rPr>
                <w:rStyle w:val="93"/>
                <w:color w:val="auto"/>
                <w:sz w:val="21"/>
                <w:szCs w:val="21"/>
              </w:rPr>
              <w:t>1</w:t>
            </w:r>
            <w:r>
              <w:rPr>
                <w:rStyle w:val="93"/>
                <w:rFonts w:hint="eastAsia"/>
                <w:color w:val="auto"/>
                <w:sz w:val="21"/>
                <w:szCs w:val="21"/>
              </w:rPr>
              <w:t>）指定该文件内容由谁负责办理。</w:t>
            </w:r>
          </w:p>
          <w:p w14:paraId="5F965EB2">
            <w:pPr>
              <w:pStyle w:val="67"/>
              <w:ind w:firstLine="420"/>
              <w:rPr>
                <w:rStyle w:val="93"/>
                <w:rFonts w:hint="eastAsia"/>
                <w:color w:val="auto"/>
                <w:sz w:val="21"/>
                <w:szCs w:val="21"/>
              </w:rPr>
            </w:pPr>
            <w:r>
              <w:rPr>
                <w:rStyle w:val="93"/>
                <w:color w:val="auto"/>
                <w:sz w:val="21"/>
                <w:szCs w:val="21"/>
              </w:rPr>
              <w:t>2</w:t>
            </w:r>
            <w:r>
              <w:rPr>
                <w:rStyle w:val="93"/>
                <w:rFonts w:hint="eastAsia"/>
                <w:color w:val="auto"/>
                <w:sz w:val="21"/>
                <w:szCs w:val="21"/>
              </w:rPr>
              <w:t>）指定该文件必须复印发给哪些相关人员，并做好发文登记。</w:t>
            </w:r>
          </w:p>
          <w:p w14:paraId="26BBAED4">
            <w:pPr>
              <w:pStyle w:val="67"/>
              <w:ind w:firstLine="420"/>
              <w:rPr>
                <w:rStyle w:val="93"/>
                <w:rFonts w:hint="eastAsia"/>
                <w:color w:val="auto"/>
                <w:sz w:val="21"/>
                <w:szCs w:val="21"/>
              </w:rPr>
            </w:pPr>
            <w:r>
              <w:rPr>
                <w:rStyle w:val="93"/>
                <w:color w:val="auto"/>
                <w:sz w:val="21"/>
                <w:szCs w:val="21"/>
              </w:rPr>
              <w:t>3</w:t>
            </w:r>
            <w:r>
              <w:rPr>
                <w:rStyle w:val="93"/>
                <w:rFonts w:hint="eastAsia"/>
                <w:color w:val="auto"/>
                <w:sz w:val="21"/>
                <w:szCs w:val="21"/>
              </w:rPr>
              <w:t>）指定该文件必须由哪些相关人员传阅，阅后必须签字。</w:t>
            </w:r>
          </w:p>
          <w:p w14:paraId="092EBE88">
            <w:pPr>
              <w:pStyle w:val="67"/>
              <w:ind w:firstLine="420"/>
              <w:rPr>
                <w:rStyle w:val="93"/>
                <w:rFonts w:hint="eastAsia"/>
                <w:color w:val="auto"/>
                <w:sz w:val="21"/>
                <w:szCs w:val="21"/>
              </w:rPr>
            </w:pPr>
            <w:r>
              <w:rPr>
                <w:rStyle w:val="93"/>
                <w:color w:val="auto"/>
                <w:sz w:val="21"/>
                <w:szCs w:val="21"/>
              </w:rPr>
              <w:t>2</w:t>
            </w:r>
            <w:r>
              <w:rPr>
                <w:rStyle w:val="93"/>
                <w:rFonts w:hint="eastAsia"/>
                <w:color w:val="auto"/>
                <w:sz w:val="21"/>
                <w:szCs w:val="21"/>
              </w:rPr>
              <w:t>、收到图纸、变更单，第一时间交于项目经理、总工审核，确认无误后资料员根据要求统一印发到相关人员，及各分包单位；做好发文登记工作。</w:t>
            </w:r>
          </w:p>
        </w:tc>
      </w:tr>
      <w:tr w14:paraId="7F25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9" w:type="pct"/>
            <w:vAlign w:val="center"/>
          </w:tcPr>
          <w:p w14:paraId="572D1868">
            <w:pPr>
              <w:pStyle w:val="92"/>
              <w:snapToGrid/>
              <w:spacing w:line="240" w:lineRule="auto"/>
              <w:rPr>
                <w:rStyle w:val="93"/>
                <w:color w:val="auto"/>
                <w:sz w:val="21"/>
                <w:szCs w:val="21"/>
              </w:rPr>
            </w:pPr>
            <w:r>
              <w:rPr>
                <w:rStyle w:val="93"/>
                <w:color w:val="auto"/>
                <w:sz w:val="21"/>
                <w:szCs w:val="21"/>
              </w:rPr>
              <w:t>2</w:t>
            </w:r>
          </w:p>
        </w:tc>
        <w:tc>
          <w:tcPr>
            <w:tcW w:w="832" w:type="pct"/>
            <w:vAlign w:val="center"/>
          </w:tcPr>
          <w:p w14:paraId="780E1F73">
            <w:pPr>
              <w:pStyle w:val="92"/>
              <w:snapToGrid/>
              <w:spacing w:line="240" w:lineRule="auto"/>
              <w:rPr>
                <w:rStyle w:val="93"/>
                <w:color w:val="auto"/>
                <w:sz w:val="21"/>
                <w:szCs w:val="21"/>
              </w:rPr>
            </w:pPr>
            <w:r>
              <w:rPr>
                <w:rStyle w:val="93"/>
                <w:rFonts w:hint="eastAsia"/>
                <w:color w:val="auto"/>
                <w:sz w:val="21"/>
                <w:szCs w:val="21"/>
              </w:rPr>
              <w:t>项目函件的管理</w:t>
            </w:r>
          </w:p>
        </w:tc>
        <w:tc>
          <w:tcPr>
            <w:tcW w:w="3689" w:type="pct"/>
            <w:vAlign w:val="center"/>
          </w:tcPr>
          <w:p w14:paraId="50D97E88">
            <w:pPr>
              <w:pStyle w:val="67"/>
              <w:ind w:firstLine="420"/>
              <w:rPr>
                <w:rStyle w:val="93"/>
                <w:rFonts w:hint="eastAsia"/>
                <w:color w:val="auto"/>
                <w:sz w:val="21"/>
                <w:szCs w:val="21"/>
              </w:rPr>
            </w:pPr>
            <w:r>
              <w:rPr>
                <w:rStyle w:val="93"/>
                <w:rFonts w:hint="eastAsia"/>
                <w:color w:val="auto"/>
                <w:sz w:val="21"/>
                <w:szCs w:val="21"/>
              </w:rPr>
              <w:t>项目函件指项目对业主、监理公司的各类报告、函件，对分包方的各种函件等。</w:t>
            </w:r>
          </w:p>
          <w:p w14:paraId="42D7F5B5">
            <w:pPr>
              <w:pStyle w:val="67"/>
              <w:ind w:firstLine="420"/>
              <w:rPr>
                <w:rStyle w:val="93"/>
                <w:rFonts w:hint="eastAsia"/>
                <w:color w:val="auto"/>
                <w:sz w:val="21"/>
                <w:szCs w:val="21"/>
              </w:rPr>
            </w:pPr>
            <w:r>
              <w:rPr>
                <w:rStyle w:val="93"/>
                <w:color w:val="auto"/>
                <w:sz w:val="21"/>
                <w:szCs w:val="21"/>
              </w:rPr>
              <w:t>1</w:t>
            </w:r>
            <w:r>
              <w:rPr>
                <w:rStyle w:val="93"/>
                <w:rFonts w:hint="eastAsia"/>
                <w:color w:val="auto"/>
                <w:sz w:val="21"/>
                <w:szCs w:val="21"/>
              </w:rPr>
              <w:t>）文件分类编码：</w:t>
            </w:r>
          </w:p>
          <w:p w14:paraId="71F9F379">
            <w:pPr>
              <w:pStyle w:val="92"/>
              <w:snapToGrid/>
              <w:spacing w:line="240" w:lineRule="auto"/>
              <w:rPr>
                <w:rStyle w:val="93"/>
                <w:color w:val="auto"/>
                <w:sz w:val="21"/>
                <w:szCs w:val="21"/>
              </w:rPr>
            </w:pPr>
            <w:r>
              <w:rPr>
                <w:rStyle w:val="93"/>
                <w:snapToGrid/>
                <w:color w:val="auto"/>
                <w:sz w:val="21"/>
                <w:szCs w:val="21"/>
              </w:rPr>
              <w:drawing>
                <wp:inline distT="0" distB="0" distL="114300" distR="114300">
                  <wp:extent cx="3429000" cy="913765"/>
                  <wp:effectExtent l="0" t="0" r="0" b="635"/>
                  <wp:docPr id="67"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21"/>
                          <pic:cNvPicPr>
                            <a:picLocks noChangeAspect="1"/>
                          </pic:cNvPicPr>
                        </pic:nvPicPr>
                        <pic:blipFill>
                          <a:blip r:embed="rId196"/>
                          <a:stretch>
                            <a:fillRect/>
                          </a:stretch>
                        </pic:blipFill>
                        <pic:spPr>
                          <a:xfrm>
                            <a:off x="0" y="0"/>
                            <a:ext cx="3429000" cy="913765"/>
                          </a:xfrm>
                          <a:prstGeom prst="rect">
                            <a:avLst/>
                          </a:prstGeom>
                          <a:noFill/>
                          <a:ln>
                            <a:noFill/>
                          </a:ln>
                        </pic:spPr>
                      </pic:pic>
                    </a:graphicData>
                  </a:graphic>
                </wp:inline>
              </w:drawing>
            </w:r>
          </w:p>
          <w:p w14:paraId="1CFE572E">
            <w:pPr>
              <w:pStyle w:val="67"/>
              <w:ind w:firstLine="420"/>
              <w:rPr>
                <w:rStyle w:val="93"/>
                <w:rFonts w:hint="eastAsia"/>
                <w:color w:val="auto"/>
                <w:sz w:val="21"/>
                <w:szCs w:val="21"/>
              </w:rPr>
            </w:pPr>
            <w:r>
              <w:rPr>
                <w:rStyle w:val="93"/>
                <w:color w:val="auto"/>
                <w:sz w:val="21"/>
                <w:szCs w:val="21"/>
              </w:rPr>
              <w:t>2</w:t>
            </w:r>
            <w:r>
              <w:rPr>
                <w:rStyle w:val="93"/>
                <w:rFonts w:hint="eastAsia"/>
                <w:color w:val="auto"/>
                <w:sz w:val="21"/>
                <w:szCs w:val="21"/>
              </w:rPr>
              <w:t>）文件编制的格式及要求：</w:t>
            </w:r>
          </w:p>
          <w:p w14:paraId="64633AAD">
            <w:pPr>
              <w:pStyle w:val="67"/>
              <w:ind w:firstLine="420"/>
              <w:rPr>
                <w:rStyle w:val="93"/>
                <w:rFonts w:hint="eastAsia"/>
                <w:color w:val="auto"/>
                <w:sz w:val="21"/>
                <w:szCs w:val="21"/>
              </w:rPr>
            </w:pPr>
            <w:r>
              <w:rPr>
                <w:rStyle w:val="93"/>
                <w:rFonts w:hint="eastAsia"/>
                <w:color w:val="auto"/>
                <w:sz w:val="21"/>
                <w:szCs w:val="21"/>
              </w:rPr>
              <w:t>文件的编号：技术部编号</w:t>
            </w:r>
            <w:r>
              <w:rPr>
                <w:rStyle w:val="93"/>
                <w:color w:val="auto"/>
                <w:sz w:val="21"/>
                <w:szCs w:val="21"/>
              </w:rPr>
              <w:t xml:space="preserve"> </w:t>
            </w:r>
            <w:r>
              <w:rPr>
                <w:rStyle w:val="93"/>
                <w:rFonts w:hint="eastAsia"/>
                <w:color w:val="auto"/>
                <w:sz w:val="21"/>
                <w:szCs w:val="21"/>
              </w:rPr>
              <w:t>项目名称拼音缩写</w:t>
            </w:r>
            <w:r>
              <w:rPr>
                <w:rStyle w:val="93"/>
                <w:color w:val="auto"/>
                <w:sz w:val="21"/>
                <w:szCs w:val="21"/>
              </w:rPr>
              <w:t xml:space="preserve">-JS-** </w:t>
            </w:r>
            <w:r>
              <w:rPr>
                <w:rStyle w:val="93"/>
                <w:rFonts w:hint="eastAsia"/>
                <w:color w:val="auto"/>
                <w:sz w:val="21"/>
                <w:szCs w:val="21"/>
              </w:rPr>
              <w:t>商务部编号项目名称拼音缩写</w:t>
            </w:r>
            <w:r>
              <w:rPr>
                <w:rStyle w:val="93"/>
                <w:color w:val="auto"/>
                <w:sz w:val="21"/>
                <w:szCs w:val="21"/>
              </w:rPr>
              <w:t xml:space="preserve">SW-** </w:t>
            </w:r>
            <w:r>
              <w:rPr>
                <w:rStyle w:val="93"/>
                <w:rFonts w:hint="eastAsia"/>
                <w:color w:val="auto"/>
                <w:sz w:val="21"/>
                <w:szCs w:val="21"/>
              </w:rPr>
              <w:t>，由小到大进行编号统一填写，位数</w:t>
            </w:r>
            <w:r>
              <w:rPr>
                <w:rStyle w:val="93"/>
                <w:color w:val="auto"/>
                <w:sz w:val="21"/>
                <w:szCs w:val="21"/>
              </w:rPr>
              <w:t xml:space="preserve"> 001-999</w:t>
            </w:r>
            <w:r>
              <w:rPr>
                <w:rStyle w:val="93"/>
                <w:rFonts w:hint="eastAsia"/>
                <w:color w:val="auto"/>
                <w:sz w:val="21"/>
                <w:szCs w:val="21"/>
              </w:rPr>
              <w:t>，如有增加另行确认。</w:t>
            </w:r>
          </w:p>
          <w:p w14:paraId="4DCEFD2D">
            <w:pPr>
              <w:pStyle w:val="67"/>
              <w:ind w:firstLine="420"/>
              <w:rPr>
                <w:rStyle w:val="93"/>
                <w:rFonts w:hint="eastAsia"/>
                <w:color w:val="auto"/>
                <w:sz w:val="21"/>
                <w:szCs w:val="21"/>
              </w:rPr>
            </w:pPr>
            <w:r>
              <w:rPr>
                <w:rStyle w:val="93"/>
                <w:color w:val="auto"/>
                <w:sz w:val="21"/>
                <w:szCs w:val="21"/>
              </w:rPr>
              <w:t>3</w:t>
            </w:r>
            <w:r>
              <w:rPr>
                <w:rStyle w:val="93"/>
                <w:rFonts w:hint="eastAsia"/>
                <w:color w:val="auto"/>
                <w:sz w:val="21"/>
                <w:szCs w:val="21"/>
              </w:rPr>
              <w:t>）文件打印及分发：</w:t>
            </w:r>
          </w:p>
          <w:p w14:paraId="18D38AA1">
            <w:pPr>
              <w:pStyle w:val="67"/>
              <w:ind w:firstLine="420"/>
              <w:rPr>
                <w:rStyle w:val="93"/>
                <w:rFonts w:hint="eastAsia"/>
                <w:color w:val="auto"/>
                <w:sz w:val="21"/>
                <w:szCs w:val="21"/>
              </w:rPr>
            </w:pPr>
            <w:r>
              <w:rPr>
                <w:rStyle w:val="93"/>
                <w:rFonts w:hint="eastAsia"/>
                <w:color w:val="auto"/>
                <w:sz w:val="21"/>
                <w:szCs w:val="21"/>
              </w:rPr>
              <w:t>由项目资料员统一打印分发，并留一份存档，做好发文登记工作，对业主及监理收</w:t>
            </w:r>
          </w:p>
          <w:p w14:paraId="067A0FD1">
            <w:pPr>
              <w:pStyle w:val="67"/>
              <w:ind w:firstLine="420"/>
              <w:rPr>
                <w:rStyle w:val="93"/>
                <w:rFonts w:hint="eastAsia"/>
                <w:color w:val="auto"/>
                <w:sz w:val="21"/>
                <w:szCs w:val="21"/>
              </w:rPr>
            </w:pPr>
            <w:r>
              <w:rPr>
                <w:rStyle w:val="93"/>
                <w:rFonts w:hint="eastAsia"/>
                <w:color w:val="auto"/>
                <w:sz w:val="21"/>
                <w:szCs w:val="21"/>
              </w:rPr>
              <w:t>发文每个月进行汇总，同时项目收发文件均要列入项目资料管理台帐，以便备查。</w:t>
            </w:r>
            <w:r>
              <w:rPr>
                <w:rStyle w:val="93"/>
                <w:color w:val="auto"/>
                <w:sz w:val="21"/>
                <w:szCs w:val="21"/>
              </w:rPr>
              <w:t>19</w:t>
            </w:r>
          </w:p>
          <w:p w14:paraId="13BD89CA">
            <w:pPr>
              <w:pStyle w:val="67"/>
              <w:ind w:firstLine="420"/>
              <w:rPr>
                <w:rStyle w:val="93"/>
                <w:rFonts w:hint="eastAsia"/>
                <w:color w:val="auto"/>
                <w:sz w:val="21"/>
                <w:szCs w:val="21"/>
              </w:rPr>
            </w:pPr>
            <w:r>
              <w:rPr>
                <w:rStyle w:val="93"/>
                <w:color w:val="auto"/>
                <w:sz w:val="21"/>
                <w:szCs w:val="21"/>
              </w:rPr>
              <w:t>4</w:t>
            </w:r>
            <w:r>
              <w:rPr>
                <w:rStyle w:val="93"/>
                <w:rFonts w:hint="eastAsia"/>
                <w:color w:val="auto"/>
                <w:sz w:val="21"/>
                <w:szCs w:val="21"/>
              </w:rPr>
              <w:t>）文件批准：</w:t>
            </w:r>
          </w:p>
          <w:p w14:paraId="695BBB16">
            <w:pPr>
              <w:pStyle w:val="67"/>
              <w:ind w:firstLine="420"/>
              <w:rPr>
                <w:rStyle w:val="93"/>
                <w:rFonts w:hint="eastAsia"/>
                <w:color w:val="auto"/>
                <w:sz w:val="21"/>
                <w:szCs w:val="21"/>
              </w:rPr>
            </w:pPr>
            <w:r>
              <w:rPr>
                <w:rStyle w:val="93"/>
                <w:rFonts w:hint="eastAsia"/>
                <w:color w:val="auto"/>
                <w:sz w:val="21"/>
                <w:szCs w:val="21"/>
              </w:rPr>
              <w:t>项目部各类文件统一由项目经理批准。</w:t>
            </w:r>
          </w:p>
        </w:tc>
      </w:tr>
    </w:tbl>
    <w:p w14:paraId="4CFEBCA7">
      <w:pPr>
        <w:pStyle w:val="5"/>
        <w:rPr>
          <w:color w:val="auto"/>
        </w:rPr>
      </w:pPr>
      <w:bookmarkStart w:id="297" w:name="_Toc7114"/>
      <w:bookmarkStart w:id="298" w:name="_Toc202510515"/>
      <w:bookmarkStart w:id="299" w:name="_Toc166086506"/>
      <w:bookmarkStart w:id="300" w:name="_Toc166339894"/>
      <w:bookmarkStart w:id="301" w:name="_Toc165965894"/>
      <w:r>
        <w:rPr>
          <w:rFonts w:hint="eastAsia"/>
          <w:color w:val="auto"/>
        </w:rPr>
        <w:t>项目工程影像资料管理</w:t>
      </w:r>
      <w:bookmarkEnd w:id="297"/>
      <w:bookmarkEnd w:id="298"/>
    </w:p>
    <w:bookmarkEnd w:id="299"/>
    <w:bookmarkEnd w:id="300"/>
    <w:bookmarkEnd w:id="301"/>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7931"/>
      </w:tblGrid>
      <w:tr w14:paraId="61DEB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000" w:type="pct"/>
            <w:gridSpan w:val="2"/>
            <w:vAlign w:val="center"/>
          </w:tcPr>
          <w:p w14:paraId="63983965">
            <w:pPr>
              <w:spacing w:line="240" w:lineRule="auto"/>
              <w:ind w:firstLine="0" w:firstLineChars="0"/>
              <w:jc w:val="center"/>
              <w:rPr>
                <w:rStyle w:val="93"/>
                <w:color w:val="auto"/>
                <w:sz w:val="21"/>
                <w:szCs w:val="21"/>
              </w:rPr>
            </w:pPr>
            <w:r>
              <w:rPr>
                <w:rStyle w:val="93"/>
                <w:rFonts w:hint="eastAsia"/>
                <w:color w:val="auto"/>
                <w:sz w:val="21"/>
                <w:szCs w:val="21"/>
              </w:rPr>
              <w:t>管理内容</w:t>
            </w:r>
          </w:p>
        </w:tc>
      </w:tr>
      <w:tr w14:paraId="38FD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3" w:type="pct"/>
            <w:vAlign w:val="center"/>
          </w:tcPr>
          <w:p w14:paraId="37789E24">
            <w:pPr>
              <w:spacing w:line="240" w:lineRule="auto"/>
              <w:ind w:firstLine="0" w:firstLineChars="0"/>
              <w:jc w:val="center"/>
              <w:rPr>
                <w:rStyle w:val="93"/>
                <w:color w:val="auto"/>
                <w:sz w:val="21"/>
                <w:szCs w:val="21"/>
              </w:rPr>
            </w:pPr>
            <w:r>
              <w:rPr>
                <w:rStyle w:val="93"/>
                <w:rFonts w:hint="eastAsia"/>
                <w:color w:val="auto"/>
                <w:sz w:val="21"/>
                <w:szCs w:val="21"/>
              </w:rPr>
              <w:t>资源</w:t>
            </w:r>
          </w:p>
          <w:p w14:paraId="29578D04">
            <w:pPr>
              <w:spacing w:line="240" w:lineRule="auto"/>
              <w:ind w:firstLine="0" w:firstLineChars="0"/>
              <w:jc w:val="center"/>
              <w:rPr>
                <w:rStyle w:val="93"/>
                <w:color w:val="auto"/>
                <w:sz w:val="21"/>
                <w:szCs w:val="21"/>
              </w:rPr>
            </w:pPr>
            <w:r>
              <w:rPr>
                <w:rStyle w:val="93"/>
                <w:rFonts w:hint="eastAsia"/>
                <w:color w:val="auto"/>
                <w:sz w:val="21"/>
                <w:szCs w:val="21"/>
              </w:rPr>
              <w:t>配备</w:t>
            </w:r>
          </w:p>
        </w:tc>
        <w:tc>
          <w:tcPr>
            <w:tcW w:w="4377" w:type="pct"/>
            <w:vAlign w:val="center"/>
          </w:tcPr>
          <w:p w14:paraId="1EC9A64D">
            <w:pPr>
              <w:spacing w:line="240" w:lineRule="auto"/>
              <w:ind w:firstLine="420"/>
              <w:rPr>
                <w:rStyle w:val="93"/>
                <w:color w:val="auto"/>
                <w:sz w:val="21"/>
                <w:szCs w:val="21"/>
              </w:rPr>
            </w:pPr>
            <w:r>
              <w:rPr>
                <w:rStyle w:val="93"/>
                <w:rFonts w:hint="eastAsia"/>
                <w:color w:val="auto"/>
                <w:sz w:val="21"/>
                <w:szCs w:val="21"/>
              </w:rPr>
              <w:t>总承包工程资料管理组负责实施工程声像资料的采集、管理，总承包为其配备可以满足需要的照相、摄像器材。总承包要求劳务队伍配备足够的资源，保证声像资料的收集。</w:t>
            </w:r>
          </w:p>
        </w:tc>
      </w:tr>
      <w:tr w14:paraId="0BE8D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3" w:type="pct"/>
            <w:vAlign w:val="center"/>
          </w:tcPr>
          <w:p w14:paraId="73541B81">
            <w:pPr>
              <w:spacing w:line="240" w:lineRule="auto"/>
              <w:ind w:firstLine="0" w:firstLineChars="0"/>
              <w:jc w:val="center"/>
              <w:rPr>
                <w:rStyle w:val="93"/>
                <w:color w:val="auto"/>
                <w:sz w:val="21"/>
                <w:szCs w:val="21"/>
              </w:rPr>
            </w:pPr>
            <w:r>
              <w:rPr>
                <w:rStyle w:val="93"/>
                <w:rFonts w:hint="eastAsia"/>
                <w:color w:val="auto"/>
                <w:sz w:val="21"/>
                <w:szCs w:val="21"/>
              </w:rPr>
              <w:t>声像资料采集计划</w:t>
            </w:r>
          </w:p>
        </w:tc>
        <w:tc>
          <w:tcPr>
            <w:tcW w:w="4377" w:type="pct"/>
            <w:vAlign w:val="center"/>
          </w:tcPr>
          <w:p w14:paraId="7CB020D7">
            <w:pPr>
              <w:spacing w:line="240" w:lineRule="auto"/>
              <w:ind w:firstLine="420"/>
              <w:rPr>
                <w:rStyle w:val="93"/>
                <w:color w:val="auto"/>
                <w:sz w:val="21"/>
                <w:szCs w:val="21"/>
              </w:rPr>
            </w:pPr>
            <w:r>
              <w:rPr>
                <w:rStyle w:val="93"/>
                <w:rFonts w:hint="eastAsia"/>
                <w:color w:val="auto"/>
                <w:sz w:val="21"/>
                <w:szCs w:val="21"/>
              </w:rPr>
              <w:t>总承包编制声像资料采集计划，计划要根据工程不同的施工阶段、不同的施工工艺和工程不同的功能区间进行编制，要注明拍摄内容（主题）、拍摄时间和图片（画面）要达到的具体效果，防止拍摄内容漏项。</w:t>
            </w:r>
          </w:p>
        </w:tc>
      </w:tr>
      <w:tr w14:paraId="3E86D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3" w:type="pct"/>
            <w:vAlign w:val="center"/>
          </w:tcPr>
          <w:p w14:paraId="7E9CA1FF">
            <w:pPr>
              <w:spacing w:line="240" w:lineRule="auto"/>
              <w:ind w:firstLine="0" w:firstLineChars="0"/>
              <w:jc w:val="center"/>
              <w:rPr>
                <w:rStyle w:val="93"/>
                <w:color w:val="auto"/>
                <w:sz w:val="21"/>
                <w:szCs w:val="21"/>
              </w:rPr>
            </w:pPr>
            <w:r>
              <w:rPr>
                <w:rStyle w:val="93"/>
                <w:rFonts w:hint="eastAsia"/>
                <w:color w:val="auto"/>
                <w:sz w:val="21"/>
                <w:szCs w:val="21"/>
              </w:rPr>
              <w:t>声像资料采集内容</w:t>
            </w:r>
          </w:p>
        </w:tc>
        <w:tc>
          <w:tcPr>
            <w:tcW w:w="4377" w:type="pct"/>
            <w:vAlign w:val="center"/>
          </w:tcPr>
          <w:p w14:paraId="59FF9F15">
            <w:pPr>
              <w:spacing w:line="240" w:lineRule="auto"/>
              <w:ind w:firstLine="420"/>
              <w:rPr>
                <w:rStyle w:val="93"/>
                <w:color w:val="auto"/>
                <w:sz w:val="21"/>
                <w:szCs w:val="21"/>
              </w:rPr>
            </w:pPr>
            <w:r>
              <w:rPr>
                <w:rStyle w:val="93"/>
                <w:rFonts w:hint="eastAsia"/>
                <w:color w:val="auto"/>
                <w:sz w:val="21"/>
                <w:szCs w:val="21"/>
              </w:rPr>
              <w:t>在整个工程中，对施工前的原貌；建成后的新貌；各施工阶段的关键工序、特殊工序以及有代表性的隐蔽工程；采用的新施工技术和新建筑材料的施工过程；重要的会议（开工、竣工、验收等）、重大活动（奠基、领导视察等）等都要留有音像资料。每一检验批验收时，要拍照。每张照片配有简单的文字材料，能准确说明照片内容，包括照片名称、顺序号、类型、位置、时间等。分项工程、单位工程要留存专题录像片，音像资料要附有文字性说明。</w:t>
            </w:r>
          </w:p>
        </w:tc>
      </w:tr>
      <w:tr w14:paraId="00E4A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23" w:type="pct"/>
            <w:vAlign w:val="center"/>
          </w:tcPr>
          <w:p w14:paraId="559CA7B6">
            <w:pPr>
              <w:spacing w:line="240" w:lineRule="auto"/>
              <w:ind w:firstLine="0" w:firstLineChars="0"/>
              <w:jc w:val="center"/>
              <w:rPr>
                <w:rStyle w:val="93"/>
                <w:color w:val="auto"/>
                <w:sz w:val="21"/>
                <w:szCs w:val="21"/>
              </w:rPr>
            </w:pPr>
            <w:r>
              <w:rPr>
                <w:rStyle w:val="93"/>
                <w:rFonts w:hint="eastAsia"/>
                <w:color w:val="auto"/>
                <w:sz w:val="21"/>
                <w:szCs w:val="21"/>
              </w:rPr>
              <w:t>后期</w:t>
            </w:r>
          </w:p>
          <w:p w14:paraId="75DAC269">
            <w:pPr>
              <w:spacing w:line="240" w:lineRule="auto"/>
              <w:ind w:firstLine="0" w:firstLineChars="0"/>
              <w:jc w:val="center"/>
              <w:rPr>
                <w:rStyle w:val="93"/>
                <w:color w:val="auto"/>
                <w:sz w:val="21"/>
                <w:szCs w:val="21"/>
              </w:rPr>
            </w:pPr>
            <w:r>
              <w:rPr>
                <w:rStyle w:val="93"/>
                <w:rFonts w:hint="eastAsia"/>
                <w:color w:val="auto"/>
                <w:sz w:val="21"/>
                <w:szCs w:val="21"/>
              </w:rPr>
              <w:t>制作</w:t>
            </w:r>
          </w:p>
        </w:tc>
        <w:tc>
          <w:tcPr>
            <w:tcW w:w="4377" w:type="pct"/>
            <w:vAlign w:val="center"/>
          </w:tcPr>
          <w:p w14:paraId="6461396B">
            <w:pPr>
              <w:spacing w:line="240" w:lineRule="auto"/>
              <w:ind w:firstLine="420"/>
              <w:rPr>
                <w:rStyle w:val="93"/>
                <w:color w:val="auto"/>
                <w:sz w:val="21"/>
                <w:szCs w:val="21"/>
              </w:rPr>
            </w:pPr>
            <w:r>
              <w:rPr>
                <w:rStyle w:val="93"/>
                <w:rFonts w:hint="eastAsia"/>
                <w:color w:val="auto"/>
                <w:sz w:val="21"/>
                <w:szCs w:val="21"/>
              </w:rPr>
              <w:t>为迎接评审，总承包将在后期聘请专业人士制作多媒体声像资料。</w:t>
            </w:r>
          </w:p>
        </w:tc>
      </w:tr>
    </w:tbl>
    <w:p w14:paraId="5DF5E345">
      <w:pPr>
        <w:pStyle w:val="5"/>
        <w:rPr>
          <w:color w:val="auto"/>
        </w:rPr>
      </w:pPr>
      <w:bookmarkStart w:id="302" w:name="_Toc11361"/>
      <w:bookmarkStart w:id="303" w:name="_Toc202510516"/>
      <w:bookmarkStart w:id="304" w:name="_Toc165965895"/>
      <w:bookmarkStart w:id="305" w:name="_Toc166339895"/>
      <w:bookmarkStart w:id="306" w:name="_Toc166086507"/>
      <w:r>
        <w:rPr>
          <w:rFonts w:hint="eastAsia"/>
          <w:color w:val="auto"/>
        </w:rPr>
        <w:t>施工归档记录的监督检查</w:t>
      </w:r>
      <w:bookmarkEnd w:id="302"/>
      <w:bookmarkEnd w:id="303"/>
    </w:p>
    <w:bookmarkEnd w:id="304"/>
    <w:bookmarkEnd w:id="305"/>
    <w:bookmarkEnd w:id="306"/>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8185"/>
      </w:tblGrid>
      <w:tr w14:paraId="52DB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83" w:type="pct"/>
            <w:vAlign w:val="center"/>
          </w:tcPr>
          <w:p w14:paraId="3D1CABA7">
            <w:pPr>
              <w:pStyle w:val="92"/>
              <w:snapToGrid/>
              <w:spacing w:line="240" w:lineRule="auto"/>
              <w:rPr>
                <w:rStyle w:val="93"/>
                <w:color w:val="auto"/>
                <w:sz w:val="21"/>
                <w:szCs w:val="21"/>
              </w:rPr>
            </w:pPr>
            <w:r>
              <w:rPr>
                <w:rStyle w:val="93"/>
                <w:rFonts w:hint="eastAsia"/>
                <w:color w:val="auto"/>
                <w:sz w:val="21"/>
                <w:szCs w:val="21"/>
              </w:rPr>
              <w:t>序号</w:t>
            </w:r>
          </w:p>
        </w:tc>
        <w:tc>
          <w:tcPr>
            <w:tcW w:w="4517" w:type="pct"/>
            <w:vAlign w:val="center"/>
          </w:tcPr>
          <w:p w14:paraId="0FF205F4">
            <w:pPr>
              <w:pStyle w:val="92"/>
              <w:snapToGrid/>
              <w:spacing w:line="240" w:lineRule="auto"/>
              <w:rPr>
                <w:rStyle w:val="93"/>
                <w:color w:val="auto"/>
                <w:sz w:val="21"/>
                <w:szCs w:val="21"/>
              </w:rPr>
            </w:pPr>
            <w:r>
              <w:rPr>
                <w:rStyle w:val="93"/>
                <w:rFonts w:hint="eastAsia"/>
                <w:color w:val="auto"/>
                <w:sz w:val="21"/>
                <w:szCs w:val="21"/>
              </w:rPr>
              <w:t>内容</w:t>
            </w:r>
          </w:p>
        </w:tc>
      </w:tr>
      <w:tr w14:paraId="1DFB8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3" w:type="pct"/>
            <w:vAlign w:val="center"/>
          </w:tcPr>
          <w:p w14:paraId="3C1EB68B">
            <w:pPr>
              <w:pStyle w:val="92"/>
              <w:snapToGrid/>
              <w:spacing w:line="240" w:lineRule="auto"/>
              <w:rPr>
                <w:rStyle w:val="93"/>
                <w:color w:val="auto"/>
                <w:sz w:val="21"/>
                <w:szCs w:val="21"/>
              </w:rPr>
            </w:pPr>
            <w:r>
              <w:rPr>
                <w:rStyle w:val="93"/>
                <w:color w:val="auto"/>
                <w:sz w:val="21"/>
                <w:szCs w:val="21"/>
              </w:rPr>
              <w:t>1</w:t>
            </w:r>
          </w:p>
        </w:tc>
        <w:tc>
          <w:tcPr>
            <w:tcW w:w="4517" w:type="pct"/>
            <w:vAlign w:val="center"/>
          </w:tcPr>
          <w:p w14:paraId="014DBA95">
            <w:pPr>
              <w:pStyle w:val="92"/>
              <w:snapToGrid/>
              <w:spacing w:line="240" w:lineRule="auto"/>
              <w:ind w:firstLine="420" w:firstLineChars="200"/>
              <w:jc w:val="both"/>
              <w:rPr>
                <w:rStyle w:val="93"/>
                <w:color w:val="auto"/>
                <w:sz w:val="21"/>
                <w:szCs w:val="21"/>
              </w:rPr>
            </w:pPr>
            <w:r>
              <w:rPr>
                <w:rStyle w:val="93"/>
                <w:rFonts w:hint="eastAsia"/>
                <w:color w:val="auto"/>
                <w:sz w:val="21"/>
                <w:szCs w:val="21"/>
              </w:rPr>
              <w:t>项目经理是第一责任人，负责对施工归档记录工作的监督，并将归档记录管理列入项目相关人员工作责任制，作为对管理人员考核评价依据之一。重点督促项目部人员当天资料当天完成（包括施工日志），以确保施工记录与工程项目同步。</w:t>
            </w:r>
          </w:p>
        </w:tc>
      </w:tr>
      <w:tr w14:paraId="22A09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3" w:type="pct"/>
            <w:vAlign w:val="center"/>
          </w:tcPr>
          <w:p w14:paraId="56BF724F">
            <w:pPr>
              <w:pStyle w:val="92"/>
              <w:snapToGrid/>
              <w:spacing w:line="240" w:lineRule="auto"/>
              <w:rPr>
                <w:rStyle w:val="93"/>
                <w:color w:val="auto"/>
                <w:sz w:val="21"/>
                <w:szCs w:val="21"/>
              </w:rPr>
            </w:pPr>
            <w:r>
              <w:rPr>
                <w:rStyle w:val="93"/>
                <w:color w:val="auto"/>
                <w:sz w:val="21"/>
                <w:szCs w:val="21"/>
              </w:rPr>
              <w:t>2</w:t>
            </w:r>
          </w:p>
        </w:tc>
        <w:tc>
          <w:tcPr>
            <w:tcW w:w="4517" w:type="pct"/>
            <w:vAlign w:val="center"/>
          </w:tcPr>
          <w:p w14:paraId="099134BB">
            <w:pPr>
              <w:pStyle w:val="92"/>
              <w:snapToGrid/>
              <w:spacing w:line="240" w:lineRule="auto"/>
              <w:ind w:firstLine="420" w:firstLineChars="200"/>
              <w:jc w:val="both"/>
              <w:rPr>
                <w:rStyle w:val="93"/>
                <w:color w:val="auto"/>
                <w:sz w:val="21"/>
                <w:szCs w:val="21"/>
              </w:rPr>
            </w:pPr>
            <w:r>
              <w:rPr>
                <w:rStyle w:val="93"/>
                <w:rFonts w:hint="eastAsia"/>
                <w:color w:val="auto"/>
                <w:sz w:val="21"/>
                <w:szCs w:val="21"/>
              </w:rPr>
              <w:t>项目技术负责人根据工程进度，对该各分部分项工程资料进行检查，对检查发现的问题及时督促相关人员在一个星期之内整改完毕，以确保工程各阶段验收时，施工归档记录达到公司初评的要求。</w:t>
            </w:r>
          </w:p>
        </w:tc>
      </w:tr>
    </w:tbl>
    <w:p w14:paraId="057345F4">
      <w:pPr>
        <w:pStyle w:val="89"/>
        <w:spacing w:before="32" w:beforeLines="10" w:after="32" w:afterLines="10" w:line="360" w:lineRule="auto"/>
        <w:ind w:firstLine="480"/>
        <w:rPr>
          <w:rFonts w:ascii="Times New Roman" w:cstheme="minorBidi"/>
          <w:color w:val="auto"/>
          <w:sz w:val="24"/>
          <w:szCs w:val="21"/>
        </w:rPr>
      </w:pPr>
      <w:r>
        <w:rPr>
          <w:rFonts w:hint="eastAsia" w:ascii="Times New Roman" w:cstheme="minorBidi"/>
          <w:color w:val="auto"/>
          <w:sz w:val="24"/>
          <w:szCs w:val="21"/>
        </w:rPr>
        <w:t>对监理单位报送的资料审批、签字手续应齐全，并进行发文登记，详细记录发文内容、日期、份数，接收人签字确认。对监理单位发来的资料应进行审查，查看审批、签字手续是否齐全，必要时分发至相关管理人员。</w:t>
      </w:r>
    </w:p>
    <w:p w14:paraId="324F441C">
      <w:pPr>
        <w:pStyle w:val="5"/>
        <w:rPr>
          <w:color w:val="auto"/>
        </w:rPr>
      </w:pPr>
      <w:bookmarkStart w:id="307" w:name="_Toc32145"/>
      <w:bookmarkStart w:id="308" w:name="_Toc202510517"/>
      <w:bookmarkStart w:id="309" w:name="_Toc165965896"/>
      <w:bookmarkStart w:id="310" w:name="_Toc166339896"/>
      <w:bookmarkStart w:id="311" w:name="_Toc166086508"/>
      <w:r>
        <w:rPr>
          <w:rFonts w:hint="eastAsia"/>
          <w:color w:val="auto"/>
        </w:rPr>
        <w:t>施工归档记录的验收与管理</w:t>
      </w:r>
      <w:bookmarkEnd w:id="307"/>
      <w:bookmarkEnd w:id="308"/>
    </w:p>
    <w:bookmarkEnd w:id="309"/>
    <w:bookmarkEnd w:id="310"/>
    <w:bookmarkEnd w:id="311"/>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8125"/>
      </w:tblGrid>
      <w:tr w14:paraId="6F483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16" w:type="pct"/>
            <w:vAlign w:val="center"/>
          </w:tcPr>
          <w:p w14:paraId="25F4AEEE">
            <w:pPr>
              <w:spacing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序号</w:t>
            </w:r>
          </w:p>
        </w:tc>
        <w:tc>
          <w:tcPr>
            <w:tcW w:w="4484" w:type="pct"/>
            <w:vAlign w:val="center"/>
          </w:tcPr>
          <w:p w14:paraId="36E7A240">
            <w:pPr>
              <w:spacing w:line="240" w:lineRule="auto"/>
              <w:ind w:firstLine="0" w:firstLineChars="0"/>
              <w:jc w:val="center"/>
              <w:rPr>
                <w:rStyle w:val="93"/>
                <w:rFonts w:hint="eastAsia" w:ascii="宋体" w:hAnsi="宋体"/>
                <w:color w:val="auto"/>
                <w:sz w:val="21"/>
                <w:szCs w:val="21"/>
              </w:rPr>
            </w:pPr>
            <w:r>
              <w:rPr>
                <w:rStyle w:val="93"/>
                <w:rFonts w:hint="eastAsia" w:ascii="宋体" w:hAnsi="宋体"/>
                <w:color w:val="auto"/>
                <w:sz w:val="21"/>
                <w:szCs w:val="21"/>
              </w:rPr>
              <w:t>内容</w:t>
            </w:r>
          </w:p>
        </w:tc>
      </w:tr>
      <w:tr w14:paraId="07EA5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6" w:type="pct"/>
            <w:vAlign w:val="center"/>
          </w:tcPr>
          <w:p w14:paraId="4078E56E">
            <w:pPr>
              <w:spacing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1</w:t>
            </w:r>
          </w:p>
        </w:tc>
        <w:tc>
          <w:tcPr>
            <w:tcW w:w="4484" w:type="pct"/>
            <w:vAlign w:val="center"/>
          </w:tcPr>
          <w:p w14:paraId="79067603">
            <w:pPr>
              <w:spacing w:line="240" w:lineRule="auto"/>
              <w:ind w:firstLine="420"/>
              <w:rPr>
                <w:rStyle w:val="93"/>
                <w:rFonts w:hint="eastAsia" w:ascii="宋体" w:hAnsi="宋体"/>
                <w:color w:val="auto"/>
                <w:sz w:val="21"/>
                <w:szCs w:val="21"/>
              </w:rPr>
            </w:pPr>
            <w:r>
              <w:rPr>
                <w:rStyle w:val="93"/>
                <w:rFonts w:hint="eastAsia" w:ascii="宋体" w:hAnsi="宋体"/>
                <w:color w:val="auto"/>
                <w:sz w:val="21"/>
                <w:szCs w:val="21"/>
              </w:rPr>
              <w:t>各资料形成部门必须在签字齐全并相关资料齐备后，送达资料员处，资料员按要求的格式对施工技术资料进行检查，对不符合要求的资料可不予接受，此责任由资料提供人负责。</w:t>
            </w:r>
          </w:p>
        </w:tc>
      </w:tr>
      <w:tr w14:paraId="16D5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6" w:type="pct"/>
            <w:vAlign w:val="center"/>
          </w:tcPr>
          <w:p w14:paraId="43D01579">
            <w:pPr>
              <w:spacing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2</w:t>
            </w:r>
          </w:p>
        </w:tc>
        <w:tc>
          <w:tcPr>
            <w:tcW w:w="4484" w:type="pct"/>
            <w:vAlign w:val="center"/>
          </w:tcPr>
          <w:p w14:paraId="20D497EE">
            <w:pPr>
              <w:spacing w:line="240" w:lineRule="auto"/>
              <w:ind w:firstLine="420"/>
              <w:rPr>
                <w:rStyle w:val="93"/>
                <w:rFonts w:hint="eastAsia" w:ascii="宋体" w:hAnsi="宋体"/>
                <w:color w:val="auto"/>
                <w:sz w:val="21"/>
                <w:szCs w:val="21"/>
              </w:rPr>
            </w:pPr>
            <w:r>
              <w:rPr>
                <w:rStyle w:val="93"/>
                <w:rFonts w:hint="eastAsia" w:ascii="宋体" w:hAnsi="宋体"/>
                <w:color w:val="auto"/>
                <w:sz w:val="21"/>
                <w:szCs w:val="21"/>
              </w:rPr>
              <w:t>资料员必须将各部门提供的资料及时进行整理，分类并编目。</w:t>
            </w:r>
          </w:p>
        </w:tc>
      </w:tr>
      <w:tr w14:paraId="69A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6" w:type="pct"/>
            <w:vAlign w:val="center"/>
          </w:tcPr>
          <w:p w14:paraId="0CD96228">
            <w:pPr>
              <w:spacing w:line="240" w:lineRule="auto"/>
              <w:ind w:firstLine="0" w:firstLineChars="0"/>
              <w:jc w:val="center"/>
              <w:rPr>
                <w:rStyle w:val="93"/>
                <w:rFonts w:hint="eastAsia" w:ascii="宋体" w:hAnsi="宋体"/>
                <w:color w:val="auto"/>
                <w:sz w:val="21"/>
                <w:szCs w:val="21"/>
              </w:rPr>
            </w:pPr>
            <w:r>
              <w:rPr>
                <w:rStyle w:val="93"/>
                <w:rFonts w:ascii="宋体" w:hAnsi="宋体"/>
                <w:color w:val="auto"/>
                <w:sz w:val="21"/>
                <w:szCs w:val="21"/>
              </w:rPr>
              <w:t>3</w:t>
            </w:r>
          </w:p>
        </w:tc>
        <w:tc>
          <w:tcPr>
            <w:tcW w:w="4484" w:type="pct"/>
            <w:vAlign w:val="center"/>
          </w:tcPr>
          <w:p w14:paraId="0A974E69">
            <w:pPr>
              <w:spacing w:line="240" w:lineRule="auto"/>
              <w:ind w:firstLine="420"/>
              <w:rPr>
                <w:rStyle w:val="93"/>
                <w:rFonts w:hint="eastAsia" w:ascii="宋体" w:hAnsi="宋体"/>
                <w:color w:val="auto"/>
                <w:sz w:val="21"/>
                <w:szCs w:val="21"/>
              </w:rPr>
            </w:pPr>
            <w:r>
              <w:rPr>
                <w:rStyle w:val="93"/>
                <w:rFonts w:hint="eastAsia" w:ascii="宋体" w:hAnsi="宋体"/>
                <w:color w:val="auto"/>
                <w:sz w:val="21"/>
                <w:szCs w:val="21"/>
              </w:rPr>
              <w:t>项目部对施工归档资料每月进行检查，各主要阶段接受上级的指导检查。</w:t>
            </w:r>
          </w:p>
        </w:tc>
      </w:tr>
    </w:tbl>
    <w:p w14:paraId="6207F0F2">
      <w:pPr>
        <w:pStyle w:val="5"/>
        <w:rPr>
          <w:color w:val="auto"/>
        </w:rPr>
      </w:pPr>
      <w:bookmarkStart w:id="312" w:name="_Toc165965897"/>
      <w:bookmarkStart w:id="313" w:name="_Toc202510518"/>
      <w:bookmarkStart w:id="314" w:name="_Toc8084"/>
      <w:bookmarkStart w:id="315" w:name="_Toc166086509"/>
      <w:bookmarkStart w:id="316" w:name="_Toc166339897"/>
      <w:r>
        <w:rPr>
          <w:rFonts w:hint="eastAsia"/>
          <w:color w:val="auto"/>
        </w:rPr>
        <w:t>工程档案移交</w:t>
      </w:r>
      <w:bookmarkEnd w:id="312"/>
      <w:bookmarkEnd w:id="313"/>
      <w:bookmarkEnd w:id="314"/>
      <w:bookmarkEnd w:id="315"/>
      <w:bookmarkEnd w:id="316"/>
    </w:p>
    <w:p w14:paraId="65B34E20">
      <w:pPr>
        <w:pStyle w:val="89"/>
        <w:spacing w:before="32" w:beforeLines="10" w:after="32" w:afterLines="10" w:line="360" w:lineRule="auto"/>
        <w:ind w:firstLine="480"/>
        <w:rPr>
          <w:rFonts w:ascii="Times New Roman" w:cstheme="minorBidi"/>
          <w:color w:val="auto"/>
          <w:sz w:val="24"/>
          <w:szCs w:val="21"/>
        </w:rPr>
      </w:pPr>
      <w:r>
        <w:rPr>
          <w:rFonts w:hint="eastAsia" w:ascii="Times New Roman" w:cstheme="minorBidi"/>
          <w:color w:val="auto"/>
          <w:sz w:val="24"/>
          <w:szCs w:val="21"/>
        </w:rPr>
        <w:t>列入城建档案馆（室）接收范围的工程，建设单位在工程竣工验收后</w:t>
      </w:r>
      <w:r>
        <w:rPr>
          <w:rFonts w:ascii="Times New Roman" w:cstheme="minorBidi"/>
          <w:color w:val="auto"/>
          <w:sz w:val="24"/>
          <w:szCs w:val="21"/>
        </w:rPr>
        <w:t>3</w:t>
      </w:r>
      <w:r>
        <w:rPr>
          <w:rFonts w:hint="eastAsia" w:ascii="Times New Roman" w:cstheme="minorBidi"/>
          <w:color w:val="auto"/>
          <w:sz w:val="24"/>
          <w:szCs w:val="21"/>
        </w:rPr>
        <w:t>个月内，必须向城建档案馆（室）移交一套符合规定的工程档案；向物业管理单位移交一套工程档案，便于日后维护、管理利用；建设单位自行保留一套工程档案。并办理移交手续，填写移交目录、双方签字、盖章后交接。</w:t>
      </w:r>
    </w:p>
    <w:p w14:paraId="2AC91624">
      <w:pPr>
        <w:rPr>
          <w:color w:val="auto"/>
        </w:rPr>
      </w:pPr>
    </w:p>
    <w:p w14:paraId="7F6327DC">
      <w:pPr>
        <w:rPr>
          <w:color w:val="auto"/>
        </w:rPr>
      </w:pPr>
    </w:p>
    <w:p w14:paraId="19FD1963">
      <w:pPr>
        <w:ind w:firstLine="0" w:firstLineChars="0"/>
        <w:rPr>
          <w:color w:val="auto"/>
        </w:rPr>
        <w:sectPr>
          <w:pgSz w:w="11906" w:h="16838"/>
          <w:pgMar w:top="1440" w:right="1361" w:bottom="1440" w:left="1701" w:header="851" w:footer="992" w:gutter="0"/>
          <w:cols w:space="425" w:num="1"/>
          <w:docGrid w:type="lines" w:linePitch="326" w:charSpace="0"/>
        </w:sectPr>
      </w:pPr>
    </w:p>
    <w:p w14:paraId="1DC3A530">
      <w:pPr>
        <w:pStyle w:val="3"/>
        <w:rPr>
          <w:color w:val="auto"/>
        </w:rPr>
      </w:pPr>
      <w:bookmarkStart w:id="317" w:name="_Toc531112514"/>
      <w:bookmarkStart w:id="318" w:name="_Toc23943"/>
      <w:bookmarkStart w:id="319" w:name="_Hlk529263914"/>
      <w:r>
        <w:rPr>
          <w:rFonts w:hint="eastAsia"/>
          <w:color w:val="auto"/>
        </w:rPr>
        <w:t>各项管理及保证措施</w:t>
      </w:r>
      <w:bookmarkEnd w:id="317"/>
      <w:bookmarkEnd w:id="318"/>
    </w:p>
    <w:p w14:paraId="75A4DB15">
      <w:pPr>
        <w:pStyle w:val="4"/>
        <w:ind w:firstLine="482"/>
        <w:rPr>
          <w:color w:val="auto"/>
        </w:rPr>
      </w:pPr>
      <w:bookmarkStart w:id="320" w:name="_Toc18859"/>
      <w:r>
        <w:rPr>
          <w:rFonts w:hint="eastAsia"/>
          <w:color w:val="auto"/>
        </w:rPr>
        <w:t>质量保证措施</w:t>
      </w:r>
      <w:bookmarkEnd w:id="320"/>
    </w:p>
    <w:p w14:paraId="50759AC1">
      <w:pPr>
        <w:pStyle w:val="5"/>
        <w:rPr>
          <w:color w:val="auto"/>
        </w:rPr>
      </w:pPr>
      <w:bookmarkStart w:id="321" w:name="_Toc7544"/>
      <w:r>
        <w:rPr>
          <w:rFonts w:hint="eastAsia"/>
          <w:color w:val="auto"/>
        </w:rPr>
        <w:t>项目质量保证体系的组成及其分工</w:t>
      </w:r>
      <w:bookmarkEnd w:id="321"/>
    </w:p>
    <w:p w14:paraId="4ABECE21">
      <w:pPr>
        <w:rPr>
          <w:color w:val="auto"/>
        </w:rPr>
      </w:pPr>
      <w:r>
        <w:rPr>
          <w:rFonts w:hint="eastAsia"/>
          <w:color w:val="auto"/>
        </w:rPr>
        <w:t>1、质量保证体系</w:t>
      </w:r>
    </w:p>
    <w:p w14:paraId="14F6B709">
      <w:pPr>
        <w:pStyle w:val="65"/>
        <w:spacing w:before="163" w:after="163"/>
        <w:rPr>
          <w:color w:val="auto"/>
        </w:rPr>
      </w:pPr>
      <w:r>
        <w:rPr>
          <w:color w:val="auto"/>
        </w:rPr>
        <w:object>
          <v:shape id="_x0000_i1035" o:spt="75" type="#_x0000_t75" style="height:288pt;width:440.65pt;" o:ole="t" filled="f" o:preferrelative="t" stroked="f" coordsize="21600,21600">
            <v:path/>
            <v:fill on="f" focussize="0,0"/>
            <v:stroke on="f" joinstyle="miter"/>
            <v:imagedata r:id="rId198" o:title=""/>
            <o:lock v:ext="edit" aspectratio="t"/>
            <w10:wrap type="none"/>
            <w10:anchorlock/>
          </v:shape>
          <o:OLEObject Type="Embed" ProgID="Visio.Drawing.15" ShapeID="_x0000_i1035" DrawAspect="Content" ObjectID="_1468075735" r:id="rId197">
            <o:LockedField>false</o:LockedField>
          </o:OLEObject>
        </w:object>
      </w:r>
    </w:p>
    <w:p w14:paraId="57D88F16">
      <w:pPr>
        <w:pStyle w:val="53"/>
        <w:rPr>
          <w:color w:val="auto"/>
        </w:rPr>
      </w:pPr>
      <w:r>
        <w:rPr>
          <w:rFonts w:hint="eastAsia"/>
          <w:color w:val="auto"/>
        </w:rPr>
        <w:t>质量保证体系</w:t>
      </w:r>
    </w:p>
    <w:p w14:paraId="29F62F63">
      <w:pPr>
        <w:rPr>
          <w:color w:val="auto"/>
        </w:rPr>
      </w:pPr>
      <w:r>
        <w:rPr>
          <w:rFonts w:hint="eastAsia"/>
          <w:color w:val="auto"/>
        </w:rPr>
        <w:t>2、各岗位主要职责</w:t>
      </w:r>
    </w:p>
    <w:p w14:paraId="6484AE1F">
      <w:pPr>
        <w:rPr>
          <w:color w:val="auto"/>
        </w:rPr>
      </w:pPr>
      <w:r>
        <w:rPr>
          <w:rFonts w:hint="eastAsia"/>
          <w:color w:val="auto"/>
        </w:rPr>
        <w:t>（1）项目经理</w:t>
      </w:r>
    </w:p>
    <w:p w14:paraId="5118CE33">
      <w:pPr>
        <w:rPr>
          <w:color w:val="auto"/>
        </w:rPr>
      </w:pPr>
      <w:r>
        <w:rPr>
          <w:rFonts w:hint="eastAsia"/>
          <w:color w:val="auto"/>
        </w:rPr>
        <w:t>工程质量的第一责任人，保证国家、地方及行业标准规范，以及企业工程质量管理规定在项目实施中得到贯彻落实。负责组织工程质量的策划和施工组织设计大纲的编制，制定工程质量实施总目标，并监督项目各职能部门及分包单位执行。及时了解项目的工程质量状况，参加项目的工程质量专题会议，支持项目分管工程质量的副经理及项目专职质检员的工作。</w:t>
      </w:r>
    </w:p>
    <w:p w14:paraId="3FAB6CCB">
      <w:pPr>
        <w:rPr>
          <w:color w:val="auto"/>
        </w:rPr>
      </w:pPr>
      <w:r>
        <w:rPr>
          <w:rFonts w:hint="eastAsia"/>
          <w:color w:val="auto"/>
        </w:rPr>
        <w:t>（2）技术总工</w:t>
      </w:r>
    </w:p>
    <w:p w14:paraId="2E7981A9">
      <w:pPr>
        <w:rPr>
          <w:color w:val="auto"/>
        </w:rPr>
      </w:pPr>
      <w:r>
        <w:rPr>
          <w:rFonts w:hint="eastAsia"/>
          <w:color w:val="auto"/>
        </w:rPr>
        <w:t>对质量负有第一技术责任；负责组织编制项目质量计划；贯彻执行技术法规、规程、规范和涉及质量方面的有关规定、法令等具体领导质量管理工作，领导组织开展QC小组活动。根据工程编制专项施工方案、工艺标准、操作规程，提出质量保证措施。负责组织图纸会审及处理各专业问题，组织落实项目质量技术交底工作。</w:t>
      </w:r>
    </w:p>
    <w:p w14:paraId="0670090A">
      <w:pPr>
        <w:rPr>
          <w:color w:val="auto"/>
        </w:rPr>
      </w:pPr>
      <w:r>
        <w:rPr>
          <w:rFonts w:hint="eastAsia"/>
          <w:color w:val="auto"/>
        </w:rPr>
        <w:t>（3）项目副经理</w:t>
      </w:r>
    </w:p>
    <w:p w14:paraId="1317738A">
      <w:pPr>
        <w:rPr>
          <w:color w:val="auto"/>
        </w:rPr>
      </w:pPr>
      <w:r>
        <w:rPr>
          <w:rFonts w:hint="eastAsia"/>
          <w:color w:val="auto"/>
        </w:rPr>
        <w:t>对工程质量负领导责任；具体负责工程质量问题的处理和质量事故的调查，并提出处理意见上报我司；对专业施工员的日常工作予以具体的指导与帮助，协助解决施工中出现的疑难问题。负责组织质量讲评总结，与业主监理进行有关质量工作的沟通和汇报。根据质量策划和质量计划，对各自专业的施工或分管工作进行部署协调。</w:t>
      </w:r>
    </w:p>
    <w:p w14:paraId="05B843BD">
      <w:pPr>
        <w:rPr>
          <w:color w:val="auto"/>
        </w:rPr>
      </w:pPr>
      <w:r>
        <w:rPr>
          <w:rFonts w:hint="eastAsia"/>
          <w:color w:val="auto"/>
        </w:rPr>
        <w:t>（4）技术部</w:t>
      </w:r>
    </w:p>
    <w:p w14:paraId="090B4B88">
      <w:pPr>
        <w:rPr>
          <w:color w:val="auto"/>
        </w:rPr>
      </w:pPr>
      <w:r>
        <w:rPr>
          <w:rFonts w:hint="eastAsia"/>
          <w:color w:val="auto"/>
        </w:rPr>
        <w:t>确定图纸、施工方案、工艺标准并及时下发，指导工程的施工生产。负责结构预控验算、结构变形监测、工程施工测量和各项试验检测工作。收集管理工程技术资料，确保施工资料与工程进度同步。开展以提高工程质量为目的的科学、技术研究，组织项目开展技术攻关工作，积极采用先进的施工技术、工艺和材料，推广工程质量科研成果。</w:t>
      </w:r>
    </w:p>
    <w:p w14:paraId="115D57C8">
      <w:pPr>
        <w:rPr>
          <w:color w:val="auto"/>
        </w:rPr>
      </w:pPr>
      <w:r>
        <w:rPr>
          <w:rFonts w:hint="eastAsia"/>
          <w:color w:val="auto"/>
        </w:rPr>
        <w:t>（5）质检部</w:t>
      </w:r>
    </w:p>
    <w:p w14:paraId="44FD500C">
      <w:pPr>
        <w:rPr>
          <w:color w:val="auto"/>
        </w:rPr>
      </w:pPr>
      <w:r>
        <w:rPr>
          <w:rFonts w:hint="eastAsia"/>
          <w:color w:val="auto"/>
        </w:rPr>
        <w:t>编制专项计划，包括质量检验计划、过程控制计划、质量预控措施等。组织检查各工序施工质量，组织重要部位的预检和隐蔽工程检查。组织分部工程的质量核定及单位工程的质量评定，针对不合格品发出“不合格品报告”或“质量问题整改通知”，并监督落实。</w:t>
      </w:r>
    </w:p>
    <w:p w14:paraId="44F4C5A2">
      <w:pPr>
        <w:rPr>
          <w:color w:val="auto"/>
        </w:rPr>
      </w:pPr>
      <w:r>
        <w:rPr>
          <w:rFonts w:hint="eastAsia"/>
          <w:color w:val="auto"/>
        </w:rPr>
        <w:t>（6）物资部</w:t>
      </w:r>
    </w:p>
    <w:p w14:paraId="7D4EB98E">
      <w:pPr>
        <w:rPr>
          <w:color w:val="auto"/>
        </w:rPr>
      </w:pPr>
      <w:r>
        <w:rPr>
          <w:rFonts w:hint="eastAsia"/>
          <w:color w:val="auto"/>
        </w:rPr>
        <w:t>严格按物资采购程序进行采购，对购入的各类生产材料、设备等产品质量负责。严把进场物资的质量关，其性能必须符合国家有关标准、规范和工程设计的质量要求。采购资料及时收集、整理。组织对工程物资的验证，办理书面手续，开展进场物资的报验工作，对检验不合格的物资及时进行封存或退场处理，以防误用。</w:t>
      </w:r>
    </w:p>
    <w:p w14:paraId="50317765">
      <w:pPr>
        <w:rPr>
          <w:color w:val="auto"/>
        </w:rPr>
      </w:pPr>
      <w:r>
        <w:rPr>
          <w:rFonts w:hint="eastAsia"/>
          <w:color w:val="auto"/>
        </w:rPr>
        <w:t>（7）工程部</w:t>
      </w:r>
    </w:p>
    <w:p w14:paraId="14BE2C72">
      <w:pPr>
        <w:rPr>
          <w:color w:val="auto"/>
        </w:rPr>
      </w:pPr>
      <w:r>
        <w:rPr>
          <w:rFonts w:hint="eastAsia"/>
          <w:color w:val="auto"/>
        </w:rPr>
        <w:t>对施工进行具体的安排部署，保证各专业工程质量目标的实现。严格执行项目质量计划，按照规范、标准对施工过程进行严格控制。本部门质量记录的收集整理，做到准确、及时、完整、交圈。工程成品保护管理，做到职责到人，保护措施到位。</w:t>
      </w:r>
    </w:p>
    <w:p w14:paraId="5EBBC137">
      <w:pPr>
        <w:pStyle w:val="5"/>
        <w:rPr>
          <w:color w:val="auto"/>
        </w:rPr>
      </w:pPr>
      <w:bookmarkStart w:id="322" w:name="_Toc31444"/>
      <w:r>
        <w:rPr>
          <w:rFonts w:hint="eastAsia"/>
          <w:color w:val="auto"/>
        </w:rPr>
        <w:t>质量目标及其分解</w:t>
      </w:r>
      <w:bookmarkEnd w:id="322"/>
    </w:p>
    <w:p w14:paraId="63F056D6">
      <w:pPr>
        <w:pStyle w:val="6"/>
        <w:ind w:firstLine="480"/>
        <w:rPr>
          <w:color w:val="auto"/>
        </w:rPr>
      </w:pPr>
      <w:r>
        <w:rPr>
          <w:rFonts w:hint="eastAsia"/>
          <w:color w:val="auto"/>
        </w:rPr>
        <w:t>质量目标</w:t>
      </w:r>
    </w:p>
    <w:p w14:paraId="16403340">
      <w:pPr>
        <w:rPr>
          <w:color w:val="auto"/>
        </w:rPr>
      </w:pPr>
      <w:r>
        <w:rPr>
          <w:rFonts w:hint="eastAsia"/>
          <w:color w:val="auto"/>
        </w:rPr>
        <w:t>确保获得海南省“绿岛杯”。</w:t>
      </w:r>
    </w:p>
    <w:p w14:paraId="37FADA1E">
      <w:pPr>
        <w:pStyle w:val="6"/>
        <w:ind w:firstLine="480"/>
        <w:rPr>
          <w:color w:val="auto"/>
        </w:rPr>
      </w:pPr>
      <w:r>
        <w:rPr>
          <w:rFonts w:hint="eastAsia"/>
          <w:color w:val="auto"/>
        </w:rPr>
        <w:t>质量目标分解</w:t>
      </w:r>
    </w:p>
    <w:p w14:paraId="2D8E8FC2">
      <w:pPr>
        <w:rPr>
          <w:color w:val="auto"/>
        </w:rPr>
      </w:pPr>
      <w:r>
        <w:rPr>
          <w:rFonts w:hint="eastAsia"/>
          <w:color w:val="auto"/>
        </w:rPr>
        <w:t>（1）“精品工程”首先是“质量精品”</w:t>
      </w:r>
    </w:p>
    <w:p w14:paraId="512DDDAB">
      <w:pPr>
        <w:rPr>
          <w:color w:val="auto"/>
        </w:rPr>
      </w:pPr>
      <w:r>
        <w:rPr>
          <w:rFonts w:hint="eastAsia"/>
          <w:color w:val="auto"/>
        </w:rPr>
        <w:t>本工程必须确保一流的工程质量，建成一流的精品，通过创“精品工程”质量策划，确保每一施工阶段达到“精品工程”的质量标准。作为总承包商，协调各专业分包进度、安全、质量、文明施工的同时，也要从全局角度协调各专业分包整体创优意识，深化各专业分包施工设计图纸，使各专业工作空间位置协调统一。对涉及到各专业的技术协调工作的问题，组织专题讨论会。</w:t>
      </w:r>
    </w:p>
    <w:p w14:paraId="679DBAF1">
      <w:pPr>
        <w:rPr>
          <w:color w:val="auto"/>
        </w:rPr>
      </w:pPr>
      <w:r>
        <w:rPr>
          <w:rFonts w:hint="eastAsia"/>
          <w:color w:val="auto"/>
        </w:rPr>
        <w:t>1）主体结构</w:t>
      </w:r>
    </w:p>
    <w:p w14:paraId="291996E1">
      <w:pPr>
        <w:rPr>
          <w:color w:val="auto"/>
        </w:rPr>
      </w:pPr>
      <w:r>
        <w:rPr>
          <w:rFonts w:hint="eastAsia"/>
          <w:color w:val="auto"/>
        </w:rPr>
        <w:t>①确保结构工程达到优质结构要求，创结构精品。</w:t>
      </w:r>
    </w:p>
    <w:p w14:paraId="55BDFBB8">
      <w:pPr>
        <w:rPr>
          <w:color w:val="auto"/>
        </w:rPr>
      </w:pPr>
      <w:r>
        <w:rPr>
          <w:rFonts w:hint="eastAsia"/>
          <w:color w:val="auto"/>
        </w:rPr>
        <w:t>②钢筋工程做到接头位置合理、锚固等节点做法正确、无污染、间距均匀。详见下图所示：</w:t>
      </w:r>
    </w:p>
    <w:p w14:paraId="746EB4B5">
      <w:pPr>
        <w:pStyle w:val="65"/>
        <w:spacing w:before="163" w:after="163"/>
        <w:rPr>
          <w:color w:val="auto"/>
        </w:rPr>
      </w:pPr>
      <w:r>
        <w:rPr>
          <w:color w:val="auto"/>
        </w:rPr>
        <w:drawing>
          <wp:inline distT="0" distB="0" distL="0" distR="0">
            <wp:extent cx="3415665" cy="2599690"/>
            <wp:effectExtent l="19050" t="0" r="0" b="0"/>
            <wp:docPr id="2137" name="图片 2137" descr="DSC01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 name="图片 2137" descr="DSC01786"/>
                    <pic:cNvPicPr>
                      <a:picLocks noChangeAspect="1" noChangeArrowheads="1"/>
                    </pic:cNvPicPr>
                  </pic:nvPicPr>
                  <pic:blipFill>
                    <a:blip r:embed="rId199" cstate="print"/>
                    <a:srcRect/>
                    <a:stretch>
                      <a:fillRect/>
                    </a:stretch>
                  </pic:blipFill>
                  <pic:spPr>
                    <a:xfrm>
                      <a:off x="0" y="0"/>
                      <a:ext cx="3415665" cy="2599690"/>
                    </a:xfrm>
                    <a:prstGeom prst="rect">
                      <a:avLst/>
                    </a:prstGeom>
                    <a:noFill/>
                    <a:ln w="9525">
                      <a:noFill/>
                      <a:miter lim="800000"/>
                      <a:headEnd/>
                      <a:tailEnd/>
                    </a:ln>
                  </pic:spPr>
                </pic:pic>
              </a:graphicData>
            </a:graphic>
          </wp:inline>
        </w:drawing>
      </w:r>
    </w:p>
    <w:p w14:paraId="56176F0D">
      <w:pPr>
        <w:pStyle w:val="53"/>
        <w:rPr>
          <w:color w:val="auto"/>
        </w:rPr>
      </w:pPr>
      <w:r>
        <w:rPr>
          <w:rFonts w:hint="eastAsia"/>
          <w:color w:val="auto"/>
        </w:rPr>
        <w:t>筏板及楼板钢筋绑扎样板</w:t>
      </w:r>
    </w:p>
    <w:p w14:paraId="5C0C23C2">
      <w:pPr>
        <w:rPr>
          <w:color w:val="auto"/>
        </w:rPr>
      </w:pPr>
      <w:r>
        <w:rPr>
          <w:rFonts w:hint="eastAsia"/>
          <w:color w:val="auto"/>
        </w:rPr>
        <w:t>③做到模板设计合理，模板安装拼缝严密平整、不漏浆、不错台、无跑模涨模及变形，预留埋准确、牢固；钢筋工程重点控制钢筋原材料、半成品加工和安装绑扎质量；混凝土工程进行从原材料、搅拌、运输、浇注、振捣到养护的全过程质量控制。</w:t>
      </w:r>
    </w:p>
    <w:p w14:paraId="58C4A1BE">
      <w:pPr>
        <w:rPr>
          <w:color w:val="auto"/>
        </w:rPr>
      </w:pPr>
      <w:r>
        <w:rPr>
          <w:rFonts w:hint="eastAsia"/>
          <w:color w:val="auto"/>
        </w:rPr>
        <w:t>④混凝土结构质量最终达到混凝土密实整洁，面层平整，棱角整齐平直，梁柱节点、墙板交角、线、面顺直清晰，接茬平顺、阴阳角方正。混凝土内实外光，达到清水混凝土质量标准。详见下图所示：</w:t>
      </w:r>
    </w:p>
    <w:p w14:paraId="0A7DCED1">
      <w:pPr>
        <w:pStyle w:val="65"/>
        <w:spacing w:before="163" w:after="163"/>
        <w:rPr>
          <w:color w:val="auto"/>
        </w:rPr>
      </w:pPr>
      <w:r>
        <w:rPr>
          <w:color w:val="auto"/>
        </w:rPr>
        <w:drawing>
          <wp:inline distT="0" distB="0" distL="0" distR="0">
            <wp:extent cx="3415665" cy="2573020"/>
            <wp:effectExtent l="19050" t="0" r="0" b="0"/>
            <wp:docPr id="2138" name="图片 2138" descr="DSC01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 name="图片 2138" descr="DSC01494"/>
                    <pic:cNvPicPr>
                      <a:picLocks noChangeAspect="1" noChangeArrowheads="1"/>
                    </pic:cNvPicPr>
                  </pic:nvPicPr>
                  <pic:blipFill>
                    <a:blip r:embed="rId200" cstate="print"/>
                    <a:srcRect/>
                    <a:stretch>
                      <a:fillRect/>
                    </a:stretch>
                  </pic:blipFill>
                  <pic:spPr>
                    <a:xfrm>
                      <a:off x="0" y="0"/>
                      <a:ext cx="3415665" cy="2573020"/>
                    </a:xfrm>
                    <a:prstGeom prst="rect">
                      <a:avLst/>
                    </a:prstGeom>
                    <a:noFill/>
                    <a:ln w="9525">
                      <a:noFill/>
                      <a:miter lim="800000"/>
                      <a:headEnd/>
                      <a:tailEnd/>
                    </a:ln>
                  </pic:spPr>
                </pic:pic>
              </a:graphicData>
            </a:graphic>
          </wp:inline>
        </w:drawing>
      </w:r>
    </w:p>
    <w:p w14:paraId="1773E4C5">
      <w:pPr>
        <w:pStyle w:val="53"/>
        <w:rPr>
          <w:color w:val="auto"/>
        </w:rPr>
      </w:pPr>
      <w:r>
        <w:rPr>
          <w:rFonts w:hint="eastAsia"/>
          <w:color w:val="auto"/>
        </w:rPr>
        <w:t>主体结构样板</w:t>
      </w:r>
    </w:p>
    <w:p w14:paraId="541C1FEC">
      <w:pPr>
        <w:rPr>
          <w:color w:val="auto"/>
        </w:rPr>
      </w:pPr>
      <w:r>
        <w:rPr>
          <w:rFonts w:hint="eastAsia"/>
          <w:color w:val="auto"/>
        </w:rPr>
        <w:t>⑤砌体工程做到排版合理，灰缝横平竖直，饱满，构造柱圈梁混凝土内实外光。详见下图所示：</w:t>
      </w:r>
    </w:p>
    <w:p w14:paraId="56019014">
      <w:pPr>
        <w:pStyle w:val="65"/>
        <w:spacing w:before="163" w:after="163"/>
        <w:rPr>
          <w:color w:val="auto"/>
        </w:rPr>
      </w:pPr>
      <w:r>
        <w:rPr>
          <w:color w:val="auto"/>
        </w:rPr>
        <w:drawing>
          <wp:inline distT="0" distB="0" distL="0" distR="0">
            <wp:extent cx="3594735" cy="2680335"/>
            <wp:effectExtent l="19050" t="0" r="5715" b="0"/>
            <wp:docPr id="2139" name="图片 2139" descr="DSC0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 name="图片 2139" descr="DSC03446"/>
                    <pic:cNvPicPr>
                      <a:picLocks noChangeAspect="1" noChangeArrowheads="1"/>
                    </pic:cNvPicPr>
                  </pic:nvPicPr>
                  <pic:blipFill>
                    <a:blip r:embed="rId201" cstate="print"/>
                    <a:srcRect/>
                    <a:stretch>
                      <a:fillRect/>
                    </a:stretch>
                  </pic:blipFill>
                  <pic:spPr>
                    <a:xfrm>
                      <a:off x="0" y="0"/>
                      <a:ext cx="3594735" cy="2680335"/>
                    </a:xfrm>
                    <a:prstGeom prst="rect">
                      <a:avLst/>
                    </a:prstGeom>
                    <a:noFill/>
                    <a:ln w="9525">
                      <a:noFill/>
                      <a:miter lim="800000"/>
                      <a:headEnd/>
                      <a:tailEnd/>
                    </a:ln>
                  </pic:spPr>
                </pic:pic>
              </a:graphicData>
            </a:graphic>
          </wp:inline>
        </w:drawing>
      </w:r>
    </w:p>
    <w:p w14:paraId="150125F6">
      <w:pPr>
        <w:pStyle w:val="53"/>
        <w:rPr>
          <w:color w:val="auto"/>
        </w:rPr>
      </w:pPr>
      <w:r>
        <w:rPr>
          <w:rFonts w:hint="eastAsia"/>
          <w:color w:val="auto"/>
        </w:rPr>
        <w:t>砌体工程样板</w:t>
      </w:r>
    </w:p>
    <w:p w14:paraId="681A07E9">
      <w:pPr>
        <w:rPr>
          <w:color w:val="auto"/>
        </w:rPr>
      </w:pPr>
      <w:r>
        <w:rPr>
          <w:rFonts w:hint="eastAsia"/>
          <w:color w:val="auto"/>
        </w:rPr>
        <w:t>2）机电安装工程</w:t>
      </w:r>
    </w:p>
    <w:p w14:paraId="49AE62AA">
      <w:pPr>
        <w:rPr>
          <w:color w:val="auto"/>
        </w:rPr>
      </w:pPr>
      <w:r>
        <w:rPr>
          <w:rFonts w:hint="eastAsia"/>
          <w:color w:val="auto"/>
        </w:rPr>
        <w:t>①给排水管道安装：管道支架安装符合规范要求，管道的连接可靠，杜绝漏水现象。管道的布置应美观整齐。</w:t>
      </w:r>
    </w:p>
    <w:p w14:paraId="420BF89D">
      <w:pPr>
        <w:rPr>
          <w:color w:val="auto"/>
        </w:rPr>
      </w:pPr>
      <w:r>
        <w:rPr>
          <w:rFonts w:hint="eastAsia"/>
          <w:color w:val="auto"/>
        </w:rPr>
        <w:t>②防雷接地系统：防雷接地系统形成可靠的电气通路，其接地电阻符合设计及规范要求。</w:t>
      </w:r>
    </w:p>
    <w:p w14:paraId="604D653E">
      <w:pPr>
        <w:rPr>
          <w:color w:val="auto"/>
        </w:rPr>
      </w:pPr>
      <w:r>
        <w:rPr>
          <w:rFonts w:hint="eastAsia"/>
          <w:color w:val="auto"/>
        </w:rPr>
        <w:t>3）装饰装修</w:t>
      </w:r>
    </w:p>
    <w:p w14:paraId="1431DCEF">
      <w:pPr>
        <w:rPr>
          <w:color w:val="auto"/>
        </w:rPr>
      </w:pPr>
      <w:r>
        <w:rPr>
          <w:rFonts w:hint="eastAsia"/>
          <w:color w:val="auto"/>
        </w:rPr>
        <w:t>①墙面：表面光滑、洁净，颜色均匀，无抹纹，线角和灰线平直方正，清晰美观。护角和门窗框与墙体间缝隙填塞密实，表面平顺光滑。</w:t>
      </w:r>
    </w:p>
    <w:p w14:paraId="57F57565">
      <w:pPr>
        <w:rPr>
          <w:color w:val="auto"/>
        </w:rPr>
      </w:pPr>
      <w:r>
        <w:rPr>
          <w:rFonts w:hint="eastAsia"/>
          <w:color w:val="auto"/>
        </w:rPr>
        <w:t>②整体地面：表面洁净、平整，无裂纹，脱皮、麻面和起砂。</w:t>
      </w:r>
    </w:p>
    <w:p w14:paraId="7EA582D9">
      <w:pPr>
        <w:rPr>
          <w:color w:val="auto"/>
        </w:rPr>
      </w:pPr>
      <w:r>
        <w:rPr>
          <w:rFonts w:hint="eastAsia"/>
          <w:color w:val="auto"/>
        </w:rPr>
        <w:t>③门窗工程：安装牢固，开关灵活、无回弹、翘曲和变形，嵌填材料严密、饱满、均匀。</w:t>
      </w:r>
    </w:p>
    <w:p w14:paraId="2E99B2E6">
      <w:pPr>
        <w:rPr>
          <w:color w:val="auto"/>
        </w:rPr>
      </w:pPr>
      <w:r>
        <w:rPr>
          <w:rFonts w:hint="eastAsia"/>
          <w:color w:val="auto"/>
        </w:rPr>
        <w:t>④吊顶：板面起拱度准确，表面平整、无翘曲、破损；接缝、接口严密，排列错开有序，板缝顺直、无错台错位，装饰线肩角、割向正确，阴阳角收边方正。</w:t>
      </w:r>
    </w:p>
    <w:p w14:paraId="5970E2F7">
      <w:pPr>
        <w:rPr>
          <w:color w:val="auto"/>
        </w:rPr>
      </w:pPr>
      <w:r>
        <w:rPr>
          <w:rFonts w:hint="eastAsia"/>
          <w:color w:val="auto"/>
        </w:rPr>
        <w:t>⑤喷涂：厚度均匀，颜色一致，表面无搭接痕迹，清洁无污染。</w:t>
      </w:r>
    </w:p>
    <w:p w14:paraId="5AC00D86">
      <w:pPr>
        <w:rPr>
          <w:color w:val="auto"/>
        </w:rPr>
      </w:pPr>
      <w:r>
        <w:rPr>
          <w:rFonts w:hint="eastAsia"/>
          <w:color w:val="auto"/>
        </w:rPr>
        <w:t>（2）“精品工程”必须是“过程精品”</w:t>
      </w:r>
    </w:p>
    <w:p w14:paraId="14D3A7D2">
      <w:pPr>
        <w:rPr>
          <w:color w:val="auto"/>
        </w:rPr>
      </w:pPr>
      <w:r>
        <w:rPr>
          <w:rFonts w:hint="eastAsia"/>
          <w:color w:val="auto"/>
        </w:rPr>
        <w:t>要强化施工全过程的质量管理，建立各级质量责任制，严格实行质量一票否决制，对工程实行“零缺陷”管理，要确保结构、装修、安装各施工阶段每一道施工工序都是优质，以过程精品铸精品工程。</w:t>
      </w:r>
    </w:p>
    <w:p w14:paraId="16D9EA79">
      <w:pPr>
        <w:rPr>
          <w:color w:val="auto"/>
        </w:rPr>
      </w:pPr>
      <w:r>
        <w:rPr>
          <w:rFonts w:hint="eastAsia"/>
          <w:color w:val="auto"/>
        </w:rPr>
        <w:t>1）强化质量节点控制、消除质量通病：针对同类工程易出现的质量问题，设立若干质量控制点，开展过程质量管理，进行QC活动，防止质量通病的出现。</w:t>
      </w:r>
    </w:p>
    <w:p w14:paraId="4104ECDD">
      <w:pPr>
        <w:rPr>
          <w:color w:val="auto"/>
        </w:rPr>
      </w:pPr>
      <w:r>
        <w:rPr>
          <w:rFonts w:hint="eastAsia"/>
          <w:color w:val="auto"/>
        </w:rPr>
        <w:t>2）坚持事前预控、过程控制、质量会诊的质量控制程序，落实“三检制”和“三级检查制度”，在每一道工序施工前，都要进行详细的质量交底，指出质量控制要点及难点，说明规范要求，把握施工重点，在每一工序施工前就把质量隐患消除掉，工序施工过程中通过操作者“自检”、“交接检”和专职质量员“专业检”相结合的层层检查制度，确保工序施工质量。</w:t>
      </w:r>
    </w:p>
    <w:p w14:paraId="74FFAA02">
      <w:pPr>
        <w:pStyle w:val="5"/>
        <w:rPr>
          <w:color w:val="auto"/>
        </w:rPr>
      </w:pPr>
      <w:bookmarkStart w:id="323" w:name="_Toc13351"/>
      <w:r>
        <w:rPr>
          <w:rFonts w:hint="eastAsia"/>
          <w:color w:val="auto"/>
        </w:rPr>
        <w:t>明确质量标准</w:t>
      </w:r>
      <w:bookmarkEnd w:id="323"/>
    </w:p>
    <w:p w14:paraId="0F29F2C2">
      <w:pPr>
        <w:pStyle w:val="6"/>
        <w:ind w:firstLine="480"/>
        <w:rPr>
          <w:color w:val="auto"/>
        </w:rPr>
      </w:pPr>
      <w:r>
        <w:rPr>
          <w:rFonts w:hint="eastAsia"/>
          <w:color w:val="auto"/>
        </w:rPr>
        <w:t>测量工程质量标准</w:t>
      </w:r>
    </w:p>
    <w:p w14:paraId="5752C2D5">
      <w:pPr>
        <w:rPr>
          <w:color w:val="auto"/>
        </w:rPr>
      </w:pPr>
      <w:r>
        <w:rPr>
          <w:rFonts w:hint="eastAsia"/>
          <w:color w:val="auto"/>
        </w:rPr>
        <w:t>（1）质量控制保证措施</w:t>
      </w:r>
    </w:p>
    <w:p w14:paraId="1D0954BA">
      <w:pPr>
        <w:rPr>
          <w:color w:val="auto"/>
        </w:rPr>
      </w:pPr>
      <w:r>
        <w:rPr>
          <w:rFonts w:hint="eastAsia"/>
          <w:color w:val="auto"/>
        </w:rPr>
        <w:t>1）放线数据的验算</w:t>
      </w:r>
    </w:p>
    <w:p w14:paraId="0A0413E7">
      <w:pPr>
        <w:rPr>
          <w:color w:val="auto"/>
        </w:rPr>
      </w:pPr>
      <w:r>
        <w:rPr>
          <w:rFonts w:hint="eastAsia"/>
          <w:color w:val="auto"/>
        </w:rPr>
        <w:t>将所有控制点和放线点在CAD图上编号，并将编号及坐标输入全站仪存储，放线前从CAD图上拾取所需数据并输出放线数据表，放线时与全站仪坐标放样程序自动生成的数据进行验核，两者一致方可进行点位放线。否则查出错误原因，重新组织数据。每次放线抽取10％且不少于三个点进行手算验核。</w:t>
      </w:r>
    </w:p>
    <w:p w14:paraId="597C3E76">
      <w:pPr>
        <w:rPr>
          <w:color w:val="auto"/>
        </w:rPr>
      </w:pPr>
      <w:r>
        <w:rPr>
          <w:rFonts w:hint="eastAsia"/>
          <w:color w:val="auto"/>
        </w:rPr>
        <w:t>2）不合格项的管理</w:t>
      </w:r>
    </w:p>
    <w:p w14:paraId="0E7521E4">
      <w:pPr>
        <w:rPr>
          <w:color w:val="auto"/>
        </w:rPr>
      </w:pPr>
      <w:r>
        <w:rPr>
          <w:rFonts w:hint="eastAsia"/>
          <w:color w:val="auto"/>
        </w:rPr>
        <w:t>实测过程中，当闭合差超出规范要求时，由测量工程师查出超差原因，并写出重测报告，报项目技术总监批准后实施重测，同时将超差及重测情况记录存档，严禁随意调整点位处理超差情况发生。</w:t>
      </w:r>
    </w:p>
    <w:p w14:paraId="3EA1E652">
      <w:pPr>
        <w:rPr>
          <w:color w:val="auto"/>
        </w:rPr>
      </w:pPr>
      <w:r>
        <w:rPr>
          <w:rFonts w:hint="eastAsia"/>
          <w:color w:val="auto"/>
        </w:rPr>
        <w:t>3）验线制度</w:t>
      </w:r>
    </w:p>
    <w:p w14:paraId="640D9DFF">
      <w:pPr>
        <w:rPr>
          <w:color w:val="auto"/>
        </w:rPr>
      </w:pPr>
      <w:r>
        <w:rPr>
          <w:rFonts w:hint="eastAsia"/>
          <w:color w:val="auto"/>
        </w:rPr>
        <w:t>所有轴线、细部线和标高线，测量人员必须百分之百自检，自检合格后填写测量放线资料。地面定位线、垫层墨线由项目技术总监签字并组织验线。其余线位由专业测量工程师签字后报监理验线。验线合格后，测量工程师与工长、施工队技术员进行交接，三方签字后存档。严禁不经验线进入下道工序的情况发生。</w:t>
      </w:r>
    </w:p>
    <w:p w14:paraId="7973210A">
      <w:pPr>
        <w:rPr>
          <w:color w:val="auto"/>
        </w:rPr>
      </w:pPr>
      <w:r>
        <w:rPr>
          <w:rFonts w:hint="eastAsia"/>
          <w:color w:val="auto"/>
        </w:rPr>
        <w:t>4）为保证测量工程的施工质量，所有测量人员必须持证上岗，严格按照测量规范进行操作。</w:t>
      </w:r>
    </w:p>
    <w:p w14:paraId="50C781EE">
      <w:pPr>
        <w:rPr>
          <w:color w:val="auto"/>
        </w:rPr>
      </w:pPr>
      <w:r>
        <w:rPr>
          <w:rFonts w:hint="eastAsia"/>
          <w:color w:val="auto"/>
        </w:rPr>
        <w:t>5）测量仪器必须按照国家规定年检鉴定合格，并在有效期内使用。在使用过程中，随时检查仪器的常用指标。一旦偏差超过允许范围，应当及时校正以保证测量精度。</w:t>
      </w:r>
    </w:p>
    <w:p w14:paraId="10D066B3">
      <w:pPr>
        <w:rPr>
          <w:color w:val="auto"/>
        </w:rPr>
      </w:pPr>
      <w:r>
        <w:rPr>
          <w:rFonts w:hint="eastAsia"/>
          <w:color w:val="auto"/>
        </w:rPr>
        <w:t>6）设置的测量控制点、标高控制点要设置保护装置，确保测点不被损坏；测点附近严禁堆放材料，避免影响测量工作的顺利进行。</w:t>
      </w:r>
    </w:p>
    <w:p w14:paraId="26008F56">
      <w:pPr>
        <w:rPr>
          <w:color w:val="auto"/>
        </w:rPr>
      </w:pPr>
      <w:r>
        <w:rPr>
          <w:rFonts w:hint="eastAsia"/>
          <w:color w:val="auto"/>
        </w:rPr>
        <w:t>7）为了保证测量精度，土建和钢结构等主控轴线及标高控制点的测量时间尽量安排在每天的上午进行。</w:t>
      </w:r>
    </w:p>
    <w:p w14:paraId="7E879375">
      <w:pPr>
        <w:rPr>
          <w:color w:val="auto"/>
        </w:rPr>
      </w:pPr>
      <w:r>
        <w:rPr>
          <w:rFonts w:hint="eastAsia"/>
          <w:color w:val="auto"/>
        </w:rPr>
        <w:t>8）控制网定期进行复核及其复核精度要求：</w:t>
      </w:r>
    </w:p>
    <w:p w14:paraId="3230D8B4">
      <w:pPr>
        <w:pStyle w:val="54"/>
        <w:rPr>
          <w:color w:val="auto"/>
        </w:rPr>
      </w:pPr>
      <w:r>
        <w:rPr>
          <w:rFonts w:hint="eastAsia"/>
          <w:color w:val="auto"/>
        </w:rPr>
        <w:t>控制网定期进行复核及其复核精度要求</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5"/>
        <w:gridCol w:w="1573"/>
        <w:gridCol w:w="2153"/>
        <w:gridCol w:w="1541"/>
        <w:gridCol w:w="1618"/>
      </w:tblGrid>
      <w:tr w14:paraId="5416A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00" w:type="pct"/>
            <w:vMerge w:val="restart"/>
            <w:vAlign w:val="center"/>
          </w:tcPr>
          <w:p w14:paraId="16F64C22">
            <w:pPr>
              <w:spacing w:line="240" w:lineRule="auto"/>
              <w:ind w:firstLine="0" w:firstLineChars="0"/>
              <w:rPr>
                <w:color w:val="auto"/>
              </w:rPr>
            </w:pPr>
            <w:r>
              <w:rPr>
                <w:rFonts w:hint="eastAsia"/>
                <w:color w:val="auto"/>
              </w:rPr>
              <w:t>级别</w:t>
            </w:r>
          </w:p>
        </w:tc>
        <w:tc>
          <w:tcPr>
            <w:tcW w:w="2056" w:type="pct"/>
            <w:gridSpan w:val="2"/>
            <w:vAlign w:val="center"/>
          </w:tcPr>
          <w:p w14:paraId="01D3668F">
            <w:pPr>
              <w:spacing w:line="240" w:lineRule="auto"/>
              <w:ind w:firstLine="0" w:firstLineChars="0"/>
              <w:rPr>
                <w:color w:val="auto"/>
              </w:rPr>
            </w:pPr>
            <w:r>
              <w:rPr>
                <w:rFonts w:hint="eastAsia"/>
                <w:color w:val="auto"/>
              </w:rPr>
              <w:t>精度要求</w:t>
            </w:r>
          </w:p>
        </w:tc>
        <w:tc>
          <w:tcPr>
            <w:tcW w:w="850" w:type="pct"/>
            <w:vMerge w:val="restart"/>
            <w:vAlign w:val="center"/>
          </w:tcPr>
          <w:p w14:paraId="261223E3">
            <w:pPr>
              <w:spacing w:line="240" w:lineRule="auto"/>
              <w:ind w:firstLine="0" w:firstLineChars="0"/>
              <w:rPr>
                <w:color w:val="auto"/>
              </w:rPr>
            </w:pPr>
            <w:r>
              <w:rPr>
                <w:rFonts w:hint="eastAsia"/>
                <w:color w:val="auto"/>
              </w:rPr>
              <w:t>复核周期</w:t>
            </w:r>
          </w:p>
        </w:tc>
        <w:tc>
          <w:tcPr>
            <w:tcW w:w="893" w:type="pct"/>
            <w:vMerge w:val="restart"/>
            <w:vAlign w:val="center"/>
          </w:tcPr>
          <w:p w14:paraId="20F78E31">
            <w:pPr>
              <w:spacing w:line="240" w:lineRule="auto"/>
              <w:ind w:firstLine="0" w:firstLineChars="0"/>
              <w:rPr>
                <w:color w:val="auto"/>
              </w:rPr>
            </w:pPr>
            <w:r>
              <w:rPr>
                <w:rFonts w:hint="eastAsia"/>
                <w:color w:val="auto"/>
              </w:rPr>
              <w:t>方法</w:t>
            </w:r>
          </w:p>
        </w:tc>
      </w:tr>
      <w:tr w14:paraId="5963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200" w:type="pct"/>
            <w:vMerge w:val="continue"/>
            <w:vAlign w:val="center"/>
          </w:tcPr>
          <w:p w14:paraId="03F689CE">
            <w:pPr>
              <w:pStyle w:val="45"/>
              <w:rPr>
                <w:rFonts w:hint="eastAsia"/>
                <w:color w:val="auto"/>
              </w:rPr>
            </w:pPr>
          </w:p>
        </w:tc>
        <w:tc>
          <w:tcPr>
            <w:tcW w:w="868" w:type="pct"/>
            <w:vAlign w:val="center"/>
          </w:tcPr>
          <w:p w14:paraId="24114F4C">
            <w:pPr>
              <w:spacing w:line="240" w:lineRule="auto"/>
              <w:ind w:firstLine="0" w:firstLineChars="0"/>
              <w:rPr>
                <w:color w:val="auto"/>
              </w:rPr>
            </w:pPr>
            <w:r>
              <w:rPr>
                <w:rFonts w:hint="eastAsia"/>
                <w:color w:val="auto"/>
              </w:rPr>
              <w:t>角度</w:t>
            </w:r>
          </w:p>
        </w:tc>
        <w:tc>
          <w:tcPr>
            <w:tcW w:w="1188" w:type="pct"/>
            <w:vAlign w:val="center"/>
          </w:tcPr>
          <w:p w14:paraId="471BD792">
            <w:pPr>
              <w:spacing w:line="240" w:lineRule="auto"/>
              <w:ind w:firstLine="0" w:firstLineChars="0"/>
              <w:rPr>
                <w:color w:val="auto"/>
              </w:rPr>
            </w:pPr>
            <w:r>
              <w:rPr>
                <w:rFonts w:hint="eastAsia"/>
                <w:color w:val="auto"/>
              </w:rPr>
              <w:t>边长</w:t>
            </w:r>
          </w:p>
        </w:tc>
        <w:tc>
          <w:tcPr>
            <w:tcW w:w="850" w:type="pct"/>
            <w:vMerge w:val="continue"/>
            <w:vAlign w:val="center"/>
          </w:tcPr>
          <w:p w14:paraId="1229E863">
            <w:pPr>
              <w:pStyle w:val="45"/>
              <w:rPr>
                <w:rFonts w:hint="eastAsia"/>
                <w:color w:val="auto"/>
              </w:rPr>
            </w:pPr>
          </w:p>
        </w:tc>
        <w:tc>
          <w:tcPr>
            <w:tcW w:w="893" w:type="pct"/>
            <w:vMerge w:val="continue"/>
            <w:vAlign w:val="center"/>
          </w:tcPr>
          <w:p w14:paraId="6CC4EA77">
            <w:pPr>
              <w:pStyle w:val="45"/>
              <w:rPr>
                <w:rFonts w:hint="eastAsia"/>
                <w:color w:val="auto"/>
              </w:rPr>
            </w:pPr>
          </w:p>
        </w:tc>
      </w:tr>
      <w:tr w14:paraId="2601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pct"/>
            <w:vAlign w:val="center"/>
          </w:tcPr>
          <w:p w14:paraId="632A9313">
            <w:pPr>
              <w:spacing w:line="240" w:lineRule="auto"/>
              <w:ind w:firstLine="0" w:firstLineChars="0"/>
              <w:rPr>
                <w:color w:val="auto"/>
              </w:rPr>
            </w:pPr>
            <w:r>
              <w:rPr>
                <w:rFonts w:hint="eastAsia"/>
                <w:color w:val="auto"/>
              </w:rPr>
              <w:t>首级平面控制网</w:t>
            </w:r>
          </w:p>
        </w:tc>
        <w:tc>
          <w:tcPr>
            <w:tcW w:w="2056" w:type="pct"/>
            <w:gridSpan w:val="2"/>
            <w:vAlign w:val="center"/>
          </w:tcPr>
          <w:p w14:paraId="73593E87">
            <w:pPr>
              <w:spacing w:line="240" w:lineRule="auto"/>
              <w:ind w:firstLine="0" w:firstLineChars="0"/>
              <w:rPr>
                <w:color w:val="auto"/>
              </w:rPr>
            </w:pPr>
            <w:r>
              <w:rPr>
                <w:rFonts w:hint="eastAsia"/>
                <w:color w:val="auto"/>
              </w:rPr>
              <w:t>坐标闭合差5mm</w:t>
            </w:r>
          </w:p>
        </w:tc>
        <w:tc>
          <w:tcPr>
            <w:tcW w:w="850" w:type="pct"/>
            <w:vAlign w:val="center"/>
          </w:tcPr>
          <w:p w14:paraId="41C0C032">
            <w:pPr>
              <w:spacing w:line="240" w:lineRule="auto"/>
              <w:ind w:firstLine="0" w:firstLineChars="0"/>
              <w:rPr>
                <w:color w:val="auto"/>
              </w:rPr>
            </w:pPr>
            <w:r>
              <w:rPr>
                <w:rFonts w:hint="eastAsia"/>
                <w:color w:val="auto"/>
              </w:rPr>
              <w:t>1次</w:t>
            </w:r>
            <w:r>
              <w:rPr>
                <w:color w:val="auto"/>
              </w:rPr>
              <w:t>/</w:t>
            </w:r>
            <w:r>
              <w:rPr>
                <w:rFonts w:hint="eastAsia"/>
                <w:color w:val="auto"/>
              </w:rPr>
              <w:t>每月</w:t>
            </w:r>
          </w:p>
        </w:tc>
        <w:tc>
          <w:tcPr>
            <w:tcW w:w="893" w:type="pct"/>
            <w:vAlign w:val="center"/>
          </w:tcPr>
          <w:p w14:paraId="1A9A2172">
            <w:pPr>
              <w:spacing w:line="240" w:lineRule="auto"/>
              <w:ind w:firstLine="0" w:firstLineChars="0"/>
              <w:rPr>
                <w:color w:val="auto"/>
              </w:rPr>
            </w:pPr>
            <w:r>
              <w:rPr>
                <w:rFonts w:hint="eastAsia"/>
                <w:color w:val="auto"/>
              </w:rPr>
              <w:t>导线测量</w:t>
            </w:r>
          </w:p>
        </w:tc>
      </w:tr>
      <w:tr w14:paraId="31339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pct"/>
            <w:vAlign w:val="center"/>
          </w:tcPr>
          <w:p w14:paraId="30F140E2">
            <w:pPr>
              <w:spacing w:line="240" w:lineRule="auto"/>
              <w:ind w:firstLine="0" w:firstLineChars="0"/>
              <w:rPr>
                <w:color w:val="auto"/>
              </w:rPr>
            </w:pPr>
            <w:r>
              <w:rPr>
                <w:rFonts w:hint="eastAsia"/>
                <w:color w:val="auto"/>
              </w:rPr>
              <w:t>二级平面控制网</w:t>
            </w:r>
          </w:p>
        </w:tc>
        <w:tc>
          <w:tcPr>
            <w:tcW w:w="868" w:type="pct"/>
            <w:vAlign w:val="center"/>
          </w:tcPr>
          <w:p w14:paraId="3252F52B">
            <w:pPr>
              <w:spacing w:line="240" w:lineRule="auto"/>
              <w:ind w:firstLine="0" w:firstLineChars="0"/>
              <w:rPr>
                <w:color w:val="auto"/>
              </w:rPr>
            </w:pPr>
            <w:r>
              <w:rPr>
                <w:rFonts w:hint="eastAsia"/>
                <w:color w:val="auto"/>
              </w:rPr>
              <w:t>±15″</w:t>
            </w:r>
          </w:p>
        </w:tc>
        <w:tc>
          <w:tcPr>
            <w:tcW w:w="1188" w:type="pct"/>
            <w:vAlign w:val="center"/>
          </w:tcPr>
          <w:p w14:paraId="33944F02">
            <w:pPr>
              <w:spacing w:line="240" w:lineRule="auto"/>
              <w:ind w:firstLine="0" w:firstLineChars="0"/>
              <w:rPr>
                <w:color w:val="auto"/>
              </w:rPr>
            </w:pPr>
            <w:r>
              <w:rPr>
                <w:color w:val="auto"/>
              </w:rPr>
              <w:t>1/</w:t>
            </w:r>
            <w:r>
              <w:rPr>
                <w:rFonts w:hint="eastAsia"/>
                <w:color w:val="auto"/>
              </w:rPr>
              <w:t>15</w:t>
            </w:r>
            <w:r>
              <w:rPr>
                <w:color w:val="auto"/>
              </w:rPr>
              <w:t>000</w:t>
            </w:r>
          </w:p>
        </w:tc>
        <w:tc>
          <w:tcPr>
            <w:tcW w:w="850" w:type="pct"/>
            <w:vAlign w:val="center"/>
          </w:tcPr>
          <w:p w14:paraId="5BA7D824">
            <w:pPr>
              <w:spacing w:line="240" w:lineRule="auto"/>
              <w:ind w:firstLine="0" w:firstLineChars="0"/>
              <w:rPr>
                <w:color w:val="auto"/>
              </w:rPr>
            </w:pPr>
            <w:r>
              <w:rPr>
                <w:rFonts w:hint="eastAsia"/>
                <w:color w:val="auto"/>
              </w:rPr>
              <w:t>2次</w:t>
            </w:r>
            <w:r>
              <w:rPr>
                <w:color w:val="auto"/>
              </w:rPr>
              <w:t>/</w:t>
            </w:r>
            <w:r>
              <w:rPr>
                <w:rFonts w:hint="eastAsia"/>
                <w:color w:val="auto"/>
              </w:rPr>
              <w:t>每月</w:t>
            </w:r>
          </w:p>
        </w:tc>
        <w:tc>
          <w:tcPr>
            <w:tcW w:w="893" w:type="pct"/>
            <w:vAlign w:val="center"/>
          </w:tcPr>
          <w:p w14:paraId="511BC3CE">
            <w:pPr>
              <w:spacing w:line="240" w:lineRule="auto"/>
              <w:ind w:firstLine="0" w:firstLineChars="0"/>
              <w:rPr>
                <w:color w:val="auto"/>
              </w:rPr>
            </w:pPr>
            <w:r>
              <w:rPr>
                <w:rFonts w:hint="eastAsia"/>
                <w:color w:val="auto"/>
              </w:rPr>
              <w:t>导线测量</w:t>
            </w:r>
          </w:p>
        </w:tc>
      </w:tr>
      <w:tr w14:paraId="15B0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pct"/>
            <w:vAlign w:val="center"/>
          </w:tcPr>
          <w:p w14:paraId="2246CF95">
            <w:pPr>
              <w:spacing w:line="240" w:lineRule="auto"/>
              <w:ind w:firstLine="0" w:firstLineChars="0"/>
              <w:rPr>
                <w:color w:val="auto"/>
              </w:rPr>
            </w:pPr>
            <w:r>
              <w:rPr>
                <w:rFonts w:hint="eastAsia"/>
                <w:color w:val="auto"/>
              </w:rPr>
              <w:t>三级平面控制网</w:t>
            </w:r>
          </w:p>
        </w:tc>
        <w:tc>
          <w:tcPr>
            <w:tcW w:w="868" w:type="pct"/>
            <w:vAlign w:val="center"/>
          </w:tcPr>
          <w:p w14:paraId="11964912">
            <w:pPr>
              <w:spacing w:line="240" w:lineRule="auto"/>
              <w:ind w:firstLine="0" w:firstLineChars="0"/>
              <w:rPr>
                <w:color w:val="auto"/>
              </w:rPr>
            </w:pPr>
            <w:r>
              <w:rPr>
                <w:rFonts w:hint="eastAsia"/>
                <w:color w:val="auto"/>
              </w:rPr>
              <w:t>±5″</w:t>
            </w:r>
          </w:p>
        </w:tc>
        <w:tc>
          <w:tcPr>
            <w:tcW w:w="1188" w:type="pct"/>
            <w:vAlign w:val="center"/>
          </w:tcPr>
          <w:p w14:paraId="4D7DE505">
            <w:pPr>
              <w:spacing w:line="240" w:lineRule="auto"/>
              <w:ind w:firstLine="0" w:firstLineChars="0"/>
              <w:rPr>
                <w:color w:val="auto"/>
              </w:rPr>
            </w:pPr>
            <w:r>
              <w:rPr>
                <w:color w:val="auto"/>
              </w:rPr>
              <w:t>1/</w:t>
            </w:r>
            <w:r>
              <w:rPr>
                <w:rFonts w:hint="eastAsia"/>
                <w:color w:val="auto"/>
              </w:rPr>
              <w:t>20</w:t>
            </w:r>
            <w:r>
              <w:rPr>
                <w:color w:val="auto"/>
              </w:rPr>
              <w:t>000</w:t>
            </w:r>
          </w:p>
        </w:tc>
        <w:tc>
          <w:tcPr>
            <w:tcW w:w="850" w:type="pct"/>
            <w:vAlign w:val="center"/>
          </w:tcPr>
          <w:p w14:paraId="71C7D478">
            <w:pPr>
              <w:spacing w:line="240" w:lineRule="auto"/>
              <w:ind w:firstLine="0" w:firstLineChars="0"/>
              <w:rPr>
                <w:color w:val="auto"/>
              </w:rPr>
            </w:pPr>
            <w:r>
              <w:rPr>
                <w:rFonts w:hint="eastAsia"/>
                <w:color w:val="auto"/>
              </w:rPr>
              <w:t>1次</w:t>
            </w:r>
            <w:r>
              <w:rPr>
                <w:color w:val="auto"/>
              </w:rPr>
              <w:t>/</w:t>
            </w:r>
            <w:r>
              <w:rPr>
                <w:rFonts w:hint="eastAsia"/>
                <w:color w:val="auto"/>
              </w:rPr>
              <w:t>每层</w:t>
            </w:r>
          </w:p>
        </w:tc>
        <w:tc>
          <w:tcPr>
            <w:tcW w:w="893" w:type="pct"/>
            <w:vAlign w:val="center"/>
          </w:tcPr>
          <w:p w14:paraId="1A2EEFC4">
            <w:pPr>
              <w:spacing w:line="240" w:lineRule="auto"/>
              <w:ind w:firstLine="0" w:firstLineChars="0"/>
              <w:rPr>
                <w:color w:val="auto"/>
              </w:rPr>
            </w:pPr>
            <w:r>
              <w:rPr>
                <w:rFonts w:hint="eastAsia"/>
                <w:color w:val="auto"/>
              </w:rPr>
              <w:t>边角测量</w:t>
            </w:r>
          </w:p>
        </w:tc>
      </w:tr>
      <w:tr w14:paraId="4449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pct"/>
            <w:vAlign w:val="center"/>
          </w:tcPr>
          <w:p w14:paraId="3DEF5B51">
            <w:pPr>
              <w:spacing w:line="240" w:lineRule="auto"/>
              <w:ind w:firstLine="0" w:firstLineChars="0"/>
              <w:rPr>
                <w:color w:val="auto"/>
              </w:rPr>
            </w:pPr>
            <w:r>
              <w:rPr>
                <w:rFonts w:hint="eastAsia"/>
                <w:color w:val="auto"/>
              </w:rPr>
              <w:t>一、二级高程网</w:t>
            </w:r>
          </w:p>
        </w:tc>
        <w:tc>
          <w:tcPr>
            <w:tcW w:w="2056" w:type="pct"/>
            <w:gridSpan w:val="2"/>
            <w:vAlign w:val="center"/>
          </w:tcPr>
          <w:p w14:paraId="228EF916">
            <w:pPr>
              <w:spacing w:line="240" w:lineRule="auto"/>
              <w:ind w:firstLine="0" w:firstLineChars="0"/>
              <w:rPr>
                <w:color w:val="auto"/>
              </w:rPr>
            </w:pPr>
            <w:r>
              <w:rPr>
                <w:rFonts w:hint="eastAsia"/>
                <w:color w:val="auto"/>
              </w:rPr>
              <w:t>4√L（L为往返水准路线长度，单位km）</w:t>
            </w:r>
          </w:p>
        </w:tc>
        <w:tc>
          <w:tcPr>
            <w:tcW w:w="850" w:type="pct"/>
            <w:vAlign w:val="center"/>
          </w:tcPr>
          <w:p w14:paraId="61F67F7B">
            <w:pPr>
              <w:spacing w:line="240" w:lineRule="auto"/>
              <w:ind w:firstLine="0" w:firstLineChars="0"/>
              <w:rPr>
                <w:color w:val="auto"/>
              </w:rPr>
            </w:pPr>
            <w:r>
              <w:rPr>
                <w:rFonts w:hint="eastAsia"/>
                <w:color w:val="auto"/>
              </w:rPr>
              <w:t>1次</w:t>
            </w:r>
            <w:r>
              <w:rPr>
                <w:color w:val="auto"/>
              </w:rPr>
              <w:t>/</w:t>
            </w:r>
            <w:r>
              <w:rPr>
                <w:rFonts w:hint="eastAsia"/>
                <w:color w:val="auto"/>
              </w:rPr>
              <w:t>每月</w:t>
            </w:r>
          </w:p>
        </w:tc>
        <w:tc>
          <w:tcPr>
            <w:tcW w:w="893" w:type="pct"/>
            <w:vAlign w:val="center"/>
          </w:tcPr>
          <w:p w14:paraId="48857E41">
            <w:pPr>
              <w:spacing w:line="240" w:lineRule="auto"/>
              <w:ind w:firstLine="0" w:firstLineChars="0"/>
              <w:rPr>
                <w:color w:val="auto"/>
              </w:rPr>
            </w:pPr>
            <w:r>
              <w:rPr>
                <w:rFonts w:hint="eastAsia"/>
                <w:color w:val="auto"/>
              </w:rPr>
              <w:t>水准测量</w:t>
            </w:r>
          </w:p>
        </w:tc>
      </w:tr>
      <w:tr w14:paraId="7F190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0" w:type="pct"/>
            <w:vAlign w:val="center"/>
          </w:tcPr>
          <w:p w14:paraId="4EB54FC0">
            <w:pPr>
              <w:spacing w:line="240" w:lineRule="auto"/>
              <w:ind w:firstLine="0" w:firstLineChars="0"/>
              <w:rPr>
                <w:color w:val="auto"/>
              </w:rPr>
            </w:pPr>
            <w:r>
              <w:rPr>
                <w:rFonts w:hint="eastAsia"/>
                <w:color w:val="auto"/>
              </w:rPr>
              <w:t>楼层基准标高网</w:t>
            </w:r>
          </w:p>
        </w:tc>
        <w:tc>
          <w:tcPr>
            <w:tcW w:w="2056" w:type="pct"/>
            <w:gridSpan w:val="2"/>
            <w:vAlign w:val="center"/>
          </w:tcPr>
          <w:p w14:paraId="1CC157E9">
            <w:pPr>
              <w:spacing w:line="240" w:lineRule="auto"/>
              <w:ind w:firstLine="0" w:firstLineChars="0"/>
              <w:rPr>
                <w:color w:val="auto"/>
              </w:rPr>
            </w:pPr>
            <w:r>
              <w:rPr>
                <w:rFonts w:hint="eastAsia"/>
                <w:color w:val="auto"/>
              </w:rPr>
              <w:t>±3mm</w:t>
            </w:r>
          </w:p>
        </w:tc>
        <w:tc>
          <w:tcPr>
            <w:tcW w:w="850" w:type="pct"/>
            <w:vAlign w:val="center"/>
          </w:tcPr>
          <w:p w14:paraId="40565358">
            <w:pPr>
              <w:spacing w:line="240" w:lineRule="auto"/>
              <w:ind w:firstLine="0" w:firstLineChars="0"/>
              <w:rPr>
                <w:color w:val="auto"/>
              </w:rPr>
            </w:pPr>
            <w:r>
              <w:rPr>
                <w:rFonts w:hint="eastAsia"/>
                <w:color w:val="auto"/>
              </w:rPr>
              <w:t>1次</w:t>
            </w:r>
            <w:r>
              <w:rPr>
                <w:color w:val="auto"/>
              </w:rPr>
              <w:t>/</w:t>
            </w:r>
            <w:r>
              <w:rPr>
                <w:rFonts w:hint="eastAsia"/>
                <w:color w:val="auto"/>
              </w:rPr>
              <w:t>每层</w:t>
            </w:r>
          </w:p>
        </w:tc>
        <w:tc>
          <w:tcPr>
            <w:tcW w:w="893" w:type="pct"/>
            <w:vAlign w:val="center"/>
          </w:tcPr>
          <w:p w14:paraId="4AC83EAB">
            <w:pPr>
              <w:spacing w:line="240" w:lineRule="auto"/>
              <w:ind w:firstLine="0" w:firstLineChars="0"/>
              <w:rPr>
                <w:color w:val="auto"/>
              </w:rPr>
            </w:pPr>
            <w:r>
              <w:rPr>
                <w:rFonts w:hint="eastAsia"/>
                <w:color w:val="auto"/>
              </w:rPr>
              <w:t>水准测量</w:t>
            </w:r>
          </w:p>
        </w:tc>
      </w:tr>
    </w:tbl>
    <w:p w14:paraId="7F5F382C">
      <w:pPr>
        <w:rPr>
          <w:color w:val="auto"/>
        </w:rPr>
      </w:pPr>
      <w:r>
        <w:rPr>
          <w:rFonts w:hint="eastAsia"/>
          <w:color w:val="auto"/>
        </w:rPr>
        <w:t>（2）对分包的协调控制</w:t>
      </w:r>
    </w:p>
    <w:p w14:paraId="02FADD4F">
      <w:pPr>
        <w:rPr>
          <w:color w:val="auto"/>
        </w:rPr>
      </w:pPr>
      <w:r>
        <w:rPr>
          <w:rFonts w:hint="eastAsia"/>
          <w:color w:val="auto"/>
        </w:rPr>
        <w:t>除自身的施工测量工作以外，我们还将对分包工程的施工测量进行控制。分包工程开工前，我司移交测量控制线（楼层控制轴线和楼层控制标高）给分包单位，由移交双方进行相互交接检查无误后方可使用。在分包工程施工过程中，将对分包工程重点部位的施工测量进行跟踪复核。</w:t>
      </w:r>
    </w:p>
    <w:p w14:paraId="6D08D3C6">
      <w:pPr>
        <w:rPr>
          <w:color w:val="auto"/>
        </w:rPr>
      </w:pPr>
      <w:r>
        <w:rPr>
          <w:rFonts w:hint="eastAsia"/>
          <w:color w:val="auto"/>
        </w:rPr>
        <w:t>（3）质量控制流程图</w:t>
      </w:r>
    </w:p>
    <w:p w14:paraId="06B135FE">
      <w:pPr>
        <w:pStyle w:val="65"/>
        <w:spacing w:before="163" w:after="163"/>
        <w:rPr>
          <w:color w:val="auto"/>
        </w:rPr>
      </w:pPr>
      <w:r>
        <w:rPr>
          <w:color w:val="auto"/>
        </w:rPr>
        <w:object>
          <v:shape id="_x0000_i1036" o:spt="75" type="#_x0000_t75" style="height:419.25pt;width:396.9pt;" o:ole="t" filled="f" o:preferrelative="t" stroked="f" coordsize="21600,21600">
            <v:path/>
            <v:fill on="f" focussize="0,0"/>
            <v:stroke on="f" joinstyle="miter"/>
            <v:imagedata r:id="rId203" o:title=""/>
            <o:lock v:ext="edit" aspectratio="t"/>
            <w10:wrap type="none"/>
            <w10:anchorlock/>
          </v:shape>
          <o:OLEObject Type="Embed" ProgID="Visio.Drawing.11" ShapeID="_x0000_i1036" DrawAspect="Content" ObjectID="_1468075736" r:id="rId202">
            <o:LockedField>false</o:LockedField>
          </o:OLEObject>
        </w:object>
      </w:r>
    </w:p>
    <w:p w14:paraId="5770FA68">
      <w:pPr>
        <w:pStyle w:val="53"/>
        <w:rPr>
          <w:color w:val="auto"/>
        </w:rPr>
      </w:pPr>
      <w:r>
        <w:rPr>
          <w:rFonts w:hint="eastAsia"/>
          <w:color w:val="auto"/>
        </w:rPr>
        <w:t>测量工序质量控制流程图</w:t>
      </w:r>
    </w:p>
    <w:p w14:paraId="24435D45">
      <w:pPr>
        <w:pStyle w:val="6"/>
        <w:ind w:firstLine="480"/>
        <w:rPr>
          <w:color w:val="auto"/>
        </w:rPr>
      </w:pPr>
      <w:r>
        <w:rPr>
          <w:rFonts w:hint="eastAsia"/>
          <w:color w:val="auto"/>
        </w:rPr>
        <w:t>土方工程质量标准</w:t>
      </w:r>
    </w:p>
    <w:p w14:paraId="475DF2B6">
      <w:pPr>
        <w:rPr>
          <w:color w:val="auto"/>
        </w:rPr>
      </w:pPr>
      <w:r>
        <w:rPr>
          <w:rFonts w:hint="eastAsia"/>
          <w:color w:val="auto"/>
        </w:rPr>
        <w:t>1、土方工程质量要求</w:t>
      </w:r>
    </w:p>
    <w:p w14:paraId="7A35175D">
      <w:pPr>
        <w:pStyle w:val="54"/>
        <w:rPr>
          <w:color w:val="auto"/>
        </w:rPr>
      </w:pPr>
      <w:r>
        <w:rPr>
          <w:rFonts w:hint="eastAsia"/>
          <w:color w:val="auto"/>
        </w:rPr>
        <w:t>土方工程质量要求</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8342"/>
      </w:tblGrid>
      <w:tr w14:paraId="284B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96" w:type="pct"/>
            <w:vAlign w:val="center"/>
          </w:tcPr>
          <w:p w14:paraId="61CE5686">
            <w:pPr>
              <w:spacing w:line="240" w:lineRule="auto"/>
              <w:ind w:firstLine="0" w:firstLineChars="0"/>
              <w:rPr>
                <w:color w:val="auto"/>
              </w:rPr>
            </w:pPr>
            <w:r>
              <w:rPr>
                <w:rFonts w:hint="eastAsia"/>
                <w:color w:val="auto"/>
              </w:rPr>
              <w:t>序号</w:t>
            </w:r>
          </w:p>
        </w:tc>
        <w:tc>
          <w:tcPr>
            <w:tcW w:w="4604" w:type="pct"/>
            <w:vAlign w:val="center"/>
          </w:tcPr>
          <w:p w14:paraId="43DA49BE">
            <w:pPr>
              <w:spacing w:line="240" w:lineRule="auto"/>
              <w:ind w:firstLine="0" w:firstLineChars="0"/>
              <w:rPr>
                <w:color w:val="auto"/>
              </w:rPr>
            </w:pPr>
            <w:r>
              <w:rPr>
                <w:rFonts w:hint="eastAsia"/>
                <w:color w:val="auto"/>
              </w:rPr>
              <w:t>内容</w:t>
            </w:r>
          </w:p>
        </w:tc>
      </w:tr>
      <w:tr w14:paraId="31844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7E8003A8">
            <w:pPr>
              <w:spacing w:line="240" w:lineRule="auto"/>
              <w:ind w:firstLine="0" w:firstLineChars="0"/>
              <w:rPr>
                <w:color w:val="auto"/>
              </w:rPr>
            </w:pPr>
            <w:r>
              <w:rPr>
                <w:rFonts w:hint="eastAsia"/>
                <w:color w:val="auto"/>
              </w:rPr>
              <w:t>1</w:t>
            </w:r>
          </w:p>
        </w:tc>
        <w:tc>
          <w:tcPr>
            <w:tcW w:w="4604" w:type="pct"/>
            <w:vAlign w:val="center"/>
          </w:tcPr>
          <w:p w14:paraId="10193148">
            <w:pPr>
              <w:spacing w:line="240" w:lineRule="auto"/>
              <w:ind w:firstLine="0" w:firstLineChars="0"/>
              <w:rPr>
                <w:color w:val="auto"/>
              </w:rPr>
            </w:pPr>
            <w:r>
              <w:rPr>
                <w:color w:val="auto"/>
              </w:rPr>
              <w:t>机械挖土</w:t>
            </w:r>
            <w:r>
              <w:rPr>
                <w:rFonts w:hint="eastAsia"/>
                <w:color w:val="auto"/>
              </w:rPr>
              <w:t>挖至结构设计要求的</w:t>
            </w:r>
            <w:r>
              <w:rPr>
                <w:color w:val="auto"/>
              </w:rPr>
              <w:t>槽底标高，</w:t>
            </w:r>
            <w:r>
              <w:rPr>
                <w:rFonts w:hint="eastAsia"/>
                <w:color w:val="auto"/>
              </w:rPr>
              <w:t>剩余由人工进行清理，机械配合外运，以免</w:t>
            </w:r>
            <w:r>
              <w:rPr>
                <w:color w:val="auto"/>
              </w:rPr>
              <w:t>扰动</w:t>
            </w:r>
            <w:r>
              <w:rPr>
                <w:rFonts w:hint="eastAsia"/>
                <w:color w:val="auto"/>
              </w:rPr>
              <w:t>原状土</w:t>
            </w:r>
            <w:r>
              <w:rPr>
                <w:color w:val="auto"/>
              </w:rPr>
              <w:t>。</w:t>
            </w:r>
          </w:p>
        </w:tc>
      </w:tr>
      <w:tr w14:paraId="2E8C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3A3E8563">
            <w:pPr>
              <w:spacing w:line="240" w:lineRule="auto"/>
              <w:ind w:firstLine="0" w:firstLineChars="0"/>
              <w:rPr>
                <w:color w:val="auto"/>
              </w:rPr>
            </w:pPr>
            <w:r>
              <w:rPr>
                <w:rFonts w:hint="eastAsia"/>
                <w:color w:val="auto"/>
              </w:rPr>
              <w:t>2</w:t>
            </w:r>
          </w:p>
        </w:tc>
        <w:tc>
          <w:tcPr>
            <w:tcW w:w="4604" w:type="pct"/>
            <w:vAlign w:val="center"/>
          </w:tcPr>
          <w:p w14:paraId="0B900142">
            <w:pPr>
              <w:spacing w:line="240" w:lineRule="auto"/>
              <w:ind w:firstLine="0" w:firstLineChars="0"/>
              <w:rPr>
                <w:color w:val="auto"/>
              </w:rPr>
            </w:pPr>
            <w:r>
              <w:rPr>
                <w:color w:val="auto"/>
              </w:rPr>
              <w:t>边坡允许偏差+200mm，严禁亏坡。</w:t>
            </w:r>
          </w:p>
        </w:tc>
      </w:tr>
      <w:tr w14:paraId="79BC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6FD5BFF5">
            <w:pPr>
              <w:spacing w:line="240" w:lineRule="auto"/>
              <w:ind w:firstLine="0" w:firstLineChars="0"/>
              <w:rPr>
                <w:color w:val="auto"/>
              </w:rPr>
            </w:pPr>
            <w:r>
              <w:rPr>
                <w:rFonts w:hint="eastAsia"/>
                <w:color w:val="auto"/>
              </w:rPr>
              <w:t>3</w:t>
            </w:r>
          </w:p>
        </w:tc>
        <w:tc>
          <w:tcPr>
            <w:tcW w:w="4604" w:type="pct"/>
            <w:vAlign w:val="center"/>
          </w:tcPr>
          <w:p w14:paraId="763210D6">
            <w:pPr>
              <w:spacing w:line="240" w:lineRule="auto"/>
              <w:ind w:firstLine="0" w:firstLineChars="0"/>
              <w:rPr>
                <w:color w:val="auto"/>
              </w:rPr>
            </w:pPr>
            <w:r>
              <w:rPr>
                <w:color w:val="auto"/>
              </w:rPr>
              <w:t>挖土机严禁碰撞</w:t>
            </w:r>
            <w:r>
              <w:rPr>
                <w:rFonts w:hint="eastAsia"/>
                <w:color w:val="auto"/>
              </w:rPr>
              <w:t>土钉墙</w:t>
            </w:r>
            <w:r>
              <w:rPr>
                <w:color w:val="auto"/>
              </w:rPr>
              <w:t>等支护结构以及位移观测点。</w:t>
            </w:r>
          </w:p>
        </w:tc>
      </w:tr>
      <w:tr w14:paraId="593F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5EB34CF8">
            <w:pPr>
              <w:spacing w:line="240" w:lineRule="auto"/>
              <w:ind w:firstLine="0" w:firstLineChars="0"/>
              <w:rPr>
                <w:color w:val="auto"/>
              </w:rPr>
            </w:pPr>
            <w:r>
              <w:rPr>
                <w:rFonts w:hint="eastAsia"/>
                <w:color w:val="auto"/>
              </w:rPr>
              <w:t>4</w:t>
            </w:r>
          </w:p>
        </w:tc>
        <w:tc>
          <w:tcPr>
            <w:tcW w:w="4604" w:type="pct"/>
            <w:vAlign w:val="center"/>
          </w:tcPr>
          <w:p w14:paraId="1F9CB105">
            <w:pPr>
              <w:spacing w:line="240" w:lineRule="auto"/>
              <w:ind w:firstLine="0" w:firstLineChars="0"/>
              <w:rPr>
                <w:color w:val="auto"/>
              </w:rPr>
            </w:pPr>
            <w:r>
              <w:rPr>
                <w:color w:val="auto"/>
              </w:rPr>
              <w:t>对定位标准桩、轴线引桩、标准水准点等做明显标志，挖土机及运土车辆不得碰撞，并应定期复测和检查是否正确。</w:t>
            </w:r>
          </w:p>
        </w:tc>
      </w:tr>
      <w:tr w14:paraId="382BD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7EE8E198">
            <w:pPr>
              <w:spacing w:line="240" w:lineRule="auto"/>
              <w:ind w:firstLine="0" w:firstLineChars="0"/>
              <w:rPr>
                <w:color w:val="auto"/>
              </w:rPr>
            </w:pPr>
            <w:r>
              <w:rPr>
                <w:rFonts w:hint="eastAsia"/>
                <w:color w:val="auto"/>
              </w:rPr>
              <w:t>5</w:t>
            </w:r>
          </w:p>
        </w:tc>
        <w:tc>
          <w:tcPr>
            <w:tcW w:w="4604" w:type="pct"/>
            <w:vAlign w:val="center"/>
          </w:tcPr>
          <w:p w14:paraId="47238180">
            <w:pPr>
              <w:spacing w:line="240" w:lineRule="auto"/>
              <w:ind w:firstLine="0" w:firstLineChars="0"/>
              <w:rPr>
                <w:color w:val="auto"/>
              </w:rPr>
            </w:pPr>
            <w:r>
              <w:rPr>
                <w:color w:val="auto"/>
              </w:rPr>
              <w:t>挖土过程中，测量员应随时测量和校核其平面位置、水平标高是否符合设计要求，以保证基底标高和基坑线在允许偏差之内。</w:t>
            </w:r>
          </w:p>
        </w:tc>
      </w:tr>
      <w:tr w14:paraId="5F9A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05551FF0">
            <w:pPr>
              <w:spacing w:line="240" w:lineRule="auto"/>
              <w:ind w:firstLine="0" w:firstLineChars="0"/>
              <w:rPr>
                <w:color w:val="auto"/>
              </w:rPr>
            </w:pPr>
            <w:r>
              <w:rPr>
                <w:rFonts w:hint="eastAsia"/>
                <w:color w:val="auto"/>
              </w:rPr>
              <w:t>6</w:t>
            </w:r>
          </w:p>
        </w:tc>
        <w:tc>
          <w:tcPr>
            <w:tcW w:w="4604" w:type="pct"/>
            <w:vAlign w:val="center"/>
          </w:tcPr>
          <w:p w14:paraId="2DB6F9CE">
            <w:pPr>
              <w:spacing w:line="240" w:lineRule="auto"/>
              <w:ind w:firstLine="0" w:firstLineChars="0"/>
              <w:rPr>
                <w:color w:val="auto"/>
              </w:rPr>
            </w:pPr>
            <w:r>
              <w:rPr>
                <w:color w:val="auto"/>
              </w:rPr>
              <w:t>土方挖运过程中，随时观测地下水情况，避免出现地下水及土层含水量过大对土方开挖造成不利影响。</w:t>
            </w:r>
          </w:p>
        </w:tc>
      </w:tr>
      <w:tr w14:paraId="3854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6" w:type="pct"/>
            <w:vAlign w:val="center"/>
          </w:tcPr>
          <w:p w14:paraId="3450ABA4">
            <w:pPr>
              <w:spacing w:line="240" w:lineRule="auto"/>
              <w:ind w:firstLine="0" w:firstLineChars="0"/>
              <w:rPr>
                <w:color w:val="auto"/>
              </w:rPr>
            </w:pPr>
            <w:r>
              <w:rPr>
                <w:rFonts w:hint="eastAsia"/>
                <w:color w:val="auto"/>
              </w:rPr>
              <w:t>7</w:t>
            </w:r>
          </w:p>
        </w:tc>
        <w:tc>
          <w:tcPr>
            <w:tcW w:w="4604" w:type="pct"/>
            <w:vAlign w:val="center"/>
          </w:tcPr>
          <w:p w14:paraId="15D570C6">
            <w:pPr>
              <w:spacing w:line="240" w:lineRule="auto"/>
              <w:ind w:firstLine="0" w:firstLineChars="0"/>
              <w:rPr>
                <w:color w:val="auto"/>
              </w:rPr>
            </w:pPr>
            <w:r>
              <w:rPr>
                <w:color w:val="auto"/>
              </w:rPr>
              <w:t>土方施工设专人指挥，确保出土畅通。</w:t>
            </w:r>
          </w:p>
        </w:tc>
      </w:tr>
    </w:tbl>
    <w:p w14:paraId="0A812A3C">
      <w:pPr>
        <w:rPr>
          <w:color w:val="auto"/>
        </w:rPr>
      </w:pPr>
      <w:r>
        <w:rPr>
          <w:rFonts w:hint="eastAsia"/>
          <w:color w:val="auto"/>
        </w:rPr>
        <w:t>2、土方工程质量检验标准</w:t>
      </w:r>
    </w:p>
    <w:p w14:paraId="183DF6DF">
      <w:pPr>
        <w:pStyle w:val="54"/>
        <w:rPr>
          <w:color w:val="auto"/>
        </w:rPr>
      </w:pPr>
      <w:r>
        <w:rPr>
          <w:rFonts w:hint="eastAsia"/>
          <w:color w:val="auto"/>
        </w:rPr>
        <w:t>土方工程质量检验标准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799"/>
        <w:gridCol w:w="2260"/>
        <w:gridCol w:w="2109"/>
        <w:gridCol w:w="3068"/>
      </w:tblGrid>
      <w:tr w14:paraId="1ECA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blHeader/>
          <w:jc w:val="center"/>
        </w:trPr>
        <w:tc>
          <w:tcPr>
            <w:tcW w:w="455" w:type="pct"/>
            <w:vAlign w:val="center"/>
          </w:tcPr>
          <w:p w14:paraId="1C348FE5">
            <w:pPr>
              <w:pStyle w:val="74"/>
              <w:rPr>
                <w:color w:val="auto"/>
              </w:rPr>
            </w:pPr>
            <w:r>
              <w:rPr>
                <w:rFonts w:hint="eastAsia"/>
                <w:color w:val="auto"/>
              </w:rPr>
              <w:t>项目</w:t>
            </w:r>
          </w:p>
        </w:tc>
        <w:tc>
          <w:tcPr>
            <w:tcW w:w="441" w:type="pct"/>
            <w:vAlign w:val="center"/>
          </w:tcPr>
          <w:p w14:paraId="27811797">
            <w:pPr>
              <w:pStyle w:val="74"/>
              <w:rPr>
                <w:color w:val="auto"/>
              </w:rPr>
            </w:pPr>
            <w:r>
              <w:rPr>
                <w:rFonts w:hint="eastAsia"/>
                <w:color w:val="auto"/>
              </w:rPr>
              <w:t>序号</w:t>
            </w:r>
          </w:p>
        </w:tc>
        <w:tc>
          <w:tcPr>
            <w:tcW w:w="1247" w:type="pct"/>
            <w:vAlign w:val="center"/>
          </w:tcPr>
          <w:p w14:paraId="1E72B5B4">
            <w:pPr>
              <w:pStyle w:val="74"/>
              <w:rPr>
                <w:color w:val="auto"/>
              </w:rPr>
            </w:pPr>
            <w:r>
              <w:rPr>
                <w:rFonts w:hint="eastAsia"/>
                <w:color w:val="auto"/>
              </w:rPr>
              <w:t>检查项目</w:t>
            </w:r>
          </w:p>
        </w:tc>
        <w:tc>
          <w:tcPr>
            <w:tcW w:w="1164" w:type="pct"/>
            <w:vAlign w:val="center"/>
          </w:tcPr>
          <w:p w14:paraId="31B1768F">
            <w:pPr>
              <w:pStyle w:val="74"/>
              <w:rPr>
                <w:color w:val="auto"/>
              </w:rPr>
            </w:pPr>
            <w:r>
              <w:rPr>
                <w:rFonts w:hint="eastAsia"/>
                <w:color w:val="auto"/>
              </w:rPr>
              <w:t>允许偏差或允许值</w:t>
            </w:r>
          </w:p>
        </w:tc>
        <w:tc>
          <w:tcPr>
            <w:tcW w:w="1693" w:type="pct"/>
            <w:vAlign w:val="center"/>
          </w:tcPr>
          <w:p w14:paraId="001E2053">
            <w:pPr>
              <w:pStyle w:val="74"/>
              <w:rPr>
                <w:color w:val="auto"/>
              </w:rPr>
            </w:pPr>
            <w:r>
              <w:rPr>
                <w:rFonts w:hint="eastAsia"/>
                <w:color w:val="auto"/>
              </w:rPr>
              <w:t>检查方法</w:t>
            </w:r>
          </w:p>
        </w:tc>
      </w:tr>
      <w:tr w14:paraId="6451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Merge w:val="restart"/>
            <w:vAlign w:val="center"/>
          </w:tcPr>
          <w:p w14:paraId="61082875">
            <w:pPr>
              <w:pStyle w:val="74"/>
              <w:rPr>
                <w:color w:val="auto"/>
              </w:rPr>
            </w:pPr>
            <w:r>
              <w:rPr>
                <w:rFonts w:hint="eastAsia"/>
                <w:color w:val="auto"/>
              </w:rPr>
              <w:t>主控</w:t>
            </w:r>
          </w:p>
          <w:p w14:paraId="1104F822">
            <w:pPr>
              <w:pStyle w:val="74"/>
              <w:rPr>
                <w:color w:val="auto"/>
              </w:rPr>
            </w:pPr>
            <w:r>
              <w:rPr>
                <w:rFonts w:hint="eastAsia"/>
                <w:color w:val="auto"/>
              </w:rPr>
              <w:t>项目</w:t>
            </w:r>
          </w:p>
        </w:tc>
        <w:tc>
          <w:tcPr>
            <w:tcW w:w="441" w:type="pct"/>
            <w:vAlign w:val="center"/>
          </w:tcPr>
          <w:p w14:paraId="06AFEBD9">
            <w:pPr>
              <w:pStyle w:val="74"/>
              <w:rPr>
                <w:color w:val="auto"/>
              </w:rPr>
            </w:pPr>
            <w:r>
              <w:rPr>
                <w:rFonts w:hint="eastAsia"/>
                <w:color w:val="auto"/>
              </w:rPr>
              <w:t>1</w:t>
            </w:r>
          </w:p>
        </w:tc>
        <w:tc>
          <w:tcPr>
            <w:tcW w:w="1247" w:type="pct"/>
            <w:vAlign w:val="center"/>
          </w:tcPr>
          <w:p w14:paraId="25F79FDA">
            <w:pPr>
              <w:pStyle w:val="74"/>
              <w:rPr>
                <w:color w:val="auto"/>
              </w:rPr>
            </w:pPr>
            <w:r>
              <w:rPr>
                <w:rFonts w:hint="eastAsia"/>
                <w:color w:val="auto"/>
              </w:rPr>
              <w:t>标高</w:t>
            </w:r>
          </w:p>
        </w:tc>
        <w:tc>
          <w:tcPr>
            <w:tcW w:w="1164" w:type="pct"/>
            <w:vAlign w:val="center"/>
          </w:tcPr>
          <w:p w14:paraId="27BC34A1">
            <w:pPr>
              <w:pStyle w:val="74"/>
              <w:rPr>
                <w:color w:val="auto"/>
              </w:rPr>
            </w:pPr>
            <w:r>
              <w:rPr>
                <w:rFonts w:hint="eastAsia"/>
                <w:color w:val="auto"/>
              </w:rPr>
              <w:t>-50mm</w:t>
            </w:r>
          </w:p>
        </w:tc>
        <w:tc>
          <w:tcPr>
            <w:tcW w:w="1693" w:type="pct"/>
            <w:vAlign w:val="center"/>
          </w:tcPr>
          <w:p w14:paraId="7A3BD46F">
            <w:pPr>
              <w:pStyle w:val="74"/>
              <w:rPr>
                <w:color w:val="auto"/>
              </w:rPr>
            </w:pPr>
            <w:r>
              <w:rPr>
                <w:rFonts w:hint="eastAsia"/>
                <w:color w:val="auto"/>
              </w:rPr>
              <w:t>水准仪</w:t>
            </w:r>
          </w:p>
        </w:tc>
      </w:tr>
      <w:tr w14:paraId="320BC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Merge w:val="continue"/>
            <w:vAlign w:val="center"/>
          </w:tcPr>
          <w:p w14:paraId="2A578769">
            <w:pPr>
              <w:pStyle w:val="74"/>
              <w:rPr>
                <w:color w:val="auto"/>
              </w:rPr>
            </w:pPr>
          </w:p>
        </w:tc>
        <w:tc>
          <w:tcPr>
            <w:tcW w:w="441" w:type="pct"/>
            <w:vAlign w:val="center"/>
          </w:tcPr>
          <w:p w14:paraId="7AF29837">
            <w:pPr>
              <w:pStyle w:val="74"/>
              <w:rPr>
                <w:color w:val="auto"/>
              </w:rPr>
            </w:pPr>
            <w:r>
              <w:rPr>
                <w:rFonts w:hint="eastAsia"/>
                <w:color w:val="auto"/>
              </w:rPr>
              <w:t>2</w:t>
            </w:r>
          </w:p>
        </w:tc>
        <w:tc>
          <w:tcPr>
            <w:tcW w:w="1247" w:type="pct"/>
            <w:vAlign w:val="center"/>
          </w:tcPr>
          <w:p w14:paraId="47C6645A">
            <w:pPr>
              <w:pStyle w:val="74"/>
              <w:rPr>
                <w:color w:val="auto"/>
              </w:rPr>
            </w:pPr>
            <w:r>
              <w:rPr>
                <w:rFonts w:hint="eastAsia"/>
                <w:color w:val="auto"/>
              </w:rPr>
              <w:t>长度、宽度（由设计中心线向两边量）</w:t>
            </w:r>
          </w:p>
        </w:tc>
        <w:tc>
          <w:tcPr>
            <w:tcW w:w="1164" w:type="pct"/>
            <w:vAlign w:val="center"/>
          </w:tcPr>
          <w:p w14:paraId="2104999A">
            <w:pPr>
              <w:pStyle w:val="74"/>
              <w:rPr>
                <w:color w:val="auto"/>
              </w:rPr>
            </w:pPr>
            <w:r>
              <w:rPr>
                <w:rFonts w:hint="eastAsia"/>
                <w:color w:val="auto"/>
              </w:rPr>
              <w:t>+200mm</w:t>
            </w:r>
          </w:p>
          <w:p w14:paraId="488578AB">
            <w:pPr>
              <w:pStyle w:val="74"/>
              <w:rPr>
                <w:color w:val="auto"/>
              </w:rPr>
            </w:pPr>
            <w:r>
              <w:rPr>
                <w:rFonts w:hint="eastAsia"/>
                <w:color w:val="auto"/>
              </w:rPr>
              <w:t>-50mm</w:t>
            </w:r>
          </w:p>
        </w:tc>
        <w:tc>
          <w:tcPr>
            <w:tcW w:w="1693" w:type="pct"/>
            <w:vAlign w:val="center"/>
          </w:tcPr>
          <w:p w14:paraId="43731C27">
            <w:pPr>
              <w:pStyle w:val="74"/>
              <w:rPr>
                <w:color w:val="auto"/>
              </w:rPr>
            </w:pPr>
            <w:r>
              <w:rPr>
                <w:rFonts w:hint="eastAsia"/>
                <w:color w:val="auto"/>
              </w:rPr>
              <w:t>经纬仪，用钢尺量</w:t>
            </w:r>
          </w:p>
        </w:tc>
      </w:tr>
      <w:tr w14:paraId="263F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Merge w:val="continue"/>
            <w:vAlign w:val="center"/>
          </w:tcPr>
          <w:p w14:paraId="09628628">
            <w:pPr>
              <w:pStyle w:val="74"/>
              <w:rPr>
                <w:color w:val="auto"/>
              </w:rPr>
            </w:pPr>
          </w:p>
        </w:tc>
        <w:tc>
          <w:tcPr>
            <w:tcW w:w="441" w:type="pct"/>
            <w:vAlign w:val="center"/>
          </w:tcPr>
          <w:p w14:paraId="23C160FC">
            <w:pPr>
              <w:pStyle w:val="74"/>
              <w:rPr>
                <w:color w:val="auto"/>
              </w:rPr>
            </w:pPr>
            <w:r>
              <w:rPr>
                <w:rFonts w:hint="eastAsia"/>
                <w:color w:val="auto"/>
              </w:rPr>
              <w:t>3</w:t>
            </w:r>
          </w:p>
        </w:tc>
        <w:tc>
          <w:tcPr>
            <w:tcW w:w="1247" w:type="pct"/>
            <w:vAlign w:val="center"/>
          </w:tcPr>
          <w:p w14:paraId="4CB25CB7">
            <w:pPr>
              <w:pStyle w:val="74"/>
              <w:rPr>
                <w:color w:val="auto"/>
              </w:rPr>
            </w:pPr>
            <w:r>
              <w:rPr>
                <w:rFonts w:hint="eastAsia"/>
                <w:color w:val="auto"/>
              </w:rPr>
              <w:t>边坡</w:t>
            </w:r>
          </w:p>
        </w:tc>
        <w:tc>
          <w:tcPr>
            <w:tcW w:w="1164" w:type="pct"/>
            <w:vAlign w:val="center"/>
          </w:tcPr>
          <w:p w14:paraId="719BC905">
            <w:pPr>
              <w:pStyle w:val="74"/>
              <w:rPr>
                <w:color w:val="auto"/>
              </w:rPr>
            </w:pPr>
            <w:r>
              <w:rPr>
                <w:rFonts w:hint="eastAsia"/>
                <w:color w:val="auto"/>
              </w:rPr>
              <w:t>设计要求</w:t>
            </w:r>
          </w:p>
        </w:tc>
        <w:tc>
          <w:tcPr>
            <w:tcW w:w="1693" w:type="pct"/>
            <w:vAlign w:val="center"/>
          </w:tcPr>
          <w:p w14:paraId="007BBE48">
            <w:pPr>
              <w:pStyle w:val="74"/>
              <w:rPr>
                <w:color w:val="auto"/>
              </w:rPr>
            </w:pPr>
            <w:r>
              <w:rPr>
                <w:rFonts w:hint="eastAsia"/>
                <w:color w:val="auto"/>
              </w:rPr>
              <w:t>观察或用坡度尺量</w:t>
            </w:r>
          </w:p>
        </w:tc>
      </w:tr>
      <w:tr w14:paraId="717BF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Merge w:val="restart"/>
            <w:vAlign w:val="center"/>
          </w:tcPr>
          <w:p w14:paraId="6A739482">
            <w:pPr>
              <w:pStyle w:val="74"/>
              <w:rPr>
                <w:color w:val="auto"/>
              </w:rPr>
            </w:pPr>
            <w:r>
              <w:rPr>
                <w:rFonts w:hint="eastAsia"/>
                <w:color w:val="auto"/>
              </w:rPr>
              <w:t>一般</w:t>
            </w:r>
          </w:p>
          <w:p w14:paraId="6F153FD7">
            <w:pPr>
              <w:pStyle w:val="74"/>
              <w:rPr>
                <w:color w:val="auto"/>
              </w:rPr>
            </w:pPr>
            <w:r>
              <w:rPr>
                <w:rFonts w:hint="eastAsia"/>
                <w:color w:val="auto"/>
              </w:rPr>
              <w:t>项目</w:t>
            </w:r>
          </w:p>
        </w:tc>
        <w:tc>
          <w:tcPr>
            <w:tcW w:w="441" w:type="pct"/>
            <w:vAlign w:val="center"/>
          </w:tcPr>
          <w:p w14:paraId="1D3EFFF6">
            <w:pPr>
              <w:pStyle w:val="74"/>
              <w:rPr>
                <w:color w:val="auto"/>
              </w:rPr>
            </w:pPr>
            <w:r>
              <w:rPr>
                <w:rFonts w:hint="eastAsia"/>
                <w:color w:val="auto"/>
              </w:rPr>
              <w:t>1</w:t>
            </w:r>
          </w:p>
        </w:tc>
        <w:tc>
          <w:tcPr>
            <w:tcW w:w="1247" w:type="pct"/>
            <w:vAlign w:val="center"/>
          </w:tcPr>
          <w:p w14:paraId="14EE46BA">
            <w:pPr>
              <w:pStyle w:val="74"/>
              <w:rPr>
                <w:color w:val="auto"/>
              </w:rPr>
            </w:pPr>
            <w:r>
              <w:rPr>
                <w:rFonts w:hint="eastAsia"/>
                <w:color w:val="auto"/>
              </w:rPr>
              <w:t>表面平整度</w:t>
            </w:r>
          </w:p>
        </w:tc>
        <w:tc>
          <w:tcPr>
            <w:tcW w:w="1164" w:type="pct"/>
            <w:vAlign w:val="center"/>
          </w:tcPr>
          <w:p w14:paraId="141C168E">
            <w:pPr>
              <w:pStyle w:val="74"/>
              <w:rPr>
                <w:color w:val="auto"/>
              </w:rPr>
            </w:pPr>
            <w:r>
              <w:rPr>
                <w:rFonts w:hint="eastAsia"/>
                <w:color w:val="auto"/>
              </w:rPr>
              <w:t>20mm</w:t>
            </w:r>
          </w:p>
        </w:tc>
        <w:tc>
          <w:tcPr>
            <w:tcW w:w="1693" w:type="pct"/>
            <w:vAlign w:val="center"/>
          </w:tcPr>
          <w:p w14:paraId="1499F5EB">
            <w:pPr>
              <w:pStyle w:val="74"/>
              <w:rPr>
                <w:color w:val="auto"/>
              </w:rPr>
            </w:pPr>
            <w:r>
              <w:rPr>
                <w:rFonts w:hint="eastAsia"/>
                <w:color w:val="auto"/>
              </w:rPr>
              <w:t>用两米靠尺和楔形塞尺检查</w:t>
            </w:r>
          </w:p>
        </w:tc>
      </w:tr>
      <w:tr w14:paraId="5C7EE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5" w:type="pct"/>
            <w:vMerge w:val="continue"/>
            <w:vAlign w:val="center"/>
          </w:tcPr>
          <w:p w14:paraId="3AFC8B07">
            <w:pPr>
              <w:pStyle w:val="74"/>
              <w:rPr>
                <w:color w:val="auto"/>
              </w:rPr>
            </w:pPr>
          </w:p>
        </w:tc>
        <w:tc>
          <w:tcPr>
            <w:tcW w:w="441" w:type="pct"/>
            <w:vAlign w:val="center"/>
          </w:tcPr>
          <w:p w14:paraId="056E707A">
            <w:pPr>
              <w:pStyle w:val="74"/>
              <w:rPr>
                <w:color w:val="auto"/>
              </w:rPr>
            </w:pPr>
            <w:r>
              <w:rPr>
                <w:rFonts w:hint="eastAsia"/>
                <w:color w:val="auto"/>
              </w:rPr>
              <w:t>2</w:t>
            </w:r>
          </w:p>
        </w:tc>
        <w:tc>
          <w:tcPr>
            <w:tcW w:w="1247" w:type="pct"/>
            <w:vAlign w:val="center"/>
          </w:tcPr>
          <w:p w14:paraId="78DD9F21">
            <w:pPr>
              <w:pStyle w:val="74"/>
              <w:rPr>
                <w:color w:val="auto"/>
              </w:rPr>
            </w:pPr>
            <w:r>
              <w:rPr>
                <w:rFonts w:hint="eastAsia"/>
                <w:color w:val="auto"/>
              </w:rPr>
              <w:t>基底土性</w:t>
            </w:r>
          </w:p>
        </w:tc>
        <w:tc>
          <w:tcPr>
            <w:tcW w:w="1164" w:type="pct"/>
            <w:vAlign w:val="center"/>
          </w:tcPr>
          <w:p w14:paraId="692EB8A3">
            <w:pPr>
              <w:pStyle w:val="74"/>
              <w:rPr>
                <w:color w:val="auto"/>
              </w:rPr>
            </w:pPr>
            <w:r>
              <w:rPr>
                <w:rFonts w:hint="eastAsia"/>
                <w:color w:val="auto"/>
              </w:rPr>
              <w:t>设计要求</w:t>
            </w:r>
          </w:p>
        </w:tc>
        <w:tc>
          <w:tcPr>
            <w:tcW w:w="1693" w:type="pct"/>
            <w:vAlign w:val="center"/>
          </w:tcPr>
          <w:p w14:paraId="406E2499">
            <w:pPr>
              <w:pStyle w:val="74"/>
              <w:rPr>
                <w:color w:val="auto"/>
              </w:rPr>
            </w:pPr>
            <w:r>
              <w:rPr>
                <w:rFonts w:hint="eastAsia"/>
                <w:color w:val="auto"/>
              </w:rPr>
              <w:t>观察或土样分析</w:t>
            </w:r>
          </w:p>
        </w:tc>
      </w:tr>
    </w:tbl>
    <w:p w14:paraId="0B04E0C7">
      <w:pPr>
        <w:pStyle w:val="6"/>
        <w:ind w:firstLine="480"/>
        <w:rPr>
          <w:color w:val="auto"/>
        </w:rPr>
      </w:pPr>
      <w:r>
        <w:rPr>
          <w:rFonts w:hint="eastAsia"/>
          <w:color w:val="auto"/>
        </w:rPr>
        <w:t>模板工程质量标准</w:t>
      </w:r>
    </w:p>
    <w:p w14:paraId="552FF5E1">
      <w:pPr>
        <w:rPr>
          <w:color w:val="auto"/>
        </w:rPr>
      </w:pPr>
      <w:r>
        <w:rPr>
          <w:rFonts w:hint="eastAsia"/>
          <w:color w:val="auto"/>
        </w:rPr>
        <w:t>1、模板工程质量控制标准及检测方法</w:t>
      </w:r>
    </w:p>
    <w:p w14:paraId="2BF88C6F">
      <w:pPr>
        <w:pStyle w:val="54"/>
        <w:rPr>
          <w:color w:val="auto"/>
        </w:rPr>
      </w:pPr>
      <w:r>
        <w:rPr>
          <w:rFonts w:hint="eastAsia"/>
          <w:color w:val="auto"/>
        </w:rPr>
        <w:t>模板工程质量控制标准及检测方法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7"/>
        <w:gridCol w:w="1855"/>
        <w:gridCol w:w="2444"/>
        <w:gridCol w:w="2884"/>
      </w:tblGrid>
      <w:tr w14:paraId="663B6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blHeader/>
        </w:trPr>
        <w:tc>
          <w:tcPr>
            <w:tcW w:w="2060" w:type="pct"/>
            <w:gridSpan w:val="2"/>
            <w:vAlign w:val="center"/>
          </w:tcPr>
          <w:p w14:paraId="7930540A">
            <w:pPr>
              <w:pStyle w:val="74"/>
              <w:rPr>
                <w:color w:val="auto"/>
              </w:rPr>
            </w:pPr>
            <w:r>
              <w:rPr>
                <w:rFonts w:hint="eastAsia"/>
                <w:color w:val="auto"/>
              </w:rPr>
              <w:t>项目</w:t>
            </w:r>
          </w:p>
        </w:tc>
        <w:tc>
          <w:tcPr>
            <w:tcW w:w="1349" w:type="pct"/>
            <w:vAlign w:val="center"/>
          </w:tcPr>
          <w:p w14:paraId="4E14FC0B">
            <w:pPr>
              <w:pStyle w:val="74"/>
              <w:rPr>
                <w:color w:val="auto"/>
              </w:rPr>
            </w:pPr>
            <w:r>
              <w:rPr>
                <w:rFonts w:hint="eastAsia"/>
                <w:color w:val="auto"/>
              </w:rPr>
              <w:t>允许偏差（mm）</w:t>
            </w:r>
          </w:p>
        </w:tc>
        <w:tc>
          <w:tcPr>
            <w:tcW w:w="1591" w:type="pct"/>
            <w:vAlign w:val="center"/>
          </w:tcPr>
          <w:p w14:paraId="161607F1">
            <w:pPr>
              <w:pStyle w:val="74"/>
              <w:rPr>
                <w:color w:val="auto"/>
              </w:rPr>
            </w:pPr>
            <w:r>
              <w:rPr>
                <w:rFonts w:hint="eastAsia"/>
                <w:color w:val="auto"/>
              </w:rPr>
              <w:t>检测方法</w:t>
            </w:r>
          </w:p>
        </w:tc>
      </w:tr>
      <w:tr w14:paraId="2D247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2060" w:type="pct"/>
            <w:gridSpan w:val="2"/>
            <w:vAlign w:val="center"/>
          </w:tcPr>
          <w:p w14:paraId="103D5396">
            <w:pPr>
              <w:pStyle w:val="74"/>
              <w:rPr>
                <w:color w:val="auto"/>
              </w:rPr>
            </w:pPr>
            <w:r>
              <w:rPr>
                <w:rFonts w:hint="eastAsia"/>
                <w:color w:val="auto"/>
              </w:rPr>
              <w:t>轴线位置</w:t>
            </w:r>
          </w:p>
        </w:tc>
        <w:tc>
          <w:tcPr>
            <w:tcW w:w="1349" w:type="pct"/>
            <w:vAlign w:val="center"/>
          </w:tcPr>
          <w:p w14:paraId="1BBC5C3D">
            <w:pPr>
              <w:pStyle w:val="74"/>
              <w:rPr>
                <w:color w:val="auto"/>
              </w:rPr>
            </w:pPr>
            <w:r>
              <w:rPr>
                <w:rFonts w:hint="eastAsia"/>
                <w:color w:val="auto"/>
              </w:rPr>
              <w:t>5</w:t>
            </w:r>
          </w:p>
        </w:tc>
        <w:tc>
          <w:tcPr>
            <w:tcW w:w="1591" w:type="pct"/>
            <w:vAlign w:val="center"/>
          </w:tcPr>
          <w:p w14:paraId="242B5339">
            <w:pPr>
              <w:pStyle w:val="74"/>
              <w:rPr>
                <w:color w:val="auto"/>
              </w:rPr>
            </w:pPr>
            <w:r>
              <w:rPr>
                <w:rFonts w:hint="eastAsia"/>
                <w:color w:val="auto"/>
              </w:rPr>
              <w:t>钢尺检查</w:t>
            </w:r>
          </w:p>
        </w:tc>
      </w:tr>
      <w:tr w14:paraId="4DF5A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2060" w:type="pct"/>
            <w:gridSpan w:val="2"/>
            <w:vAlign w:val="center"/>
          </w:tcPr>
          <w:p w14:paraId="6B8F081C">
            <w:pPr>
              <w:pStyle w:val="74"/>
              <w:rPr>
                <w:color w:val="auto"/>
              </w:rPr>
            </w:pPr>
            <w:r>
              <w:rPr>
                <w:rFonts w:hint="eastAsia"/>
                <w:color w:val="auto"/>
              </w:rPr>
              <w:t>底模上表面标高</w:t>
            </w:r>
          </w:p>
        </w:tc>
        <w:tc>
          <w:tcPr>
            <w:tcW w:w="1349" w:type="pct"/>
            <w:vAlign w:val="center"/>
          </w:tcPr>
          <w:p w14:paraId="69370FF5">
            <w:pPr>
              <w:pStyle w:val="74"/>
              <w:rPr>
                <w:color w:val="auto"/>
              </w:rPr>
            </w:pPr>
            <w:r>
              <w:rPr>
                <w:rFonts w:hint="eastAsia"/>
                <w:color w:val="auto"/>
              </w:rPr>
              <w:t>±5</w:t>
            </w:r>
          </w:p>
        </w:tc>
        <w:tc>
          <w:tcPr>
            <w:tcW w:w="1591" w:type="pct"/>
            <w:vAlign w:val="center"/>
          </w:tcPr>
          <w:p w14:paraId="006C1887">
            <w:pPr>
              <w:pStyle w:val="74"/>
              <w:rPr>
                <w:color w:val="auto"/>
              </w:rPr>
            </w:pPr>
            <w:r>
              <w:rPr>
                <w:rFonts w:hint="eastAsia"/>
                <w:color w:val="auto"/>
              </w:rPr>
              <w:t>水准仪或拉线、钢尺检查</w:t>
            </w:r>
          </w:p>
        </w:tc>
      </w:tr>
      <w:tr w14:paraId="43B20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036" w:type="pct"/>
            <w:vMerge w:val="restart"/>
            <w:vAlign w:val="center"/>
          </w:tcPr>
          <w:p w14:paraId="638C334A">
            <w:pPr>
              <w:pStyle w:val="74"/>
              <w:rPr>
                <w:color w:val="auto"/>
              </w:rPr>
            </w:pPr>
            <w:r>
              <w:rPr>
                <w:rFonts w:hint="eastAsia"/>
                <w:color w:val="auto"/>
              </w:rPr>
              <w:t>截面内部尺寸</w:t>
            </w:r>
          </w:p>
        </w:tc>
        <w:tc>
          <w:tcPr>
            <w:tcW w:w="1024" w:type="pct"/>
            <w:vAlign w:val="center"/>
          </w:tcPr>
          <w:p w14:paraId="14989240">
            <w:pPr>
              <w:pStyle w:val="74"/>
              <w:rPr>
                <w:color w:val="auto"/>
              </w:rPr>
            </w:pPr>
            <w:r>
              <w:rPr>
                <w:rFonts w:hint="eastAsia"/>
                <w:color w:val="auto"/>
              </w:rPr>
              <w:t>基础</w:t>
            </w:r>
          </w:p>
        </w:tc>
        <w:tc>
          <w:tcPr>
            <w:tcW w:w="1349" w:type="pct"/>
            <w:vAlign w:val="center"/>
          </w:tcPr>
          <w:p w14:paraId="3C2F5819">
            <w:pPr>
              <w:pStyle w:val="74"/>
              <w:rPr>
                <w:color w:val="auto"/>
              </w:rPr>
            </w:pPr>
            <w:r>
              <w:rPr>
                <w:rFonts w:hint="eastAsia"/>
                <w:color w:val="auto"/>
              </w:rPr>
              <w:t>±10</w:t>
            </w:r>
          </w:p>
        </w:tc>
        <w:tc>
          <w:tcPr>
            <w:tcW w:w="1591" w:type="pct"/>
            <w:vAlign w:val="center"/>
          </w:tcPr>
          <w:p w14:paraId="7F538F6B">
            <w:pPr>
              <w:pStyle w:val="74"/>
              <w:rPr>
                <w:color w:val="auto"/>
              </w:rPr>
            </w:pPr>
            <w:r>
              <w:rPr>
                <w:rFonts w:hint="eastAsia"/>
                <w:color w:val="auto"/>
              </w:rPr>
              <w:t>钢尺检查</w:t>
            </w:r>
          </w:p>
        </w:tc>
      </w:tr>
      <w:tr w14:paraId="4AFA9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036" w:type="pct"/>
            <w:vMerge w:val="continue"/>
            <w:vAlign w:val="center"/>
          </w:tcPr>
          <w:p w14:paraId="1F034C82">
            <w:pPr>
              <w:pStyle w:val="74"/>
              <w:rPr>
                <w:color w:val="auto"/>
              </w:rPr>
            </w:pPr>
          </w:p>
        </w:tc>
        <w:tc>
          <w:tcPr>
            <w:tcW w:w="1024" w:type="pct"/>
            <w:vAlign w:val="center"/>
          </w:tcPr>
          <w:p w14:paraId="5C9AEBE5">
            <w:pPr>
              <w:pStyle w:val="74"/>
              <w:rPr>
                <w:color w:val="auto"/>
              </w:rPr>
            </w:pPr>
            <w:r>
              <w:rPr>
                <w:rFonts w:hint="eastAsia"/>
                <w:color w:val="auto"/>
              </w:rPr>
              <w:t>柱、墙、梁</w:t>
            </w:r>
          </w:p>
        </w:tc>
        <w:tc>
          <w:tcPr>
            <w:tcW w:w="1349" w:type="pct"/>
            <w:vAlign w:val="center"/>
          </w:tcPr>
          <w:p w14:paraId="3E5893C6">
            <w:pPr>
              <w:pStyle w:val="74"/>
              <w:rPr>
                <w:color w:val="auto"/>
              </w:rPr>
            </w:pPr>
            <w:r>
              <w:rPr>
                <w:rFonts w:hint="eastAsia"/>
                <w:color w:val="auto"/>
              </w:rPr>
              <w:t>+4，-5</w:t>
            </w:r>
          </w:p>
        </w:tc>
        <w:tc>
          <w:tcPr>
            <w:tcW w:w="1591" w:type="pct"/>
            <w:vAlign w:val="center"/>
          </w:tcPr>
          <w:p w14:paraId="6729D5C3">
            <w:pPr>
              <w:pStyle w:val="74"/>
              <w:rPr>
                <w:color w:val="auto"/>
              </w:rPr>
            </w:pPr>
            <w:r>
              <w:rPr>
                <w:rFonts w:hint="eastAsia"/>
                <w:color w:val="auto"/>
              </w:rPr>
              <w:t>钢尺检查</w:t>
            </w:r>
          </w:p>
        </w:tc>
      </w:tr>
      <w:tr w14:paraId="33C1C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036" w:type="pct"/>
            <w:vMerge w:val="restart"/>
            <w:vAlign w:val="center"/>
          </w:tcPr>
          <w:p w14:paraId="0B16E81F">
            <w:pPr>
              <w:pStyle w:val="74"/>
              <w:rPr>
                <w:color w:val="auto"/>
              </w:rPr>
            </w:pPr>
            <w:r>
              <w:rPr>
                <w:rFonts w:hint="eastAsia"/>
                <w:color w:val="auto"/>
              </w:rPr>
              <w:t>层高垂直度</w:t>
            </w:r>
          </w:p>
        </w:tc>
        <w:tc>
          <w:tcPr>
            <w:tcW w:w="1024" w:type="pct"/>
            <w:vAlign w:val="center"/>
          </w:tcPr>
          <w:p w14:paraId="08D39534">
            <w:pPr>
              <w:pStyle w:val="74"/>
              <w:rPr>
                <w:color w:val="auto"/>
              </w:rPr>
            </w:pPr>
            <w:r>
              <w:rPr>
                <w:rFonts w:hint="eastAsia"/>
                <w:color w:val="auto"/>
              </w:rPr>
              <w:t>不大于5m</w:t>
            </w:r>
          </w:p>
        </w:tc>
        <w:tc>
          <w:tcPr>
            <w:tcW w:w="1349" w:type="pct"/>
            <w:vAlign w:val="center"/>
          </w:tcPr>
          <w:p w14:paraId="380F9840">
            <w:pPr>
              <w:pStyle w:val="74"/>
              <w:rPr>
                <w:color w:val="auto"/>
              </w:rPr>
            </w:pPr>
            <w:r>
              <w:rPr>
                <w:rFonts w:hint="eastAsia"/>
                <w:color w:val="auto"/>
              </w:rPr>
              <w:t>6</w:t>
            </w:r>
          </w:p>
        </w:tc>
        <w:tc>
          <w:tcPr>
            <w:tcW w:w="1591" w:type="pct"/>
            <w:vAlign w:val="center"/>
          </w:tcPr>
          <w:p w14:paraId="4950971B">
            <w:pPr>
              <w:pStyle w:val="74"/>
              <w:rPr>
                <w:color w:val="auto"/>
              </w:rPr>
            </w:pPr>
            <w:r>
              <w:rPr>
                <w:rFonts w:hint="eastAsia"/>
                <w:color w:val="auto"/>
              </w:rPr>
              <w:t>水准仪或拉线、钢尺检查</w:t>
            </w:r>
          </w:p>
        </w:tc>
      </w:tr>
      <w:tr w14:paraId="27951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 w:hRule="atLeast"/>
        </w:trPr>
        <w:tc>
          <w:tcPr>
            <w:tcW w:w="1036" w:type="pct"/>
            <w:vMerge w:val="continue"/>
            <w:vAlign w:val="center"/>
          </w:tcPr>
          <w:p w14:paraId="2C25052D">
            <w:pPr>
              <w:pStyle w:val="74"/>
              <w:rPr>
                <w:color w:val="auto"/>
              </w:rPr>
            </w:pPr>
          </w:p>
        </w:tc>
        <w:tc>
          <w:tcPr>
            <w:tcW w:w="1024" w:type="pct"/>
            <w:vAlign w:val="center"/>
          </w:tcPr>
          <w:p w14:paraId="23445063">
            <w:pPr>
              <w:pStyle w:val="74"/>
              <w:rPr>
                <w:color w:val="auto"/>
              </w:rPr>
            </w:pPr>
            <w:r>
              <w:rPr>
                <w:rFonts w:hint="eastAsia"/>
                <w:color w:val="auto"/>
              </w:rPr>
              <w:t>大于5m</w:t>
            </w:r>
          </w:p>
        </w:tc>
        <w:tc>
          <w:tcPr>
            <w:tcW w:w="1349" w:type="pct"/>
            <w:vAlign w:val="center"/>
          </w:tcPr>
          <w:p w14:paraId="0ECCB2EB">
            <w:pPr>
              <w:pStyle w:val="74"/>
              <w:rPr>
                <w:color w:val="auto"/>
              </w:rPr>
            </w:pPr>
            <w:r>
              <w:rPr>
                <w:rFonts w:hint="eastAsia"/>
                <w:color w:val="auto"/>
              </w:rPr>
              <w:t>8</w:t>
            </w:r>
          </w:p>
        </w:tc>
        <w:tc>
          <w:tcPr>
            <w:tcW w:w="1591" w:type="pct"/>
            <w:vAlign w:val="center"/>
          </w:tcPr>
          <w:p w14:paraId="5DF8A9C0">
            <w:pPr>
              <w:pStyle w:val="74"/>
              <w:rPr>
                <w:color w:val="auto"/>
              </w:rPr>
            </w:pPr>
            <w:r>
              <w:rPr>
                <w:rFonts w:hint="eastAsia"/>
                <w:color w:val="auto"/>
              </w:rPr>
              <w:t>水准仪或拉线、钢尺检查</w:t>
            </w:r>
          </w:p>
        </w:tc>
      </w:tr>
      <w:tr w14:paraId="15BE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rPr>
        <w:tc>
          <w:tcPr>
            <w:tcW w:w="2060" w:type="pct"/>
            <w:gridSpan w:val="2"/>
            <w:vAlign w:val="center"/>
          </w:tcPr>
          <w:p w14:paraId="1D8A07C0">
            <w:pPr>
              <w:pStyle w:val="74"/>
              <w:rPr>
                <w:color w:val="auto"/>
              </w:rPr>
            </w:pPr>
            <w:r>
              <w:rPr>
                <w:rFonts w:hint="eastAsia"/>
                <w:color w:val="auto"/>
              </w:rPr>
              <w:t>相邻两板表面高低差</w:t>
            </w:r>
          </w:p>
        </w:tc>
        <w:tc>
          <w:tcPr>
            <w:tcW w:w="1349" w:type="pct"/>
            <w:vAlign w:val="center"/>
          </w:tcPr>
          <w:p w14:paraId="53581469">
            <w:pPr>
              <w:pStyle w:val="74"/>
              <w:rPr>
                <w:color w:val="auto"/>
              </w:rPr>
            </w:pPr>
            <w:r>
              <w:rPr>
                <w:rFonts w:hint="eastAsia"/>
                <w:color w:val="auto"/>
              </w:rPr>
              <w:t>2</w:t>
            </w:r>
          </w:p>
        </w:tc>
        <w:tc>
          <w:tcPr>
            <w:tcW w:w="1591" w:type="pct"/>
            <w:vAlign w:val="center"/>
          </w:tcPr>
          <w:p w14:paraId="7513DACE">
            <w:pPr>
              <w:pStyle w:val="74"/>
              <w:rPr>
                <w:color w:val="auto"/>
              </w:rPr>
            </w:pPr>
            <w:r>
              <w:rPr>
                <w:rFonts w:hint="eastAsia"/>
                <w:color w:val="auto"/>
              </w:rPr>
              <w:t>钢尺检查</w:t>
            </w:r>
          </w:p>
        </w:tc>
      </w:tr>
      <w:tr w14:paraId="19CB0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trPr>
        <w:tc>
          <w:tcPr>
            <w:tcW w:w="2060" w:type="pct"/>
            <w:gridSpan w:val="2"/>
            <w:vAlign w:val="center"/>
          </w:tcPr>
          <w:p w14:paraId="36644C9B">
            <w:pPr>
              <w:pStyle w:val="74"/>
              <w:rPr>
                <w:color w:val="auto"/>
              </w:rPr>
            </w:pPr>
            <w:r>
              <w:rPr>
                <w:rFonts w:hint="eastAsia"/>
                <w:color w:val="auto"/>
              </w:rPr>
              <w:t>表面平整度</w:t>
            </w:r>
          </w:p>
        </w:tc>
        <w:tc>
          <w:tcPr>
            <w:tcW w:w="1349" w:type="pct"/>
            <w:vAlign w:val="center"/>
          </w:tcPr>
          <w:p w14:paraId="40DBAFA0">
            <w:pPr>
              <w:pStyle w:val="74"/>
              <w:rPr>
                <w:color w:val="auto"/>
              </w:rPr>
            </w:pPr>
            <w:r>
              <w:rPr>
                <w:rFonts w:hint="eastAsia"/>
                <w:color w:val="auto"/>
              </w:rPr>
              <w:t>5</w:t>
            </w:r>
          </w:p>
        </w:tc>
        <w:tc>
          <w:tcPr>
            <w:tcW w:w="1591" w:type="pct"/>
            <w:vAlign w:val="center"/>
          </w:tcPr>
          <w:p w14:paraId="46ED5462">
            <w:pPr>
              <w:pStyle w:val="74"/>
              <w:rPr>
                <w:color w:val="auto"/>
              </w:rPr>
            </w:pPr>
            <w:r>
              <w:rPr>
                <w:rFonts w:hint="eastAsia"/>
                <w:color w:val="auto"/>
              </w:rPr>
              <w:t>2m靠尺和塞尺检查</w:t>
            </w:r>
          </w:p>
        </w:tc>
      </w:tr>
    </w:tbl>
    <w:p w14:paraId="1C512AED">
      <w:pPr>
        <w:rPr>
          <w:color w:val="auto"/>
        </w:rPr>
      </w:pPr>
      <w:r>
        <w:rPr>
          <w:rFonts w:hint="eastAsia"/>
          <w:color w:val="auto"/>
        </w:rPr>
        <w:t>2、模板工程质量控制要点</w:t>
      </w:r>
    </w:p>
    <w:p w14:paraId="70E88423">
      <w:pPr>
        <w:pStyle w:val="53"/>
        <w:rPr>
          <w:color w:val="auto"/>
        </w:rPr>
      </w:pPr>
      <w:r>
        <w:rPr>
          <w:rFonts w:hint="eastAsia"/>
          <w:color w:val="auto"/>
        </w:rPr>
        <w:t>模板工程质量控制要点</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6981"/>
      </w:tblGrid>
      <w:tr w14:paraId="12E6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541" w:type="dxa"/>
            <w:vAlign w:val="center"/>
          </w:tcPr>
          <w:p w14:paraId="23221BD7">
            <w:pPr>
              <w:pStyle w:val="74"/>
              <w:rPr>
                <w:color w:val="auto"/>
              </w:rPr>
            </w:pPr>
            <w:r>
              <w:rPr>
                <w:rFonts w:hint="eastAsia"/>
                <w:color w:val="auto"/>
              </w:rPr>
              <w:t>控制要点</w:t>
            </w:r>
          </w:p>
        </w:tc>
        <w:tc>
          <w:tcPr>
            <w:tcW w:w="6981" w:type="dxa"/>
            <w:vAlign w:val="center"/>
          </w:tcPr>
          <w:p w14:paraId="6E92DAF3">
            <w:pPr>
              <w:pStyle w:val="74"/>
              <w:rPr>
                <w:color w:val="auto"/>
              </w:rPr>
            </w:pPr>
            <w:r>
              <w:rPr>
                <w:rFonts w:hint="eastAsia"/>
                <w:color w:val="auto"/>
              </w:rPr>
              <w:t>质量保证措施</w:t>
            </w:r>
          </w:p>
        </w:tc>
      </w:tr>
      <w:tr w14:paraId="1048D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1" w:type="dxa"/>
            <w:vAlign w:val="center"/>
          </w:tcPr>
          <w:p w14:paraId="2FC6BDC8">
            <w:pPr>
              <w:pStyle w:val="74"/>
              <w:rPr>
                <w:color w:val="auto"/>
              </w:rPr>
            </w:pPr>
            <w:r>
              <w:rPr>
                <w:rFonts w:hint="eastAsia"/>
                <w:color w:val="auto"/>
              </w:rPr>
              <w:t>模板的选择</w:t>
            </w:r>
          </w:p>
        </w:tc>
        <w:tc>
          <w:tcPr>
            <w:tcW w:w="6981" w:type="dxa"/>
            <w:vAlign w:val="center"/>
          </w:tcPr>
          <w:p w14:paraId="766B5FD8">
            <w:pPr>
              <w:pStyle w:val="74"/>
              <w:rPr>
                <w:color w:val="auto"/>
              </w:rPr>
            </w:pPr>
            <w:r>
              <w:rPr>
                <w:rFonts w:hint="eastAsia"/>
                <w:color w:val="auto"/>
              </w:rPr>
              <w:t>本工程混凝土结构分为普通混凝土、大体积混凝土和高性能混凝土。钢筋混凝土梁、墙、底板坑、井和钢筋混凝土方柱模板选择木模板；钢筋混凝圆柱采用定型大钢模板，由专业厂家设计。</w:t>
            </w:r>
          </w:p>
        </w:tc>
      </w:tr>
      <w:tr w14:paraId="0494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1" w:type="dxa"/>
            <w:vAlign w:val="center"/>
          </w:tcPr>
          <w:p w14:paraId="55A7A502">
            <w:pPr>
              <w:pStyle w:val="74"/>
              <w:rPr>
                <w:color w:val="auto"/>
              </w:rPr>
            </w:pPr>
            <w:r>
              <w:rPr>
                <w:rFonts w:hint="eastAsia"/>
                <w:color w:val="auto"/>
              </w:rPr>
              <w:t>模板设计</w:t>
            </w:r>
          </w:p>
        </w:tc>
        <w:tc>
          <w:tcPr>
            <w:tcW w:w="6981" w:type="dxa"/>
            <w:vAlign w:val="center"/>
          </w:tcPr>
          <w:p w14:paraId="1B722222">
            <w:pPr>
              <w:pStyle w:val="74"/>
              <w:rPr>
                <w:color w:val="auto"/>
              </w:rPr>
            </w:pPr>
            <w:r>
              <w:rPr>
                <w:color w:val="auto"/>
              </w:rPr>
              <w:t>模板及支撑系统设计</w:t>
            </w:r>
            <w:r>
              <w:rPr>
                <w:rFonts w:hint="eastAsia"/>
                <w:color w:val="auto"/>
              </w:rPr>
              <w:t>时</w:t>
            </w:r>
            <w:r>
              <w:rPr>
                <w:color w:val="auto"/>
              </w:rPr>
              <w:t>，充分考虑其自重、施工荷载</w:t>
            </w:r>
            <w:r>
              <w:rPr>
                <w:rFonts w:hint="eastAsia"/>
                <w:color w:val="auto"/>
              </w:rPr>
              <w:t>、</w:t>
            </w:r>
            <w:r>
              <w:rPr>
                <w:color w:val="auto"/>
              </w:rPr>
              <w:t>混凝土自重及浇捣时产生的侧向压力</w:t>
            </w:r>
            <w:r>
              <w:rPr>
                <w:rFonts w:hint="eastAsia"/>
                <w:color w:val="auto"/>
              </w:rPr>
              <w:t>，结合周转料具材料性能、支模高度等参数</w:t>
            </w:r>
            <w:r>
              <w:rPr>
                <w:color w:val="auto"/>
              </w:rPr>
              <w:t>，</w:t>
            </w:r>
            <w:r>
              <w:rPr>
                <w:rFonts w:hint="eastAsia"/>
                <w:color w:val="auto"/>
              </w:rPr>
              <w:t>综合计算，合理布置，</w:t>
            </w:r>
            <w:r>
              <w:rPr>
                <w:color w:val="auto"/>
              </w:rPr>
              <w:t>以保证模板及支架有足够的承载能力、刚度和稳定性</w:t>
            </w:r>
            <w:r>
              <w:rPr>
                <w:rFonts w:hint="eastAsia"/>
                <w:color w:val="auto"/>
              </w:rPr>
              <w:t>。高大模板设计要进行计算验证，经专家论证通过方可施工；并严格按照方案进行脚手架的搭设和模板铺设，执行质量跟踪监测制度，确保模板轴线位置精确、拼缝严密、支撑体系牢固。</w:t>
            </w:r>
          </w:p>
        </w:tc>
      </w:tr>
      <w:tr w14:paraId="692B8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1" w:type="dxa"/>
            <w:vAlign w:val="center"/>
          </w:tcPr>
          <w:p w14:paraId="44C66D4E">
            <w:pPr>
              <w:pStyle w:val="74"/>
              <w:rPr>
                <w:color w:val="auto"/>
              </w:rPr>
            </w:pPr>
            <w:r>
              <w:rPr>
                <w:rFonts w:hint="eastAsia"/>
                <w:color w:val="auto"/>
              </w:rPr>
              <w:t>轴线位移</w:t>
            </w:r>
          </w:p>
        </w:tc>
        <w:tc>
          <w:tcPr>
            <w:tcW w:w="6981" w:type="dxa"/>
            <w:vAlign w:val="center"/>
          </w:tcPr>
          <w:p w14:paraId="0B5C2607">
            <w:pPr>
              <w:pStyle w:val="74"/>
              <w:rPr>
                <w:color w:val="auto"/>
              </w:rPr>
            </w:pPr>
            <w:r>
              <w:rPr>
                <w:color w:val="auto"/>
              </w:rPr>
              <w:t>模板轴线测放后，组织专人进行技术复</w:t>
            </w:r>
            <w:r>
              <w:rPr>
                <w:rFonts w:hint="eastAsia"/>
                <w:color w:val="auto"/>
              </w:rPr>
              <w:t>核</w:t>
            </w:r>
            <w:r>
              <w:rPr>
                <w:color w:val="auto"/>
              </w:rPr>
              <w:t>验收，确认无误才能支模；墙、柱模板根部和顶部必须设可靠的限位措施</w:t>
            </w:r>
            <w:r>
              <w:rPr>
                <w:rFonts w:hint="eastAsia"/>
                <w:color w:val="auto"/>
              </w:rPr>
              <w:t>；</w:t>
            </w:r>
            <w:r>
              <w:rPr>
                <w:color w:val="auto"/>
              </w:rPr>
              <w:t>支模时要拉水平、竖向通线，并设竖向垂直度控制线，以保证模板水平、竖向位置准确；混凝土浇筑前，对模板轴线、支架、顶撑、螺栓进行认真检查、复合，发现问题及时处理</w:t>
            </w:r>
            <w:r>
              <w:rPr>
                <w:rFonts w:hint="eastAsia"/>
                <w:color w:val="auto"/>
              </w:rPr>
              <w:t>。</w:t>
            </w:r>
          </w:p>
        </w:tc>
      </w:tr>
      <w:tr w14:paraId="28B4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1" w:type="dxa"/>
            <w:vAlign w:val="center"/>
          </w:tcPr>
          <w:p w14:paraId="452B1C0D">
            <w:pPr>
              <w:pStyle w:val="74"/>
              <w:rPr>
                <w:color w:val="auto"/>
              </w:rPr>
            </w:pPr>
            <w:r>
              <w:rPr>
                <w:rFonts w:hint="eastAsia"/>
                <w:color w:val="auto"/>
              </w:rPr>
              <w:t>标高偏差</w:t>
            </w:r>
          </w:p>
        </w:tc>
        <w:tc>
          <w:tcPr>
            <w:tcW w:w="6981" w:type="dxa"/>
            <w:vAlign w:val="center"/>
          </w:tcPr>
          <w:p w14:paraId="21DFFB30">
            <w:pPr>
              <w:pStyle w:val="74"/>
              <w:rPr>
                <w:color w:val="auto"/>
              </w:rPr>
            </w:pPr>
            <w:r>
              <w:rPr>
                <w:color w:val="auto"/>
              </w:rPr>
              <w:t>每层楼设足够的标高控制点，竖向模板根部须做找平</w:t>
            </w:r>
            <w:r>
              <w:rPr>
                <w:rFonts w:hint="eastAsia"/>
                <w:color w:val="auto"/>
              </w:rPr>
              <w:t>；</w:t>
            </w:r>
            <w:r>
              <w:rPr>
                <w:color w:val="auto"/>
              </w:rPr>
              <w:t>建筑楼层标高由首层±0.000标高控制，严禁逐层向上引测，以防止累计误差，</w:t>
            </w:r>
            <w:r>
              <w:rPr>
                <w:rFonts w:hint="eastAsia"/>
                <w:color w:val="auto"/>
              </w:rPr>
              <w:t>并</w:t>
            </w:r>
            <w:r>
              <w:rPr>
                <w:color w:val="auto"/>
              </w:rPr>
              <w:t>设标高控制线，每层标高引测点应不少于2个，以便复核</w:t>
            </w:r>
            <w:r>
              <w:rPr>
                <w:rFonts w:hint="eastAsia"/>
                <w:color w:val="auto"/>
              </w:rPr>
              <w:t>。</w:t>
            </w:r>
          </w:p>
        </w:tc>
      </w:tr>
      <w:tr w14:paraId="64630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1" w:type="dxa"/>
            <w:vAlign w:val="center"/>
          </w:tcPr>
          <w:p w14:paraId="2041801D">
            <w:pPr>
              <w:pStyle w:val="74"/>
              <w:rPr>
                <w:color w:val="auto"/>
              </w:rPr>
            </w:pPr>
            <w:r>
              <w:rPr>
                <w:rFonts w:hint="eastAsia"/>
                <w:color w:val="auto"/>
              </w:rPr>
              <w:t>模板安装</w:t>
            </w:r>
          </w:p>
        </w:tc>
        <w:tc>
          <w:tcPr>
            <w:tcW w:w="6981" w:type="dxa"/>
            <w:vAlign w:val="center"/>
          </w:tcPr>
          <w:p w14:paraId="0BDC8D83">
            <w:pPr>
              <w:pStyle w:val="74"/>
              <w:rPr>
                <w:color w:val="auto"/>
              </w:rPr>
            </w:pPr>
            <w:r>
              <w:rPr>
                <w:rFonts w:hint="eastAsia"/>
                <w:color w:val="auto"/>
              </w:rPr>
              <w:t>（1）在施工过程中，每块模板进行编号，严格按照深化设计配模图确定各模板位置，保证外形尺寸准确。</w:t>
            </w:r>
          </w:p>
          <w:p w14:paraId="272D9E2D">
            <w:pPr>
              <w:pStyle w:val="74"/>
              <w:rPr>
                <w:color w:val="auto"/>
              </w:rPr>
            </w:pPr>
            <w:r>
              <w:rPr>
                <w:rFonts w:hint="eastAsia"/>
                <w:color w:val="auto"/>
              </w:rPr>
              <w:t>（2）</w:t>
            </w:r>
            <w:r>
              <w:rPr>
                <w:color w:val="auto"/>
              </w:rPr>
              <w:t>梁、</w:t>
            </w:r>
            <w:r>
              <w:rPr>
                <w:rFonts w:hint="eastAsia"/>
                <w:color w:val="auto"/>
              </w:rPr>
              <w:t>方柱</w:t>
            </w:r>
            <w:r>
              <w:rPr>
                <w:color w:val="auto"/>
              </w:rPr>
              <w:t>模板</w:t>
            </w:r>
            <w:r>
              <w:rPr>
                <w:rFonts w:hint="eastAsia"/>
                <w:color w:val="auto"/>
              </w:rPr>
              <w:t>拼缝部位要严密，保证接缝不漏浆。</w:t>
            </w:r>
          </w:p>
          <w:p w14:paraId="1C19F80C">
            <w:pPr>
              <w:pStyle w:val="74"/>
              <w:rPr>
                <w:color w:val="auto"/>
              </w:rPr>
            </w:pPr>
            <w:r>
              <w:rPr>
                <w:rFonts w:hint="eastAsia"/>
                <w:color w:val="auto"/>
              </w:rPr>
              <w:t>（3）预埋件及预留孔洞，在安装前应与图纸对照，确认无误后准确固定在设计位置上，必要时用电焊或套框等方法将其固定，在浇筑混凝土时，应沿其周围分层均匀浇筑，严禁碰击和振动预埋件与模板。</w:t>
            </w:r>
          </w:p>
          <w:p w14:paraId="2B4D93B7">
            <w:pPr>
              <w:pStyle w:val="74"/>
              <w:rPr>
                <w:color w:val="auto"/>
              </w:rPr>
            </w:pPr>
            <w:r>
              <w:rPr>
                <w:rFonts w:hint="eastAsia"/>
                <w:color w:val="auto"/>
              </w:rPr>
              <w:t>（4）模板安装后全面检查每块模板的安装位置、紧固情况，</w:t>
            </w:r>
            <w:r>
              <w:rPr>
                <w:color w:val="auto"/>
              </w:rPr>
              <w:t>梁、柱交接部位支撑</w:t>
            </w:r>
            <w:r>
              <w:rPr>
                <w:rFonts w:hint="eastAsia"/>
                <w:color w:val="auto"/>
              </w:rPr>
              <w:t>是否</w:t>
            </w:r>
            <w:r>
              <w:rPr>
                <w:color w:val="auto"/>
              </w:rPr>
              <w:t>牢固，拼缝</w:t>
            </w:r>
            <w:r>
              <w:rPr>
                <w:rFonts w:hint="eastAsia"/>
                <w:color w:val="auto"/>
              </w:rPr>
              <w:t>是否</w:t>
            </w:r>
            <w:r>
              <w:rPr>
                <w:color w:val="auto"/>
              </w:rPr>
              <w:t>严密</w:t>
            </w:r>
            <w:r>
              <w:rPr>
                <w:rFonts w:hint="eastAsia"/>
                <w:color w:val="auto"/>
              </w:rPr>
              <w:t>，尤其是阴阳角部位，经验收合格后方可浇筑。</w:t>
            </w:r>
          </w:p>
          <w:p w14:paraId="5A28A587">
            <w:pPr>
              <w:pStyle w:val="74"/>
              <w:rPr>
                <w:color w:val="auto"/>
              </w:rPr>
            </w:pPr>
            <w:r>
              <w:rPr>
                <w:rFonts w:hint="eastAsia"/>
                <w:color w:val="auto"/>
              </w:rPr>
              <w:t>（5）</w:t>
            </w:r>
            <w:r>
              <w:rPr>
                <w:color w:val="auto"/>
              </w:rPr>
              <w:t>浇筑混凝土时，木模板要提前浇水湿润，严格控制木模板含水率</w:t>
            </w:r>
            <w:r>
              <w:rPr>
                <w:rFonts w:hint="eastAsia"/>
                <w:color w:val="auto"/>
              </w:rPr>
              <w:t>，</w:t>
            </w:r>
            <w:r>
              <w:rPr>
                <w:color w:val="auto"/>
              </w:rPr>
              <w:t>使其胀开密</w:t>
            </w:r>
            <w:r>
              <w:rPr>
                <w:rFonts w:hint="eastAsia"/>
                <w:color w:val="auto"/>
              </w:rPr>
              <w:t>封</w:t>
            </w:r>
            <w:r>
              <w:rPr>
                <w:color w:val="auto"/>
              </w:rPr>
              <w:t>。</w:t>
            </w:r>
            <w:r>
              <w:rPr>
                <w:rFonts w:hint="eastAsia"/>
                <w:color w:val="auto"/>
              </w:rPr>
              <w:t>并</w:t>
            </w:r>
            <w:r>
              <w:rPr>
                <w:color w:val="auto"/>
              </w:rPr>
              <w:t>均匀对称下料，严格控制浇灌高度，特别是门窗洞口模板两侧，既要保证混凝土振捣密实，</w:t>
            </w:r>
            <w:r>
              <w:rPr>
                <w:rFonts w:hint="eastAsia"/>
                <w:color w:val="auto"/>
              </w:rPr>
              <w:t>也</w:t>
            </w:r>
            <w:r>
              <w:rPr>
                <w:color w:val="auto"/>
              </w:rPr>
              <w:t>要防止过分振捣引起模板变形</w:t>
            </w:r>
            <w:r>
              <w:rPr>
                <w:rFonts w:hint="eastAsia"/>
                <w:color w:val="auto"/>
              </w:rPr>
              <w:t>。</w:t>
            </w:r>
          </w:p>
        </w:tc>
      </w:tr>
      <w:tr w14:paraId="6B2E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541" w:type="dxa"/>
            <w:vAlign w:val="center"/>
          </w:tcPr>
          <w:p w14:paraId="454D27A1">
            <w:pPr>
              <w:pStyle w:val="74"/>
              <w:rPr>
                <w:color w:val="auto"/>
              </w:rPr>
            </w:pPr>
            <w:r>
              <w:rPr>
                <w:rFonts w:hint="eastAsia"/>
                <w:color w:val="auto"/>
              </w:rPr>
              <w:t>模板拆除</w:t>
            </w:r>
          </w:p>
        </w:tc>
        <w:tc>
          <w:tcPr>
            <w:tcW w:w="6981" w:type="dxa"/>
            <w:vAlign w:val="center"/>
          </w:tcPr>
          <w:p w14:paraId="3BF6191D">
            <w:pPr>
              <w:pStyle w:val="74"/>
              <w:rPr>
                <w:color w:val="auto"/>
              </w:rPr>
            </w:pPr>
            <w:r>
              <w:rPr>
                <w:rFonts w:hint="eastAsia"/>
                <w:color w:val="auto"/>
              </w:rPr>
              <w:t>模板拆除时严禁用硬物敲击，造成模板或混凝土表面缺陷，塔吊提升钢模板时需注意保护模板不碰撞已浇筑完的混凝土。每次模板拆除后必须全面检查模板，对变形、损坏的部位及时修补或更换，可以周转的模板表面清除干净，使用时涂刷脱模剂。</w:t>
            </w:r>
          </w:p>
        </w:tc>
      </w:tr>
    </w:tbl>
    <w:p w14:paraId="6A7D73A6">
      <w:pPr>
        <w:rPr>
          <w:color w:val="auto"/>
        </w:rPr>
      </w:pPr>
      <w:r>
        <w:rPr>
          <w:rFonts w:hint="eastAsia"/>
          <w:color w:val="auto"/>
        </w:rPr>
        <w:t>3、质量控制流程图</w:t>
      </w:r>
    </w:p>
    <w:p w14:paraId="69CA8556">
      <w:pPr>
        <w:pStyle w:val="65"/>
        <w:spacing w:before="163" w:after="163"/>
        <w:rPr>
          <w:color w:val="auto"/>
        </w:rPr>
      </w:pPr>
      <w:r>
        <w:rPr>
          <w:color w:val="auto"/>
        </w:rPr>
        <w:object>
          <v:shape id="_x0000_i1037" o:spt="75" type="#_x0000_t75" style="height:403.3pt;width:288pt;" o:ole="t" filled="f" o:preferrelative="t" stroked="f" coordsize="21600,21600">
            <v:path/>
            <v:fill on="f" focussize="0,0"/>
            <v:stroke on="f" joinstyle="miter"/>
            <v:imagedata r:id="rId205" o:title=""/>
            <o:lock v:ext="edit" aspectratio="t"/>
            <w10:wrap type="none"/>
            <w10:anchorlock/>
          </v:shape>
          <o:OLEObject Type="Embed" ProgID="Visio.Drawing.11" ShapeID="_x0000_i1037" DrawAspect="Content" ObjectID="_1468075737" r:id="rId204">
            <o:LockedField>false</o:LockedField>
          </o:OLEObject>
        </w:object>
      </w:r>
    </w:p>
    <w:p w14:paraId="196A32E0">
      <w:pPr>
        <w:pStyle w:val="53"/>
        <w:rPr>
          <w:color w:val="auto"/>
        </w:rPr>
      </w:pPr>
      <w:r>
        <w:rPr>
          <w:rFonts w:hint="eastAsia"/>
          <w:color w:val="auto"/>
        </w:rPr>
        <w:t>模板工程质量控制流程图</w:t>
      </w:r>
    </w:p>
    <w:p w14:paraId="1A2E6DCE">
      <w:pPr>
        <w:pStyle w:val="6"/>
        <w:ind w:firstLine="480"/>
        <w:rPr>
          <w:color w:val="auto"/>
        </w:rPr>
      </w:pPr>
      <w:r>
        <w:rPr>
          <w:rFonts w:hint="eastAsia"/>
          <w:color w:val="auto"/>
        </w:rPr>
        <w:t>混凝土工程质量标准</w:t>
      </w:r>
    </w:p>
    <w:p w14:paraId="023734AF">
      <w:pPr>
        <w:rPr>
          <w:color w:val="auto"/>
        </w:rPr>
      </w:pPr>
      <w:r>
        <w:rPr>
          <w:rFonts w:hint="eastAsia"/>
          <w:color w:val="auto"/>
        </w:rPr>
        <w:t>（1）混凝土工程质量控制要点</w:t>
      </w:r>
    </w:p>
    <w:p w14:paraId="1AECBD92">
      <w:pPr>
        <w:pStyle w:val="54"/>
        <w:rPr>
          <w:color w:val="auto"/>
        </w:rPr>
      </w:pPr>
      <w:r>
        <w:rPr>
          <w:rFonts w:hint="eastAsia"/>
          <w:color w:val="auto"/>
        </w:rPr>
        <w:t>混凝土工程质量控制要点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9"/>
        <w:gridCol w:w="7511"/>
      </w:tblGrid>
      <w:tr w14:paraId="73C77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2" w:hRule="atLeast"/>
          <w:tblHeader/>
        </w:trPr>
        <w:tc>
          <w:tcPr>
            <w:tcW w:w="855" w:type="pct"/>
            <w:vAlign w:val="center"/>
          </w:tcPr>
          <w:p w14:paraId="07315306">
            <w:pPr>
              <w:pStyle w:val="74"/>
              <w:rPr>
                <w:color w:val="auto"/>
              </w:rPr>
            </w:pPr>
            <w:r>
              <w:rPr>
                <w:rFonts w:hint="eastAsia"/>
                <w:color w:val="auto"/>
              </w:rPr>
              <w:t>控制要点</w:t>
            </w:r>
          </w:p>
        </w:tc>
        <w:tc>
          <w:tcPr>
            <w:tcW w:w="4145" w:type="pct"/>
          </w:tcPr>
          <w:p w14:paraId="0A4AD484">
            <w:pPr>
              <w:pStyle w:val="74"/>
              <w:rPr>
                <w:color w:val="auto"/>
              </w:rPr>
            </w:pPr>
            <w:r>
              <w:rPr>
                <w:rFonts w:hint="eastAsia"/>
                <w:color w:val="auto"/>
              </w:rPr>
              <w:t>质量保证措施</w:t>
            </w:r>
          </w:p>
        </w:tc>
      </w:tr>
      <w:tr w14:paraId="2063E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9" w:hRule="atLeast"/>
        </w:trPr>
        <w:tc>
          <w:tcPr>
            <w:tcW w:w="855" w:type="pct"/>
            <w:vAlign w:val="center"/>
          </w:tcPr>
          <w:p w14:paraId="46FD75CE">
            <w:pPr>
              <w:pStyle w:val="74"/>
              <w:rPr>
                <w:color w:val="auto"/>
              </w:rPr>
            </w:pPr>
            <w:r>
              <w:rPr>
                <w:rFonts w:hint="eastAsia"/>
                <w:color w:val="auto"/>
              </w:rPr>
              <w:t>配合比的优化设计</w:t>
            </w:r>
          </w:p>
        </w:tc>
        <w:tc>
          <w:tcPr>
            <w:tcW w:w="4145" w:type="pct"/>
          </w:tcPr>
          <w:p w14:paraId="049D44C5">
            <w:pPr>
              <w:pStyle w:val="74"/>
              <w:rPr>
                <w:color w:val="auto"/>
              </w:rPr>
            </w:pPr>
            <w:r>
              <w:rPr>
                <w:rFonts w:hint="eastAsia"/>
                <w:color w:val="auto"/>
              </w:rPr>
              <w:t>本工程包括普通混凝土、大体积混凝土、超长结构混凝土及抗渗混凝土等类别，针对不同部位对混凝土的性能（耐久性、抗渗性、抗裂性、抗炭化、预防碱骨料等性能）优化配合比，从水泥、砂、石、外加剂等原材料的品种、规格、用量进行控制并根据施工气候、气温等现场条件的不同及时调整配比，使所配制的混凝土要有较高的流动性，满足不同部位的混凝土性能要求，同时不能出现分层、泌水现象。</w:t>
            </w:r>
          </w:p>
        </w:tc>
      </w:tr>
      <w:tr w14:paraId="4001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06" w:hRule="atLeast"/>
        </w:trPr>
        <w:tc>
          <w:tcPr>
            <w:tcW w:w="855" w:type="pct"/>
            <w:vAlign w:val="center"/>
          </w:tcPr>
          <w:p w14:paraId="32A3C686">
            <w:pPr>
              <w:pStyle w:val="74"/>
              <w:rPr>
                <w:color w:val="auto"/>
              </w:rPr>
            </w:pPr>
            <w:r>
              <w:rPr>
                <w:rFonts w:hint="eastAsia"/>
                <w:color w:val="auto"/>
              </w:rPr>
              <w:t>原材料控制</w:t>
            </w:r>
          </w:p>
        </w:tc>
        <w:tc>
          <w:tcPr>
            <w:tcW w:w="4145" w:type="pct"/>
          </w:tcPr>
          <w:p w14:paraId="5003E1FD">
            <w:pPr>
              <w:pStyle w:val="74"/>
              <w:rPr>
                <w:color w:val="auto"/>
              </w:rPr>
            </w:pPr>
            <w:r>
              <w:rPr>
                <w:rFonts w:hint="eastAsia"/>
                <w:color w:val="auto"/>
              </w:rPr>
              <w:t>各种原材料的质量必须控制严格，使用前与商品混凝土搅拌站协商，确保进入本项目的混凝土统一采用同一厂家同一批次的水泥、砂石等原材料，以保证混凝土色泽一致。</w:t>
            </w:r>
          </w:p>
        </w:tc>
      </w:tr>
      <w:tr w14:paraId="30324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trPr>
        <w:tc>
          <w:tcPr>
            <w:tcW w:w="855" w:type="pct"/>
            <w:vAlign w:val="center"/>
          </w:tcPr>
          <w:p w14:paraId="14FA1452">
            <w:pPr>
              <w:pStyle w:val="74"/>
              <w:rPr>
                <w:color w:val="auto"/>
              </w:rPr>
            </w:pPr>
            <w:r>
              <w:rPr>
                <w:rFonts w:hint="eastAsia"/>
                <w:color w:val="auto"/>
              </w:rPr>
              <w:t>混凝土的搅拌、运输</w:t>
            </w:r>
          </w:p>
        </w:tc>
        <w:tc>
          <w:tcPr>
            <w:tcW w:w="4145" w:type="pct"/>
          </w:tcPr>
          <w:p w14:paraId="58EA5100">
            <w:pPr>
              <w:pStyle w:val="74"/>
              <w:rPr>
                <w:color w:val="auto"/>
              </w:rPr>
            </w:pPr>
            <w:r>
              <w:rPr>
                <w:rFonts w:hint="eastAsia"/>
                <w:color w:val="auto"/>
              </w:rPr>
              <w:t>在商品混凝土生产时，安排专人对生产情况、计量情况、材料质量等进行跟班监督。</w:t>
            </w:r>
          </w:p>
        </w:tc>
      </w:tr>
      <w:tr w14:paraId="7E7A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12" w:hRule="atLeast"/>
        </w:trPr>
        <w:tc>
          <w:tcPr>
            <w:tcW w:w="855" w:type="pct"/>
            <w:vAlign w:val="center"/>
          </w:tcPr>
          <w:p w14:paraId="136FDC4F">
            <w:pPr>
              <w:pStyle w:val="74"/>
              <w:rPr>
                <w:color w:val="auto"/>
              </w:rPr>
            </w:pPr>
            <w:r>
              <w:rPr>
                <w:rFonts w:hint="eastAsia"/>
                <w:color w:val="auto"/>
              </w:rPr>
              <w:t>混凝土的浇筑、振捣</w:t>
            </w:r>
          </w:p>
        </w:tc>
        <w:tc>
          <w:tcPr>
            <w:tcW w:w="4145" w:type="pct"/>
          </w:tcPr>
          <w:p w14:paraId="45636C82">
            <w:pPr>
              <w:pStyle w:val="74"/>
              <w:rPr>
                <w:color w:val="auto"/>
              </w:rPr>
            </w:pPr>
            <w:r>
              <w:rPr>
                <w:rFonts w:hint="eastAsia"/>
                <w:color w:val="auto"/>
              </w:rPr>
              <w:t>（1）本工程混凝土浇筑面积较大，在每次浇筑前科学制定浇筑顺序，并进行技术交底，防止冷缝出现。</w:t>
            </w:r>
          </w:p>
          <w:p w14:paraId="12469EB5">
            <w:pPr>
              <w:pStyle w:val="74"/>
              <w:rPr>
                <w:color w:val="auto"/>
              </w:rPr>
            </w:pPr>
            <w:r>
              <w:rPr>
                <w:rFonts w:hint="eastAsia"/>
                <w:color w:val="auto"/>
              </w:rPr>
              <w:t>（2）每次浇筑混凝土前，按规范要求现场抽取混凝土做坍落度试验，及时检查混凝土的凝结时间及和易性，严禁使用不符合要求的混凝土。</w:t>
            </w:r>
          </w:p>
          <w:p w14:paraId="3A433350">
            <w:pPr>
              <w:pStyle w:val="74"/>
              <w:rPr>
                <w:color w:val="auto"/>
              </w:rPr>
            </w:pPr>
            <w:r>
              <w:rPr>
                <w:rFonts w:hint="eastAsia"/>
                <w:color w:val="auto"/>
              </w:rPr>
              <w:t>（3）墙体、柱、后浇带的混凝土浇筑前必须进行接浆处理。</w:t>
            </w:r>
          </w:p>
          <w:p w14:paraId="3F144853">
            <w:pPr>
              <w:pStyle w:val="74"/>
              <w:rPr>
                <w:color w:val="auto"/>
              </w:rPr>
            </w:pPr>
            <w:r>
              <w:rPr>
                <w:rFonts w:hint="eastAsia"/>
                <w:color w:val="auto"/>
              </w:rPr>
              <w:t>（4）混凝土的振捣快插慢拔，避免撬振钢筋、模板，每一振点的振捣延续时间，使混凝土表面呈现浮浆和不再沉落，一般为20-30s，要避免过振产生离析。</w:t>
            </w:r>
          </w:p>
          <w:p w14:paraId="08275DD7">
            <w:pPr>
              <w:pStyle w:val="74"/>
              <w:rPr>
                <w:color w:val="auto"/>
              </w:rPr>
            </w:pPr>
            <w:r>
              <w:rPr>
                <w:rFonts w:hint="eastAsia"/>
                <w:color w:val="auto"/>
              </w:rPr>
              <w:t>（5）插入式振捣器捣实移动间距，不大于振捣器作用半径的1.5倍；振捣器与模板的间距，不大于其作用半径的0.5倍，并避免碰撞钢筋、模板、吊环、预埋件等；振捣器插入下层混凝土的深度应不小于50mm。</w:t>
            </w:r>
          </w:p>
          <w:p w14:paraId="6947B1BB">
            <w:pPr>
              <w:pStyle w:val="74"/>
              <w:rPr>
                <w:color w:val="auto"/>
              </w:rPr>
            </w:pPr>
            <w:r>
              <w:rPr>
                <w:rFonts w:hint="eastAsia"/>
                <w:color w:val="auto"/>
              </w:rPr>
              <w:t>（6）混凝土浇筑过程中执行全过程旁站制，监督是否按要求进行浇筑、振捣，不符合要求的，立刻予以制止。</w:t>
            </w:r>
          </w:p>
        </w:tc>
      </w:tr>
      <w:tr w14:paraId="27592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9" w:hRule="atLeast"/>
        </w:trPr>
        <w:tc>
          <w:tcPr>
            <w:tcW w:w="855" w:type="pct"/>
            <w:vAlign w:val="center"/>
          </w:tcPr>
          <w:p w14:paraId="352A9F05">
            <w:pPr>
              <w:pStyle w:val="74"/>
              <w:rPr>
                <w:color w:val="auto"/>
              </w:rPr>
            </w:pPr>
            <w:r>
              <w:rPr>
                <w:rFonts w:hint="eastAsia"/>
                <w:color w:val="auto"/>
              </w:rPr>
              <w:t>养护</w:t>
            </w:r>
          </w:p>
        </w:tc>
        <w:tc>
          <w:tcPr>
            <w:tcW w:w="4145" w:type="pct"/>
          </w:tcPr>
          <w:p w14:paraId="3F2342E1">
            <w:pPr>
              <w:pStyle w:val="74"/>
              <w:rPr>
                <w:color w:val="auto"/>
              </w:rPr>
            </w:pPr>
            <w:r>
              <w:rPr>
                <w:rFonts w:hint="eastAsia"/>
                <w:color w:val="auto"/>
              </w:rPr>
              <w:t>（1）楼板混凝土在浇筑12h后加以覆盖和浇水。普通混凝土竖向构件派专人养护，每天淋水不少于6遍。养护时间不得少于14天。</w:t>
            </w:r>
          </w:p>
          <w:p w14:paraId="46C99731">
            <w:pPr>
              <w:pStyle w:val="74"/>
              <w:rPr>
                <w:color w:val="auto"/>
              </w:rPr>
            </w:pPr>
            <w:r>
              <w:rPr>
                <w:rFonts w:hint="eastAsia"/>
                <w:color w:val="auto"/>
              </w:rPr>
              <w:t>（2）厚大墙体、超厚梁板采用硬质材料覆盖保温养护。</w:t>
            </w:r>
          </w:p>
          <w:p w14:paraId="3EBA0A64">
            <w:pPr>
              <w:pStyle w:val="74"/>
              <w:rPr>
                <w:color w:val="auto"/>
              </w:rPr>
            </w:pPr>
            <w:r>
              <w:rPr>
                <w:rFonts w:hint="eastAsia"/>
                <w:color w:val="auto"/>
              </w:rPr>
              <w:t>（3）大体积混凝土底板采用薄膜加麻袋覆盖养护，降低内外温差。</w:t>
            </w:r>
          </w:p>
          <w:p w14:paraId="022D8522">
            <w:pPr>
              <w:pStyle w:val="74"/>
              <w:rPr>
                <w:color w:val="auto"/>
              </w:rPr>
            </w:pPr>
            <w:r>
              <w:rPr>
                <w:rFonts w:hint="eastAsia"/>
                <w:color w:val="auto"/>
              </w:rPr>
              <w:t>（4）在已浇筑的混凝土强度未达到1.2MPa以前，不得在其上踩踏或安装模板及支架。</w:t>
            </w:r>
          </w:p>
        </w:tc>
      </w:tr>
    </w:tbl>
    <w:p w14:paraId="21EA34BA">
      <w:pPr>
        <w:rPr>
          <w:color w:val="auto"/>
        </w:rPr>
      </w:pPr>
      <w:r>
        <w:rPr>
          <w:rFonts w:hint="eastAsia"/>
          <w:color w:val="auto"/>
        </w:rPr>
        <w:t>（2）大体积混凝土裂缝控制要点</w:t>
      </w:r>
    </w:p>
    <w:p w14:paraId="30F57686">
      <w:pPr>
        <w:pStyle w:val="54"/>
        <w:rPr>
          <w:color w:val="auto"/>
        </w:rPr>
      </w:pPr>
      <w:r>
        <w:rPr>
          <w:rFonts w:hint="eastAsia"/>
          <w:color w:val="auto"/>
        </w:rPr>
        <w:t>大体积混凝土裂缝控制要点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468"/>
        <w:gridCol w:w="6849"/>
      </w:tblGrid>
      <w:tr w14:paraId="34BA6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blHeader/>
        </w:trPr>
        <w:tc>
          <w:tcPr>
            <w:tcW w:w="410" w:type="pct"/>
            <w:vAlign w:val="center"/>
          </w:tcPr>
          <w:p w14:paraId="53D0B9F0">
            <w:pPr>
              <w:pStyle w:val="74"/>
              <w:rPr>
                <w:color w:val="auto"/>
              </w:rPr>
            </w:pPr>
            <w:r>
              <w:rPr>
                <w:rFonts w:hint="eastAsia"/>
                <w:color w:val="auto"/>
              </w:rPr>
              <w:t>序号</w:t>
            </w:r>
          </w:p>
        </w:tc>
        <w:tc>
          <w:tcPr>
            <w:tcW w:w="810" w:type="pct"/>
            <w:vAlign w:val="center"/>
          </w:tcPr>
          <w:p w14:paraId="0979FC11">
            <w:pPr>
              <w:pStyle w:val="74"/>
              <w:rPr>
                <w:color w:val="auto"/>
              </w:rPr>
            </w:pPr>
            <w:r>
              <w:rPr>
                <w:rFonts w:hint="eastAsia"/>
                <w:color w:val="auto"/>
              </w:rPr>
              <w:t>项目</w:t>
            </w:r>
          </w:p>
        </w:tc>
        <w:tc>
          <w:tcPr>
            <w:tcW w:w="3780" w:type="pct"/>
            <w:vAlign w:val="center"/>
          </w:tcPr>
          <w:p w14:paraId="27C7BD6B">
            <w:pPr>
              <w:pStyle w:val="74"/>
              <w:rPr>
                <w:color w:val="auto"/>
              </w:rPr>
            </w:pPr>
            <w:r>
              <w:rPr>
                <w:rFonts w:hint="eastAsia"/>
                <w:color w:val="auto"/>
              </w:rPr>
              <w:t>保证措施</w:t>
            </w:r>
          </w:p>
        </w:tc>
      </w:tr>
      <w:tr w14:paraId="01843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410" w:type="pct"/>
            <w:vMerge w:val="restart"/>
            <w:vAlign w:val="center"/>
          </w:tcPr>
          <w:p w14:paraId="6F6426C4">
            <w:pPr>
              <w:pStyle w:val="74"/>
              <w:rPr>
                <w:color w:val="auto"/>
              </w:rPr>
            </w:pPr>
            <w:r>
              <w:rPr>
                <w:rFonts w:hint="eastAsia"/>
                <w:color w:val="auto"/>
              </w:rPr>
              <w:t>1</w:t>
            </w:r>
          </w:p>
        </w:tc>
        <w:tc>
          <w:tcPr>
            <w:tcW w:w="810" w:type="pct"/>
            <w:vMerge w:val="restart"/>
            <w:vAlign w:val="center"/>
          </w:tcPr>
          <w:p w14:paraId="70302755">
            <w:pPr>
              <w:pStyle w:val="74"/>
              <w:rPr>
                <w:color w:val="auto"/>
              </w:rPr>
            </w:pPr>
            <w:r>
              <w:rPr>
                <w:rFonts w:hint="eastAsia"/>
                <w:color w:val="auto"/>
              </w:rPr>
              <w:t>混凝土材料及配合比的选择要求</w:t>
            </w:r>
          </w:p>
        </w:tc>
        <w:tc>
          <w:tcPr>
            <w:tcW w:w="3780" w:type="pct"/>
            <w:vAlign w:val="center"/>
          </w:tcPr>
          <w:p w14:paraId="0261EB15">
            <w:pPr>
              <w:pStyle w:val="74"/>
              <w:rPr>
                <w:color w:val="auto"/>
              </w:rPr>
            </w:pPr>
            <w:r>
              <w:rPr>
                <w:rFonts w:hint="eastAsia"/>
                <w:color w:val="auto"/>
              </w:rPr>
              <w:t>粗骨料选用5～25mm连续级配石子，含泥量＜1%，针状、片状颗粒含量＜15%；细骨料用中粗砂，含泥量＜1%。</w:t>
            </w:r>
          </w:p>
        </w:tc>
      </w:tr>
      <w:tr w14:paraId="1824C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410" w:type="pct"/>
            <w:vMerge w:val="continue"/>
            <w:vAlign w:val="center"/>
          </w:tcPr>
          <w:p w14:paraId="48B9B1DD">
            <w:pPr>
              <w:pStyle w:val="74"/>
              <w:rPr>
                <w:color w:val="auto"/>
              </w:rPr>
            </w:pPr>
          </w:p>
        </w:tc>
        <w:tc>
          <w:tcPr>
            <w:tcW w:w="810" w:type="pct"/>
            <w:vMerge w:val="continue"/>
            <w:vAlign w:val="center"/>
          </w:tcPr>
          <w:p w14:paraId="16E93503">
            <w:pPr>
              <w:pStyle w:val="74"/>
              <w:rPr>
                <w:color w:val="auto"/>
              </w:rPr>
            </w:pPr>
          </w:p>
        </w:tc>
        <w:tc>
          <w:tcPr>
            <w:tcW w:w="3780" w:type="pct"/>
            <w:vAlign w:val="center"/>
          </w:tcPr>
          <w:p w14:paraId="0BA370A3">
            <w:pPr>
              <w:pStyle w:val="74"/>
              <w:rPr>
                <w:color w:val="auto"/>
              </w:rPr>
            </w:pPr>
            <w:r>
              <w:rPr>
                <w:rFonts w:hint="eastAsia"/>
                <w:color w:val="auto"/>
              </w:rPr>
              <w:t>在混凝土级配中采用双掺技术，进一步改善混凝土的坍落度和粘塑性，满足可泵要求条件下，减少水泥用量，降低水化热。</w:t>
            </w:r>
          </w:p>
        </w:tc>
      </w:tr>
      <w:tr w14:paraId="1194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 w:hRule="atLeast"/>
        </w:trPr>
        <w:tc>
          <w:tcPr>
            <w:tcW w:w="410" w:type="pct"/>
            <w:vAlign w:val="center"/>
          </w:tcPr>
          <w:p w14:paraId="560DF77E">
            <w:pPr>
              <w:pStyle w:val="74"/>
              <w:rPr>
                <w:color w:val="auto"/>
              </w:rPr>
            </w:pPr>
            <w:r>
              <w:rPr>
                <w:rFonts w:hint="eastAsia"/>
                <w:color w:val="auto"/>
              </w:rPr>
              <w:t>2</w:t>
            </w:r>
          </w:p>
        </w:tc>
        <w:tc>
          <w:tcPr>
            <w:tcW w:w="810" w:type="pct"/>
            <w:vAlign w:val="center"/>
          </w:tcPr>
          <w:p w14:paraId="70DC71F7">
            <w:pPr>
              <w:pStyle w:val="74"/>
              <w:rPr>
                <w:color w:val="auto"/>
              </w:rPr>
            </w:pPr>
            <w:r>
              <w:rPr>
                <w:rFonts w:hint="eastAsia"/>
                <w:color w:val="auto"/>
              </w:rPr>
              <w:t>混凝土养护措施</w:t>
            </w:r>
          </w:p>
        </w:tc>
        <w:tc>
          <w:tcPr>
            <w:tcW w:w="3780" w:type="pct"/>
            <w:vAlign w:val="center"/>
          </w:tcPr>
          <w:p w14:paraId="540CFEB9">
            <w:pPr>
              <w:pStyle w:val="74"/>
              <w:rPr>
                <w:color w:val="auto"/>
              </w:rPr>
            </w:pPr>
            <w:r>
              <w:rPr>
                <w:rFonts w:hint="eastAsia"/>
                <w:color w:val="auto"/>
              </w:rPr>
              <w:t>混凝土浇筑完毕后立即在表面采用一层塑料薄膜（保湿层）、两层保温棉被（保温层），一层塑料薄膜（保温层）覆盖。并通过计算机监测混凝土硬化过程中的温度、温差、应力变化，确保混凝土的内外温差控制在允许范围内。</w:t>
            </w:r>
          </w:p>
        </w:tc>
      </w:tr>
      <w:tr w14:paraId="3E44A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9" w:hRule="atLeast"/>
        </w:trPr>
        <w:tc>
          <w:tcPr>
            <w:tcW w:w="410" w:type="pct"/>
            <w:vAlign w:val="center"/>
          </w:tcPr>
          <w:p w14:paraId="1A11C819">
            <w:pPr>
              <w:pStyle w:val="74"/>
              <w:rPr>
                <w:color w:val="auto"/>
              </w:rPr>
            </w:pPr>
            <w:r>
              <w:rPr>
                <w:rFonts w:hint="eastAsia"/>
                <w:color w:val="auto"/>
              </w:rPr>
              <w:t>3</w:t>
            </w:r>
          </w:p>
        </w:tc>
        <w:tc>
          <w:tcPr>
            <w:tcW w:w="810" w:type="pct"/>
            <w:vAlign w:val="center"/>
          </w:tcPr>
          <w:p w14:paraId="373626FF">
            <w:pPr>
              <w:pStyle w:val="74"/>
              <w:rPr>
                <w:color w:val="auto"/>
              </w:rPr>
            </w:pPr>
            <w:r>
              <w:rPr>
                <w:rFonts w:hint="eastAsia"/>
                <w:color w:val="auto"/>
              </w:rPr>
              <w:t>温度监控</w:t>
            </w:r>
          </w:p>
        </w:tc>
        <w:tc>
          <w:tcPr>
            <w:tcW w:w="3780" w:type="pct"/>
            <w:vAlign w:val="center"/>
          </w:tcPr>
          <w:p w14:paraId="3382DC27">
            <w:pPr>
              <w:pStyle w:val="74"/>
              <w:rPr>
                <w:color w:val="auto"/>
              </w:rPr>
            </w:pPr>
            <w:r>
              <w:rPr>
                <w:rFonts w:hint="eastAsia"/>
                <w:color w:val="auto"/>
              </w:rPr>
              <w:t>对整个底板施工进行大体积混凝土的信息化测温工作。测温点的布置在平面上按2000㎡/点，在截面变化部位，墙体转角等处需布置测温点；竖向测温点的布置按照顶表面温度、中心温度、底表面温度的检测要求进行布设。</w:t>
            </w:r>
          </w:p>
        </w:tc>
      </w:tr>
    </w:tbl>
    <w:p w14:paraId="6A547A0D">
      <w:pPr>
        <w:rPr>
          <w:color w:val="auto"/>
        </w:rPr>
      </w:pPr>
      <w:r>
        <w:rPr>
          <w:rFonts w:hint="eastAsia"/>
          <w:color w:val="auto"/>
        </w:rPr>
        <w:t>（3）质量控制流程图</w:t>
      </w:r>
    </w:p>
    <w:p w14:paraId="45DB2DB2">
      <w:pPr>
        <w:pStyle w:val="65"/>
        <w:spacing w:before="163" w:after="163"/>
        <w:rPr>
          <w:color w:val="auto"/>
        </w:rPr>
      </w:pPr>
      <w:r>
        <w:rPr>
          <w:color w:val="auto"/>
        </w:rPr>
        <w:object>
          <v:shape id="_x0000_i1038" o:spt="75" type="#_x0000_t75" style="height:288pt;width:375.05pt;" o:ole="t" filled="f" o:preferrelative="t" stroked="f" coordsize="21600,21600">
            <v:path/>
            <v:fill on="f" focussize="0,0"/>
            <v:stroke on="f" joinstyle="miter"/>
            <v:imagedata r:id="rId207" o:title=""/>
            <o:lock v:ext="edit" aspectratio="t"/>
            <w10:wrap type="none"/>
            <w10:anchorlock/>
          </v:shape>
          <o:OLEObject Type="Embed" ProgID="Visio.Drawing.11" ShapeID="_x0000_i1038" DrawAspect="Content" ObjectID="_1468075738" r:id="rId206">
            <o:LockedField>false</o:LockedField>
          </o:OLEObject>
        </w:object>
      </w:r>
    </w:p>
    <w:p w14:paraId="0474F1DD">
      <w:pPr>
        <w:pStyle w:val="53"/>
        <w:rPr>
          <w:color w:val="auto"/>
        </w:rPr>
      </w:pPr>
      <w:r>
        <w:rPr>
          <w:rFonts w:hint="eastAsia"/>
          <w:color w:val="auto"/>
        </w:rPr>
        <w:t>混凝土浇筑质量控制流程图</w:t>
      </w:r>
    </w:p>
    <w:p w14:paraId="156F69DA">
      <w:pPr>
        <w:pStyle w:val="6"/>
        <w:ind w:firstLine="480"/>
        <w:rPr>
          <w:color w:val="auto"/>
        </w:rPr>
      </w:pPr>
      <w:r>
        <w:rPr>
          <w:rFonts w:hint="eastAsia"/>
          <w:color w:val="auto"/>
        </w:rPr>
        <w:t>砌体工程质量控制标准</w:t>
      </w:r>
    </w:p>
    <w:p w14:paraId="6E3C9D5E">
      <w:pPr>
        <w:rPr>
          <w:color w:val="auto"/>
        </w:rPr>
      </w:pPr>
      <w:r>
        <w:rPr>
          <w:rFonts w:hint="eastAsia"/>
          <w:color w:val="auto"/>
        </w:rPr>
        <w:t>（1）砌体工程质量标准</w:t>
      </w:r>
    </w:p>
    <w:p w14:paraId="266E22CD">
      <w:pPr>
        <w:rPr>
          <w:color w:val="auto"/>
        </w:rPr>
      </w:pPr>
      <w:r>
        <w:rPr>
          <w:rFonts w:hint="eastAsia"/>
          <w:color w:val="auto"/>
        </w:rPr>
        <w:t>1）砌体工程放线尺寸允许偏差施工质量验收标准</w:t>
      </w:r>
    </w:p>
    <w:p w14:paraId="6A39CB7E">
      <w:pPr>
        <w:pStyle w:val="54"/>
        <w:rPr>
          <w:color w:val="auto"/>
        </w:rPr>
      </w:pPr>
      <w:r>
        <w:rPr>
          <w:rFonts w:hint="eastAsia"/>
          <w:color w:val="auto"/>
        </w:rPr>
        <w:t>砌体工程放线尺寸允许偏差施工质量验收标准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2"/>
        <w:gridCol w:w="2232"/>
        <w:gridCol w:w="2502"/>
        <w:gridCol w:w="2104"/>
      </w:tblGrid>
      <w:tr w14:paraId="4DF00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226" w:type="pct"/>
            <w:vAlign w:val="center"/>
          </w:tcPr>
          <w:p w14:paraId="46408361">
            <w:pPr>
              <w:pStyle w:val="74"/>
              <w:rPr>
                <w:color w:val="auto"/>
              </w:rPr>
            </w:pPr>
            <w:r>
              <w:rPr>
                <w:rFonts w:hint="eastAsia"/>
                <w:color w:val="auto"/>
              </w:rPr>
              <w:t>长度</w:t>
            </w:r>
            <w:r>
              <w:rPr>
                <w:color w:val="auto"/>
              </w:rPr>
              <w:t>L</w:t>
            </w:r>
            <w:r>
              <w:rPr>
                <w:rFonts w:hint="eastAsia"/>
                <w:color w:val="auto"/>
              </w:rPr>
              <w:t>、宽度</w:t>
            </w:r>
            <w:r>
              <w:rPr>
                <w:color w:val="auto"/>
              </w:rPr>
              <w:t>B</w:t>
            </w:r>
            <w:r>
              <w:rPr>
                <w:rFonts w:hint="eastAsia"/>
                <w:color w:val="auto"/>
              </w:rPr>
              <w:t>（</w:t>
            </w:r>
            <w:r>
              <w:rPr>
                <w:color w:val="auto"/>
              </w:rPr>
              <w:t>m</w:t>
            </w:r>
            <w:r>
              <w:rPr>
                <w:rFonts w:hint="eastAsia"/>
                <w:color w:val="auto"/>
              </w:rPr>
              <w:t>）</w:t>
            </w:r>
          </w:p>
        </w:tc>
        <w:tc>
          <w:tcPr>
            <w:tcW w:w="1232" w:type="pct"/>
            <w:vAlign w:val="center"/>
          </w:tcPr>
          <w:p w14:paraId="33FCFB94">
            <w:pPr>
              <w:pStyle w:val="74"/>
              <w:rPr>
                <w:color w:val="auto"/>
              </w:rPr>
            </w:pPr>
            <w:r>
              <w:rPr>
                <w:rFonts w:hint="eastAsia"/>
                <w:color w:val="auto"/>
              </w:rPr>
              <w:t>允许偏差（</w:t>
            </w:r>
            <w:r>
              <w:rPr>
                <w:color w:val="auto"/>
              </w:rPr>
              <w:t>mn</w:t>
            </w:r>
            <w:r>
              <w:rPr>
                <w:rFonts w:hint="eastAsia"/>
                <w:color w:val="auto"/>
              </w:rPr>
              <w:t>）</w:t>
            </w:r>
          </w:p>
        </w:tc>
        <w:tc>
          <w:tcPr>
            <w:tcW w:w="1381" w:type="pct"/>
            <w:vAlign w:val="center"/>
          </w:tcPr>
          <w:p w14:paraId="0B4C205B">
            <w:pPr>
              <w:pStyle w:val="74"/>
              <w:rPr>
                <w:color w:val="auto"/>
              </w:rPr>
            </w:pPr>
            <w:r>
              <w:rPr>
                <w:rFonts w:hint="eastAsia"/>
                <w:color w:val="auto"/>
              </w:rPr>
              <w:t>长度</w:t>
            </w:r>
            <w:r>
              <w:rPr>
                <w:color w:val="auto"/>
              </w:rPr>
              <w:t>L</w:t>
            </w:r>
            <w:r>
              <w:rPr>
                <w:rFonts w:hint="eastAsia"/>
                <w:color w:val="auto"/>
              </w:rPr>
              <w:t>、宽度</w:t>
            </w:r>
            <w:r>
              <w:rPr>
                <w:color w:val="auto"/>
              </w:rPr>
              <w:t>B</w:t>
            </w:r>
            <w:r>
              <w:rPr>
                <w:rFonts w:hint="eastAsia"/>
                <w:color w:val="auto"/>
              </w:rPr>
              <w:t>（</w:t>
            </w:r>
            <w:r>
              <w:rPr>
                <w:color w:val="auto"/>
              </w:rPr>
              <w:t>m</w:t>
            </w:r>
            <w:r>
              <w:rPr>
                <w:rFonts w:hint="eastAsia"/>
                <w:color w:val="auto"/>
              </w:rPr>
              <w:t>）</w:t>
            </w:r>
          </w:p>
        </w:tc>
        <w:tc>
          <w:tcPr>
            <w:tcW w:w="1161" w:type="pct"/>
            <w:vAlign w:val="center"/>
          </w:tcPr>
          <w:p w14:paraId="0281F065">
            <w:pPr>
              <w:pStyle w:val="74"/>
              <w:rPr>
                <w:color w:val="auto"/>
              </w:rPr>
            </w:pPr>
            <w:r>
              <w:rPr>
                <w:rFonts w:hint="eastAsia"/>
                <w:color w:val="auto"/>
              </w:rPr>
              <w:t>允许偏差（</w:t>
            </w:r>
            <w:r>
              <w:rPr>
                <w:color w:val="auto"/>
              </w:rPr>
              <w:t>mn</w:t>
            </w:r>
            <w:r>
              <w:rPr>
                <w:rFonts w:hint="eastAsia"/>
                <w:color w:val="auto"/>
              </w:rPr>
              <w:t>）</w:t>
            </w:r>
          </w:p>
        </w:tc>
      </w:tr>
      <w:tr w14:paraId="4BDF0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6" w:type="pct"/>
            <w:vAlign w:val="center"/>
          </w:tcPr>
          <w:p w14:paraId="0B8B5869">
            <w:pPr>
              <w:pStyle w:val="74"/>
              <w:rPr>
                <w:color w:val="auto"/>
              </w:rPr>
            </w:pPr>
            <w:r>
              <w:rPr>
                <w:color w:val="auto"/>
              </w:rPr>
              <w:t>L</w:t>
            </w:r>
            <w:r>
              <w:rPr>
                <w:rFonts w:hint="eastAsia"/>
                <w:color w:val="auto"/>
              </w:rPr>
              <w:t>（或</w:t>
            </w:r>
            <w:r>
              <w:rPr>
                <w:color w:val="auto"/>
              </w:rPr>
              <w:t>B</w:t>
            </w:r>
            <w:r>
              <w:rPr>
                <w:rFonts w:hint="eastAsia"/>
                <w:color w:val="auto"/>
              </w:rPr>
              <w:t>）≤</w:t>
            </w:r>
            <w:r>
              <w:rPr>
                <w:color w:val="auto"/>
              </w:rPr>
              <w:t>30</w:t>
            </w:r>
          </w:p>
        </w:tc>
        <w:tc>
          <w:tcPr>
            <w:tcW w:w="1232" w:type="pct"/>
            <w:vAlign w:val="center"/>
          </w:tcPr>
          <w:p w14:paraId="7BCB7AA6">
            <w:pPr>
              <w:pStyle w:val="74"/>
              <w:rPr>
                <w:color w:val="auto"/>
              </w:rPr>
            </w:pPr>
            <w:r>
              <w:rPr>
                <w:rFonts w:hint="eastAsia"/>
                <w:color w:val="auto"/>
              </w:rPr>
              <w:t>±</w:t>
            </w:r>
            <w:r>
              <w:rPr>
                <w:color w:val="auto"/>
              </w:rPr>
              <w:t>5</w:t>
            </w:r>
          </w:p>
        </w:tc>
        <w:tc>
          <w:tcPr>
            <w:tcW w:w="1381" w:type="pct"/>
            <w:vAlign w:val="center"/>
          </w:tcPr>
          <w:p w14:paraId="482D2F96">
            <w:pPr>
              <w:pStyle w:val="74"/>
              <w:rPr>
                <w:color w:val="auto"/>
              </w:rPr>
            </w:pPr>
            <w:r>
              <w:rPr>
                <w:color w:val="auto"/>
              </w:rPr>
              <w:t>60</w:t>
            </w:r>
            <w:r>
              <w:rPr>
                <w:rFonts w:hint="eastAsia"/>
                <w:color w:val="auto"/>
              </w:rPr>
              <w:t>＜</w:t>
            </w:r>
            <w:r>
              <w:rPr>
                <w:color w:val="auto"/>
              </w:rPr>
              <w:t>L</w:t>
            </w:r>
            <w:r>
              <w:rPr>
                <w:rFonts w:hint="eastAsia"/>
                <w:color w:val="auto"/>
              </w:rPr>
              <w:t>（或</w:t>
            </w:r>
            <w:r>
              <w:rPr>
                <w:color w:val="auto"/>
              </w:rPr>
              <w:t>B</w:t>
            </w:r>
            <w:r>
              <w:rPr>
                <w:rFonts w:hint="eastAsia"/>
                <w:color w:val="auto"/>
              </w:rPr>
              <w:t>）≤</w:t>
            </w:r>
            <w:r>
              <w:rPr>
                <w:color w:val="auto"/>
              </w:rPr>
              <w:t>90</w:t>
            </w:r>
          </w:p>
        </w:tc>
        <w:tc>
          <w:tcPr>
            <w:tcW w:w="1161" w:type="pct"/>
            <w:vAlign w:val="center"/>
          </w:tcPr>
          <w:p w14:paraId="08875BF2">
            <w:pPr>
              <w:pStyle w:val="74"/>
              <w:rPr>
                <w:color w:val="auto"/>
              </w:rPr>
            </w:pPr>
            <w:r>
              <w:rPr>
                <w:rFonts w:hint="eastAsia"/>
                <w:color w:val="auto"/>
              </w:rPr>
              <w:t>±1</w:t>
            </w:r>
            <w:r>
              <w:rPr>
                <w:color w:val="auto"/>
              </w:rPr>
              <w:t>5</w:t>
            </w:r>
          </w:p>
        </w:tc>
      </w:tr>
      <w:tr w14:paraId="5BDA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226" w:type="pct"/>
            <w:vAlign w:val="center"/>
          </w:tcPr>
          <w:p w14:paraId="470A903B">
            <w:pPr>
              <w:pStyle w:val="74"/>
              <w:rPr>
                <w:color w:val="auto"/>
              </w:rPr>
            </w:pPr>
            <w:r>
              <w:rPr>
                <w:color w:val="auto"/>
              </w:rPr>
              <w:t>30</w:t>
            </w:r>
            <w:r>
              <w:rPr>
                <w:rFonts w:hint="eastAsia"/>
                <w:color w:val="auto"/>
              </w:rPr>
              <w:t>＜</w:t>
            </w:r>
            <w:r>
              <w:rPr>
                <w:color w:val="auto"/>
              </w:rPr>
              <w:t>L</w:t>
            </w:r>
            <w:r>
              <w:rPr>
                <w:rFonts w:hint="eastAsia"/>
                <w:color w:val="auto"/>
              </w:rPr>
              <w:t>（或</w:t>
            </w:r>
            <w:r>
              <w:rPr>
                <w:color w:val="auto"/>
              </w:rPr>
              <w:t>B</w:t>
            </w:r>
            <w:r>
              <w:rPr>
                <w:rFonts w:hint="eastAsia"/>
                <w:color w:val="auto"/>
              </w:rPr>
              <w:t>）≤</w:t>
            </w:r>
            <w:r>
              <w:rPr>
                <w:color w:val="auto"/>
              </w:rPr>
              <w:t>60</w:t>
            </w:r>
          </w:p>
        </w:tc>
        <w:tc>
          <w:tcPr>
            <w:tcW w:w="1232" w:type="pct"/>
            <w:vAlign w:val="center"/>
          </w:tcPr>
          <w:p w14:paraId="7B4C0970">
            <w:pPr>
              <w:pStyle w:val="74"/>
              <w:rPr>
                <w:color w:val="auto"/>
              </w:rPr>
            </w:pPr>
            <w:r>
              <w:rPr>
                <w:rFonts w:hint="eastAsia"/>
                <w:color w:val="auto"/>
              </w:rPr>
              <w:t>±</w:t>
            </w:r>
            <w:r>
              <w:rPr>
                <w:color w:val="auto"/>
              </w:rPr>
              <w:t>10</w:t>
            </w:r>
          </w:p>
        </w:tc>
        <w:tc>
          <w:tcPr>
            <w:tcW w:w="1381" w:type="pct"/>
            <w:vAlign w:val="center"/>
          </w:tcPr>
          <w:p w14:paraId="2F12FE02">
            <w:pPr>
              <w:pStyle w:val="74"/>
              <w:rPr>
                <w:color w:val="auto"/>
              </w:rPr>
            </w:pPr>
            <w:r>
              <w:rPr>
                <w:color w:val="auto"/>
              </w:rPr>
              <w:t>L</w:t>
            </w:r>
            <w:r>
              <w:rPr>
                <w:rFonts w:hint="eastAsia"/>
                <w:color w:val="auto"/>
              </w:rPr>
              <w:t>（或</w:t>
            </w:r>
            <w:r>
              <w:rPr>
                <w:color w:val="auto"/>
              </w:rPr>
              <w:t>B</w:t>
            </w:r>
            <w:r>
              <w:rPr>
                <w:rFonts w:hint="eastAsia"/>
                <w:color w:val="auto"/>
              </w:rPr>
              <w:t>）＞</w:t>
            </w:r>
            <w:r>
              <w:rPr>
                <w:color w:val="auto"/>
              </w:rPr>
              <w:t>90</w:t>
            </w:r>
          </w:p>
        </w:tc>
        <w:tc>
          <w:tcPr>
            <w:tcW w:w="1161" w:type="pct"/>
            <w:vAlign w:val="center"/>
          </w:tcPr>
          <w:p w14:paraId="06A750FF">
            <w:pPr>
              <w:pStyle w:val="74"/>
              <w:rPr>
                <w:color w:val="auto"/>
              </w:rPr>
            </w:pPr>
            <w:r>
              <w:rPr>
                <w:rFonts w:hint="eastAsia"/>
                <w:color w:val="auto"/>
              </w:rPr>
              <w:t>±</w:t>
            </w:r>
            <w:r>
              <w:rPr>
                <w:color w:val="auto"/>
              </w:rPr>
              <w:t>20</w:t>
            </w:r>
          </w:p>
        </w:tc>
      </w:tr>
    </w:tbl>
    <w:p w14:paraId="7A669FF4">
      <w:pPr>
        <w:rPr>
          <w:color w:val="auto"/>
        </w:rPr>
      </w:pPr>
      <w:r>
        <w:rPr>
          <w:rFonts w:hint="eastAsia"/>
          <w:color w:val="auto"/>
        </w:rPr>
        <w:t>2）填充墙砌体一般尺寸允许偏差施工质量验收标准</w:t>
      </w:r>
    </w:p>
    <w:p w14:paraId="4E1357D0">
      <w:pPr>
        <w:pStyle w:val="54"/>
        <w:rPr>
          <w:color w:val="auto"/>
        </w:rPr>
      </w:pPr>
      <w:r>
        <w:rPr>
          <w:rFonts w:hint="eastAsia"/>
          <w:color w:val="auto"/>
        </w:rPr>
        <w:t>填充墙砌体一般尺寸允许偏差施工质量验收标准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5"/>
        <w:gridCol w:w="2035"/>
        <w:gridCol w:w="2191"/>
        <w:gridCol w:w="3669"/>
      </w:tblGrid>
      <w:tr w14:paraId="2B244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766" w:type="pct"/>
            <w:gridSpan w:val="2"/>
            <w:vAlign w:val="center"/>
          </w:tcPr>
          <w:p w14:paraId="571CB049">
            <w:pPr>
              <w:pStyle w:val="74"/>
              <w:rPr>
                <w:color w:val="auto"/>
              </w:rPr>
            </w:pPr>
            <w:r>
              <w:rPr>
                <w:rFonts w:hint="eastAsia"/>
                <w:color w:val="auto"/>
              </w:rPr>
              <w:t>项目</w:t>
            </w:r>
          </w:p>
        </w:tc>
        <w:tc>
          <w:tcPr>
            <w:tcW w:w="1209" w:type="pct"/>
            <w:vAlign w:val="center"/>
          </w:tcPr>
          <w:p w14:paraId="02A3C5AD">
            <w:pPr>
              <w:pStyle w:val="74"/>
              <w:rPr>
                <w:color w:val="auto"/>
              </w:rPr>
            </w:pPr>
            <w:r>
              <w:rPr>
                <w:rFonts w:hint="eastAsia"/>
                <w:color w:val="auto"/>
              </w:rPr>
              <w:t>允许偏差（</w:t>
            </w:r>
            <w:r>
              <w:rPr>
                <w:color w:val="auto"/>
              </w:rPr>
              <w:t>mm</w:t>
            </w:r>
            <w:r>
              <w:rPr>
                <w:rFonts w:hint="eastAsia"/>
                <w:color w:val="auto"/>
              </w:rPr>
              <w:t>）</w:t>
            </w:r>
          </w:p>
        </w:tc>
        <w:tc>
          <w:tcPr>
            <w:tcW w:w="2025" w:type="pct"/>
            <w:vAlign w:val="center"/>
          </w:tcPr>
          <w:p w14:paraId="5FE33990">
            <w:pPr>
              <w:pStyle w:val="74"/>
              <w:rPr>
                <w:color w:val="auto"/>
              </w:rPr>
            </w:pPr>
            <w:r>
              <w:rPr>
                <w:rFonts w:hint="eastAsia"/>
                <w:color w:val="auto"/>
              </w:rPr>
              <w:t>检验方法</w:t>
            </w:r>
          </w:p>
        </w:tc>
      </w:tr>
      <w:tr w14:paraId="24C8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trPr>
        <w:tc>
          <w:tcPr>
            <w:tcW w:w="1766" w:type="pct"/>
            <w:gridSpan w:val="2"/>
            <w:vAlign w:val="center"/>
          </w:tcPr>
          <w:p w14:paraId="28CF2505">
            <w:pPr>
              <w:pStyle w:val="74"/>
              <w:rPr>
                <w:color w:val="auto"/>
              </w:rPr>
            </w:pPr>
            <w:r>
              <w:rPr>
                <w:rFonts w:hint="eastAsia"/>
                <w:color w:val="auto"/>
              </w:rPr>
              <w:t>轴线位移</w:t>
            </w:r>
          </w:p>
        </w:tc>
        <w:tc>
          <w:tcPr>
            <w:tcW w:w="1209" w:type="pct"/>
            <w:vAlign w:val="center"/>
          </w:tcPr>
          <w:p w14:paraId="2DCBF8D3">
            <w:pPr>
              <w:pStyle w:val="74"/>
              <w:rPr>
                <w:color w:val="auto"/>
              </w:rPr>
            </w:pPr>
            <w:r>
              <w:rPr>
                <w:color w:val="auto"/>
              </w:rPr>
              <w:t>10</w:t>
            </w:r>
          </w:p>
        </w:tc>
        <w:tc>
          <w:tcPr>
            <w:tcW w:w="2025" w:type="pct"/>
            <w:vAlign w:val="center"/>
          </w:tcPr>
          <w:p w14:paraId="05157F7D">
            <w:pPr>
              <w:pStyle w:val="74"/>
              <w:rPr>
                <w:color w:val="auto"/>
              </w:rPr>
            </w:pPr>
            <w:r>
              <w:rPr>
                <w:rFonts w:hint="eastAsia"/>
                <w:color w:val="auto"/>
              </w:rPr>
              <w:t>用尺检查</w:t>
            </w:r>
          </w:p>
        </w:tc>
      </w:tr>
      <w:tr w14:paraId="0664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trPr>
        <w:tc>
          <w:tcPr>
            <w:tcW w:w="643" w:type="pct"/>
            <w:vMerge w:val="restart"/>
            <w:vAlign w:val="center"/>
          </w:tcPr>
          <w:p w14:paraId="3B0220A0">
            <w:pPr>
              <w:pStyle w:val="74"/>
              <w:rPr>
                <w:color w:val="auto"/>
              </w:rPr>
            </w:pPr>
            <w:r>
              <w:rPr>
                <w:rFonts w:hint="eastAsia"/>
                <w:color w:val="auto"/>
              </w:rPr>
              <w:t>垂直度</w:t>
            </w:r>
          </w:p>
        </w:tc>
        <w:tc>
          <w:tcPr>
            <w:tcW w:w="1123" w:type="pct"/>
            <w:vAlign w:val="center"/>
          </w:tcPr>
          <w:p w14:paraId="5BAA6008">
            <w:pPr>
              <w:pStyle w:val="74"/>
              <w:rPr>
                <w:color w:val="auto"/>
              </w:rPr>
            </w:pPr>
            <w:r>
              <w:rPr>
                <w:rFonts w:hint="eastAsia"/>
                <w:color w:val="auto"/>
              </w:rPr>
              <w:t>小于或等于</w:t>
            </w:r>
            <w:r>
              <w:rPr>
                <w:color w:val="auto"/>
              </w:rPr>
              <w:t>3m</w:t>
            </w:r>
          </w:p>
        </w:tc>
        <w:tc>
          <w:tcPr>
            <w:tcW w:w="1209" w:type="pct"/>
            <w:vAlign w:val="center"/>
          </w:tcPr>
          <w:p w14:paraId="3232FECE">
            <w:pPr>
              <w:pStyle w:val="74"/>
              <w:rPr>
                <w:color w:val="auto"/>
              </w:rPr>
            </w:pPr>
            <w:r>
              <w:rPr>
                <w:color w:val="auto"/>
              </w:rPr>
              <w:t>5</w:t>
            </w:r>
          </w:p>
        </w:tc>
        <w:tc>
          <w:tcPr>
            <w:tcW w:w="2025" w:type="pct"/>
            <w:vMerge w:val="restart"/>
            <w:vAlign w:val="center"/>
          </w:tcPr>
          <w:p w14:paraId="6965EDE4">
            <w:pPr>
              <w:pStyle w:val="74"/>
              <w:rPr>
                <w:color w:val="auto"/>
              </w:rPr>
            </w:pPr>
            <w:r>
              <w:rPr>
                <w:rFonts w:hint="eastAsia"/>
                <w:color w:val="auto"/>
              </w:rPr>
              <w:t>用</w:t>
            </w:r>
            <w:r>
              <w:rPr>
                <w:color w:val="auto"/>
              </w:rPr>
              <w:t>2m</w:t>
            </w:r>
            <w:r>
              <w:rPr>
                <w:rFonts w:hint="eastAsia"/>
                <w:color w:val="auto"/>
              </w:rPr>
              <w:t>托线板或吊线、尺检查</w:t>
            </w:r>
          </w:p>
        </w:tc>
      </w:tr>
      <w:tr w14:paraId="4F6E5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trPr>
        <w:tc>
          <w:tcPr>
            <w:tcW w:w="643" w:type="pct"/>
            <w:vMerge w:val="continue"/>
            <w:vAlign w:val="center"/>
          </w:tcPr>
          <w:p w14:paraId="4A659432">
            <w:pPr>
              <w:pStyle w:val="74"/>
              <w:rPr>
                <w:color w:val="auto"/>
              </w:rPr>
            </w:pPr>
          </w:p>
        </w:tc>
        <w:tc>
          <w:tcPr>
            <w:tcW w:w="1123" w:type="pct"/>
            <w:vAlign w:val="center"/>
          </w:tcPr>
          <w:p w14:paraId="35F32F8F">
            <w:pPr>
              <w:pStyle w:val="74"/>
              <w:rPr>
                <w:color w:val="auto"/>
              </w:rPr>
            </w:pPr>
            <w:r>
              <w:rPr>
                <w:rFonts w:hint="eastAsia"/>
                <w:color w:val="auto"/>
              </w:rPr>
              <w:t>大于</w:t>
            </w:r>
            <w:r>
              <w:rPr>
                <w:color w:val="auto"/>
              </w:rPr>
              <w:t>3m</w:t>
            </w:r>
          </w:p>
        </w:tc>
        <w:tc>
          <w:tcPr>
            <w:tcW w:w="1209" w:type="pct"/>
            <w:vAlign w:val="center"/>
          </w:tcPr>
          <w:p w14:paraId="4D746248">
            <w:pPr>
              <w:pStyle w:val="74"/>
              <w:rPr>
                <w:color w:val="auto"/>
              </w:rPr>
            </w:pPr>
            <w:r>
              <w:rPr>
                <w:color w:val="auto"/>
              </w:rPr>
              <w:t>10</w:t>
            </w:r>
          </w:p>
        </w:tc>
        <w:tc>
          <w:tcPr>
            <w:tcW w:w="2025" w:type="pct"/>
            <w:vMerge w:val="continue"/>
            <w:vAlign w:val="center"/>
          </w:tcPr>
          <w:p w14:paraId="04EB3C20">
            <w:pPr>
              <w:pStyle w:val="74"/>
              <w:rPr>
                <w:color w:val="auto"/>
              </w:rPr>
            </w:pPr>
          </w:p>
        </w:tc>
      </w:tr>
      <w:tr w14:paraId="7D011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trPr>
        <w:tc>
          <w:tcPr>
            <w:tcW w:w="1766" w:type="pct"/>
            <w:gridSpan w:val="2"/>
            <w:vAlign w:val="center"/>
          </w:tcPr>
          <w:p w14:paraId="56AE25D2">
            <w:pPr>
              <w:pStyle w:val="74"/>
              <w:rPr>
                <w:color w:val="auto"/>
              </w:rPr>
            </w:pPr>
            <w:r>
              <w:rPr>
                <w:rFonts w:hint="eastAsia"/>
                <w:color w:val="auto"/>
              </w:rPr>
              <w:t>表面平整度</w:t>
            </w:r>
          </w:p>
        </w:tc>
        <w:tc>
          <w:tcPr>
            <w:tcW w:w="1209" w:type="pct"/>
            <w:vAlign w:val="center"/>
          </w:tcPr>
          <w:p w14:paraId="71EDD482">
            <w:pPr>
              <w:pStyle w:val="74"/>
              <w:rPr>
                <w:color w:val="auto"/>
              </w:rPr>
            </w:pPr>
            <w:r>
              <w:rPr>
                <w:color w:val="auto"/>
              </w:rPr>
              <w:t>8</w:t>
            </w:r>
          </w:p>
        </w:tc>
        <w:tc>
          <w:tcPr>
            <w:tcW w:w="2025" w:type="pct"/>
            <w:vAlign w:val="center"/>
          </w:tcPr>
          <w:p w14:paraId="4BFE7CA8">
            <w:pPr>
              <w:pStyle w:val="74"/>
              <w:rPr>
                <w:color w:val="auto"/>
              </w:rPr>
            </w:pPr>
            <w:r>
              <w:rPr>
                <w:rFonts w:hint="eastAsia"/>
                <w:color w:val="auto"/>
              </w:rPr>
              <w:t>用</w:t>
            </w:r>
            <w:r>
              <w:rPr>
                <w:color w:val="auto"/>
              </w:rPr>
              <w:t>2m</w:t>
            </w:r>
            <w:r>
              <w:rPr>
                <w:rFonts w:hint="eastAsia"/>
                <w:color w:val="auto"/>
              </w:rPr>
              <w:t>靠尺和楔形塞尺检查</w:t>
            </w:r>
          </w:p>
        </w:tc>
      </w:tr>
      <w:tr w14:paraId="1B57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trPr>
        <w:tc>
          <w:tcPr>
            <w:tcW w:w="1766" w:type="pct"/>
            <w:gridSpan w:val="2"/>
            <w:vAlign w:val="center"/>
          </w:tcPr>
          <w:p w14:paraId="2DA54207">
            <w:pPr>
              <w:pStyle w:val="74"/>
              <w:rPr>
                <w:color w:val="auto"/>
              </w:rPr>
            </w:pPr>
            <w:r>
              <w:rPr>
                <w:rFonts w:hint="eastAsia"/>
                <w:color w:val="auto"/>
              </w:rPr>
              <w:t>门窗洞口高、宽（后塞口）</w:t>
            </w:r>
          </w:p>
        </w:tc>
        <w:tc>
          <w:tcPr>
            <w:tcW w:w="1209" w:type="pct"/>
            <w:vAlign w:val="center"/>
          </w:tcPr>
          <w:p w14:paraId="37E2E52E">
            <w:pPr>
              <w:pStyle w:val="74"/>
              <w:rPr>
                <w:color w:val="auto"/>
              </w:rPr>
            </w:pPr>
            <w:r>
              <w:rPr>
                <w:rFonts w:hint="eastAsia"/>
                <w:color w:val="auto"/>
              </w:rPr>
              <w:t>±</w:t>
            </w:r>
            <w:r>
              <w:rPr>
                <w:color w:val="auto"/>
              </w:rPr>
              <w:t>5</w:t>
            </w:r>
          </w:p>
        </w:tc>
        <w:tc>
          <w:tcPr>
            <w:tcW w:w="2025" w:type="pct"/>
            <w:vAlign w:val="center"/>
          </w:tcPr>
          <w:p w14:paraId="167ED900">
            <w:pPr>
              <w:pStyle w:val="74"/>
              <w:rPr>
                <w:color w:val="auto"/>
              </w:rPr>
            </w:pPr>
            <w:r>
              <w:rPr>
                <w:rFonts w:hint="eastAsia"/>
                <w:color w:val="auto"/>
              </w:rPr>
              <w:t>用尺检查</w:t>
            </w:r>
          </w:p>
        </w:tc>
      </w:tr>
      <w:tr w14:paraId="67649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 w:hRule="atLeast"/>
        </w:trPr>
        <w:tc>
          <w:tcPr>
            <w:tcW w:w="1766" w:type="pct"/>
            <w:gridSpan w:val="2"/>
            <w:vAlign w:val="center"/>
          </w:tcPr>
          <w:p w14:paraId="08C23A7F">
            <w:pPr>
              <w:pStyle w:val="74"/>
              <w:rPr>
                <w:color w:val="auto"/>
              </w:rPr>
            </w:pPr>
            <w:r>
              <w:rPr>
                <w:rFonts w:hint="eastAsia"/>
                <w:color w:val="auto"/>
              </w:rPr>
              <w:t>外墙上、下窗口偏移</w:t>
            </w:r>
          </w:p>
        </w:tc>
        <w:tc>
          <w:tcPr>
            <w:tcW w:w="1209" w:type="pct"/>
            <w:vAlign w:val="center"/>
          </w:tcPr>
          <w:p w14:paraId="1E4AC453">
            <w:pPr>
              <w:pStyle w:val="74"/>
              <w:rPr>
                <w:color w:val="auto"/>
              </w:rPr>
            </w:pPr>
            <w:r>
              <w:rPr>
                <w:color w:val="auto"/>
              </w:rPr>
              <w:t>20</w:t>
            </w:r>
          </w:p>
        </w:tc>
        <w:tc>
          <w:tcPr>
            <w:tcW w:w="2025" w:type="pct"/>
            <w:vAlign w:val="center"/>
          </w:tcPr>
          <w:p w14:paraId="355A61BF">
            <w:pPr>
              <w:pStyle w:val="74"/>
              <w:rPr>
                <w:color w:val="auto"/>
              </w:rPr>
            </w:pPr>
            <w:r>
              <w:rPr>
                <w:rFonts w:hint="eastAsia"/>
                <w:color w:val="auto"/>
              </w:rPr>
              <w:t>用经纬仪或吊线检查</w:t>
            </w:r>
          </w:p>
        </w:tc>
      </w:tr>
    </w:tbl>
    <w:p w14:paraId="19B60E87">
      <w:pPr>
        <w:rPr>
          <w:color w:val="auto"/>
        </w:rPr>
      </w:pPr>
      <w:r>
        <w:rPr>
          <w:rFonts w:hint="eastAsia"/>
          <w:color w:val="auto"/>
        </w:rPr>
        <w:t>（2）砌体工程质量控制要点</w:t>
      </w:r>
    </w:p>
    <w:p w14:paraId="7858051D">
      <w:pPr>
        <w:pStyle w:val="54"/>
        <w:rPr>
          <w:color w:val="auto"/>
        </w:rPr>
      </w:pPr>
      <w:r>
        <w:rPr>
          <w:rFonts w:hint="eastAsia"/>
          <w:color w:val="auto"/>
        </w:rPr>
        <w:t>砌体工程质量控制要点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7"/>
        <w:gridCol w:w="7773"/>
      </w:tblGrid>
      <w:tr w14:paraId="03747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pct"/>
            <w:vAlign w:val="center"/>
          </w:tcPr>
          <w:p w14:paraId="63C932F4">
            <w:pPr>
              <w:pStyle w:val="74"/>
              <w:rPr>
                <w:color w:val="auto"/>
              </w:rPr>
            </w:pPr>
            <w:r>
              <w:rPr>
                <w:rFonts w:hint="eastAsia"/>
                <w:color w:val="auto"/>
              </w:rPr>
              <w:t>控制要点</w:t>
            </w:r>
          </w:p>
        </w:tc>
        <w:tc>
          <w:tcPr>
            <w:tcW w:w="4290" w:type="pct"/>
            <w:vAlign w:val="center"/>
          </w:tcPr>
          <w:p w14:paraId="38B49993">
            <w:pPr>
              <w:pStyle w:val="74"/>
              <w:rPr>
                <w:color w:val="auto"/>
              </w:rPr>
            </w:pPr>
            <w:r>
              <w:rPr>
                <w:rFonts w:hint="eastAsia"/>
                <w:color w:val="auto"/>
              </w:rPr>
              <w:t>质量保证措施</w:t>
            </w:r>
          </w:p>
        </w:tc>
      </w:tr>
      <w:tr w14:paraId="2B183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pct"/>
            <w:vAlign w:val="center"/>
          </w:tcPr>
          <w:p w14:paraId="26B51104">
            <w:pPr>
              <w:pStyle w:val="74"/>
              <w:rPr>
                <w:color w:val="auto"/>
              </w:rPr>
            </w:pPr>
            <w:r>
              <w:rPr>
                <w:rFonts w:hint="eastAsia"/>
                <w:color w:val="auto"/>
              </w:rPr>
              <w:t>材料选择</w:t>
            </w:r>
          </w:p>
        </w:tc>
        <w:tc>
          <w:tcPr>
            <w:tcW w:w="4290" w:type="pct"/>
            <w:vAlign w:val="center"/>
          </w:tcPr>
          <w:p w14:paraId="0B5A87CB">
            <w:pPr>
              <w:pStyle w:val="74"/>
              <w:rPr>
                <w:color w:val="auto"/>
              </w:rPr>
            </w:pPr>
            <w:r>
              <w:rPr>
                <w:rFonts w:hint="eastAsia"/>
                <w:color w:val="auto"/>
              </w:rPr>
              <w:t>本工程采用的砌块，砂浆等原材料进场后，按规范要求进行检验，检验合格方可投入使用。</w:t>
            </w:r>
          </w:p>
        </w:tc>
      </w:tr>
      <w:tr w14:paraId="1B3C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pct"/>
            <w:vAlign w:val="center"/>
          </w:tcPr>
          <w:p w14:paraId="5B578483">
            <w:pPr>
              <w:pStyle w:val="74"/>
              <w:rPr>
                <w:color w:val="auto"/>
              </w:rPr>
            </w:pPr>
            <w:r>
              <w:rPr>
                <w:rFonts w:hint="eastAsia"/>
                <w:color w:val="auto"/>
              </w:rPr>
              <w:t>过程控制</w:t>
            </w:r>
          </w:p>
        </w:tc>
        <w:tc>
          <w:tcPr>
            <w:tcW w:w="4290" w:type="pct"/>
            <w:vAlign w:val="center"/>
          </w:tcPr>
          <w:p w14:paraId="478382C3">
            <w:pPr>
              <w:pStyle w:val="74"/>
              <w:rPr>
                <w:color w:val="auto"/>
              </w:rPr>
            </w:pPr>
            <w:r>
              <w:rPr>
                <w:rFonts w:hint="eastAsia"/>
                <w:color w:val="auto"/>
              </w:rPr>
              <w:t>标准层砌体分三层砌筑到顶；日砌筑高度不超过1.8m，压顶砖须在墙体施工完毕至少7天后砌筑。</w:t>
            </w:r>
          </w:p>
        </w:tc>
      </w:tr>
      <w:tr w14:paraId="07509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pct"/>
            <w:vAlign w:val="center"/>
          </w:tcPr>
          <w:p w14:paraId="7153F808">
            <w:pPr>
              <w:pStyle w:val="74"/>
              <w:rPr>
                <w:color w:val="auto"/>
              </w:rPr>
            </w:pPr>
            <w:r>
              <w:rPr>
                <w:rFonts w:hint="eastAsia"/>
                <w:color w:val="auto"/>
              </w:rPr>
              <w:t>预留或后凿的空洞</w:t>
            </w:r>
          </w:p>
        </w:tc>
        <w:tc>
          <w:tcPr>
            <w:tcW w:w="4290" w:type="pct"/>
            <w:vAlign w:val="center"/>
          </w:tcPr>
          <w:p w14:paraId="3D5F2D10">
            <w:pPr>
              <w:pStyle w:val="74"/>
              <w:rPr>
                <w:color w:val="auto"/>
              </w:rPr>
            </w:pPr>
            <w:r>
              <w:rPr>
                <w:rFonts w:hint="eastAsia"/>
                <w:color w:val="auto"/>
              </w:rPr>
              <w:t>墙体中管线等须预埋线开槽时应采用切割法，严禁直接敲打；设备安装后需用混凝土灌实，然后再做粉刷饰面层。</w:t>
            </w:r>
          </w:p>
        </w:tc>
      </w:tr>
      <w:tr w14:paraId="4880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710" w:type="pct"/>
            <w:vAlign w:val="center"/>
          </w:tcPr>
          <w:p w14:paraId="39B81372">
            <w:pPr>
              <w:pStyle w:val="74"/>
              <w:rPr>
                <w:color w:val="auto"/>
              </w:rPr>
            </w:pPr>
            <w:r>
              <w:rPr>
                <w:rFonts w:hint="eastAsia"/>
                <w:color w:val="auto"/>
              </w:rPr>
              <w:t>抹灰</w:t>
            </w:r>
          </w:p>
        </w:tc>
        <w:tc>
          <w:tcPr>
            <w:tcW w:w="4290" w:type="pct"/>
            <w:vAlign w:val="center"/>
          </w:tcPr>
          <w:p w14:paraId="65CEC59E">
            <w:pPr>
              <w:pStyle w:val="74"/>
              <w:rPr>
                <w:color w:val="auto"/>
              </w:rPr>
            </w:pPr>
            <w:r>
              <w:rPr>
                <w:rFonts w:hint="eastAsia"/>
                <w:color w:val="auto"/>
              </w:rPr>
              <w:t>砌筑完成经验收合格方可抹灰，抹灰开始与砌体完成时间间隔7天。</w:t>
            </w:r>
          </w:p>
        </w:tc>
      </w:tr>
    </w:tbl>
    <w:p w14:paraId="77D7EF2E">
      <w:pPr>
        <w:pStyle w:val="6"/>
        <w:ind w:firstLine="480"/>
        <w:rPr>
          <w:color w:val="auto"/>
        </w:rPr>
      </w:pPr>
      <w:r>
        <w:rPr>
          <w:rFonts w:hint="eastAsia"/>
          <w:color w:val="auto"/>
        </w:rPr>
        <w:t>防水工程质量标准</w:t>
      </w:r>
    </w:p>
    <w:p w14:paraId="31FFA5DB">
      <w:pPr>
        <w:rPr>
          <w:color w:val="auto"/>
        </w:rPr>
      </w:pPr>
      <w:r>
        <w:rPr>
          <w:rFonts w:hint="eastAsia"/>
          <w:color w:val="auto"/>
        </w:rPr>
        <w:t>（1）涂料防水控制要点</w:t>
      </w:r>
    </w:p>
    <w:p w14:paraId="378A9CFF">
      <w:pPr>
        <w:pStyle w:val="54"/>
        <w:rPr>
          <w:color w:val="auto"/>
        </w:rPr>
      </w:pPr>
      <w:r>
        <w:rPr>
          <w:rFonts w:hint="eastAsia"/>
          <w:color w:val="auto"/>
        </w:rPr>
        <w:t>涂料防水控制要点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8342"/>
      </w:tblGrid>
      <w:tr w14:paraId="0086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396" w:type="pct"/>
            <w:vAlign w:val="center"/>
          </w:tcPr>
          <w:p w14:paraId="5BB5C5B1">
            <w:pPr>
              <w:pStyle w:val="74"/>
              <w:rPr>
                <w:color w:val="auto"/>
              </w:rPr>
            </w:pPr>
            <w:r>
              <w:rPr>
                <w:rFonts w:hint="eastAsia"/>
                <w:color w:val="auto"/>
              </w:rPr>
              <w:t>序号</w:t>
            </w:r>
          </w:p>
        </w:tc>
        <w:tc>
          <w:tcPr>
            <w:tcW w:w="4604" w:type="pct"/>
            <w:vAlign w:val="center"/>
          </w:tcPr>
          <w:p w14:paraId="676DF615">
            <w:pPr>
              <w:pStyle w:val="74"/>
              <w:rPr>
                <w:color w:val="auto"/>
              </w:rPr>
            </w:pPr>
            <w:r>
              <w:rPr>
                <w:rFonts w:hint="eastAsia"/>
                <w:color w:val="auto"/>
              </w:rPr>
              <w:t>保证措施</w:t>
            </w:r>
          </w:p>
        </w:tc>
      </w:tr>
      <w:tr w14:paraId="1913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396" w:type="pct"/>
            <w:vAlign w:val="center"/>
          </w:tcPr>
          <w:p w14:paraId="4231C2EC">
            <w:pPr>
              <w:pStyle w:val="74"/>
              <w:rPr>
                <w:color w:val="auto"/>
              </w:rPr>
            </w:pPr>
            <w:r>
              <w:rPr>
                <w:rFonts w:hint="eastAsia"/>
                <w:color w:val="auto"/>
              </w:rPr>
              <w:t>1</w:t>
            </w:r>
          </w:p>
        </w:tc>
        <w:tc>
          <w:tcPr>
            <w:tcW w:w="4604" w:type="pct"/>
            <w:vAlign w:val="center"/>
          </w:tcPr>
          <w:p w14:paraId="0A0FBEB1">
            <w:pPr>
              <w:pStyle w:val="74"/>
              <w:rPr>
                <w:color w:val="auto"/>
              </w:rPr>
            </w:pPr>
            <w:r>
              <w:rPr>
                <w:rFonts w:hint="eastAsia"/>
                <w:color w:val="auto"/>
              </w:rPr>
              <w:t>防水层的平均厚度应符合实际要求，最小厚度不得小于设计厚度的80%。</w:t>
            </w:r>
          </w:p>
        </w:tc>
      </w:tr>
      <w:tr w14:paraId="6C059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396" w:type="pct"/>
            <w:vAlign w:val="center"/>
          </w:tcPr>
          <w:p w14:paraId="11C7AF60">
            <w:pPr>
              <w:pStyle w:val="74"/>
              <w:rPr>
                <w:color w:val="auto"/>
              </w:rPr>
            </w:pPr>
            <w:r>
              <w:rPr>
                <w:rFonts w:hint="eastAsia"/>
                <w:color w:val="auto"/>
              </w:rPr>
              <w:t>2</w:t>
            </w:r>
          </w:p>
        </w:tc>
        <w:tc>
          <w:tcPr>
            <w:tcW w:w="4604" w:type="pct"/>
            <w:vAlign w:val="center"/>
          </w:tcPr>
          <w:p w14:paraId="349FA83A">
            <w:pPr>
              <w:pStyle w:val="74"/>
              <w:rPr>
                <w:color w:val="auto"/>
              </w:rPr>
            </w:pPr>
            <w:r>
              <w:rPr>
                <w:rFonts w:hint="eastAsia"/>
                <w:color w:val="auto"/>
              </w:rPr>
              <w:t>涂料防水层所用材料有出厂合格证，质量检验报告，复检实验报告合格，且材料及配合比必须符合设计要求。</w:t>
            </w:r>
          </w:p>
        </w:tc>
      </w:tr>
      <w:tr w14:paraId="38A9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6" w:type="pct"/>
            <w:vAlign w:val="center"/>
          </w:tcPr>
          <w:p w14:paraId="2D3DC22E">
            <w:pPr>
              <w:pStyle w:val="74"/>
              <w:rPr>
                <w:color w:val="auto"/>
              </w:rPr>
            </w:pPr>
            <w:r>
              <w:rPr>
                <w:rFonts w:hint="eastAsia"/>
                <w:color w:val="auto"/>
              </w:rPr>
              <w:t>3</w:t>
            </w:r>
          </w:p>
        </w:tc>
        <w:tc>
          <w:tcPr>
            <w:tcW w:w="4604" w:type="pct"/>
            <w:vAlign w:val="center"/>
          </w:tcPr>
          <w:p w14:paraId="354F2778">
            <w:pPr>
              <w:pStyle w:val="74"/>
              <w:rPr>
                <w:color w:val="auto"/>
              </w:rPr>
            </w:pPr>
            <w:r>
              <w:rPr>
                <w:rFonts w:hint="eastAsia"/>
                <w:color w:val="auto"/>
              </w:rPr>
              <w:t>涂料防水层的基层应牢固，基面应洁净、平整、不得有空鼓、松动、起砂和脱皮现象；基层阴阳角应做成圆弧形。</w:t>
            </w:r>
          </w:p>
        </w:tc>
      </w:tr>
      <w:tr w14:paraId="2EA2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6" w:type="pct"/>
            <w:vAlign w:val="center"/>
          </w:tcPr>
          <w:p w14:paraId="6944BD82">
            <w:pPr>
              <w:pStyle w:val="74"/>
              <w:rPr>
                <w:color w:val="auto"/>
              </w:rPr>
            </w:pPr>
            <w:r>
              <w:rPr>
                <w:rFonts w:hint="eastAsia"/>
                <w:color w:val="auto"/>
              </w:rPr>
              <w:t>4</w:t>
            </w:r>
          </w:p>
        </w:tc>
        <w:tc>
          <w:tcPr>
            <w:tcW w:w="4604" w:type="pct"/>
            <w:vAlign w:val="center"/>
          </w:tcPr>
          <w:p w14:paraId="0D271020">
            <w:pPr>
              <w:pStyle w:val="74"/>
              <w:rPr>
                <w:color w:val="auto"/>
              </w:rPr>
            </w:pPr>
            <w:r>
              <w:rPr>
                <w:rFonts w:hint="eastAsia"/>
                <w:color w:val="auto"/>
              </w:rPr>
              <w:t>涂料防水层应与基层粘结牢固，表面平整、涂刷均匀，不得有流淌、皱折、鼓泡、露胎体和翘边等缺陷。</w:t>
            </w:r>
          </w:p>
        </w:tc>
      </w:tr>
      <w:tr w14:paraId="2D6D5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96" w:type="pct"/>
            <w:vAlign w:val="center"/>
          </w:tcPr>
          <w:p w14:paraId="26FD44E0">
            <w:pPr>
              <w:pStyle w:val="74"/>
              <w:rPr>
                <w:color w:val="auto"/>
              </w:rPr>
            </w:pPr>
            <w:r>
              <w:rPr>
                <w:rFonts w:hint="eastAsia"/>
                <w:color w:val="auto"/>
              </w:rPr>
              <w:t>5</w:t>
            </w:r>
          </w:p>
        </w:tc>
        <w:tc>
          <w:tcPr>
            <w:tcW w:w="4604" w:type="pct"/>
            <w:vAlign w:val="center"/>
          </w:tcPr>
          <w:p w14:paraId="5D47FACC">
            <w:pPr>
              <w:pStyle w:val="74"/>
              <w:rPr>
                <w:color w:val="auto"/>
              </w:rPr>
            </w:pPr>
            <w:r>
              <w:rPr>
                <w:rFonts w:hint="eastAsia"/>
                <w:color w:val="auto"/>
              </w:rPr>
              <w:t>侧墙涂料防水层的保护层和防水层粘结牢固，结合紧密，厚度均匀一致。</w:t>
            </w:r>
          </w:p>
        </w:tc>
      </w:tr>
      <w:tr w14:paraId="61CC0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396" w:type="pct"/>
            <w:vAlign w:val="center"/>
          </w:tcPr>
          <w:p w14:paraId="55DCA332">
            <w:pPr>
              <w:pStyle w:val="74"/>
              <w:rPr>
                <w:color w:val="auto"/>
              </w:rPr>
            </w:pPr>
            <w:r>
              <w:rPr>
                <w:rFonts w:hint="eastAsia"/>
                <w:color w:val="auto"/>
              </w:rPr>
              <w:t>6</w:t>
            </w:r>
          </w:p>
        </w:tc>
        <w:tc>
          <w:tcPr>
            <w:tcW w:w="4604" w:type="pct"/>
            <w:vAlign w:val="center"/>
          </w:tcPr>
          <w:p w14:paraId="0C6D8D22">
            <w:pPr>
              <w:pStyle w:val="74"/>
              <w:rPr>
                <w:color w:val="auto"/>
              </w:rPr>
            </w:pPr>
            <w:r>
              <w:rPr>
                <w:rFonts w:hint="eastAsia"/>
                <w:color w:val="auto"/>
              </w:rPr>
              <w:t>涂料防水层的施工质量检验数量，应按涂层面积每100㎡抽查一处，每处10㎡，且不得少于3处。</w:t>
            </w:r>
          </w:p>
        </w:tc>
      </w:tr>
    </w:tbl>
    <w:p w14:paraId="6C4C3A64">
      <w:pPr>
        <w:rPr>
          <w:color w:val="auto"/>
        </w:rPr>
      </w:pPr>
      <w:r>
        <w:rPr>
          <w:rFonts w:hint="eastAsia"/>
          <w:color w:val="auto"/>
        </w:rPr>
        <w:t>（2）卷材防水控制要点</w:t>
      </w:r>
    </w:p>
    <w:p w14:paraId="4368F98D">
      <w:pPr>
        <w:pStyle w:val="54"/>
        <w:rPr>
          <w:color w:val="auto"/>
        </w:rPr>
      </w:pPr>
      <w:r>
        <w:rPr>
          <w:rFonts w:hint="eastAsia"/>
          <w:color w:val="auto"/>
        </w:rPr>
        <w:t>卷材防水控制要点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8317"/>
      </w:tblGrid>
      <w:tr w14:paraId="677B7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blHeader/>
        </w:trPr>
        <w:tc>
          <w:tcPr>
            <w:tcW w:w="410" w:type="pct"/>
            <w:vAlign w:val="center"/>
          </w:tcPr>
          <w:p w14:paraId="2D3A6D5E">
            <w:pPr>
              <w:pStyle w:val="74"/>
              <w:rPr>
                <w:color w:val="auto"/>
              </w:rPr>
            </w:pPr>
            <w:r>
              <w:rPr>
                <w:rFonts w:hint="eastAsia"/>
                <w:color w:val="auto"/>
              </w:rPr>
              <w:t>序号</w:t>
            </w:r>
          </w:p>
        </w:tc>
        <w:tc>
          <w:tcPr>
            <w:tcW w:w="4590" w:type="pct"/>
            <w:vAlign w:val="center"/>
          </w:tcPr>
          <w:p w14:paraId="35826C24">
            <w:pPr>
              <w:pStyle w:val="74"/>
              <w:rPr>
                <w:color w:val="auto"/>
              </w:rPr>
            </w:pPr>
            <w:r>
              <w:rPr>
                <w:rFonts w:hint="eastAsia"/>
                <w:color w:val="auto"/>
              </w:rPr>
              <w:t>保证措施</w:t>
            </w:r>
          </w:p>
        </w:tc>
      </w:tr>
      <w:tr w14:paraId="33400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trPr>
        <w:tc>
          <w:tcPr>
            <w:tcW w:w="410" w:type="pct"/>
            <w:vAlign w:val="center"/>
          </w:tcPr>
          <w:p w14:paraId="0652A49E">
            <w:pPr>
              <w:pStyle w:val="74"/>
              <w:rPr>
                <w:color w:val="auto"/>
              </w:rPr>
            </w:pPr>
            <w:r>
              <w:rPr>
                <w:rFonts w:hint="eastAsia"/>
                <w:color w:val="auto"/>
              </w:rPr>
              <w:t>1</w:t>
            </w:r>
          </w:p>
        </w:tc>
        <w:tc>
          <w:tcPr>
            <w:tcW w:w="4590" w:type="pct"/>
            <w:vAlign w:val="center"/>
          </w:tcPr>
          <w:p w14:paraId="2B81F27A">
            <w:pPr>
              <w:pStyle w:val="74"/>
              <w:rPr>
                <w:color w:val="auto"/>
              </w:rPr>
            </w:pPr>
            <w:r>
              <w:rPr>
                <w:rFonts w:hint="eastAsia"/>
                <w:color w:val="auto"/>
              </w:rPr>
              <w:t>卷材防水层的搭接缝应粘结牢固，密封严密，不得有皱折、翘边和鼓泡等缺陷。</w:t>
            </w:r>
          </w:p>
        </w:tc>
      </w:tr>
      <w:tr w14:paraId="26D8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10" w:type="pct"/>
            <w:vAlign w:val="center"/>
          </w:tcPr>
          <w:p w14:paraId="3AF9F440">
            <w:pPr>
              <w:pStyle w:val="74"/>
              <w:rPr>
                <w:color w:val="auto"/>
              </w:rPr>
            </w:pPr>
            <w:r>
              <w:rPr>
                <w:rFonts w:hint="eastAsia"/>
                <w:color w:val="auto"/>
              </w:rPr>
              <w:t>2</w:t>
            </w:r>
          </w:p>
        </w:tc>
        <w:tc>
          <w:tcPr>
            <w:tcW w:w="4590" w:type="pct"/>
            <w:vAlign w:val="center"/>
          </w:tcPr>
          <w:p w14:paraId="221BFD7D">
            <w:pPr>
              <w:pStyle w:val="74"/>
              <w:rPr>
                <w:color w:val="auto"/>
              </w:rPr>
            </w:pPr>
            <w:r>
              <w:rPr>
                <w:rFonts w:hint="eastAsia"/>
                <w:color w:val="auto"/>
              </w:rPr>
              <w:t>卷材的搭接宽度的允许偏差为</w:t>
            </w:r>
            <w:r>
              <w:rPr>
                <w:color w:val="auto"/>
              </w:rPr>
              <w:t>-</w:t>
            </w:r>
            <w:r>
              <w:rPr>
                <w:rFonts w:hint="eastAsia"/>
                <w:color w:val="auto"/>
              </w:rPr>
              <w:t>10mm。</w:t>
            </w:r>
          </w:p>
        </w:tc>
      </w:tr>
      <w:tr w14:paraId="7434C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410" w:type="pct"/>
            <w:vAlign w:val="center"/>
          </w:tcPr>
          <w:p w14:paraId="57F7CB5F">
            <w:pPr>
              <w:pStyle w:val="74"/>
              <w:rPr>
                <w:color w:val="auto"/>
              </w:rPr>
            </w:pPr>
            <w:r>
              <w:rPr>
                <w:rFonts w:hint="eastAsia"/>
                <w:color w:val="auto"/>
              </w:rPr>
              <w:t>3</w:t>
            </w:r>
          </w:p>
        </w:tc>
        <w:tc>
          <w:tcPr>
            <w:tcW w:w="4590" w:type="pct"/>
            <w:vAlign w:val="center"/>
          </w:tcPr>
          <w:p w14:paraId="5841ED2D">
            <w:pPr>
              <w:pStyle w:val="74"/>
              <w:rPr>
                <w:color w:val="auto"/>
              </w:rPr>
            </w:pPr>
            <w:r>
              <w:rPr>
                <w:rFonts w:hint="eastAsia"/>
                <w:color w:val="auto"/>
              </w:rPr>
              <w:t>两幅卷材短边和长边的搭接宽度均不应小于100mm，接缝口应采用宽度不小于10mm的密封材料封严。</w:t>
            </w:r>
          </w:p>
        </w:tc>
      </w:tr>
      <w:tr w14:paraId="2EF9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trPr>
        <w:tc>
          <w:tcPr>
            <w:tcW w:w="410" w:type="pct"/>
            <w:vAlign w:val="center"/>
          </w:tcPr>
          <w:p w14:paraId="27A60BC5">
            <w:pPr>
              <w:pStyle w:val="74"/>
              <w:rPr>
                <w:color w:val="auto"/>
              </w:rPr>
            </w:pPr>
            <w:r>
              <w:rPr>
                <w:rFonts w:hint="eastAsia"/>
                <w:color w:val="auto"/>
              </w:rPr>
              <w:t>4</w:t>
            </w:r>
          </w:p>
        </w:tc>
        <w:tc>
          <w:tcPr>
            <w:tcW w:w="4590" w:type="pct"/>
            <w:vAlign w:val="center"/>
          </w:tcPr>
          <w:p w14:paraId="281E56EA">
            <w:pPr>
              <w:pStyle w:val="74"/>
              <w:rPr>
                <w:color w:val="auto"/>
              </w:rPr>
            </w:pPr>
            <w:r>
              <w:rPr>
                <w:rFonts w:hint="eastAsia"/>
                <w:color w:val="auto"/>
              </w:rPr>
              <w:t>卷材搭接缝结合面应清洗干净，均匀涂刷胶粘剂后，要控制好胶粘剂涂刷与粘合间隔时间，粘合时要排净接缝间的空气，辊压粘牢。</w:t>
            </w:r>
          </w:p>
        </w:tc>
      </w:tr>
      <w:tr w14:paraId="4347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410" w:type="pct"/>
            <w:vAlign w:val="center"/>
          </w:tcPr>
          <w:p w14:paraId="25761777">
            <w:pPr>
              <w:pStyle w:val="74"/>
              <w:rPr>
                <w:color w:val="auto"/>
              </w:rPr>
            </w:pPr>
            <w:r>
              <w:rPr>
                <w:rFonts w:hint="eastAsia"/>
                <w:color w:val="auto"/>
              </w:rPr>
              <w:t>5</w:t>
            </w:r>
          </w:p>
        </w:tc>
        <w:tc>
          <w:tcPr>
            <w:tcW w:w="4590" w:type="pct"/>
            <w:vAlign w:val="center"/>
          </w:tcPr>
          <w:p w14:paraId="3E6EFF5B">
            <w:pPr>
              <w:pStyle w:val="74"/>
              <w:rPr>
                <w:color w:val="auto"/>
              </w:rPr>
            </w:pPr>
            <w:r>
              <w:rPr>
                <w:rFonts w:hint="eastAsia"/>
                <w:color w:val="auto"/>
              </w:rPr>
              <w:t>滚铺卷材时接缝部位应溢出沥青热熔胶，并随即刮封接口使接缝粘结严密。</w:t>
            </w:r>
          </w:p>
        </w:tc>
      </w:tr>
      <w:tr w14:paraId="0D70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10" w:type="pct"/>
            <w:vAlign w:val="center"/>
          </w:tcPr>
          <w:p w14:paraId="198B98A5">
            <w:pPr>
              <w:pStyle w:val="74"/>
              <w:rPr>
                <w:color w:val="auto"/>
              </w:rPr>
            </w:pPr>
            <w:r>
              <w:rPr>
                <w:rFonts w:hint="eastAsia"/>
                <w:color w:val="auto"/>
              </w:rPr>
              <w:t>6</w:t>
            </w:r>
          </w:p>
        </w:tc>
        <w:tc>
          <w:tcPr>
            <w:tcW w:w="4590" w:type="pct"/>
            <w:vAlign w:val="center"/>
          </w:tcPr>
          <w:p w14:paraId="1B6BB0F5">
            <w:pPr>
              <w:pStyle w:val="74"/>
              <w:rPr>
                <w:color w:val="auto"/>
              </w:rPr>
            </w:pPr>
            <w:r>
              <w:rPr>
                <w:rFonts w:hint="eastAsia"/>
                <w:color w:val="auto"/>
              </w:rPr>
              <w:t>卷铺后的卷材应平整、顺直、搭接尺寸正确，不得有扭曲。</w:t>
            </w:r>
          </w:p>
        </w:tc>
      </w:tr>
      <w:tr w14:paraId="3A65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trPr>
        <w:tc>
          <w:tcPr>
            <w:tcW w:w="410" w:type="pct"/>
            <w:vAlign w:val="center"/>
          </w:tcPr>
          <w:p w14:paraId="2EAA200D">
            <w:pPr>
              <w:pStyle w:val="74"/>
              <w:rPr>
                <w:color w:val="auto"/>
              </w:rPr>
            </w:pPr>
            <w:r>
              <w:rPr>
                <w:rFonts w:hint="eastAsia"/>
                <w:color w:val="auto"/>
              </w:rPr>
              <w:t>7</w:t>
            </w:r>
          </w:p>
        </w:tc>
        <w:tc>
          <w:tcPr>
            <w:tcW w:w="4590" w:type="pct"/>
            <w:vAlign w:val="center"/>
          </w:tcPr>
          <w:p w14:paraId="4F9C4DEA">
            <w:pPr>
              <w:pStyle w:val="74"/>
              <w:rPr>
                <w:color w:val="auto"/>
              </w:rPr>
            </w:pPr>
            <w:r>
              <w:rPr>
                <w:rFonts w:hint="eastAsia"/>
                <w:color w:val="auto"/>
              </w:rPr>
              <w:t>卷材防水层的施工质量检验数量，应按铺贴面积每100㎡抽查一处，每处10㎡，且不得少于3处。</w:t>
            </w:r>
          </w:p>
        </w:tc>
      </w:tr>
    </w:tbl>
    <w:p w14:paraId="74BCECA7">
      <w:pPr>
        <w:pStyle w:val="6"/>
        <w:ind w:firstLine="480"/>
        <w:rPr>
          <w:color w:val="auto"/>
        </w:rPr>
      </w:pPr>
      <w:r>
        <w:rPr>
          <w:rFonts w:hint="eastAsia"/>
          <w:color w:val="auto"/>
        </w:rPr>
        <w:t>建筑装饰工程质量标准</w:t>
      </w:r>
    </w:p>
    <w:p w14:paraId="0ECFB77C">
      <w:pPr>
        <w:pStyle w:val="54"/>
        <w:rPr>
          <w:color w:val="auto"/>
        </w:rPr>
      </w:pPr>
      <w:r>
        <w:rPr>
          <w:rFonts w:hint="eastAsia"/>
          <w:color w:val="auto"/>
        </w:rPr>
        <w:t>建筑装饰工程质量标准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13" w:type="dxa"/>
          <w:left w:w="108" w:type="dxa"/>
          <w:bottom w:w="113" w:type="dxa"/>
          <w:right w:w="108" w:type="dxa"/>
        </w:tblCellMar>
      </w:tblPr>
      <w:tblGrid>
        <w:gridCol w:w="1013"/>
        <w:gridCol w:w="8047"/>
      </w:tblGrid>
      <w:tr w14:paraId="7B3E0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tblHeader/>
          <w:jc w:val="center"/>
        </w:trPr>
        <w:tc>
          <w:tcPr>
            <w:tcW w:w="559" w:type="pct"/>
            <w:shd w:val="clear" w:color="auto" w:fill="FFFFFF"/>
            <w:tcMar>
              <w:top w:w="57" w:type="dxa"/>
              <w:bottom w:w="57" w:type="dxa"/>
            </w:tcMar>
            <w:vAlign w:val="center"/>
          </w:tcPr>
          <w:p w14:paraId="51BECA6A">
            <w:pPr>
              <w:pStyle w:val="74"/>
              <w:rPr>
                <w:color w:val="auto"/>
              </w:rPr>
            </w:pPr>
            <w:r>
              <w:rPr>
                <w:rFonts w:hint="eastAsia"/>
                <w:color w:val="auto"/>
              </w:rPr>
              <w:t>项目</w:t>
            </w:r>
          </w:p>
        </w:tc>
        <w:tc>
          <w:tcPr>
            <w:tcW w:w="4441" w:type="pct"/>
            <w:shd w:val="clear" w:color="auto" w:fill="FFFFFF"/>
            <w:tcMar>
              <w:top w:w="57" w:type="dxa"/>
              <w:bottom w:w="57" w:type="dxa"/>
            </w:tcMar>
            <w:vAlign w:val="center"/>
          </w:tcPr>
          <w:p w14:paraId="1F683175">
            <w:pPr>
              <w:pStyle w:val="74"/>
              <w:rPr>
                <w:color w:val="auto"/>
              </w:rPr>
            </w:pPr>
            <w:r>
              <w:rPr>
                <w:rFonts w:hint="eastAsia"/>
                <w:color w:val="auto"/>
              </w:rPr>
              <w:t>质量保证措施</w:t>
            </w:r>
          </w:p>
        </w:tc>
      </w:tr>
      <w:tr w14:paraId="1F8EB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16868FE0">
            <w:pPr>
              <w:pStyle w:val="74"/>
              <w:rPr>
                <w:color w:val="auto"/>
              </w:rPr>
            </w:pPr>
            <w:r>
              <w:rPr>
                <w:rFonts w:hint="eastAsia"/>
                <w:color w:val="auto"/>
              </w:rPr>
              <w:t>地面砖</w:t>
            </w:r>
          </w:p>
        </w:tc>
        <w:tc>
          <w:tcPr>
            <w:tcW w:w="4441" w:type="pct"/>
            <w:tcMar>
              <w:top w:w="57" w:type="dxa"/>
              <w:bottom w:w="57" w:type="dxa"/>
            </w:tcMar>
            <w:vAlign w:val="center"/>
          </w:tcPr>
          <w:p w14:paraId="434A3F0B">
            <w:pPr>
              <w:pStyle w:val="74"/>
              <w:rPr>
                <w:color w:val="auto"/>
              </w:rPr>
            </w:pPr>
            <w:r>
              <w:rPr>
                <w:rFonts w:hint="eastAsia"/>
                <w:color w:val="auto"/>
              </w:rPr>
              <w:t>（1）贴砖前需先将地面杂物、浮浆处理干净，刷一道界面剂素水泥浆结合层，以增加基层和结合层之间的粘结能力。然后虚铺干硬性的水泥砂浆。一般是铺一层砂浆，放一块砖。检查好后，浇一层水灰比为0.45的素浆结合层，厚度为0.5mm。然后将板正式放在上面，用橡皮锤敲打砖的表面，砸平砸实。</w:t>
            </w:r>
          </w:p>
          <w:p w14:paraId="12616B74">
            <w:pPr>
              <w:pStyle w:val="74"/>
              <w:rPr>
                <w:color w:val="auto"/>
              </w:rPr>
            </w:pPr>
            <w:r>
              <w:rPr>
                <w:rFonts w:hint="eastAsia"/>
                <w:color w:val="auto"/>
              </w:rPr>
              <w:t>（2）面层与基层的结合必须牢固，无空鼓。</w:t>
            </w:r>
          </w:p>
          <w:p w14:paraId="3E640E8B">
            <w:pPr>
              <w:pStyle w:val="74"/>
              <w:rPr>
                <w:color w:val="auto"/>
              </w:rPr>
            </w:pPr>
            <w:r>
              <w:rPr>
                <w:rFonts w:hint="eastAsia"/>
                <w:color w:val="auto"/>
              </w:rPr>
              <w:t>（3）地砖表面洁净，图案清晰，色泽一致，接缝均匀，周边顺直，板块无裂纹、掉角和缺楞等现象。</w:t>
            </w:r>
          </w:p>
        </w:tc>
      </w:tr>
      <w:tr w14:paraId="60CF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40F56119">
            <w:pPr>
              <w:pStyle w:val="74"/>
              <w:rPr>
                <w:color w:val="auto"/>
              </w:rPr>
            </w:pPr>
            <w:r>
              <w:rPr>
                <w:rFonts w:hint="eastAsia"/>
                <w:color w:val="auto"/>
              </w:rPr>
              <w:t>地面</w:t>
            </w:r>
          </w:p>
          <w:p w14:paraId="209AD8D8">
            <w:pPr>
              <w:pStyle w:val="74"/>
              <w:rPr>
                <w:color w:val="auto"/>
              </w:rPr>
            </w:pPr>
            <w:r>
              <w:rPr>
                <w:rFonts w:hint="eastAsia"/>
                <w:color w:val="auto"/>
              </w:rPr>
              <w:t>石材</w:t>
            </w:r>
          </w:p>
        </w:tc>
        <w:tc>
          <w:tcPr>
            <w:tcW w:w="4441" w:type="pct"/>
            <w:tcMar>
              <w:top w:w="57" w:type="dxa"/>
              <w:bottom w:w="57" w:type="dxa"/>
            </w:tcMar>
            <w:vAlign w:val="center"/>
          </w:tcPr>
          <w:p w14:paraId="6F7DAB5C">
            <w:pPr>
              <w:pStyle w:val="74"/>
              <w:rPr>
                <w:color w:val="auto"/>
              </w:rPr>
            </w:pPr>
            <w:r>
              <w:rPr>
                <w:rFonts w:hint="eastAsia"/>
                <w:color w:val="auto"/>
              </w:rPr>
              <w:t>（1）铺石材板块，先里后外，按试拼编号，安放时四角同时下落，用橡皮锤锤击板材，用水平尺找平，校正后掀起浇素水泥浆安装就位。铺完第一块后，向两侧和后退方向顺序铺设，发现空隙应掀起板块，补实砂浆，再行安装，板块之间接缝要严，不留缝隙。</w:t>
            </w:r>
          </w:p>
          <w:p w14:paraId="4323E0E8">
            <w:pPr>
              <w:pStyle w:val="74"/>
              <w:rPr>
                <w:color w:val="auto"/>
              </w:rPr>
            </w:pPr>
            <w:r>
              <w:rPr>
                <w:rFonts w:hint="eastAsia"/>
                <w:color w:val="auto"/>
              </w:rPr>
              <w:t>（2）在铺贴2昼夜后进行勾缝，选择与石板相同颜色的矿物颜料同水泥拌合均匀，调制成水泥色浆，用勾缝溜子勾缝，用棉砂将板面擦干净。</w:t>
            </w:r>
          </w:p>
          <w:p w14:paraId="5278011E">
            <w:pPr>
              <w:pStyle w:val="74"/>
              <w:rPr>
                <w:color w:val="auto"/>
              </w:rPr>
            </w:pPr>
            <w:r>
              <w:rPr>
                <w:rFonts w:hint="eastAsia"/>
                <w:color w:val="auto"/>
              </w:rPr>
              <w:t>（3）地面平整色泽基本调和，不得有空鼓现象。</w:t>
            </w:r>
          </w:p>
        </w:tc>
      </w:tr>
      <w:tr w14:paraId="2D5D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1BC981D8">
            <w:pPr>
              <w:pStyle w:val="74"/>
              <w:rPr>
                <w:color w:val="auto"/>
              </w:rPr>
            </w:pPr>
            <w:r>
              <w:rPr>
                <w:rFonts w:hint="eastAsia"/>
                <w:color w:val="auto"/>
              </w:rPr>
              <w:t>乳胶漆</w:t>
            </w:r>
          </w:p>
        </w:tc>
        <w:tc>
          <w:tcPr>
            <w:tcW w:w="4441" w:type="pct"/>
            <w:tcMar>
              <w:top w:w="57" w:type="dxa"/>
              <w:bottom w:w="57" w:type="dxa"/>
            </w:tcMar>
            <w:vAlign w:val="center"/>
          </w:tcPr>
          <w:p w14:paraId="1C86F252">
            <w:pPr>
              <w:pStyle w:val="74"/>
              <w:rPr>
                <w:color w:val="auto"/>
              </w:rPr>
            </w:pPr>
            <w:r>
              <w:rPr>
                <w:rFonts w:hint="eastAsia"/>
                <w:color w:val="auto"/>
              </w:rPr>
              <w:t>（1）先将墙面灰尘、浆粒清理干净，用水石膏将墙面磕碰处及坑洼缝隙等找平，干燥后用砂纸将凸出处磨掉，将浮尘扫净。</w:t>
            </w:r>
          </w:p>
          <w:p w14:paraId="000AE5C5">
            <w:pPr>
              <w:pStyle w:val="74"/>
              <w:rPr>
                <w:color w:val="auto"/>
              </w:rPr>
            </w:pPr>
            <w:r>
              <w:rPr>
                <w:rFonts w:hint="eastAsia"/>
                <w:color w:val="auto"/>
              </w:rPr>
              <w:t>（2）刮腻子时第一遍用胶皮刮板横向满刮，一刮板紧接着一刮板，接头不得留茬，每刮一板最后收头要干净利落。干燥后磨砂纸，将浮腻子及斑迹磨光，再将墙面清扫干净，干燥后砂纸磨平并清扫干净。第三遍用胶皮刮板找补腻子或用钢片刮板满刮腻子，将墙面刮平刮光，干燥后用细砂纸磨光，不得遗漏或将腻子磨穿。</w:t>
            </w:r>
          </w:p>
          <w:p w14:paraId="3D1D6FF6">
            <w:pPr>
              <w:pStyle w:val="74"/>
              <w:rPr>
                <w:color w:val="auto"/>
              </w:rPr>
            </w:pPr>
            <w:r>
              <w:rPr>
                <w:rFonts w:hint="eastAsia"/>
                <w:color w:val="auto"/>
              </w:rPr>
              <w:t>（3）刷乳胶漆时涂刷顺序是先刷顶板后刷墙面，墙面是先上后下。先将墙面清扫干净，用布将墙面粉尘擦掉。乳胶漆用排笔涂刷，使用新排笔时，将排笔上的浮毛和不牢的毛理掉。</w:t>
            </w:r>
          </w:p>
        </w:tc>
      </w:tr>
      <w:tr w14:paraId="71427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6626A982">
            <w:pPr>
              <w:pStyle w:val="74"/>
              <w:rPr>
                <w:color w:val="auto"/>
              </w:rPr>
            </w:pPr>
            <w:r>
              <w:rPr>
                <w:rFonts w:hint="eastAsia"/>
                <w:color w:val="auto"/>
              </w:rPr>
              <w:t>墙面砖</w:t>
            </w:r>
          </w:p>
        </w:tc>
        <w:tc>
          <w:tcPr>
            <w:tcW w:w="4441" w:type="pct"/>
            <w:tcMar>
              <w:top w:w="57" w:type="dxa"/>
              <w:bottom w:w="57" w:type="dxa"/>
            </w:tcMar>
            <w:vAlign w:val="center"/>
          </w:tcPr>
          <w:p w14:paraId="7441CE4B">
            <w:pPr>
              <w:pStyle w:val="74"/>
              <w:rPr>
                <w:color w:val="auto"/>
              </w:rPr>
            </w:pPr>
            <w:r>
              <w:rPr>
                <w:rFonts w:hint="eastAsia"/>
                <w:color w:val="auto"/>
              </w:rPr>
              <w:t>（1）正式粘贴前应贴标准点，用废瓷砖加粘贴剂粘贴在墙或柱上，用以控制整个粘贴瓷砖表面平整度。</w:t>
            </w:r>
          </w:p>
          <w:p w14:paraId="1B940CEF">
            <w:pPr>
              <w:pStyle w:val="74"/>
              <w:rPr>
                <w:color w:val="auto"/>
              </w:rPr>
            </w:pPr>
            <w:r>
              <w:rPr>
                <w:rFonts w:hint="eastAsia"/>
                <w:color w:val="auto"/>
              </w:rPr>
              <w:t>（2）粘贴瓷砖自下而上粘贴，瓷砖背面满刮瓷砖粘贴剂，要随时用靠尺检查平整度，随粘随检查。</w:t>
            </w:r>
          </w:p>
          <w:p w14:paraId="19C0DFB4">
            <w:pPr>
              <w:pStyle w:val="74"/>
              <w:rPr>
                <w:color w:val="auto"/>
              </w:rPr>
            </w:pPr>
            <w:r>
              <w:rPr>
                <w:rFonts w:hint="eastAsia"/>
                <w:color w:val="auto"/>
              </w:rPr>
              <w:t>（3）同时要保证缝隙宽一致，柱面上墙面上直角处按设计要求拼角，粘贴时要随时擦掉砖缝中流出的粘贴剂。</w:t>
            </w:r>
          </w:p>
          <w:p w14:paraId="1752BCAF">
            <w:pPr>
              <w:pStyle w:val="74"/>
              <w:rPr>
                <w:color w:val="auto"/>
              </w:rPr>
            </w:pPr>
            <w:r>
              <w:rPr>
                <w:rFonts w:hint="eastAsia"/>
                <w:color w:val="auto"/>
              </w:rPr>
              <w:t>（4）擦缝清理：瓷砖粘贴完用棉丝擦净，48h后擦缝，然后清理干净。</w:t>
            </w:r>
          </w:p>
          <w:p w14:paraId="5C1D3334">
            <w:pPr>
              <w:pStyle w:val="74"/>
              <w:rPr>
                <w:color w:val="auto"/>
              </w:rPr>
            </w:pPr>
            <w:r>
              <w:rPr>
                <w:rFonts w:hint="eastAsia"/>
                <w:color w:val="auto"/>
              </w:rPr>
              <w:t>（5）瓷砖之间缝隙均匀一致、填嵌密实、平直、颜色一致。</w:t>
            </w:r>
          </w:p>
          <w:p w14:paraId="6742437B">
            <w:pPr>
              <w:pStyle w:val="74"/>
              <w:rPr>
                <w:color w:val="auto"/>
              </w:rPr>
            </w:pPr>
            <w:r>
              <w:rPr>
                <w:rFonts w:hint="eastAsia"/>
                <w:color w:val="auto"/>
              </w:rPr>
              <w:t>（6）特殊部位砖、块压向正确，非整砖使用部位适当，排列平直。</w:t>
            </w:r>
          </w:p>
          <w:p w14:paraId="7423AD9B">
            <w:pPr>
              <w:pStyle w:val="74"/>
              <w:rPr>
                <w:color w:val="auto"/>
              </w:rPr>
            </w:pPr>
            <w:r>
              <w:rPr>
                <w:rFonts w:hint="eastAsia"/>
                <w:color w:val="auto"/>
              </w:rPr>
              <w:t>（7）柱群中各柱面砖位置正确，纵横成行在同一直线上。</w:t>
            </w:r>
          </w:p>
          <w:p w14:paraId="17C8110B">
            <w:pPr>
              <w:pStyle w:val="74"/>
              <w:rPr>
                <w:color w:val="auto"/>
              </w:rPr>
            </w:pPr>
            <w:r>
              <w:rPr>
                <w:rFonts w:hint="eastAsia"/>
                <w:color w:val="auto"/>
              </w:rPr>
              <w:t>（8）当墙柱阳角呈45º对接时，角度正确，线条顺直。</w:t>
            </w:r>
          </w:p>
        </w:tc>
      </w:tr>
      <w:tr w14:paraId="5BD2D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1831" w:hRule="atLeast"/>
          <w:jc w:val="center"/>
        </w:trPr>
        <w:tc>
          <w:tcPr>
            <w:tcW w:w="559" w:type="pct"/>
            <w:tcMar>
              <w:top w:w="57" w:type="dxa"/>
              <w:bottom w:w="57" w:type="dxa"/>
            </w:tcMar>
            <w:vAlign w:val="center"/>
          </w:tcPr>
          <w:p w14:paraId="1F02AF15">
            <w:pPr>
              <w:pStyle w:val="74"/>
              <w:rPr>
                <w:color w:val="auto"/>
              </w:rPr>
            </w:pPr>
            <w:r>
              <w:rPr>
                <w:rFonts w:hint="eastAsia"/>
                <w:color w:val="auto"/>
              </w:rPr>
              <w:t>木门制作安装</w:t>
            </w:r>
          </w:p>
        </w:tc>
        <w:tc>
          <w:tcPr>
            <w:tcW w:w="4441" w:type="pct"/>
            <w:tcMar>
              <w:top w:w="57" w:type="dxa"/>
              <w:bottom w:w="57" w:type="dxa"/>
            </w:tcMar>
            <w:vAlign w:val="center"/>
          </w:tcPr>
          <w:p w14:paraId="45037266">
            <w:pPr>
              <w:pStyle w:val="74"/>
              <w:rPr>
                <w:color w:val="auto"/>
              </w:rPr>
            </w:pPr>
            <w:r>
              <w:rPr>
                <w:rFonts w:hint="eastAsia"/>
                <w:color w:val="auto"/>
              </w:rPr>
              <w:t>（1）按照现场实际及设计图纸尺寸弹好线，确定地面标高。</w:t>
            </w:r>
          </w:p>
          <w:p w14:paraId="30488E9E">
            <w:pPr>
              <w:pStyle w:val="74"/>
              <w:rPr>
                <w:color w:val="auto"/>
              </w:rPr>
            </w:pPr>
            <w:r>
              <w:rPr>
                <w:rFonts w:hint="eastAsia"/>
                <w:color w:val="auto"/>
              </w:rPr>
              <w:t>（2）然后确定门扇高度、宽度和厚度。</w:t>
            </w:r>
          </w:p>
          <w:p w14:paraId="6A941BE3">
            <w:pPr>
              <w:pStyle w:val="74"/>
              <w:rPr>
                <w:color w:val="auto"/>
              </w:rPr>
            </w:pPr>
            <w:r>
              <w:rPr>
                <w:rFonts w:hint="eastAsia"/>
                <w:color w:val="auto"/>
              </w:rPr>
              <w:t>（3）木门根据现场实际尺寸在工厂加工制作完成后运至工地。</w:t>
            </w:r>
          </w:p>
          <w:p w14:paraId="4EFEC129">
            <w:pPr>
              <w:pStyle w:val="74"/>
              <w:rPr>
                <w:color w:val="auto"/>
              </w:rPr>
            </w:pPr>
            <w:r>
              <w:rPr>
                <w:rFonts w:hint="eastAsia"/>
                <w:color w:val="auto"/>
              </w:rPr>
              <w:t>（4）门扇安装完后，在可能撞击的高度用夹板保护。</w:t>
            </w:r>
          </w:p>
          <w:p w14:paraId="1E4518BD">
            <w:pPr>
              <w:pStyle w:val="74"/>
              <w:rPr>
                <w:color w:val="auto"/>
              </w:rPr>
            </w:pPr>
            <w:r>
              <w:rPr>
                <w:rFonts w:hint="eastAsia"/>
                <w:color w:val="auto"/>
              </w:rPr>
              <w:t>（5）门扇下用木楔塞紧，做好成品保护。</w:t>
            </w:r>
          </w:p>
        </w:tc>
      </w:tr>
      <w:tr w14:paraId="44897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41D493DB">
            <w:pPr>
              <w:pStyle w:val="74"/>
              <w:rPr>
                <w:color w:val="auto"/>
              </w:rPr>
            </w:pPr>
            <w:r>
              <w:rPr>
                <w:rFonts w:hint="eastAsia"/>
                <w:color w:val="auto"/>
              </w:rPr>
              <w:t>墙面吸</w:t>
            </w:r>
          </w:p>
          <w:p w14:paraId="13391E2A">
            <w:pPr>
              <w:pStyle w:val="74"/>
              <w:rPr>
                <w:color w:val="auto"/>
              </w:rPr>
            </w:pPr>
            <w:r>
              <w:rPr>
                <w:rFonts w:hint="eastAsia"/>
                <w:color w:val="auto"/>
              </w:rPr>
              <w:t>音板</w:t>
            </w:r>
          </w:p>
        </w:tc>
        <w:tc>
          <w:tcPr>
            <w:tcW w:w="4441" w:type="pct"/>
            <w:tcMar>
              <w:top w:w="57" w:type="dxa"/>
              <w:bottom w:w="57" w:type="dxa"/>
            </w:tcMar>
            <w:vAlign w:val="center"/>
          </w:tcPr>
          <w:p w14:paraId="1146F06D">
            <w:pPr>
              <w:pStyle w:val="74"/>
              <w:rPr>
                <w:color w:val="auto"/>
              </w:rPr>
            </w:pPr>
            <w:r>
              <w:rPr>
                <w:rFonts w:hint="eastAsia"/>
                <w:color w:val="auto"/>
              </w:rPr>
              <w:t>（1）墙面轻钢龙骨必须作防腐处理。安装时局部节点应严格按图规定处理。钉固间距、位置、连接方法应符合设计要求。</w:t>
            </w:r>
          </w:p>
          <w:p w14:paraId="69823DCB">
            <w:pPr>
              <w:pStyle w:val="74"/>
              <w:rPr>
                <w:color w:val="auto"/>
              </w:rPr>
            </w:pPr>
            <w:r>
              <w:rPr>
                <w:rFonts w:hint="eastAsia"/>
                <w:color w:val="auto"/>
              </w:rPr>
              <w:t>（2）将吸音板用自攻螺丝钉固定在轻钢龙骨骨架上，钉距在100mm左右，略进入板内1mm，孔眼用腻子填平。</w:t>
            </w:r>
          </w:p>
        </w:tc>
      </w:tr>
      <w:tr w14:paraId="5CE45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68B772E7">
            <w:pPr>
              <w:pStyle w:val="74"/>
              <w:rPr>
                <w:color w:val="auto"/>
              </w:rPr>
            </w:pPr>
            <w:r>
              <w:rPr>
                <w:rFonts w:hint="eastAsia"/>
                <w:color w:val="auto"/>
              </w:rPr>
              <w:t>玻璃</w:t>
            </w:r>
          </w:p>
          <w:p w14:paraId="60BFEDBE">
            <w:pPr>
              <w:pStyle w:val="74"/>
              <w:rPr>
                <w:color w:val="auto"/>
              </w:rPr>
            </w:pPr>
            <w:r>
              <w:rPr>
                <w:rFonts w:hint="eastAsia"/>
                <w:color w:val="auto"/>
              </w:rPr>
              <w:t>栏杆</w:t>
            </w:r>
          </w:p>
        </w:tc>
        <w:tc>
          <w:tcPr>
            <w:tcW w:w="4441" w:type="pct"/>
            <w:tcMar>
              <w:top w:w="57" w:type="dxa"/>
              <w:bottom w:w="57" w:type="dxa"/>
            </w:tcMar>
            <w:vAlign w:val="center"/>
          </w:tcPr>
          <w:p w14:paraId="3E108C75">
            <w:pPr>
              <w:pStyle w:val="74"/>
              <w:rPr>
                <w:color w:val="auto"/>
              </w:rPr>
            </w:pPr>
            <w:r>
              <w:rPr>
                <w:rFonts w:hint="eastAsia"/>
                <w:color w:val="auto"/>
              </w:rPr>
              <w:t>（1）玻璃裁割尺寸正确，安装必须平整、牢固、无松动现象。</w:t>
            </w:r>
          </w:p>
          <w:p w14:paraId="1BE936B4">
            <w:pPr>
              <w:pStyle w:val="74"/>
              <w:rPr>
                <w:color w:val="auto"/>
              </w:rPr>
            </w:pPr>
            <w:r>
              <w:rPr>
                <w:rFonts w:hint="eastAsia"/>
                <w:color w:val="auto"/>
              </w:rPr>
              <w:t>（2）玻璃表面（非镀膜面）的胶丝迹或其它污物可用刀片刮净并用中性溶剂洗涤后用清水冲洗干净，过程中注意成品保护。</w:t>
            </w:r>
          </w:p>
        </w:tc>
      </w:tr>
      <w:tr w14:paraId="0348C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49" w:hRule="atLeast"/>
          <w:jc w:val="center"/>
        </w:trPr>
        <w:tc>
          <w:tcPr>
            <w:tcW w:w="559" w:type="pct"/>
            <w:tcMar>
              <w:top w:w="57" w:type="dxa"/>
              <w:bottom w:w="57" w:type="dxa"/>
            </w:tcMar>
            <w:vAlign w:val="center"/>
          </w:tcPr>
          <w:p w14:paraId="3E97471F">
            <w:pPr>
              <w:pStyle w:val="74"/>
              <w:rPr>
                <w:color w:val="auto"/>
              </w:rPr>
            </w:pPr>
            <w:r>
              <w:rPr>
                <w:rFonts w:hint="eastAsia"/>
                <w:color w:val="auto"/>
              </w:rPr>
              <w:t>金属板</w:t>
            </w:r>
          </w:p>
          <w:p w14:paraId="4C903EA3">
            <w:pPr>
              <w:pStyle w:val="74"/>
              <w:rPr>
                <w:color w:val="auto"/>
              </w:rPr>
            </w:pPr>
            <w:r>
              <w:rPr>
                <w:rFonts w:hint="eastAsia"/>
                <w:color w:val="auto"/>
              </w:rPr>
              <w:t>吊顶</w:t>
            </w:r>
          </w:p>
        </w:tc>
        <w:tc>
          <w:tcPr>
            <w:tcW w:w="4441" w:type="pct"/>
            <w:tcMar>
              <w:top w:w="57" w:type="dxa"/>
              <w:bottom w:w="57" w:type="dxa"/>
            </w:tcMar>
            <w:vAlign w:val="center"/>
          </w:tcPr>
          <w:p w14:paraId="54BFCCE7">
            <w:pPr>
              <w:pStyle w:val="74"/>
              <w:rPr>
                <w:color w:val="auto"/>
              </w:rPr>
            </w:pPr>
            <w:r>
              <w:rPr>
                <w:rFonts w:hint="eastAsia"/>
                <w:color w:val="auto"/>
              </w:rPr>
              <w:t>（1）金属板的安装应从一个方向依次安装。吊点的分布与固定：吊点的分布要均匀，在一些龙骨的接口部位和重载部位，应增加吊点。</w:t>
            </w:r>
          </w:p>
          <w:p w14:paraId="5D24A404">
            <w:pPr>
              <w:pStyle w:val="74"/>
              <w:rPr>
                <w:color w:val="auto"/>
              </w:rPr>
            </w:pPr>
            <w:r>
              <w:rPr>
                <w:rFonts w:hint="eastAsia"/>
                <w:color w:val="auto"/>
              </w:rPr>
              <w:t>（2）龙骨架的强度与刚度需满足要求，龙骨的接头处、吊挂处都是受力的集中点，施工中应注意加固。</w:t>
            </w:r>
          </w:p>
          <w:p w14:paraId="61B50F15">
            <w:pPr>
              <w:pStyle w:val="74"/>
              <w:rPr>
                <w:color w:val="auto"/>
              </w:rPr>
            </w:pPr>
            <w:r>
              <w:rPr>
                <w:rFonts w:hint="eastAsia"/>
                <w:color w:val="auto"/>
              </w:rPr>
              <w:t>（3）不得在龙骨上悬吊设备。</w:t>
            </w:r>
          </w:p>
          <w:p w14:paraId="7A108C77">
            <w:pPr>
              <w:pStyle w:val="74"/>
              <w:rPr>
                <w:color w:val="auto"/>
              </w:rPr>
            </w:pPr>
            <w:r>
              <w:rPr>
                <w:rFonts w:hint="eastAsia"/>
                <w:color w:val="auto"/>
              </w:rPr>
              <w:t>（4）金属龙骨接缝表面应平整、吻合、颜色一致。</w:t>
            </w:r>
          </w:p>
          <w:p w14:paraId="67E9AA63">
            <w:pPr>
              <w:pStyle w:val="74"/>
              <w:rPr>
                <w:color w:val="auto"/>
              </w:rPr>
            </w:pPr>
            <w:r>
              <w:rPr>
                <w:rFonts w:hint="eastAsia"/>
                <w:color w:val="auto"/>
              </w:rPr>
              <w:t>（5）不得有污染，划伤、擦伤等表面缺陷，连接应均匀一致。</w:t>
            </w:r>
          </w:p>
          <w:p w14:paraId="0A3A8D3B">
            <w:pPr>
              <w:pStyle w:val="74"/>
              <w:rPr>
                <w:color w:val="auto"/>
              </w:rPr>
            </w:pPr>
            <w:r>
              <w:rPr>
                <w:rFonts w:hint="eastAsia"/>
                <w:color w:val="auto"/>
              </w:rPr>
              <w:t>（6）在安装龙骨要注意起拱，起拱高度不应小于房间短向跨度的1/200。</w:t>
            </w:r>
          </w:p>
        </w:tc>
      </w:tr>
      <w:tr w14:paraId="7728B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108" w:type="dxa"/>
            <w:bottom w:w="113" w:type="dxa"/>
            <w:right w:w="108" w:type="dxa"/>
          </w:tblCellMar>
        </w:tblPrEx>
        <w:trPr>
          <w:trHeight w:val="20" w:hRule="atLeast"/>
          <w:jc w:val="center"/>
        </w:trPr>
        <w:tc>
          <w:tcPr>
            <w:tcW w:w="559" w:type="pct"/>
            <w:tcMar>
              <w:top w:w="57" w:type="dxa"/>
              <w:bottom w:w="57" w:type="dxa"/>
            </w:tcMar>
            <w:vAlign w:val="center"/>
          </w:tcPr>
          <w:p w14:paraId="1B1A619A">
            <w:pPr>
              <w:pStyle w:val="74"/>
              <w:rPr>
                <w:color w:val="auto"/>
              </w:rPr>
            </w:pPr>
            <w:r>
              <w:rPr>
                <w:rFonts w:hint="eastAsia"/>
                <w:color w:val="auto"/>
              </w:rPr>
              <w:t>石膏</w:t>
            </w:r>
          </w:p>
          <w:p w14:paraId="5E1F0ED6">
            <w:pPr>
              <w:pStyle w:val="74"/>
              <w:rPr>
                <w:color w:val="auto"/>
              </w:rPr>
            </w:pPr>
            <w:r>
              <w:rPr>
                <w:rFonts w:hint="eastAsia"/>
                <w:color w:val="auto"/>
              </w:rPr>
              <w:t>板吊顶</w:t>
            </w:r>
          </w:p>
        </w:tc>
        <w:tc>
          <w:tcPr>
            <w:tcW w:w="4441" w:type="pct"/>
            <w:tcMar>
              <w:top w:w="57" w:type="dxa"/>
              <w:bottom w:w="57" w:type="dxa"/>
            </w:tcMar>
            <w:vAlign w:val="center"/>
          </w:tcPr>
          <w:p w14:paraId="688919EE">
            <w:pPr>
              <w:pStyle w:val="74"/>
              <w:rPr>
                <w:color w:val="auto"/>
              </w:rPr>
            </w:pPr>
            <w:r>
              <w:rPr>
                <w:rFonts w:hint="eastAsia"/>
                <w:color w:val="auto"/>
              </w:rPr>
              <w:t>（1）全面校正主、次龙骨的位置及其水平度，连接件应错开安装，明龙骨应目测无明显弯曲。</w:t>
            </w:r>
          </w:p>
          <w:p w14:paraId="6EB4B8C4">
            <w:pPr>
              <w:pStyle w:val="74"/>
              <w:rPr>
                <w:color w:val="auto"/>
              </w:rPr>
            </w:pPr>
            <w:r>
              <w:rPr>
                <w:rFonts w:hint="eastAsia"/>
                <w:color w:val="auto"/>
              </w:rPr>
              <w:t>通长次龙骨连接处的对接错位偏差不超过</w:t>
            </w:r>
            <w:r>
              <w:rPr>
                <w:color w:val="auto"/>
              </w:rPr>
              <w:t>2mm</w:t>
            </w:r>
            <w:r>
              <w:rPr>
                <w:rFonts w:hint="eastAsia"/>
                <w:color w:val="auto"/>
              </w:rPr>
              <w:t>，校正后应将龙骨的所有吊挂件、连接件拧紧。</w:t>
            </w:r>
          </w:p>
          <w:p w14:paraId="26213A54">
            <w:pPr>
              <w:pStyle w:val="74"/>
              <w:rPr>
                <w:color w:val="auto"/>
              </w:rPr>
            </w:pPr>
            <w:r>
              <w:rPr>
                <w:rFonts w:hint="eastAsia"/>
                <w:color w:val="auto"/>
              </w:rPr>
              <w:t>（2）板材应在自由状态下进行固定，罩面板的长边沿纵向次龙骨铺设。</w:t>
            </w:r>
          </w:p>
          <w:p w14:paraId="63C77D8F">
            <w:pPr>
              <w:pStyle w:val="74"/>
              <w:rPr>
                <w:color w:val="auto"/>
              </w:rPr>
            </w:pPr>
            <w:r>
              <w:rPr>
                <w:rFonts w:hint="eastAsia"/>
                <w:color w:val="auto"/>
              </w:rPr>
              <w:t>（3）罩面板与龙骨固定，应从一块板的中间向板的四边固定，不得多点同时作业。螺钉头宜钻进罩面板内</w:t>
            </w:r>
            <w:r>
              <w:rPr>
                <w:color w:val="auto"/>
              </w:rPr>
              <w:t>1</w:t>
            </w:r>
            <w:r>
              <w:rPr>
                <w:rFonts w:hint="eastAsia"/>
                <w:color w:val="auto"/>
              </w:rPr>
              <w:t>～</w:t>
            </w:r>
            <w:r>
              <w:rPr>
                <w:color w:val="auto"/>
              </w:rPr>
              <w:t>2mm</w:t>
            </w:r>
            <w:r>
              <w:rPr>
                <w:rFonts w:hint="eastAsia"/>
                <w:color w:val="auto"/>
              </w:rPr>
              <w:t>，并不使破损，钉帽应作防锈处理，用石膏腻子抹平。</w:t>
            </w:r>
          </w:p>
        </w:tc>
      </w:tr>
    </w:tbl>
    <w:p w14:paraId="70019C51">
      <w:pPr>
        <w:pStyle w:val="6"/>
        <w:ind w:firstLine="480"/>
        <w:rPr>
          <w:color w:val="auto"/>
        </w:rPr>
      </w:pPr>
      <w:r>
        <w:rPr>
          <w:rFonts w:hint="eastAsia"/>
          <w:color w:val="auto"/>
        </w:rPr>
        <w:t>安装工程质量标准</w:t>
      </w:r>
    </w:p>
    <w:p w14:paraId="08D6D27B">
      <w:pPr>
        <w:rPr>
          <w:color w:val="auto"/>
        </w:rPr>
      </w:pPr>
      <w:r>
        <w:rPr>
          <w:rFonts w:hint="eastAsia"/>
          <w:color w:val="auto"/>
        </w:rPr>
        <w:t>（1）通风空调工程质量标准</w:t>
      </w:r>
    </w:p>
    <w:p w14:paraId="34556052">
      <w:pPr>
        <w:pStyle w:val="54"/>
        <w:rPr>
          <w:color w:val="auto"/>
        </w:rPr>
      </w:pPr>
      <w:r>
        <w:rPr>
          <w:rFonts w:hint="eastAsia"/>
          <w:color w:val="auto"/>
        </w:rPr>
        <w:t>通风空调工程质量标准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707"/>
        <w:gridCol w:w="830"/>
        <w:gridCol w:w="524"/>
        <w:gridCol w:w="451"/>
        <w:gridCol w:w="1033"/>
        <w:gridCol w:w="295"/>
        <w:gridCol w:w="482"/>
        <w:gridCol w:w="756"/>
        <w:gridCol w:w="449"/>
        <w:gridCol w:w="339"/>
        <w:gridCol w:w="911"/>
        <w:gridCol w:w="1363"/>
      </w:tblGrid>
      <w:tr w14:paraId="12F1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08" w:type="pct"/>
            <w:vAlign w:val="center"/>
          </w:tcPr>
          <w:p w14:paraId="4A5D0700">
            <w:pPr>
              <w:pStyle w:val="74"/>
              <w:rPr>
                <w:color w:val="auto"/>
              </w:rPr>
            </w:pPr>
            <w:r>
              <w:rPr>
                <w:rFonts w:hint="eastAsia"/>
                <w:color w:val="auto"/>
              </w:rPr>
              <w:t>序号</w:t>
            </w:r>
          </w:p>
        </w:tc>
        <w:tc>
          <w:tcPr>
            <w:tcW w:w="390" w:type="pct"/>
            <w:vAlign w:val="center"/>
          </w:tcPr>
          <w:p w14:paraId="6DE26357">
            <w:pPr>
              <w:pStyle w:val="74"/>
              <w:rPr>
                <w:color w:val="auto"/>
              </w:rPr>
            </w:pPr>
            <w:r>
              <w:rPr>
                <w:rFonts w:hint="eastAsia"/>
                <w:color w:val="auto"/>
              </w:rPr>
              <w:t>工序</w:t>
            </w:r>
          </w:p>
        </w:tc>
        <w:tc>
          <w:tcPr>
            <w:tcW w:w="4103" w:type="pct"/>
            <w:gridSpan w:val="11"/>
            <w:vAlign w:val="center"/>
          </w:tcPr>
          <w:p w14:paraId="2109E05E">
            <w:pPr>
              <w:pStyle w:val="74"/>
              <w:rPr>
                <w:color w:val="auto"/>
              </w:rPr>
            </w:pPr>
            <w:r>
              <w:rPr>
                <w:rFonts w:hint="eastAsia"/>
                <w:color w:val="auto"/>
              </w:rPr>
              <w:t>质量保证措施</w:t>
            </w:r>
          </w:p>
        </w:tc>
      </w:tr>
      <w:tr w14:paraId="07BD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restart"/>
            <w:vAlign w:val="center"/>
          </w:tcPr>
          <w:p w14:paraId="49A5A77C">
            <w:pPr>
              <w:pStyle w:val="74"/>
              <w:rPr>
                <w:color w:val="auto"/>
              </w:rPr>
            </w:pPr>
            <w:r>
              <w:rPr>
                <w:rFonts w:hint="eastAsia"/>
                <w:color w:val="auto"/>
              </w:rPr>
              <w:t>1</w:t>
            </w:r>
          </w:p>
        </w:tc>
        <w:tc>
          <w:tcPr>
            <w:tcW w:w="390" w:type="pct"/>
            <w:vMerge w:val="restart"/>
            <w:vAlign w:val="center"/>
          </w:tcPr>
          <w:p w14:paraId="731723A0">
            <w:pPr>
              <w:pStyle w:val="74"/>
              <w:rPr>
                <w:color w:val="auto"/>
              </w:rPr>
            </w:pPr>
            <w:r>
              <w:rPr>
                <w:rFonts w:hint="eastAsia"/>
                <w:color w:val="auto"/>
              </w:rPr>
              <w:t>风管制作</w:t>
            </w:r>
          </w:p>
        </w:tc>
        <w:tc>
          <w:tcPr>
            <w:tcW w:w="458" w:type="pct"/>
            <w:vAlign w:val="center"/>
          </w:tcPr>
          <w:p w14:paraId="59BE9A53">
            <w:pPr>
              <w:pStyle w:val="74"/>
              <w:rPr>
                <w:color w:val="auto"/>
              </w:rPr>
            </w:pPr>
            <w:r>
              <w:rPr>
                <w:rFonts w:hint="eastAsia"/>
                <w:color w:val="auto"/>
              </w:rPr>
              <w:t>施工质量保证措施</w:t>
            </w:r>
          </w:p>
        </w:tc>
        <w:tc>
          <w:tcPr>
            <w:tcW w:w="3645" w:type="pct"/>
            <w:gridSpan w:val="10"/>
            <w:vAlign w:val="center"/>
          </w:tcPr>
          <w:p w14:paraId="00333CE5">
            <w:pPr>
              <w:pStyle w:val="74"/>
              <w:rPr>
                <w:color w:val="auto"/>
              </w:rPr>
            </w:pPr>
            <w:r>
              <w:rPr>
                <w:rFonts w:hint="eastAsia"/>
                <w:color w:val="auto"/>
              </w:rPr>
              <w:t>风管的规格、尺寸复合设计要求。</w:t>
            </w:r>
          </w:p>
          <w:p w14:paraId="48B3CF65">
            <w:pPr>
              <w:pStyle w:val="74"/>
              <w:rPr>
                <w:color w:val="auto"/>
              </w:rPr>
            </w:pPr>
            <w:r>
              <w:rPr>
                <w:rFonts w:hint="eastAsia"/>
                <w:color w:val="auto"/>
              </w:rPr>
              <w:t>风管咬缝紧密、宽度均匀，无孔洞半咬口和涨裂等缺陷。直管纵向咬缝要错开。</w:t>
            </w:r>
          </w:p>
          <w:p w14:paraId="352823FE">
            <w:pPr>
              <w:pStyle w:val="74"/>
              <w:rPr>
                <w:color w:val="auto"/>
              </w:rPr>
            </w:pPr>
            <w:r>
              <w:rPr>
                <w:rFonts w:hint="eastAsia"/>
                <w:color w:val="auto"/>
              </w:rPr>
              <w:t>风管折角平直圆弧均匀两端面平行，无翘角，表面凹凸不大于5mm；风管与法兰连接牢固，翻边平整，宽度不大于6mm，紧贴法兰。</w:t>
            </w:r>
          </w:p>
          <w:p w14:paraId="5FF9A861">
            <w:pPr>
              <w:pStyle w:val="74"/>
              <w:rPr>
                <w:color w:val="auto"/>
              </w:rPr>
            </w:pPr>
            <w:r>
              <w:rPr>
                <w:rFonts w:hint="eastAsia"/>
                <w:color w:val="auto"/>
              </w:rPr>
              <w:t>风管法兰孔距符合规范规定。法兰焊接牢固，焊缝处不设置螺孔，螺孔具备互换性。风管加固牢固可靠、整齐，间距适宜，均匀对称。</w:t>
            </w:r>
          </w:p>
        </w:tc>
      </w:tr>
      <w:tr w14:paraId="5109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0B17950B">
            <w:pPr>
              <w:pStyle w:val="74"/>
              <w:rPr>
                <w:color w:val="auto"/>
              </w:rPr>
            </w:pPr>
          </w:p>
        </w:tc>
        <w:tc>
          <w:tcPr>
            <w:tcW w:w="390" w:type="pct"/>
            <w:vMerge w:val="continue"/>
            <w:vAlign w:val="center"/>
          </w:tcPr>
          <w:p w14:paraId="22BD6CD6">
            <w:pPr>
              <w:pStyle w:val="74"/>
              <w:rPr>
                <w:color w:val="auto"/>
              </w:rPr>
            </w:pPr>
          </w:p>
        </w:tc>
        <w:tc>
          <w:tcPr>
            <w:tcW w:w="458" w:type="pct"/>
            <w:vAlign w:val="center"/>
          </w:tcPr>
          <w:p w14:paraId="58051D2A">
            <w:pPr>
              <w:pStyle w:val="74"/>
              <w:rPr>
                <w:color w:val="auto"/>
              </w:rPr>
            </w:pPr>
            <w:r>
              <w:rPr>
                <w:rFonts w:hint="eastAsia"/>
                <w:color w:val="auto"/>
              </w:rPr>
              <w:t>检验方法及标准</w:t>
            </w:r>
          </w:p>
        </w:tc>
        <w:tc>
          <w:tcPr>
            <w:tcW w:w="3645" w:type="pct"/>
            <w:gridSpan w:val="10"/>
            <w:vAlign w:val="center"/>
          </w:tcPr>
          <w:p w14:paraId="573CC2C7">
            <w:pPr>
              <w:pStyle w:val="74"/>
              <w:rPr>
                <w:color w:val="auto"/>
              </w:rPr>
            </w:pPr>
            <w:r>
              <w:rPr>
                <w:rFonts w:hint="eastAsia"/>
                <w:color w:val="auto"/>
              </w:rPr>
              <w:t>查验板材质量合格证明文件、性能检测报告，进行观察与点燃试验。采用直角尺检测、进行装配检验。查看风管端部是否在同一平面；利用直角尺与水平尺、水平仪检测。将风管连接成段，使风管面积不小于15㎡，进行漏风量试验，漏风量不大于3.14m³/h为合格。漏风量试验时，打压至风管工作压力的1.5倍，观测风管有无变形。无明显变形则强度符合标准。</w:t>
            </w:r>
          </w:p>
        </w:tc>
      </w:tr>
      <w:tr w14:paraId="0F908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restart"/>
            <w:vAlign w:val="center"/>
          </w:tcPr>
          <w:p w14:paraId="6692DD53">
            <w:pPr>
              <w:pStyle w:val="74"/>
              <w:rPr>
                <w:color w:val="auto"/>
              </w:rPr>
            </w:pPr>
            <w:r>
              <w:rPr>
                <w:rFonts w:hint="eastAsia"/>
                <w:color w:val="auto"/>
              </w:rPr>
              <w:t>2</w:t>
            </w:r>
          </w:p>
        </w:tc>
        <w:tc>
          <w:tcPr>
            <w:tcW w:w="390" w:type="pct"/>
            <w:vMerge w:val="restart"/>
            <w:vAlign w:val="center"/>
          </w:tcPr>
          <w:p w14:paraId="2B41A20E">
            <w:pPr>
              <w:pStyle w:val="74"/>
              <w:rPr>
                <w:color w:val="auto"/>
              </w:rPr>
            </w:pPr>
            <w:r>
              <w:rPr>
                <w:rFonts w:hint="eastAsia"/>
                <w:color w:val="auto"/>
              </w:rPr>
              <w:t>末端设备安装</w:t>
            </w:r>
          </w:p>
        </w:tc>
        <w:tc>
          <w:tcPr>
            <w:tcW w:w="458" w:type="pct"/>
            <w:vAlign w:val="center"/>
          </w:tcPr>
          <w:p w14:paraId="0FF2B1F4">
            <w:pPr>
              <w:pStyle w:val="74"/>
              <w:rPr>
                <w:color w:val="auto"/>
              </w:rPr>
            </w:pPr>
            <w:r>
              <w:rPr>
                <w:rFonts w:hint="eastAsia"/>
                <w:color w:val="auto"/>
              </w:rPr>
              <w:t>施工质量保证措施</w:t>
            </w:r>
          </w:p>
        </w:tc>
        <w:tc>
          <w:tcPr>
            <w:tcW w:w="3645" w:type="pct"/>
            <w:gridSpan w:val="10"/>
            <w:vAlign w:val="center"/>
          </w:tcPr>
          <w:p w14:paraId="6CA1A053">
            <w:pPr>
              <w:pStyle w:val="74"/>
              <w:rPr>
                <w:color w:val="auto"/>
              </w:rPr>
            </w:pPr>
            <w:r>
              <w:rPr>
                <w:rFonts w:hint="eastAsia"/>
                <w:color w:val="auto"/>
              </w:rPr>
              <w:t>搬运时应注意不要破坏箱体内保温层；进出口处在未连接管道时，采取封堵措施；动力型末端箱吊装应水平；在末端设备连接风管时，不要损坏测风量装置连接管。末端装置安装要设单独支吊架，连接前做动作试验。</w:t>
            </w:r>
          </w:p>
        </w:tc>
      </w:tr>
      <w:tr w14:paraId="49CD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360A9B4F">
            <w:pPr>
              <w:pStyle w:val="74"/>
              <w:rPr>
                <w:color w:val="auto"/>
              </w:rPr>
            </w:pPr>
          </w:p>
        </w:tc>
        <w:tc>
          <w:tcPr>
            <w:tcW w:w="390" w:type="pct"/>
            <w:vMerge w:val="continue"/>
            <w:vAlign w:val="center"/>
          </w:tcPr>
          <w:p w14:paraId="4FF4FA38">
            <w:pPr>
              <w:pStyle w:val="74"/>
              <w:rPr>
                <w:color w:val="auto"/>
              </w:rPr>
            </w:pPr>
          </w:p>
        </w:tc>
        <w:tc>
          <w:tcPr>
            <w:tcW w:w="458" w:type="pct"/>
            <w:vAlign w:val="center"/>
          </w:tcPr>
          <w:p w14:paraId="04300BFE">
            <w:pPr>
              <w:pStyle w:val="74"/>
              <w:rPr>
                <w:color w:val="auto"/>
              </w:rPr>
            </w:pPr>
            <w:r>
              <w:rPr>
                <w:rFonts w:hint="eastAsia"/>
                <w:color w:val="auto"/>
              </w:rPr>
              <w:t>检验方法及标准</w:t>
            </w:r>
          </w:p>
        </w:tc>
        <w:tc>
          <w:tcPr>
            <w:tcW w:w="3645" w:type="pct"/>
            <w:gridSpan w:val="10"/>
            <w:vAlign w:val="center"/>
          </w:tcPr>
          <w:p w14:paraId="4248B3FD">
            <w:pPr>
              <w:pStyle w:val="74"/>
              <w:rPr>
                <w:color w:val="auto"/>
              </w:rPr>
            </w:pPr>
            <w:r>
              <w:rPr>
                <w:rFonts w:hint="eastAsia"/>
                <w:color w:val="auto"/>
              </w:rPr>
              <w:t>末端设备进场及其在安装前应对末端装置箱体内保温层进行检查；吊装完用水平尺进行水平度检查；看测风量装置连接管是否松动。</w:t>
            </w:r>
          </w:p>
          <w:p w14:paraId="7A2DCAE5">
            <w:pPr>
              <w:pStyle w:val="74"/>
              <w:rPr>
                <w:color w:val="auto"/>
              </w:rPr>
            </w:pPr>
            <w:r>
              <w:rPr>
                <w:rFonts w:hint="eastAsia"/>
                <w:color w:val="auto"/>
              </w:rPr>
              <w:t>风机、动力型变风量末端装置安装前宜进行单机三速试运转及水压检漏试验。试验压力为系统工作压力的1.5倍，试验观察时间为2min，不渗漏为合格。</w:t>
            </w:r>
          </w:p>
        </w:tc>
      </w:tr>
      <w:tr w14:paraId="3DFB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08" w:type="pct"/>
            <w:vMerge w:val="restart"/>
            <w:vAlign w:val="center"/>
          </w:tcPr>
          <w:p w14:paraId="74455167">
            <w:pPr>
              <w:pStyle w:val="74"/>
              <w:rPr>
                <w:color w:val="auto"/>
              </w:rPr>
            </w:pPr>
            <w:r>
              <w:rPr>
                <w:rFonts w:hint="eastAsia"/>
                <w:color w:val="auto"/>
              </w:rPr>
              <w:t>3</w:t>
            </w:r>
          </w:p>
        </w:tc>
        <w:tc>
          <w:tcPr>
            <w:tcW w:w="390" w:type="pct"/>
            <w:vMerge w:val="restart"/>
            <w:vAlign w:val="center"/>
          </w:tcPr>
          <w:p w14:paraId="2250D1C2">
            <w:pPr>
              <w:pStyle w:val="74"/>
              <w:rPr>
                <w:color w:val="auto"/>
              </w:rPr>
            </w:pPr>
            <w:r>
              <w:rPr>
                <w:rFonts w:hint="eastAsia"/>
                <w:color w:val="auto"/>
              </w:rPr>
              <w:t>风口安装</w:t>
            </w:r>
          </w:p>
        </w:tc>
        <w:tc>
          <w:tcPr>
            <w:tcW w:w="458" w:type="pct"/>
            <w:vAlign w:val="center"/>
          </w:tcPr>
          <w:p w14:paraId="118BC457">
            <w:pPr>
              <w:pStyle w:val="74"/>
              <w:rPr>
                <w:color w:val="auto"/>
              </w:rPr>
            </w:pPr>
            <w:r>
              <w:rPr>
                <w:rFonts w:hint="eastAsia"/>
                <w:color w:val="auto"/>
              </w:rPr>
              <w:t>施工质量保证措施</w:t>
            </w:r>
          </w:p>
        </w:tc>
        <w:tc>
          <w:tcPr>
            <w:tcW w:w="3645" w:type="pct"/>
            <w:gridSpan w:val="10"/>
            <w:vAlign w:val="center"/>
          </w:tcPr>
          <w:p w14:paraId="39F7EE4F">
            <w:pPr>
              <w:pStyle w:val="74"/>
              <w:rPr>
                <w:color w:val="auto"/>
              </w:rPr>
            </w:pPr>
            <w:r>
              <w:rPr>
                <w:rFonts w:hint="eastAsia"/>
                <w:color w:val="auto"/>
              </w:rPr>
              <w:t>风口安装前首先应对其外形尺寸、调节阀的灵活性进行检查。</w:t>
            </w:r>
          </w:p>
          <w:p w14:paraId="777E2915">
            <w:pPr>
              <w:pStyle w:val="74"/>
              <w:rPr>
                <w:color w:val="auto"/>
              </w:rPr>
            </w:pPr>
            <w:r>
              <w:rPr>
                <w:rFonts w:hint="eastAsia"/>
                <w:color w:val="auto"/>
              </w:rPr>
              <w:t>风口与风管的连接应严密、牢固，与装饰面紧贴；表面平整、不变形，调节灵活、可靠。条形风口的接缝处应衔接自然，无明显缝隙。</w:t>
            </w:r>
          </w:p>
        </w:tc>
      </w:tr>
      <w:tr w14:paraId="2CE8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62A4C182">
            <w:pPr>
              <w:pStyle w:val="74"/>
              <w:rPr>
                <w:color w:val="auto"/>
              </w:rPr>
            </w:pPr>
          </w:p>
        </w:tc>
        <w:tc>
          <w:tcPr>
            <w:tcW w:w="390" w:type="pct"/>
            <w:vMerge w:val="continue"/>
            <w:vAlign w:val="center"/>
          </w:tcPr>
          <w:p w14:paraId="65A07330">
            <w:pPr>
              <w:pStyle w:val="74"/>
              <w:rPr>
                <w:color w:val="auto"/>
              </w:rPr>
            </w:pPr>
          </w:p>
        </w:tc>
        <w:tc>
          <w:tcPr>
            <w:tcW w:w="458" w:type="pct"/>
            <w:vMerge w:val="restart"/>
            <w:vAlign w:val="center"/>
          </w:tcPr>
          <w:p w14:paraId="576FE5E8">
            <w:pPr>
              <w:pStyle w:val="74"/>
              <w:rPr>
                <w:color w:val="auto"/>
              </w:rPr>
            </w:pPr>
            <w:r>
              <w:rPr>
                <w:rFonts w:hint="eastAsia"/>
                <w:color w:val="auto"/>
              </w:rPr>
              <w:t>检验方法及标准</w:t>
            </w:r>
          </w:p>
        </w:tc>
        <w:tc>
          <w:tcPr>
            <w:tcW w:w="3645" w:type="pct"/>
            <w:gridSpan w:val="10"/>
            <w:vAlign w:val="center"/>
          </w:tcPr>
          <w:p w14:paraId="7AD3DD94">
            <w:pPr>
              <w:pStyle w:val="74"/>
              <w:rPr>
                <w:color w:val="auto"/>
              </w:rPr>
            </w:pPr>
            <w:r>
              <w:rPr>
                <w:rFonts w:hint="eastAsia"/>
                <w:color w:val="auto"/>
              </w:rPr>
              <w:t>采用卷尺对风口尺寸及对角线进行测量，手动检查调节阀的灵活性。风口的验收，规格以颈部外径及外边长为准，测量其尺寸。</w:t>
            </w:r>
          </w:p>
        </w:tc>
      </w:tr>
      <w:tr w14:paraId="3FB8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6C42E42F">
            <w:pPr>
              <w:pStyle w:val="74"/>
              <w:rPr>
                <w:color w:val="auto"/>
              </w:rPr>
            </w:pPr>
          </w:p>
        </w:tc>
        <w:tc>
          <w:tcPr>
            <w:tcW w:w="390" w:type="pct"/>
            <w:vMerge w:val="continue"/>
            <w:vAlign w:val="center"/>
          </w:tcPr>
          <w:p w14:paraId="5D38D635">
            <w:pPr>
              <w:pStyle w:val="74"/>
              <w:rPr>
                <w:color w:val="auto"/>
              </w:rPr>
            </w:pPr>
          </w:p>
        </w:tc>
        <w:tc>
          <w:tcPr>
            <w:tcW w:w="458" w:type="pct"/>
            <w:vMerge w:val="continue"/>
            <w:vAlign w:val="center"/>
          </w:tcPr>
          <w:p w14:paraId="687EA843">
            <w:pPr>
              <w:pStyle w:val="74"/>
              <w:rPr>
                <w:color w:val="auto"/>
              </w:rPr>
            </w:pPr>
          </w:p>
        </w:tc>
        <w:tc>
          <w:tcPr>
            <w:tcW w:w="3645" w:type="pct"/>
            <w:gridSpan w:val="10"/>
            <w:vAlign w:val="center"/>
          </w:tcPr>
          <w:p w14:paraId="5E09F997">
            <w:pPr>
              <w:pStyle w:val="74"/>
              <w:rPr>
                <w:color w:val="auto"/>
              </w:rPr>
            </w:pPr>
            <w:r>
              <w:rPr>
                <w:rFonts w:hint="eastAsia"/>
                <w:color w:val="auto"/>
              </w:rPr>
              <w:t>圆形风口尺寸允许偏差（单位：mm）</w:t>
            </w:r>
          </w:p>
        </w:tc>
      </w:tr>
      <w:tr w14:paraId="16C8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368AFD6C">
            <w:pPr>
              <w:pStyle w:val="74"/>
              <w:rPr>
                <w:color w:val="auto"/>
              </w:rPr>
            </w:pPr>
          </w:p>
        </w:tc>
        <w:tc>
          <w:tcPr>
            <w:tcW w:w="390" w:type="pct"/>
            <w:vMerge w:val="continue"/>
            <w:vAlign w:val="center"/>
          </w:tcPr>
          <w:p w14:paraId="0D28DCCC">
            <w:pPr>
              <w:pStyle w:val="74"/>
              <w:rPr>
                <w:color w:val="auto"/>
              </w:rPr>
            </w:pPr>
          </w:p>
        </w:tc>
        <w:tc>
          <w:tcPr>
            <w:tcW w:w="458" w:type="pct"/>
            <w:vMerge w:val="continue"/>
            <w:vAlign w:val="center"/>
          </w:tcPr>
          <w:p w14:paraId="73AB394D">
            <w:pPr>
              <w:pStyle w:val="74"/>
              <w:rPr>
                <w:color w:val="auto"/>
              </w:rPr>
            </w:pPr>
          </w:p>
        </w:tc>
        <w:tc>
          <w:tcPr>
            <w:tcW w:w="1271" w:type="pct"/>
            <w:gridSpan w:val="4"/>
            <w:vAlign w:val="center"/>
          </w:tcPr>
          <w:p w14:paraId="0AC22BD9">
            <w:pPr>
              <w:pStyle w:val="74"/>
              <w:rPr>
                <w:color w:val="auto"/>
              </w:rPr>
            </w:pPr>
            <w:r>
              <w:rPr>
                <w:rFonts w:hint="eastAsia"/>
                <w:color w:val="auto"/>
              </w:rPr>
              <w:t>直径</w:t>
            </w:r>
          </w:p>
        </w:tc>
        <w:tc>
          <w:tcPr>
            <w:tcW w:w="1118" w:type="pct"/>
            <w:gridSpan w:val="4"/>
            <w:vAlign w:val="center"/>
          </w:tcPr>
          <w:p w14:paraId="5618D476">
            <w:pPr>
              <w:pStyle w:val="74"/>
              <w:rPr>
                <w:color w:val="auto"/>
              </w:rPr>
            </w:pPr>
            <w:r>
              <w:rPr>
                <w:rFonts w:hint="eastAsia"/>
                <w:color w:val="auto"/>
              </w:rPr>
              <w:t>≤250</w:t>
            </w:r>
          </w:p>
        </w:tc>
        <w:tc>
          <w:tcPr>
            <w:tcW w:w="1255" w:type="pct"/>
            <w:gridSpan w:val="2"/>
            <w:vAlign w:val="center"/>
          </w:tcPr>
          <w:p w14:paraId="119B884A">
            <w:pPr>
              <w:pStyle w:val="74"/>
              <w:rPr>
                <w:color w:val="auto"/>
              </w:rPr>
            </w:pPr>
            <w:r>
              <w:rPr>
                <w:rFonts w:hint="eastAsia"/>
                <w:color w:val="auto"/>
              </w:rPr>
              <w:t>＞250</w:t>
            </w:r>
          </w:p>
        </w:tc>
      </w:tr>
      <w:tr w14:paraId="6661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19A84071">
            <w:pPr>
              <w:pStyle w:val="74"/>
              <w:rPr>
                <w:color w:val="auto"/>
              </w:rPr>
            </w:pPr>
          </w:p>
        </w:tc>
        <w:tc>
          <w:tcPr>
            <w:tcW w:w="390" w:type="pct"/>
            <w:vMerge w:val="continue"/>
            <w:vAlign w:val="center"/>
          </w:tcPr>
          <w:p w14:paraId="66BCE72C">
            <w:pPr>
              <w:pStyle w:val="74"/>
              <w:rPr>
                <w:color w:val="auto"/>
              </w:rPr>
            </w:pPr>
          </w:p>
        </w:tc>
        <w:tc>
          <w:tcPr>
            <w:tcW w:w="458" w:type="pct"/>
            <w:vMerge w:val="continue"/>
            <w:vAlign w:val="center"/>
          </w:tcPr>
          <w:p w14:paraId="77FD5EB2">
            <w:pPr>
              <w:pStyle w:val="74"/>
              <w:rPr>
                <w:color w:val="auto"/>
              </w:rPr>
            </w:pPr>
          </w:p>
        </w:tc>
        <w:tc>
          <w:tcPr>
            <w:tcW w:w="1271" w:type="pct"/>
            <w:gridSpan w:val="4"/>
            <w:vAlign w:val="center"/>
          </w:tcPr>
          <w:p w14:paraId="4E26B917">
            <w:pPr>
              <w:pStyle w:val="74"/>
              <w:rPr>
                <w:color w:val="auto"/>
              </w:rPr>
            </w:pPr>
            <w:r>
              <w:rPr>
                <w:rFonts w:hint="eastAsia"/>
                <w:color w:val="auto"/>
              </w:rPr>
              <w:t>允许偏差</w:t>
            </w:r>
          </w:p>
        </w:tc>
        <w:tc>
          <w:tcPr>
            <w:tcW w:w="1118" w:type="pct"/>
            <w:gridSpan w:val="4"/>
            <w:vAlign w:val="center"/>
          </w:tcPr>
          <w:p w14:paraId="3E978CE2">
            <w:pPr>
              <w:pStyle w:val="74"/>
              <w:rPr>
                <w:color w:val="auto"/>
              </w:rPr>
            </w:pPr>
            <w:r>
              <w:rPr>
                <w:rFonts w:hint="eastAsia"/>
                <w:color w:val="auto"/>
              </w:rPr>
              <w:t>0～-2</w:t>
            </w:r>
          </w:p>
        </w:tc>
        <w:tc>
          <w:tcPr>
            <w:tcW w:w="1255" w:type="pct"/>
            <w:gridSpan w:val="2"/>
            <w:vAlign w:val="center"/>
          </w:tcPr>
          <w:p w14:paraId="570498A9">
            <w:pPr>
              <w:pStyle w:val="74"/>
              <w:rPr>
                <w:color w:val="auto"/>
              </w:rPr>
            </w:pPr>
            <w:r>
              <w:rPr>
                <w:rFonts w:hint="eastAsia"/>
                <w:color w:val="auto"/>
              </w:rPr>
              <w:t>0～-3</w:t>
            </w:r>
          </w:p>
        </w:tc>
      </w:tr>
      <w:tr w14:paraId="15C9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08" w:type="pct"/>
            <w:vMerge w:val="continue"/>
            <w:vAlign w:val="center"/>
          </w:tcPr>
          <w:p w14:paraId="42C8B135">
            <w:pPr>
              <w:pStyle w:val="74"/>
              <w:rPr>
                <w:color w:val="auto"/>
              </w:rPr>
            </w:pPr>
          </w:p>
        </w:tc>
        <w:tc>
          <w:tcPr>
            <w:tcW w:w="390" w:type="pct"/>
            <w:vMerge w:val="continue"/>
            <w:vAlign w:val="center"/>
          </w:tcPr>
          <w:p w14:paraId="28432415">
            <w:pPr>
              <w:pStyle w:val="74"/>
              <w:rPr>
                <w:color w:val="auto"/>
              </w:rPr>
            </w:pPr>
          </w:p>
        </w:tc>
        <w:tc>
          <w:tcPr>
            <w:tcW w:w="458" w:type="pct"/>
            <w:vMerge w:val="continue"/>
            <w:vAlign w:val="center"/>
          </w:tcPr>
          <w:p w14:paraId="32CC0DB3">
            <w:pPr>
              <w:pStyle w:val="74"/>
              <w:rPr>
                <w:color w:val="auto"/>
              </w:rPr>
            </w:pPr>
          </w:p>
        </w:tc>
        <w:tc>
          <w:tcPr>
            <w:tcW w:w="3645" w:type="pct"/>
            <w:gridSpan w:val="10"/>
            <w:vAlign w:val="center"/>
          </w:tcPr>
          <w:p w14:paraId="59365E39">
            <w:pPr>
              <w:pStyle w:val="74"/>
              <w:rPr>
                <w:color w:val="auto"/>
              </w:rPr>
            </w:pPr>
            <w:r>
              <w:rPr>
                <w:rFonts w:hint="eastAsia"/>
                <w:color w:val="auto"/>
              </w:rPr>
              <w:t>矩形风口尺寸允许偏差（单位：mm）</w:t>
            </w:r>
          </w:p>
        </w:tc>
      </w:tr>
      <w:tr w14:paraId="066CE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71533D54">
            <w:pPr>
              <w:pStyle w:val="74"/>
              <w:rPr>
                <w:color w:val="auto"/>
              </w:rPr>
            </w:pPr>
          </w:p>
        </w:tc>
        <w:tc>
          <w:tcPr>
            <w:tcW w:w="390" w:type="pct"/>
            <w:vMerge w:val="continue"/>
            <w:vAlign w:val="center"/>
          </w:tcPr>
          <w:p w14:paraId="2164B442">
            <w:pPr>
              <w:pStyle w:val="74"/>
              <w:rPr>
                <w:color w:val="auto"/>
              </w:rPr>
            </w:pPr>
          </w:p>
        </w:tc>
        <w:tc>
          <w:tcPr>
            <w:tcW w:w="458" w:type="pct"/>
            <w:vMerge w:val="continue"/>
            <w:vAlign w:val="center"/>
          </w:tcPr>
          <w:p w14:paraId="2F63FB74">
            <w:pPr>
              <w:pStyle w:val="74"/>
              <w:rPr>
                <w:color w:val="auto"/>
              </w:rPr>
            </w:pPr>
          </w:p>
        </w:tc>
        <w:tc>
          <w:tcPr>
            <w:tcW w:w="1108" w:type="pct"/>
            <w:gridSpan w:val="3"/>
            <w:vAlign w:val="center"/>
          </w:tcPr>
          <w:p w14:paraId="29B262D0">
            <w:pPr>
              <w:pStyle w:val="74"/>
              <w:rPr>
                <w:color w:val="auto"/>
              </w:rPr>
            </w:pPr>
            <w:r>
              <w:rPr>
                <w:rFonts w:hint="eastAsia"/>
                <w:color w:val="auto"/>
              </w:rPr>
              <w:t>边长</w:t>
            </w:r>
          </w:p>
        </w:tc>
        <w:tc>
          <w:tcPr>
            <w:tcW w:w="846" w:type="pct"/>
            <w:gridSpan w:val="3"/>
            <w:vAlign w:val="center"/>
          </w:tcPr>
          <w:p w14:paraId="3B859EF4">
            <w:pPr>
              <w:pStyle w:val="74"/>
              <w:rPr>
                <w:color w:val="auto"/>
              </w:rPr>
            </w:pPr>
            <w:r>
              <w:rPr>
                <w:rFonts w:hint="eastAsia"/>
                <w:color w:val="auto"/>
              </w:rPr>
              <w:t>＜300</w:t>
            </w:r>
          </w:p>
        </w:tc>
        <w:tc>
          <w:tcPr>
            <w:tcW w:w="938" w:type="pct"/>
            <w:gridSpan w:val="3"/>
            <w:vAlign w:val="center"/>
          </w:tcPr>
          <w:p w14:paraId="102FC4DE">
            <w:pPr>
              <w:pStyle w:val="74"/>
              <w:rPr>
                <w:color w:val="auto"/>
              </w:rPr>
            </w:pPr>
            <w:r>
              <w:rPr>
                <w:rFonts w:hint="eastAsia"/>
                <w:color w:val="auto"/>
              </w:rPr>
              <w:t>300～800</w:t>
            </w:r>
          </w:p>
        </w:tc>
        <w:tc>
          <w:tcPr>
            <w:tcW w:w="752" w:type="pct"/>
            <w:vAlign w:val="center"/>
          </w:tcPr>
          <w:p w14:paraId="13A04467">
            <w:pPr>
              <w:pStyle w:val="74"/>
              <w:rPr>
                <w:color w:val="auto"/>
              </w:rPr>
            </w:pPr>
            <w:r>
              <w:rPr>
                <w:rFonts w:hint="eastAsia"/>
                <w:color w:val="auto"/>
              </w:rPr>
              <w:t>＞800</w:t>
            </w:r>
          </w:p>
        </w:tc>
      </w:tr>
      <w:tr w14:paraId="5D15A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1C28D694">
            <w:pPr>
              <w:pStyle w:val="74"/>
              <w:rPr>
                <w:color w:val="auto"/>
              </w:rPr>
            </w:pPr>
          </w:p>
        </w:tc>
        <w:tc>
          <w:tcPr>
            <w:tcW w:w="390" w:type="pct"/>
            <w:vMerge w:val="continue"/>
            <w:vAlign w:val="center"/>
          </w:tcPr>
          <w:p w14:paraId="65BC99EB">
            <w:pPr>
              <w:pStyle w:val="74"/>
              <w:rPr>
                <w:color w:val="auto"/>
              </w:rPr>
            </w:pPr>
          </w:p>
        </w:tc>
        <w:tc>
          <w:tcPr>
            <w:tcW w:w="458" w:type="pct"/>
            <w:vMerge w:val="continue"/>
            <w:vAlign w:val="center"/>
          </w:tcPr>
          <w:p w14:paraId="0F69C861">
            <w:pPr>
              <w:pStyle w:val="74"/>
              <w:rPr>
                <w:color w:val="auto"/>
              </w:rPr>
            </w:pPr>
          </w:p>
        </w:tc>
        <w:tc>
          <w:tcPr>
            <w:tcW w:w="1108" w:type="pct"/>
            <w:gridSpan w:val="3"/>
            <w:vAlign w:val="center"/>
          </w:tcPr>
          <w:p w14:paraId="6838FC50">
            <w:pPr>
              <w:pStyle w:val="74"/>
              <w:rPr>
                <w:color w:val="auto"/>
              </w:rPr>
            </w:pPr>
            <w:r>
              <w:rPr>
                <w:rFonts w:hint="eastAsia"/>
                <w:color w:val="auto"/>
              </w:rPr>
              <w:t>允许偏差</w:t>
            </w:r>
          </w:p>
        </w:tc>
        <w:tc>
          <w:tcPr>
            <w:tcW w:w="846" w:type="pct"/>
            <w:gridSpan w:val="3"/>
            <w:vAlign w:val="center"/>
          </w:tcPr>
          <w:p w14:paraId="6D34896A">
            <w:pPr>
              <w:pStyle w:val="74"/>
              <w:rPr>
                <w:color w:val="auto"/>
              </w:rPr>
            </w:pPr>
            <w:r>
              <w:rPr>
                <w:rFonts w:hint="eastAsia"/>
                <w:color w:val="auto"/>
              </w:rPr>
              <w:t>0～-1</w:t>
            </w:r>
          </w:p>
        </w:tc>
        <w:tc>
          <w:tcPr>
            <w:tcW w:w="938" w:type="pct"/>
            <w:gridSpan w:val="3"/>
            <w:vAlign w:val="center"/>
          </w:tcPr>
          <w:p w14:paraId="1388871F">
            <w:pPr>
              <w:pStyle w:val="74"/>
              <w:rPr>
                <w:color w:val="auto"/>
              </w:rPr>
            </w:pPr>
            <w:r>
              <w:rPr>
                <w:rFonts w:hint="eastAsia"/>
                <w:color w:val="auto"/>
              </w:rPr>
              <w:t>0～-2</w:t>
            </w:r>
          </w:p>
        </w:tc>
        <w:tc>
          <w:tcPr>
            <w:tcW w:w="752" w:type="pct"/>
            <w:vAlign w:val="center"/>
          </w:tcPr>
          <w:p w14:paraId="77B45B0B">
            <w:pPr>
              <w:pStyle w:val="74"/>
              <w:rPr>
                <w:color w:val="auto"/>
              </w:rPr>
            </w:pPr>
            <w:r>
              <w:rPr>
                <w:rFonts w:hint="eastAsia"/>
                <w:color w:val="auto"/>
              </w:rPr>
              <w:t>0～-3</w:t>
            </w:r>
          </w:p>
        </w:tc>
      </w:tr>
      <w:tr w14:paraId="3ED0F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23346A1A">
            <w:pPr>
              <w:pStyle w:val="74"/>
              <w:rPr>
                <w:color w:val="auto"/>
              </w:rPr>
            </w:pPr>
          </w:p>
        </w:tc>
        <w:tc>
          <w:tcPr>
            <w:tcW w:w="390" w:type="pct"/>
            <w:vMerge w:val="continue"/>
            <w:vAlign w:val="center"/>
          </w:tcPr>
          <w:p w14:paraId="2CD73E83">
            <w:pPr>
              <w:pStyle w:val="74"/>
              <w:rPr>
                <w:color w:val="auto"/>
              </w:rPr>
            </w:pPr>
          </w:p>
        </w:tc>
        <w:tc>
          <w:tcPr>
            <w:tcW w:w="458" w:type="pct"/>
            <w:vMerge w:val="continue"/>
            <w:vAlign w:val="center"/>
          </w:tcPr>
          <w:p w14:paraId="588603FA">
            <w:pPr>
              <w:pStyle w:val="74"/>
              <w:rPr>
                <w:color w:val="auto"/>
              </w:rPr>
            </w:pPr>
          </w:p>
        </w:tc>
        <w:tc>
          <w:tcPr>
            <w:tcW w:w="1108" w:type="pct"/>
            <w:gridSpan w:val="3"/>
            <w:vAlign w:val="center"/>
          </w:tcPr>
          <w:p w14:paraId="2853663D">
            <w:pPr>
              <w:pStyle w:val="74"/>
              <w:rPr>
                <w:color w:val="auto"/>
              </w:rPr>
            </w:pPr>
            <w:r>
              <w:rPr>
                <w:rFonts w:hint="eastAsia"/>
                <w:color w:val="auto"/>
              </w:rPr>
              <w:t>对角线长度</w:t>
            </w:r>
          </w:p>
        </w:tc>
        <w:tc>
          <w:tcPr>
            <w:tcW w:w="846" w:type="pct"/>
            <w:gridSpan w:val="3"/>
            <w:vAlign w:val="center"/>
          </w:tcPr>
          <w:p w14:paraId="2285F287">
            <w:pPr>
              <w:pStyle w:val="74"/>
              <w:rPr>
                <w:color w:val="auto"/>
              </w:rPr>
            </w:pPr>
            <w:r>
              <w:rPr>
                <w:rFonts w:hint="eastAsia"/>
                <w:color w:val="auto"/>
              </w:rPr>
              <w:t>＜300</w:t>
            </w:r>
          </w:p>
        </w:tc>
        <w:tc>
          <w:tcPr>
            <w:tcW w:w="938" w:type="pct"/>
            <w:gridSpan w:val="3"/>
            <w:vAlign w:val="center"/>
          </w:tcPr>
          <w:p w14:paraId="07B5D9A5">
            <w:pPr>
              <w:pStyle w:val="74"/>
              <w:rPr>
                <w:color w:val="auto"/>
              </w:rPr>
            </w:pPr>
            <w:r>
              <w:rPr>
                <w:rFonts w:hint="eastAsia"/>
                <w:color w:val="auto"/>
              </w:rPr>
              <w:t>300～500</w:t>
            </w:r>
          </w:p>
        </w:tc>
        <w:tc>
          <w:tcPr>
            <w:tcW w:w="752" w:type="pct"/>
            <w:vAlign w:val="center"/>
          </w:tcPr>
          <w:p w14:paraId="666B560C">
            <w:pPr>
              <w:pStyle w:val="74"/>
              <w:rPr>
                <w:color w:val="auto"/>
              </w:rPr>
            </w:pPr>
            <w:r>
              <w:rPr>
                <w:rFonts w:hint="eastAsia"/>
                <w:color w:val="auto"/>
              </w:rPr>
              <w:t>＞500</w:t>
            </w:r>
          </w:p>
        </w:tc>
      </w:tr>
      <w:tr w14:paraId="2186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70FA113D">
            <w:pPr>
              <w:pStyle w:val="74"/>
              <w:rPr>
                <w:color w:val="auto"/>
              </w:rPr>
            </w:pPr>
          </w:p>
        </w:tc>
        <w:tc>
          <w:tcPr>
            <w:tcW w:w="390" w:type="pct"/>
            <w:vMerge w:val="continue"/>
            <w:vAlign w:val="center"/>
          </w:tcPr>
          <w:p w14:paraId="447434D1">
            <w:pPr>
              <w:pStyle w:val="74"/>
              <w:rPr>
                <w:color w:val="auto"/>
              </w:rPr>
            </w:pPr>
          </w:p>
        </w:tc>
        <w:tc>
          <w:tcPr>
            <w:tcW w:w="458" w:type="pct"/>
            <w:vMerge w:val="continue"/>
            <w:vAlign w:val="center"/>
          </w:tcPr>
          <w:p w14:paraId="391AFFE1">
            <w:pPr>
              <w:pStyle w:val="74"/>
              <w:rPr>
                <w:color w:val="auto"/>
              </w:rPr>
            </w:pPr>
          </w:p>
        </w:tc>
        <w:tc>
          <w:tcPr>
            <w:tcW w:w="1108" w:type="pct"/>
            <w:gridSpan w:val="3"/>
            <w:vAlign w:val="center"/>
          </w:tcPr>
          <w:p w14:paraId="5BD73F4A">
            <w:pPr>
              <w:pStyle w:val="74"/>
              <w:rPr>
                <w:color w:val="auto"/>
              </w:rPr>
            </w:pPr>
            <w:r>
              <w:rPr>
                <w:rFonts w:hint="eastAsia"/>
                <w:color w:val="auto"/>
              </w:rPr>
              <w:t>对角线长度之差</w:t>
            </w:r>
          </w:p>
        </w:tc>
        <w:tc>
          <w:tcPr>
            <w:tcW w:w="846" w:type="pct"/>
            <w:gridSpan w:val="3"/>
            <w:vAlign w:val="center"/>
          </w:tcPr>
          <w:p w14:paraId="6BA3F0F1">
            <w:pPr>
              <w:pStyle w:val="74"/>
              <w:rPr>
                <w:color w:val="auto"/>
              </w:rPr>
            </w:pPr>
            <w:r>
              <w:rPr>
                <w:rFonts w:hint="eastAsia"/>
                <w:color w:val="auto"/>
              </w:rPr>
              <w:t>≤1</w:t>
            </w:r>
          </w:p>
        </w:tc>
        <w:tc>
          <w:tcPr>
            <w:tcW w:w="938" w:type="pct"/>
            <w:gridSpan w:val="3"/>
            <w:vAlign w:val="center"/>
          </w:tcPr>
          <w:p w14:paraId="0B5F3F72">
            <w:pPr>
              <w:pStyle w:val="74"/>
              <w:rPr>
                <w:color w:val="auto"/>
              </w:rPr>
            </w:pPr>
            <w:r>
              <w:rPr>
                <w:rFonts w:hint="eastAsia"/>
                <w:color w:val="auto"/>
              </w:rPr>
              <w:t>≤2</w:t>
            </w:r>
          </w:p>
        </w:tc>
        <w:tc>
          <w:tcPr>
            <w:tcW w:w="752" w:type="pct"/>
            <w:vAlign w:val="center"/>
          </w:tcPr>
          <w:p w14:paraId="6011AF7C">
            <w:pPr>
              <w:pStyle w:val="74"/>
              <w:rPr>
                <w:color w:val="auto"/>
              </w:rPr>
            </w:pPr>
            <w:r>
              <w:rPr>
                <w:rFonts w:hint="eastAsia"/>
                <w:color w:val="auto"/>
              </w:rPr>
              <w:t>≤3</w:t>
            </w:r>
          </w:p>
        </w:tc>
      </w:tr>
      <w:tr w14:paraId="7A8E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2FEBB1A5">
            <w:pPr>
              <w:pStyle w:val="74"/>
              <w:rPr>
                <w:color w:val="auto"/>
              </w:rPr>
            </w:pPr>
          </w:p>
        </w:tc>
        <w:tc>
          <w:tcPr>
            <w:tcW w:w="390" w:type="pct"/>
            <w:vMerge w:val="continue"/>
            <w:vAlign w:val="center"/>
          </w:tcPr>
          <w:p w14:paraId="000AC0CA">
            <w:pPr>
              <w:pStyle w:val="74"/>
              <w:rPr>
                <w:color w:val="auto"/>
              </w:rPr>
            </w:pPr>
          </w:p>
        </w:tc>
        <w:tc>
          <w:tcPr>
            <w:tcW w:w="458" w:type="pct"/>
            <w:vMerge w:val="continue"/>
            <w:vAlign w:val="center"/>
          </w:tcPr>
          <w:p w14:paraId="3792C18D">
            <w:pPr>
              <w:pStyle w:val="74"/>
              <w:rPr>
                <w:color w:val="auto"/>
              </w:rPr>
            </w:pPr>
          </w:p>
        </w:tc>
        <w:tc>
          <w:tcPr>
            <w:tcW w:w="3645" w:type="pct"/>
            <w:gridSpan w:val="10"/>
            <w:vAlign w:val="center"/>
          </w:tcPr>
          <w:p w14:paraId="14181299">
            <w:pPr>
              <w:pStyle w:val="74"/>
              <w:rPr>
                <w:color w:val="auto"/>
              </w:rPr>
            </w:pPr>
            <w:r>
              <w:rPr>
                <w:rFonts w:hint="eastAsia"/>
                <w:color w:val="auto"/>
              </w:rPr>
              <w:t>无吊顶处的风口，安装位置和标高偏差不大于10mm。风口水平安装，水平度的偏差不大于3/1000。风口垂直安装，垂直度的偏差不大于2/1000。</w:t>
            </w:r>
          </w:p>
        </w:tc>
      </w:tr>
      <w:tr w14:paraId="2DE11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restart"/>
            <w:vAlign w:val="center"/>
          </w:tcPr>
          <w:p w14:paraId="3A6A37E2">
            <w:pPr>
              <w:pStyle w:val="74"/>
              <w:rPr>
                <w:color w:val="auto"/>
              </w:rPr>
            </w:pPr>
            <w:r>
              <w:rPr>
                <w:rFonts w:hint="eastAsia"/>
                <w:color w:val="auto"/>
              </w:rPr>
              <w:t>4</w:t>
            </w:r>
          </w:p>
        </w:tc>
        <w:tc>
          <w:tcPr>
            <w:tcW w:w="390" w:type="pct"/>
            <w:vMerge w:val="restart"/>
            <w:vAlign w:val="center"/>
          </w:tcPr>
          <w:p w14:paraId="17EE9D5D">
            <w:pPr>
              <w:pStyle w:val="74"/>
              <w:rPr>
                <w:color w:val="auto"/>
              </w:rPr>
            </w:pPr>
            <w:r>
              <w:rPr>
                <w:rFonts w:hint="eastAsia"/>
                <w:color w:val="auto"/>
              </w:rPr>
              <w:t>减振器安装</w:t>
            </w:r>
          </w:p>
        </w:tc>
        <w:tc>
          <w:tcPr>
            <w:tcW w:w="458" w:type="pct"/>
            <w:vAlign w:val="center"/>
          </w:tcPr>
          <w:p w14:paraId="3817BE78">
            <w:pPr>
              <w:pStyle w:val="74"/>
              <w:rPr>
                <w:color w:val="auto"/>
              </w:rPr>
            </w:pPr>
            <w:r>
              <w:rPr>
                <w:rFonts w:hint="eastAsia"/>
                <w:color w:val="auto"/>
              </w:rPr>
              <w:t>施工质量保证措施</w:t>
            </w:r>
          </w:p>
        </w:tc>
        <w:tc>
          <w:tcPr>
            <w:tcW w:w="3645" w:type="pct"/>
            <w:gridSpan w:val="10"/>
            <w:vAlign w:val="center"/>
          </w:tcPr>
          <w:p w14:paraId="01F2D897">
            <w:pPr>
              <w:pStyle w:val="74"/>
              <w:rPr>
                <w:color w:val="auto"/>
              </w:rPr>
            </w:pPr>
            <w:r>
              <w:rPr>
                <w:rFonts w:hint="eastAsia"/>
                <w:color w:val="auto"/>
              </w:rPr>
              <w:t>按照设备的参数做好减振器、弹簧吊架、减振垫、软接头、消声器等选型。</w:t>
            </w:r>
          </w:p>
          <w:p w14:paraId="5C6BC7E9">
            <w:pPr>
              <w:pStyle w:val="74"/>
              <w:rPr>
                <w:color w:val="auto"/>
              </w:rPr>
            </w:pPr>
            <w:r>
              <w:rPr>
                <w:rFonts w:hint="eastAsia"/>
                <w:color w:val="auto"/>
              </w:rPr>
              <w:t>按照减振器说明书的要求完成现场安装工作，做好成品保护工作。</w:t>
            </w:r>
          </w:p>
        </w:tc>
      </w:tr>
      <w:tr w14:paraId="41A2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2E836C11">
            <w:pPr>
              <w:pStyle w:val="74"/>
              <w:rPr>
                <w:color w:val="auto"/>
              </w:rPr>
            </w:pPr>
          </w:p>
        </w:tc>
        <w:tc>
          <w:tcPr>
            <w:tcW w:w="390" w:type="pct"/>
            <w:vMerge w:val="continue"/>
            <w:vAlign w:val="center"/>
          </w:tcPr>
          <w:p w14:paraId="02D59D99">
            <w:pPr>
              <w:pStyle w:val="74"/>
              <w:rPr>
                <w:color w:val="auto"/>
              </w:rPr>
            </w:pPr>
          </w:p>
        </w:tc>
        <w:tc>
          <w:tcPr>
            <w:tcW w:w="458" w:type="pct"/>
            <w:vAlign w:val="center"/>
          </w:tcPr>
          <w:p w14:paraId="580BACC1">
            <w:pPr>
              <w:pStyle w:val="74"/>
              <w:rPr>
                <w:color w:val="auto"/>
              </w:rPr>
            </w:pPr>
            <w:r>
              <w:rPr>
                <w:rFonts w:hint="eastAsia"/>
                <w:color w:val="auto"/>
              </w:rPr>
              <w:t>检验方法及标准</w:t>
            </w:r>
          </w:p>
        </w:tc>
        <w:tc>
          <w:tcPr>
            <w:tcW w:w="3645" w:type="pct"/>
            <w:gridSpan w:val="10"/>
            <w:vAlign w:val="center"/>
          </w:tcPr>
          <w:p w14:paraId="52EF4E78">
            <w:pPr>
              <w:pStyle w:val="74"/>
              <w:rPr>
                <w:color w:val="auto"/>
              </w:rPr>
            </w:pPr>
            <w:r>
              <w:rPr>
                <w:rFonts w:hint="eastAsia"/>
                <w:color w:val="auto"/>
              </w:rPr>
              <w:t>检测自由状态和承重状态下弹簧的变形，变形量不应超过产品技术参数要求，用钢尺检测。</w:t>
            </w:r>
          </w:p>
        </w:tc>
      </w:tr>
      <w:tr w14:paraId="7BB6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restart"/>
            <w:vAlign w:val="center"/>
          </w:tcPr>
          <w:p w14:paraId="03CE057E">
            <w:pPr>
              <w:pStyle w:val="74"/>
              <w:rPr>
                <w:color w:val="auto"/>
              </w:rPr>
            </w:pPr>
            <w:r>
              <w:rPr>
                <w:rFonts w:hint="eastAsia"/>
                <w:color w:val="auto"/>
              </w:rPr>
              <w:t>5</w:t>
            </w:r>
          </w:p>
        </w:tc>
        <w:tc>
          <w:tcPr>
            <w:tcW w:w="390" w:type="pct"/>
            <w:vMerge w:val="restart"/>
            <w:vAlign w:val="center"/>
          </w:tcPr>
          <w:p w14:paraId="11B573AA">
            <w:pPr>
              <w:pStyle w:val="74"/>
              <w:rPr>
                <w:color w:val="auto"/>
              </w:rPr>
            </w:pPr>
            <w:r>
              <w:rPr>
                <w:rFonts w:hint="eastAsia"/>
                <w:color w:val="auto"/>
              </w:rPr>
              <w:t>设备安装</w:t>
            </w:r>
          </w:p>
        </w:tc>
        <w:tc>
          <w:tcPr>
            <w:tcW w:w="458" w:type="pct"/>
            <w:vAlign w:val="center"/>
          </w:tcPr>
          <w:p w14:paraId="7922FFC5">
            <w:pPr>
              <w:pStyle w:val="74"/>
              <w:rPr>
                <w:color w:val="auto"/>
              </w:rPr>
            </w:pPr>
            <w:r>
              <w:rPr>
                <w:rFonts w:hint="eastAsia"/>
                <w:color w:val="auto"/>
              </w:rPr>
              <w:t>施工质量保证措施</w:t>
            </w:r>
          </w:p>
        </w:tc>
        <w:tc>
          <w:tcPr>
            <w:tcW w:w="3645" w:type="pct"/>
            <w:gridSpan w:val="10"/>
            <w:vAlign w:val="center"/>
          </w:tcPr>
          <w:p w14:paraId="4EBB1F8D">
            <w:pPr>
              <w:pStyle w:val="74"/>
              <w:rPr>
                <w:color w:val="auto"/>
              </w:rPr>
            </w:pPr>
            <w:r>
              <w:rPr>
                <w:rFonts w:hint="eastAsia"/>
                <w:color w:val="auto"/>
              </w:rPr>
              <w:t>风机型号、规格、方向和技术符合设计的要求，安装时生产厂家提供技术支持，安装完后做好成品保护。</w:t>
            </w:r>
          </w:p>
        </w:tc>
      </w:tr>
      <w:tr w14:paraId="7B33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1C072000">
            <w:pPr>
              <w:pStyle w:val="74"/>
              <w:rPr>
                <w:color w:val="auto"/>
              </w:rPr>
            </w:pPr>
          </w:p>
        </w:tc>
        <w:tc>
          <w:tcPr>
            <w:tcW w:w="390" w:type="pct"/>
            <w:vMerge w:val="continue"/>
            <w:vAlign w:val="center"/>
          </w:tcPr>
          <w:p w14:paraId="586366A8">
            <w:pPr>
              <w:pStyle w:val="74"/>
              <w:rPr>
                <w:color w:val="auto"/>
              </w:rPr>
            </w:pPr>
          </w:p>
        </w:tc>
        <w:tc>
          <w:tcPr>
            <w:tcW w:w="458" w:type="pct"/>
            <w:vMerge w:val="restart"/>
            <w:vAlign w:val="center"/>
          </w:tcPr>
          <w:p w14:paraId="78661FE2">
            <w:pPr>
              <w:pStyle w:val="74"/>
              <w:rPr>
                <w:color w:val="auto"/>
              </w:rPr>
            </w:pPr>
            <w:r>
              <w:rPr>
                <w:rFonts w:hint="eastAsia"/>
                <w:color w:val="auto"/>
              </w:rPr>
              <w:t>检验方法及标准</w:t>
            </w:r>
          </w:p>
        </w:tc>
        <w:tc>
          <w:tcPr>
            <w:tcW w:w="3645" w:type="pct"/>
            <w:gridSpan w:val="10"/>
            <w:vAlign w:val="center"/>
          </w:tcPr>
          <w:p w14:paraId="00E20DAD">
            <w:pPr>
              <w:pStyle w:val="74"/>
              <w:rPr>
                <w:color w:val="auto"/>
              </w:rPr>
            </w:pPr>
            <w:r>
              <w:rPr>
                <w:rFonts w:hint="eastAsia"/>
                <w:color w:val="auto"/>
              </w:rPr>
              <w:t>风机各段组装完应密封良好。风机的允许偏差如下：</w:t>
            </w:r>
          </w:p>
        </w:tc>
      </w:tr>
      <w:tr w14:paraId="4DBAC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508" w:type="pct"/>
            <w:vMerge w:val="continue"/>
            <w:vAlign w:val="center"/>
          </w:tcPr>
          <w:p w14:paraId="7D1BC9A1">
            <w:pPr>
              <w:pStyle w:val="74"/>
              <w:rPr>
                <w:color w:val="auto"/>
              </w:rPr>
            </w:pPr>
          </w:p>
        </w:tc>
        <w:tc>
          <w:tcPr>
            <w:tcW w:w="390" w:type="pct"/>
            <w:vMerge w:val="continue"/>
            <w:vAlign w:val="center"/>
          </w:tcPr>
          <w:p w14:paraId="2E13326E">
            <w:pPr>
              <w:pStyle w:val="74"/>
              <w:rPr>
                <w:color w:val="auto"/>
              </w:rPr>
            </w:pPr>
          </w:p>
        </w:tc>
        <w:tc>
          <w:tcPr>
            <w:tcW w:w="458" w:type="pct"/>
            <w:vMerge w:val="continue"/>
            <w:vAlign w:val="center"/>
          </w:tcPr>
          <w:p w14:paraId="31827310">
            <w:pPr>
              <w:pStyle w:val="74"/>
              <w:rPr>
                <w:color w:val="auto"/>
              </w:rPr>
            </w:pPr>
          </w:p>
        </w:tc>
        <w:tc>
          <w:tcPr>
            <w:tcW w:w="289" w:type="pct"/>
            <w:vAlign w:val="center"/>
          </w:tcPr>
          <w:p w14:paraId="74850321">
            <w:pPr>
              <w:pStyle w:val="74"/>
              <w:rPr>
                <w:color w:val="auto"/>
              </w:rPr>
            </w:pPr>
            <w:r>
              <w:rPr>
                <w:rFonts w:hint="eastAsia"/>
                <w:color w:val="auto"/>
              </w:rPr>
              <w:t>序号</w:t>
            </w:r>
          </w:p>
        </w:tc>
        <w:tc>
          <w:tcPr>
            <w:tcW w:w="1248" w:type="pct"/>
            <w:gridSpan w:val="4"/>
            <w:vAlign w:val="center"/>
          </w:tcPr>
          <w:p w14:paraId="2DD5EC6B">
            <w:pPr>
              <w:pStyle w:val="74"/>
              <w:rPr>
                <w:color w:val="auto"/>
              </w:rPr>
            </w:pPr>
            <w:r>
              <w:rPr>
                <w:rFonts w:hint="eastAsia"/>
                <w:color w:val="auto"/>
              </w:rPr>
              <w:t>项目</w:t>
            </w:r>
          </w:p>
        </w:tc>
        <w:tc>
          <w:tcPr>
            <w:tcW w:w="665" w:type="pct"/>
            <w:gridSpan w:val="2"/>
            <w:vAlign w:val="center"/>
          </w:tcPr>
          <w:p w14:paraId="02DBA036">
            <w:pPr>
              <w:pStyle w:val="74"/>
              <w:rPr>
                <w:color w:val="auto"/>
              </w:rPr>
            </w:pPr>
            <w:r>
              <w:rPr>
                <w:rFonts w:hint="eastAsia"/>
                <w:color w:val="auto"/>
              </w:rPr>
              <w:t>允许偏差</w:t>
            </w:r>
          </w:p>
        </w:tc>
        <w:tc>
          <w:tcPr>
            <w:tcW w:w="1442" w:type="pct"/>
            <w:gridSpan w:val="3"/>
            <w:vAlign w:val="center"/>
          </w:tcPr>
          <w:p w14:paraId="3E9DFB34">
            <w:pPr>
              <w:pStyle w:val="74"/>
              <w:rPr>
                <w:color w:val="auto"/>
              </w:rPr>
            </w:pPr>
            <w:r>
              <w:rPr>
                <w:rFonts w:hint="eastAsia"/>
                <w:color w:val="auto"/>
              </w:rPr>
              <w:t>检验方法</w:t>
            </w:r>
          </w:p>
        </w:tc>
      </w:tr>
      <w:tr w14:paraId="5883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126DE037">
            <w:pPr>
              <w:pStyle w:val="74"/>
              <w:rPr>
                <w:color w:val="auto"/>
              </w:rPr>
            </w:pPr>
          </w:p>
        </w:tc>
        <w:tc>
          <w:tcPr>
            <w:tcW w:w="390" w:type="pct"/>
            <w:vMerge w:val="continue"/>
            <w:vAlign w:val="center"/>
          </w:tcPr>
          <w:p w14:paraId="1C3F66F7">
            <w:pPr>
              <w:pStyle w:val="74"/>
              <w:rPr>
                <w:color w:val="auto"/>
              </w:rPr>
            </w:pPr>
          </w:p>
        </w:tc>
        <w:tc>
          <w:tcPr>
            <w:tcW w:w="458" w:type="pct"/>
            <w:vMerge w:val="continue"/>
            <w:vAlign w:val="center"/>
          </w:tcPr>
          <w:p w14:paraId="475DC20F">
            <w:pPr>
              <w:pStyle w:val="74"/>
              <w:rPr>
                <w:color w:val="auto"/>
              </w:rPr>
            </w:pPr>
          </w:p>
        </w:tc>
        <w:tc>
          <w:tcPr>
            <w:tcW w:w="289" w:type="pct"/>
            <w:vAlign w:val="center"/>
          </w:tcPr>
          <w:p w14:paraId="72EA995B">
            <w:pPr>
              <w:pStyle w:val="74"/>
              <w:rPr>
                <w:color w:val="auto"/>
              </w:rPr>
            </w:pPr>
            <w:r>
              <w:rPr>
                <w:rFonts w:hint="eastAsia"/>
                <w:color w:val="auto"/>
              </w:rPr>
              <w:t>1</w:t>
            </w:r>
          </w:p>
        </w:tc>
        <w:tc>
          <w:tcPr>
            <w:tcW w:w="1248" w:type="pct"/>
            <w:gridSpan w:val="4"/>
            <w:vAlign w:val="center"/>
          </w:tcPr>
          <w:p w14:paraId="2D0A2515">
            <w:pPr>
              <w:pStyle w:val="74"/>
              <w:rPr>
                <w:color w:val="auto"/>
              </w:rPr>
            </w:pPr>
            <w:r>
              <w:rPr>
                <w:rFonts w:hint="eastAsia"/>
                <w:color w:val="auto"/>
              </w:rPr>
              <w:t>中心线平面位移</w:t>
            </w:r>
          </w:p>
        </w:tc>
        <w:tc>
          <w:tcPr>
            <w:tcW w:w="665" w:type="pct"/>
            <w:gridSpan w:val="2"/>
            <w:vAlign w:val="center"/>
          </w:tcPr>
          <w:p w14:paraId="793D5531">
            <w:pPr>
              <w:pStyle w:val="74"/>
              <w:rPr>
                <w:color w:val="auto"/>
              </w:rPr>
            </w:pPr>
            <w:r>
              <w:rPr>
                <w:rFonts w:hint="eastAsia"/>
                <w:color w:val="auto"/>
              </w:rPr>
              <w:t>10mm</w:t>
            </w:r>
          </w:p>
        </w:tc>
        <w:tc>
          <w:tcPr>
            <w:tcW w:w="1442" w:type="pct"/>
            <w:gridSpan w:val="3"/>
            <w:vAlign w:val="center"/>
          </w:tcPr>
          <w:p w14:paraId="40FA2C57">
            <w:pPr>
              <w:pStyle w:val="74"/>
              <w:rPr>
                <w:color w:val="auto"/>
              </w:rPr>
            </w:pPr>
            <w:r>
              <w:rPr>
                <w:rFonts w:hint="eastAsia"/>
                <w:color w:val="auto"/>
              </w:rPr>
              <w:t>拉线和尺量检查</w:t>
            </w:r>
          </w:p>
        </w:tc>
      </w:tr>
      <w:tr w14:paraId="6B8F9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56A9E3E1">
            <w:pPr>
              <w:pStyle w:val="74"/>
              <w:rPr>
                <w:color w:val="auto"/>
              </w:rPr>
            </w:pPr>
          </w:p>
        </w:tc>
        <w:tc>
          <w:tcPr>
            <w:tcW w:w="390" w:type="pct"/>
            <w:vMerge w:val="continue"/>
            <w:vAlign w:val="center"/>
          </w:tcPr>
          <w:p w14:paraId="4E980222">
            <w:pPr>
              <w:pStyle w:val="74"/>
              <w:rPr>
                <w:color w:val="auto"/>
              </w:rPr>
            </w:pPr>
          </w:p>
        </w:tc>
        <w:tc>
          <w:tcPr>
            <w:tcW w:w="458" w:type="pct"/>
            <w:vMerge w:val="continue"/>
            <w:vAlign w:val="center"/>
          </w:tcPr>
          <w:p w14:paraId="3896B28F">
            <w:pPr>
              <w:pStyle w:val="74"/>
              <w:rPr>
                <w:color w:val="auto"/>
              </w:rPr>
            </w:pPr>
          </w:p>
        </w:tc>
        <w:tc>
          <w:tcPr>
            <w:tcW w:w="289" w:type="pct"/>
            <w:vAlign w:val="center"/>
          </w:tcPr>
          <w:p w14:paraId="084CFA7C">
            <w:pPr>
              <w:pStyle w:val="74"/>
              <w:rPr>
                <w:color w:val="auto"/>
              </w:rPr>
            </w:pPr>
            <w:r>
              <w:rPr>
                <w:rFonts w:hint="eastAsia"/>
                <w:color w:val="auto"/>
              </w:rPr>
              <w:t>2</w:t>
            </w:r>
          </w:p>
        </w:tc>
        <w:tc>
          <w:tcPr>
            <w:tcW w:w="1248" w:type="pct"/>
            <w:gridSpan w:val="4"/>
            <w:vAlign w:val="center"/>
          </w:tcPr>
          <w:p w14:paraId="0C32150E">
            <w:pPr>
              <w:pStyle w:val="74"/>
              <w:rPr>
                <w:color w:val="auto"/>
              </w:rPr>
            </w:pPr>
            <w:r>
              <w:rPr>
                <w:rFonts w:hint="eastAsia"/>
                <w:color w:val="auto"/>
              </w:rPr>
              <w:t>标高</w:t>
            </w:r>
          </w:p>
        </w:tc>
        <w:tc>
          <w:tcPr>
            <w:tcW w:w="665" w:type="pct"/>
            <w:gridSpan w:val="2"/>
            <w:vAlign w:val="center"/>
          </w:tcPr>
          <w:p w14:paraId="785E81CA">
            <w:pPr>
              <w:pStyle w:val="74"/>
              <w:rPr>
                <w:color w:val="auto"/>
              </w:rPr>
            </w:pPr>
            <w:r>
              <w:rPr>
                <w:rFonts w:hint="eastAsia"/>
                <w:color w:val="auto"/>
              </w:rPr>
              <w:t>±10mm</w:t>
            </w:r>
          </w:p>
        </w:tc>
        <w:tc>
          <w:tcPr>
            <w:tcW w:w="1442" w:type="pct"/>
            <w:gridSpan w:val="3"/>
            <w:vAlign w:val="center"/>
          </w:tcPr>
          <w:p w14:paraId="5CA61C11">
            <w:pPr>
              <w:pStyle w:val="74"/>
              <w:rPr>
                <w:color w:val="auto"/>
              </w:rPr>
            </w:pPr>
            <w:r>
              <w:rPr>
                <w:rFonts w:hint="eastAsia"/>
                <w:color w:val="auto"/>
              </w:rPr>
              <w:t>水准仪、拉线和尺量检查</w:t>
            </w:r>
          </w:p>
        </w:tc>
      </w:tr>
      <w:tr w14:paraId="14B90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7DCA7628">
            <w:pPr>
              <w:pStyle w:val="74"/>
              <w:rPr>
                <w:color w:val="auto"/>
              </w:rPr>
            </w:pPr>
          </w:p>
        </w:tc>
        <w:tc>
          <w:tcPr>
            <w:tcW w:w="390" w:type="pct"/>
            <w:vMerge w:val="continue"/>
            <w:vAlign w:val="center"/>
          </w:tcPr>
          <w:p w14:paraId="5B23D70A">
            <w:pPr>
              <w:pStyle w:val="74"/>
              <w:rPr>
                <w:color w:val="auto"/>
              </w:rPr>
            </w:pPr>
          </w:p>
        </w:tc>
        <w:tc>
          <w:tcPr>
            <w:tcW w:w="458" w:type="pct"/>
            <w:vMerge w:val="continue"/>
            <w:vAlign w:val="center"/>
          </w:tcPr>
          <w:p w14:paraId="08FD73E0">
            <w:pPr>
              <w:pStyle w:val="74"/>
              <w:rPr>
                <w:color w:val="auto"/>
              </w:rPr>
            </w:pPr>
          </w:p>
        </w:tc>
        <w:tc>
          <w:tcPr>
            <w:tcW w:w="289" w:type="pct"/>
            <w:vMerge w:val="restart"/>
            <w:vAlign w:val="center"/>
          </w:tcPr>
          <w:p w14:paraId="7E5318A9">
            <w:pPr>
              <w:pStyle w:val="74"/>
              <w:rPr>
                <w:color w:val="auto"/>
              </w:rPr>
            </w:pPr>
            <w:r>
              <w:rPr>
                <w:rFonts w:hint="eastAsia"/>
                <w:color w:val="auto"/>
              </w:rPr>
              <w:t>3</w:t>
            </w:r>
          </w:p>
        </w:tc>
        <w:tc>
          <w:tcPr>
            <w:tcW w:w="249" w:type="pct"/>
            <w:vMerge w:val="restart"/>
            <w:vAlign w:val="center"/>
          </w:tcPr>
          <w:p w14:paraId="54E605C0">
            <w:pPr>
              <w:pStyle w:val="74"/>
              <w:rPr>
                <w:color w:val="auto"/>
              </w:rPr>
            </w:pPr>
            <w:r>
              <w:rPr>
                <w:rFonts w:hint="eastAsia"/>
                <w:color w:val="auto"/>
              </w:rPr>
              <w:t>连轴器</w:t>
            </w:r>
          </w:p>
        </w:tc>
        <w:tc>
          <w:tcPr>
            <w:tcW w:w="999" w:type="pct"/>
            <w:gridSpan w:val="3"/>
            <w:vAlign w:val="center"/>
          </w:tcPr>
          <w:p w14:paraId="1777886B">
            <w:pPr>
              <w:pStyle w:val="74"/>
              <w:rPr>
                <w:color w:val="auto"/>
              </w:rPr>
            </w:pPr>
            <w:r>
              <w:rPr>
                <w:rFonts w:hint="eastAsia"/>
                <w:color w:val="auto"/>
              </w:rPr>
              <w:t>两轴芯径向位移</w:t>
            </w:r>
          </w:p>
        </w:tc>
        <w:tc>
          <w:tcPr>
            <w:tcW w:w="665" w:type="pct"/>
            <w:gridSpan w:val="2"/>
            <w:vAlign w:val="center"/>
          </w:tcPr>
          <w:p w14:paraId="5FB93966">
            <w:pPr>
              <w:pStyle w:val="74"/>
              <w:rPr>
                <w:color w:val="auto"/>
              </w:rPr>
            </w:pPr>
            <w:r>
              <w:rPr>
                <w:rFonts w:hint="eastAsia"/>
                <w:color w:val="auto"/>
              </w:rPr>
              <w:t>0.05mm</w:t>
            </w:r>
          </w:p>
        </w:tc>
        <w:tc>
          <w:tcPr>
            <w:tcW w:w="1442" w:type="pct"/>
            <w:gridSpan w:val="3"/>
            <w:vMerge w:val="restart"/>
            <w:vAlign w:val="center"/>
          </w:tcPr>
          <w:p w14:paraId="5FDBF7A9">
            <w:pPr>
              <w:pStyle w:val="74"/>
              <w:rPr>
                <w:color w:val="auto"/>
              </w:rPr>
            </w:pPr>
            <w:r>
              <w:rPr>
                <w:rFonts w:hint="eastAsia"/>
                <w:color w:val="auto"/>
              </w:rPr>
              <w:t>在联轴器互相垂直的四个位置上，用百分表检查</w:t>
            </w:r>
          </w:p>
        </w:tc>
      </w:tr>
      <w:tr w14:paraId="2BC0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8" w:type="pct"/>
            <w:vMerge w:val="continue"/>
            <w:vAlign w:val="center"/>
          </w:tcPr>
          <w:p w14:paraId="194F8252">
            <w:pPr>
              <w:pStyle w:val="74"/>
              <w:rPr>
                <w:color w:val="auto"/>
              </w:rPr>
            </w:pPr>
          </w:p>
        </w:tc>
        <w:tc>
          <w:tcPr>
            <w:tcW w:w="390" w:type="pct"/>
            <w:vMerge w:val="continue"/>
            <w:vAlign w:val="center"/>
          </w:tcPr>
          <w:p w14:paraId="1A47310C">
            <w:pPr>
              <w:pStyle w:val="74"/>
              <w:rPr>
                <w:color w:val="auto"/>
              </w:rPr>
            </w:pPr>
          </w:p>
        </w:tc>
        <w:tc>
          <w:tcPr>
            <w:tcW w:w="458" w:type="pct"/>
            <w:vMerge w:val="continue"/>
            <w:vAlign w:val="center"/>
          </w:tcPr>
          <w:p w14:paraId="3831681C">
            <w:pPr>
              <w:pStyle w:val="74"/>
              <w:rPr>
                <w:color w:val="auto"/>
              </w:rPr>
            </w:pPr>
          </w:p>
        </w:tc>
        <w:tc>
          <w:tcPr>
            <w:tcW w:w="289" w:type="pct"/>
            <w:vMerge w:val="continue"/>
            <w:vAlign w:val="center"/>
          </w:tcPr>
          <w:p w14:paraId="5A73D057">
            <w:pPr>
              <w:pStyle w:val="74"/>
              <w:rPr>
                <w:color w:val="auto"/>
              </w:rPr>
            </w:pPr>
          </w:p>
        </w:tc>
        <w:tc>
          <w:tcPr>
            <w:tcW w:w="249" w:type="pct"/>
            <w:vMerge w:val="continue"/>
            <w:vAlign w:val="center"/>
          </w:tcPr>
          <w:p w14:paraId="280C6F1A">
            <w:pPr>
              <w:pStyle w:val="74"/>
              <w:rPr>
                <w:color w:val="auto"/>
              </w:rPr>
            </w:pPr>
          </w:p>
        </w:tc>
        <w:tc>
          <w:tcPr>
            <w:tcW w:w="999" w:type="pct"/>
            <w:gridSpan w:val="3"/>
            <w:vAlign w:val="center"/>
          </w:tcPr>
          <w:p w14:paraId="000EF597">
            <w:pPr>
              <w:pStyle w:val="74"/>
              <w:rPr>
                <w:color w:val="auto"/>
              </w:rPr>
            </w:pPr>
            <w:r>
              <w:rPr>
                <w:rFonts w:hint="eastAsia"/>
                <w:color w:val="auto"/>
              </w:rPr>
              <w:t>两轴线倾斜度</w:t>
            </w:r>
          </w:p>
        </w:tc>
        <w:tc>
          <w:tcPr>
            <w:tcW w:w="665" w:type="pct"/>
            <w:gridSpan w:val="2"/>
            <w:vAlign w:val="center"/>
          </w:tcPr>
          <w:p w14:paraId="58F05DB9">
            <w:pPr>
              <w:pStyle w:val="74"/>
              <w:rPr>
                <w:color w:val="auto"/>
              </w:rPr>
            </w:pPr>
            <w:r>
              <w:rPr>
                <w:rFonts w:hint="eastAsia"/>
                <w:color w:val="auto"/>
              </w:rPr>
              <w:t>0.2/1000</w:t>
            </w:r>
          </w:p>
        </w:tc>
        <w:tc>
          <w:tcPr>
            <w:tcW w:w="1442" w:type="pct"/>
            <w:gridSpan w:val="3"/>
            <w:vMerge w:val="continue"/>
            <w:vAlign w:val="center"/>
          </w:tcPr>
          <w:p w14:paraId="18486112">
            <w:pPr>
              <w:pStyle w:val="74"/>
              <w:rPr>
                <w:color w:val="auto"/>
              </w:rPr>
            </w:pPr>
          </w:p>
        </w:tc>
      </w:tr>
    </w:tbl>
    <w:p w14:paraId="1A068D6F">
      <w:pPr>
        <w:rPr>
          <w:color w:val="auto"/>
        </w:rPr>
      </w:pPr>
      <w:r>
        <w:rPr>
          <w:rFonts w:hint="eastAsia"/>
          <w:color w:val="auto"/>
        </w:rPr>
        <w:t>（2）给排水工程质量标准</w:t>
      </w:r>
    </w:p>
    <w:p w14:paraId="086CAD86">
      <w:pPr>
        <w:pStyle w:val="54"/>
        <w:rPr>
          <w:color w:val="auto"/>
        </w:rPr>
      </w:pPr>
      <w:r>
        <w:rPr>
          <w:rFonts w:hint="eastAsia"/>
          <w:color w:val="auto"/>
        </w:rPr>
        <w:t>给排水工程质量标准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692"/>
        <w:gridCol w:w="1232"/>
        <w:gridCol w:w="6339"/>
      </w:tblGrid>
      <w:tr w14:paraId="44224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40" w:type="pct"/>
            <w:vAlign w:val="center"/>
          </w:tcPr>
          <w:p w14:paraId="4C49AB1F">
            <w:pPr>
              <w:pStyle w:val="74"/>
              <w:rPr>
                <w:color w:val="auto"/>
              </w:rPr>
            </w:pPr>
            <w:r>
              <w:rPr>
                <w:rFonts w:hint="eastAsia"/>
                <w:color w:val="auto"/>
              </w:rPr>
              <w:t>序号</w:t>
            </w:r>
          </w:p>
        </w:tc>
        <w:tc>
          <w:tcPr>
            <w:tcW w:w="382" w:type="pct"/>
            <w:vAlign w:val="center"/>
          </w:tcPr>
          <w:p w14:paraId="41369C01">
            <w:pPr>
              <w:pStyle w:val="74"/>
              <w:rPr>
                <w:color w:val="auto"/>
              </w:rPr>
            </w:pPr>
            <w:r>
              <w:rPr>
                <w:rFonts w:hint="eastAsia"/>
                <w:color w:val="auto"/>
              </w:rPr>
              <w:t>工序</w:t>
            </w:r>
          </w:p>
        </w:tc>
        <w:tc>
          <w:tcPr>
            <w:tcW w:w="4178" w:type="pct"/>
            <w:gridSpan w:val="2"/>
            <w:vAlign w:val="center"/>
          </w:tcPr>
          <w:p w14:paraId="670BA0BC">
            <w:pPr>
              <w:pStyle w:val="74"/>
              <w:rPr>
                <w:color w:val="auto"/>
              </w:rPr>
            </w:pPr>
            <w:r>
              <w:rPr>
                <w:rFonts w:hint="eastAsia"/>
                <w:color w:val="auto"/>
              </w:rPr>
              <w:t>质量保证措施</w:t>
            </w:r>
          </w:p>
        </w:tc>
      </w:tr>
      <w:tr w14:paraId="136A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restart"/>
            <w:vAlign w:val="center"/>
          </w:tcPr>
          <w:p w14:paraId="72D7DC6D">
            <w:pPr>
              <w:pStyle w:val="74"/>
              <w:rPr>
                <w:color w:val="auto"/>
              </w:rPr>
            </w:pPr>
            <w:r>
              <w:rPr>
                <w:rFonts w:hint="eastAsia"/>
                <w:color w:val="auto"/>
              </w:rPr>
              <w:t>1</w:t>
            </w:r>
          </w:p>
        </w:tc>
        <w:tc>
          <w:tcPr>
            <w:tcW w:w="382" w:type="pct"/>
            <w:vMerge w:val="restart"/>
            <w:vAlign w:val="center"/>
          </w:tcPr>
          <w:p w14:paraId="5E304997">
            <w:pPr>
              <w:pStyle w:val="74"/>
              <w:rPr>
                <w:color w:val="auto"/>
              </w:rPr>
            </w:pPr>
            <w:r>
              <w:rPr>
                <w:rFonts w:hint="eastAsia"/>
                <w:color w:val="auto"/>
              </w:rPr>
              <w:t>管道连接</w:t>
            </w:r>
          </w:p>
        </w:tc>
        <w:tc>
          <w:tcPr>
            <w:tcW w:w="680" w:type="pct"/>
            <w:vAlign w:val="center"/>
          </w:tcPr>
          <w:p w14:paraId="7D8419C4">
            <w:pPr>
              <w:pStyle w:val="74"/>
              <w:rPr>
                <w:color w:val="auto"/>
              </w:rPr>
            </w:pPr>
            <w:r>
              <w:rPr>
                <w:rFonts w:hint="eastAsia"/>
                <w:color w:val="auto"/>
              </w:rPr>
              <w:t>施工质量保证措施</w:t>
            </w:r>
          </w:p>
        </w:tc>
        <w:tc>
          <w:tcPr>
            <w:tcW w:w="3498" w:type="pct"/>
            <w:vAlign w:val="center"/>
          </w:tcPr>
          <w:p w14:paraId="4FDD7454">
            <w:pPr>
              <w:pStyle w:val="74"/>
              <w:rPr>
                <w:color w:val="auto"/>
              </w:rPr>
            </w:pPr>
            <w:r>
              <w:rPr>
                <w:rFonts w:hint="eastAsia"/>
                <w:color w:val="auto"/>
              </w:rPr>
              <w:t>沟槽配件选用名牌产品，压槽机由沟槽配件生产厂家配套供应。</w:t>
            </w:r>
          </w:p>
          <w:p w14:paraId="7DC4ABBB">
            <w:pPr>
              <w:pStyle w:val="74"/>
              <w:rPr>
                <w:color w:val="auto"/>
              </w:rPr>
            </w:pPr>
            <w:r>
              <w:rPr>
                <w:rFonts w:hint="eastAsia"/>
                <w:color w:val="auto"/>
              </w:rPr>
              <w:t>选用优质镀锌无缝钢管，管壁内外镀锌均匀、附着力强，管道的外径、壁厚偏差不大于允许值。</w:t>
            </w:r>
          </w:p>
          <w:p w14:paraId="7CFD1061">
            <w:pPr>
              <w:pStyle w:val="74"/>
              <w:rPr>
                <w:color w:val="auto"/>
              </w:rPr>
            </w:pPr>
            <w:r>
              <w:rPr>
                <w:rFonts w:hint="eastAsia"/>
                <w:color w:val="auto"/>
              </w:rPr>
              <w:t>对工人进行专门培训，以加强操作技能。</w:t>
            </w:r>
          </w:p>
        </w:tc>
      </w:tr>
      <w:tr w14:paraId="68314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continue"/>
            <w:vAlign w:val="center"/>
          </w:tcPr>
          <w:p w14:paraId="6EF3B874">
            <w:pPr>
              <w:pStyle w:val="74"/>
              <w:rPr>
                <w:color w:val="auto"/>
              </w:rPr>
            </w:pPr>
          </w:p>
        </w:tc>
        <w:tc>
          <w:tcPr>
            <w:tcW w:w="382" w:type="pct"/>
            <w:vMerge w:val="continue"/>
            <w:vAlign w:val="center"/>
          </w:tcPr>
          <w:p w14:paraId="16F838C6">
            <w:pPr>
              <w:pStyle w:val="74"/>
              <w:rPr>
                <w:color w:val="auto"/>
              </w:rPr>
            </w:pPr>
          </w:p>
        </w:tc>
        <w:tc>
          <w:tcPr>
            <w:tcW w:w="680" w:type="pct"/>
            <w:vAlign w:val="center"/>
          </w:tcPr>
          <w:p w14:paraId="4BA6B682">
            <w:pPr>
              <w:pStyle w:val="74"/>
              <w:rPr>
                <w:color w:val="auto"/>
              </w:rPr>
            </w:pPr>
            <w:r>
              <w:rPr>
                <w:rFonts w:hint="eastAsia"/>
                <w:color w:val="auto"/>
              </w:rPr>
              <w:t>检验方法及标准</w:t>
            </w:r>
          </w:p>
        </w:tc>
        <w:tc>
          <w:tcPr>
            <w:tcW w:w="3498" w:type="pct"/>
            <w:vAlign w:val="center"/>
          </w:tcPr>
          <w:p w14:paraId="55B46401">
            <w:pPr>
              <w:pStyle w:val="74"/>
              <w:rPr>
                <w:color w:val="auto"/>
              </w:rPr>
            </w:pPr>
            <w:r>
              <w:rPr>
                <w:rFonts w:hint="eastAsia"/>
                <w:color w:val="auto"/>
              </w:rPr>
              <w:t>采用游标卡尺测量管径及压槽深度、宽度、位置尺寸，必须满足施工工艺规程要求。</w:t>
            </w:r>
          </w:p>
          <w:p w14:paraId="046D5ED9">
            <w:pPr>
              <w:pStyle w:val="74"/>
              <w:rPr>
                <w:color w:val="auto"/>
              </w:rPr>
            </w:pPr>
            <w:r>
              <w:rPr>
                <w:rFonts w:hint="eastAsia"/>
                <w:color w:val="auto"/>
              </w:rPr>
              <w:t>沟槽连接件外观检测。</w:t>
            </w:r>
          </w:p>
          <w:p w14:paraId="72DC4E32">
            <w:pPr>
              <w:pStyle w:val="74"/>
              <w:rPr>
                <w:color w:val="auto"/>
              </w:rPr>
            </w:pPr>
            <w:r>
              <w:rPr>
                <w:rFonts w:hint="eastAsia"/>
                <w:color w:val="auto"/>
              </w:rPr>
              <w:t>沟槽管件表面应平整光洁，无加工缺陷，无裂纹、气孔等现象，橡胶圈密封面不应有气泡、杂质、裂口等缺陷。</w:t>
            </w:r>
          </w:p>
          <w:p w14:paraId="08B0CA2E">
            <w:pPr>
              <w:pStyle w:val="74"/>
              <w:rPr>
                <w:color w:val="auto"/>
              </w:rPr>
            </w:pPr>
            <w:r>
              <w:rPr>
                <w:rFonts w:hint="eastAsia"/>
                <w:color w:val="auto"/>
              </w:rPr>
              <w:t>对管道外径、壁厚进行测量，外径偏差不得大于1%，壁厚偏差不得大于12.5%，选用外径正偏差管道。</w:t>
            </w:r>
          </w:p>
          <w:p w14:paraId="0148FD7D">
            <w:pPr>
              <w:pStyle w:val="74"/>
              <w:rPr>
                <w:color w:val="auto"/>
              </w:rPr>
            </w:pPr>
            <w:r>
              <w:rPr>
                <w:rFonts w:hint="eastAsia"/>
                <w:color w:val="auto"/>
              </w:rPr>
              <w:t>检查滚槽后钢管端部，管端到凹槽之间的管道要光滑，凹槽槽深均匀一致。凹槽处镀锌层无开裂、脱落现象。</w:t>
            </w:r>
          </w:p>
        </w:tc>
      </w:tr>
      <w:tr w14:paraId="0D058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restart"/>
            <w:vAlign w:val="center"/>
          </w:tcPr>
          <w:p w14:paraId="46C09FC0">
            <w:pPr>
              <w:pStyle w:val="74"/>
              <w:rPr>
                <w:color w:val="auto"/>
              </w:rPr>
            </w:pPr>
            <w:r>
              <w:rPr>
                <w:rFonts w:hint="eastAsia"/>
                <w:color w:val="auto"/>
              </w:rPr>
              <w:t>2</w:t>
            </w:r>
          </w:p>
        </w:tc>
        <w:tc>
          <w:tcPr>
            <w:tcW w:w="382" w:type="pct"/>
            <w:vMerge w:val="restart"/>
            <w:vAlign w:val="center"/>
          </w:tcPr>
          <w:p w14:paraId="66BD72EC">
            <w:pPr>
              <w:pStyle w:val="74"/>
              <w:rPr>
                <w:color w:val="auto"/>
              </w:rPr>
            </w:pPr>
            <w:r>
              <w:rPr>
                <w:rFonts w:hint="eastAsia"/>
                <w:color w:val="auto"/>
              </w:rPr>
              <w:t>水箱安装</w:t>
            </w:r>
          </w:p>
        </w:tc>
        <w:tc>
          <w:tcPr>
            <w:tcW w:w="680" w:type="pct"/>
            <w:vAlign w:val="center"/>
          </w:tcPr>
          <w:p w14:paraId="0CEEB056">
            <w:pPr>
              <w:pStyle w:val="74"/>
              <w:rPr>
                <w:color w:val="auto"/>
              </w:rPr>
            </w:pPr>
            <w:r>
              <w:rPr>
                <w:rFonts w:hint="eastAsia"/>
                <w:color w:val="auto"/>
              </w:rPr>
              <w:t>施工质量保证措施</w:t>
            </w:r>
          </w:p>
        </w:tc>
        <w:tc>
          <w:tcPr>
            <w:tcW w:w="3498" w:type="pct"/>
            <w:vAlign w:val="center"/>
          </w:tcPr>
          <w:p w14:paraId="3BEF9C99">
            <w:pPr>
              <w:pStyle w:val="74"/>
              <w:rPr>
                <w:color w:val="auto"/>
              </w:rPr>
            </w:pPr>
            <w:r>
              <w:rPr>
                <w:rFonts w:hint="eastAsia"/>
                <w:color w:val="auto"/>
              </w:rPr>
              <w:t>经进场检验合格的水箱组件及零部件，安全运输至安装部位。</w:t>
            </w:r>
          </w:p>
          <w:p w14:paraId="72576CC0">
            <w:pPr>
              <w:pStyle w:val="74"/>
              <w:rPr>
                <w:color w:val="auto"/>
              </w:rPr>
            </w:pPr>
            <w:r>
              <w:rPr>
                <w:rFonts w:hint="eastAsia"/>
                <w:color w:val="auto"/>
              </w:rPr>
              <w:t>水箱基础预埋件应安装牢固、位置应正确、标高应一致。</w:t>
            </w:r>
          </w:p>
          <w:p w14:paraId="1EF3F36B">
            <w:pPr>
              <w:pStyle w:val="74"/>
              <w:rPr>
                <w:color w:val="auto"/>
              </w:rPr>
            </w:pPr>
            <w:r>
              <w:rPr>
                <w:rFonts w:hint="eastAsia"/>
                <w:color w:val="auto"/>
              </w:rPr>
              <w:t>水箱底部型钢支架与基础连接后，应保证水箱底架的水平和平整度，并使底架与水箱基础接触紧密，如果有接触不实的状况，应添加垫铁，进行调整，直至水平度、平整度及水箱底架与基础接触紧密程度均符合水箱安装的实际要求。</w:t>
            </w:r>
          </w:p>
          <w:p w14:paraId="0FCE187B">
            <w:pPr>
              <w:pStyle w:val="74"/>
              <w:rPr>
                <w:color w:val="auto"/>
              </w:rPr>
            </w:pPr>
            <w:r>
              <w:rPr>
                <w:rFonts w:hint="eastAsia"/>
                <w:color w:val="auto"/>
              </w:rPr>
              <w:t>水箱组装完成后，需再次检查水箱底架与水箱基础的间隙情况，如果出现接触不实的情况，则利用千斤顶和垫铁进行调整。</w:t>
            </w:r>
          </w:p>
          <w:p w14:paraId="708DDA88">
            <w:pPr>
              <w:pStyle w:val="74"/>
              <w:rPr>
                <w:color w:val="auto"/>
              </w:rPr>
            </w:pPr>
            <w:r>
              <w:rPr>
                <w:rFonts w:hint="eastAsia"/>
                <w:color w:val="auto"/>
              </w:rPr>
              <w:t>组装好的水箱需进行满水试验，保证水箱接缝处不渗不漏。</w:t>
            </w:r>
          </w:p>
        </w:tc>
      </w:tr>
      <w:tr w14:paraId="411A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continue"/>
            <w:vAlign w:val="center"/>
          </w:tcPr>
          <w:p w14:paraId="283C2D98">
            <w:pPr>
              <w:pStyle w:val="74"/>
              <w:rPr>
                <w:color w:val="auto"/>
              </w:rPr>
            </w:pPr>
          </w:p>
        </w:tc>
        <w:tc>
          <w:tcPr>
            <w:tcW w:w="382" w:type="pct"/>
            <w:vMerge w:val="continue"/>
            <w:vAlign w:val="center"/>
          </w:tcPr>
          <w:p w14:paraId="27ADF74A">
            <w:pPr>
              <w:pStyle w:val="74"/>
              <w:rPr>
                <w:color w:val="auto"/>
              </w:rPr>
            </w:pPr>
          </w:p>
        </w:tc>
        <w:tc>
          <w:tcPr>
            <w:tcW w:w="680" w:type="pct"/>
            <w:vAlign w:val="center"/>
          </w:tcPr>
          <w:p w14:paraId="57F487E8">
            <w:pPr>
              <w:pStyle w:val="74"/>
              <w:rPr>
                <w:color w:val="auto"/>
              </w:rPr>
            </w:pPr>
            <w:r>
              <w:rPr>
                <w:rFonts w:hint="eastAsia"/>
                <w:color w:val="auto"/>
              </w:rPr>
              <w:t>检验方法标准</w:t>
            </w:r>
          </w:p>
        </w:tc>
        <w:tc>
          <w:tcPr>
            <w:tcW w:w="3498" w:type="pct"/>
            <w:vAlign w:val="center"/>
          </w:tcPr>
          <w:p w14:paraId="5B0EA7B2">
            <w:pPr>
              <w:pStyle w:val="74"/>
              <w:rPr>
                <w:color w:val="auto"/>
              </w:rPr>
            </w:pPr>
            <w:r>
              <w:rPr>
                <w:rFonts w:hint="eastAsia"/>
                <w:color w:val="auto"/>
              </w:rPr>
              <w:t>用水平尺和钢尺配合检查基础埋件的位置及标高、水箱底部型钢支架的水平度和平整度、水箱底部支架与基础的接触是否紧密。</w:t>
            </w:r>
          </w:p>
          <w:p w14:paraId="5C443E64">
            <w:pPr>
              <w:pStyle w:val="74"/>
              <w:rPr>
                <w:color w:val="auto"/>
              </w:rPr>
            </w:pPr>
            <w:r>
              <w:rPr>
                <w:rFonts w:hint="eastAsia"/>
                <w:color w:val="auto"/>
              </w:rPr>
              <w:t>水箱满水试验应在水箱灌满水后静止24小时，不渗不漏为合格。</w:t>
            </w:r>
          </w:p>
        </w:tc>
      </w:tr>
      <w:tr w14:paraId="3D1D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restart"/>
            <w:vAlign w:val="center"/>
          </w:tcPr>
          <w:p w14:paraId="2B79CD5B">
            <w:pPr>
              <w:pStyle w:val="74"/>
              <w:rPr>
                <w:color w:val="auto"/>
              </w:rPr>
            </w:pPr>
            <w:r>
              <w:rPr>
                <w:rFonts w:hint="eastAsia"/>
                <w:color w:val="auto"/>
              </w:rPr>
              <w:t>3</w:t>
            </w:r>
          </w:p>
        </w:tc>
        <w:tc>
          <w:tcPr>
            <w:tcW w:w="382" w:type="pct"/>
            <w:vMerge w:val="restart"/>
            <w:vAlign w:val="center"/>
          </w:tcPr>
          <w:p w14:paraId="7AC7DDFE">
            <w:pPr>
              <w:pStyle w:val="74"/>
              <w:rPr>
                <w:color w:val="auto"/>
              </w:rPr>
            </w:pPr>
            <w:r>
              <w:rPr>
                <w:rFonts w:hint="eastAsia"/>
                <w:color w:val="auto"/>
              </w:rPr>
              <w:t>洁具安装</w:t>
            </w:r>
          </w:p>
        </w:tc>
        <w:tc>
          <w:tcPr>
            <w:tcW w:w="680" w:type="pct"/>
            <w:vAlign w:val="center"/>
          </w:tcPr>
          <w:p w14:paraId="609C537B">
            <w:pPr>
              <w:pStyle w:val="74"/>
              <w:rPr>
                <w:color w:val="auto"/>
              </w:rPr>
            </w:pPr>
            <w:r>
              <w:rPr>
                <w:rFonts w:hint="eastAsia"/>
                <w:color w:val="auto"/>
              </w:rPr>
              <w:t>施工质量保证措施</w:t>
            </w:r>
          </w:p>
        </w:tc>
        <w:tc>
          <w:tcPr>
            <w:tcW w:w="3498" w:type="pct"/>
            <w:vAlign w:val="center"/>
          </w:tcPr>
          <w:p w14:paraId="683B7969">
            <w:pPr>
              <w:pStyle w:val="74"/>
              <w:rPr>
                <w:color w:val="auto"/>
              </w:rPr>
            </w:pPr>
            <w:r>
              <w:rPr>
                <w:rFonts w:hint="eastAsia"/>
                <w:color w:val="auto"/>
              </w:rPr>
              <w:t>洁具运抵施工现场后，仔细查验到货情况，若有陶瓷破损及零配件缺失，应及时调换和增补；洁具运输、保管及安装过程中应做好成品保护工作。</w:t>
            </w:r>
          </w:p>
          <w:p w14:paraId="4CADA848">
            <w:pPr>
              <w:pStyle w:val="74"/>
              <w:rPr>
                <w:color w:val="auto"/>
              </w:rPr>
            </w:pPr>
            <w:r>
              <w:rPr>
                <w:rFonts w:hint="eastAsia"/>
                <w:color w:val="auto"/>
              </w:rPr>
              <w:t xml:space="preserve">安装时要求同一房间同种器具上口边缘水平，洁具位置及标高准确；安装完的洁具牢固、无脱落松动及摆动现象，上下水管接口连接必须严密不漏，角阀、冲洗阀、感应阀启闭灵活、动作正确。安装完成后，房间上锁封闭，并派人监管，建立房间钥匙领用制度；其它专业的工程人员进入卫生间，需要注意做好成品保护工作。 </w:t>
            </w:r>
          </w:p>
        </w:tc>
      </w:tr>
      <w:tr w14:paraId="3101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continue"/>
            <w:vAlign w:val="center"/>
          </w:tcPr>
          <w:p w14:paraId="354273FC">
            <w:pPr>
              <w:pStyle w:val="74"/>
              <w:rPr>
                <w:color w:val="auto"/>
              </w:rPr>
            </w:pPr>
          </w:p>
        </w:tc>
        <w:tc>
          <w:tcPr>
            <w:tcW w:w="382" w:type="pct"/>
            <w:vMerge w:val="continue"/>
            <w:vAlign w:val="center"/>
          </w:tcPr>
          <w:p w14:paraId="516851CE">
            <w:pPr>
              <w:pStyle w:val="74"/>
              <w:rPr>
                <w:color w:val="auto"/>
              </w:rPr>
            </w:pPr>
          </w:p>
        </w:tc>
        <w:tc>
          <w:tcPr>
            <w:tcW w:w="680" w:type="pct"/>
            <w:vAlign w:val="center"/>
          </w:tcPr>
          <w:p w14:paraId="2A171BB6">
            <w:pPr>
              <w:pStyle w:val="74"/>
              <w:rPr>
                <w:color w:val="auto"/>
              </w:rPr>
            </w:pPr>
            <w:r>
              <w:rPr>
                <w:rFonts w:hint="eastAsia"/>
                <w:color w:val="auto"/>
              </w:rPr>
              <w:t>检验方法及标准</w:t>
            </w:r>
          </w:p>
        </w:tc>
        <w:tc>
          <w:tcPr>
            <w:tcW w:w="3498" w:type="pct"/>
            <w:vAlign w:val="center"/>
          </w:tcPr>
          <w:p w14:paraId="538EE0B8">
            <w:pPr>
              <w:pStyle w:val="74"/>
              <w:rPr>
                <w:color w:val="auto"/>
              </w:rPr>
            </w:pPr>
            <w:r>
              <w:rPr>
                <w:rFonts w:hint="eastAsia"/>
                <w:color w:val="auto"/>
              </w:rPr>
              <w:t>卫生洁具安装的坐标、标高、水平垂直度，应采用拉线、吊线、水平尺和尺量检查。</w:t>
            </w:r>
          </w:p>
          <w:p w14:paraId="2B4FD740">
            <w:pPr>
              <w:pStyle w:val="74"/>
              <w:rPr>
                <w:color w:val="auto"/>
              </w:rPr>
            </w:pPr>
            <w:r>
              <w:rPr>
                <w:rFonts w:hint="eastAsia"/>
                <w:color w:val="auto"/>
              </w:rPr>
              <w:t>利用扳手、改锥、水平尺、线坠及小线等安装工具直接检查卫生洁具的支、托架的平稳牢固程度、平整及垂直度。尺量和观察检查卫生洁具排水管径和坡度。洁具安装好后，通水试验，检查洁具上下水末端支管，不渗不漏为合格。卫生洁具安装检验标准为建筑给水排水及采暖工程施工质量验收规范（GB50242—2002）29页卫生洁具安装部分。</w:t>
            </w:r>
          </w:p>
        </w:tc>
      </w:tr>
      <w:tr w14:paraId="5245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restart"/>
            <w:vAlign w:val="center"/>
          </w:tcPr>
          <w:p w14:paraId="1FF2C7DD">
            <w:pPr>
              <w:pStyle w:val="74"/>
              <w:rPr>
                <w:color w:val="auto"/>
              </w:rPr>
            </w:pPr>
            <w:r>
              <w:rPr>
                <w:rFonts w:hint="eastAsia"/>
                <w:color w:val="auto"/>
              </w:rPr>
              <w:t>4</w:t>
            </w:r>
          </w:p>
        </w:tc>
        <w:tc>
          <w:tcPr>
            <w:tcW w:w="382" w:type="pct"/>
            <w:vMerge w:val="restart"/>
            <w:vAlign w:val="center"/>
          </w:tcPr>
          <w:p w14:paraId="3FEA1F9C">
            <w:pPr>
              <w:pStyle w:val="74"/>
              <w:rPr>
                <w:color w:val="auto"/>
              </w:rPr>
            </w:pPr>
            <w:r>
              <w:rPr>
                <w:rFonts w:hint="eastAsia"/>
                <w:color w:val="auto"/>
              </w:rPr>
              <w:t>阀门安装</w:t>
            </w:r>
          </w:p>
        </w:tc>
        <w:tc>
          <w:tcPr>
            <w:tcW w:w="680" w:type="pct"/>
            <w:vMerge w:val="restart"/>
            <w:vAlign w:val="center"/>
          </w:tcPr>
          <w:p w14:paraId="13CB719A">
            <w:pPr>
              <w:pStyle w:val="74"/>
              <w:rPr>
                <w:color w:val="auto"/>
              </w:rPr>
            </w:pPr>
            <w:r>
              <w:rPr>
                <w:rFonts w:hint="eastAsia"/>
                <w:color w:val="auto"/>
              </w:rPr>
              <w:t>施工质量保证措施</w:t>
            </w:r>
          </w:p>
        </w:tc>
        <w:tc>
          <w:tcPr>
            <w:tcW w:w="3498" w:type="pct"/>
            <w:vAlign w:val="center"/>
          </w:tcPr>
          <w:p w14:paraId="7ED1D0D2">
            <w:pPr>
              <w:pStyle w:val="74"/>
              <w:rPr>
                <w:color w:val="auto"/>
              </w:rPr>
            </w:pPr>
            <w:r>
              <w:rPr>
                <w:rFonts w:hint="eastAsia"/>
                <w:color w:val="auto"/>
              </w:rPr>
              <w:t>选用通过认证的名牌产品；阀门进场时进行外观验收。安装前对阀门进行水压试验，每批抽检10%试压，起切断主干管作用的阀门逐个试压。</w:t>
            </w:r>
          </w:p>
        </w:tc>
      </w:tr>
      <w:tr w14:paraId="7062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continue"/>
            <w:vAlign w:val="center"/>
          </w:tcPr>
          <w:p w14:paraId="3DC83712">
            <w:pPr>
              <w:pStyle w:val="74"/>
              <w:rPr>
                <w:color w:val="auto"/>
              </w:rPr>
            </w:pPr>
          </w:p>
        </w:tc>
        <w:tc>
          <w:tcPr>
            <w:tcW w:w="382" w:type="pct"/>
            <w:vMerge w:val="continue"/>
            <w:vAlign w:val="center"/>
          </w:tcPr>
          <w:p w14:paraId="44F577B8">
            <w:pPr>
              <w:pStyle w:val="74"/>
              <w:rPr>
                <w:color w:val="auto"/>
              </w:rPr>
            </w:pPr>
          </w:p>
        </w:tc>
        <w:tc>
          <w:tcPr>
            <w:tcW w:w="680" w:type="pct"/>
            <w:vMerge w:val="continue"/>
            <w:vAlign w:val="center"/>
          </w:tcPr>
          <w:p w14:paraId="17FEA0F1">
            <w:pPr>
              <w:pStyle w:val="74"/>
              <w:rPr>
                <w:color w:val="auto"/>
              </w:rPr>
            </w:pPr>
          </w:p>
        </w:tc>
        <w:tc>
          <w:tcPr>
            <w:tcW w:w="3498" w:type="pct"/>
            <w:vAlign w:val="center"/>
          </w:tcPr>
          <w:p w14:paraId="1E7101E3">
            <w:pPr>
              <w:pStyle w:val="74"/>
              <w:rPr>
                <w:color w:val="auto"/>
              </w:rPr>
            </w:pPr>
            <w:r>
              <w:rPr>
                <w:rFonts w:hint="eastAsia"/>
                <w:color w:val="auto"/>
              </w:rPr>
              <w:t>阀门与法兰连接处选用优质石棉橡胶垫，保证连接处的质量。</w:t>
            </w:r>
          </w:p>
        </w:tc>
      </w:tr>
      <w:tr w14:paraId="6AE20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continue"/>
            <w:vAlign w:val="center"/>
          </w:tcPr>
          <w:p w14:paraId="019007C6">
            <w:pPr>
              <w:pStyle w:val="74"/>
              <w:rPr>
                <w:color w:val="auto"/>
              </w:rPr>
            </w:pPr>
          </w:p>
        </w:tc>
        <w:tc>
          <w:tcPr>
            <w:tcW w:w="382" w:type="pct"/>
            <w:vMerge w:val="continue"/>
            <w:vAlign w:val="center"/>
          </w:tcPr>
          <w:p w14:paraId="0D86E683">
            <w:pPr>
              <w:pStyle w:val="74"/>
              <w:rPr>
                <w:color w:val="auto"/>
              </w:rPr>
            </w:pPr>
          </w:p>
        </w:tc>
        <w:tc>
          <w:tcPr>
            <w:tcW w:w="680" w:type="pct"/>
            <w:vAlign w:val="center"/>
          </w:tcPr>
          <w:p w14:paraId="0B45F02F">
            <w:pPr>
              <w:pStyle w:val="74"/>
              <w:rPr>
                <w:color w:val="auto"/>
              </w:rPr>
            </w:pPr>
            <w:r>
              <w:rPr>
                <w:rFonts w:hint="eastAsia"/>
                <w:color w:val="auto"/>
              </w:rPr>
              <w:t>检验方法及标准</w:t>
            </w:r>
          </w:p>
        </w:tc>
        <w:tc>
          <w:tcPr>
            <w:tcW w:w="3498" w:type="pct"/>
            <w:vAlign w:val="center"/>
          </w:tcPr>
          <w:p w14:paraId="151BE9B8">
            <w:pPr>
              <w:pStyle w:val="74"/>
              <w:rPr>
                <w:color w:val="auto"/>
              </w:rPr>
            </w:pPr>
            <w:r>
              <w:rPr>
                <w:rFonts w:hint="eastAsia"/>
                <w:color w:val="auto"/>
              </w:rPr>
              <w:t>外观检查，阀门内外无砂眼、毛刺、裂纹等缺陷，阀座与壳体结合牢固，无松动。阀门安装方向正确，连接螺栓朝向一致，螺栓露出丝扣为1/2螺栓直径。阀门试压，强度试验为公称压力的1.5倍，严密性试验为公称压力的1.1倍。阀门壳体及密封面无渗漏为合格。法兰阀门安装时，两片法兰必须平行且无错口。阀门与法兰的密封面应平整、光洁，不得有毛刺和径向凹槽。</w:t>
            </w:r>
          </w:p>
        </w:tc>
      </w:tr>
      <w:tr w14:paraId="691F5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restart"/>
            <w:vAlign w:val="center"/>
          </w:tcPr>
          <w:p w14:paraId="7B5644A1">
            <w:pPr>
              <w:pStyle w:val="74"/>
              <w:rPr>
                <w:color w:val="auto"/>
              </w:rPr>
            </w:pPr>
            <w:r>
              <w:rPr>
                <w:rFonts w:hint="eastAsia"/>
                <w:color w:val="auto"/>
              </w:rPr>
              <w:t>5</w:t>
            </w:r>
          </w:p>
        </w:tc>
        <w:tc>
          <w:tcPr>
            <w:tcW w:w="382" w:type="pct"/>
            <w:vMerge w:val="restart"/>
            <w:vAlign w:val="center"/>
          </w:tcPr>
          <w:p w14:paraId="3793D764">
            <w:pPr>
              <w:pStyle w:val="74"/>
              <w:rPr>
                <w:color w:val="auto"/>
              </w:rPr>
            </w:pPr>
            <w:r>
              <w:rPr>
                <w:rFonts w:hint="eastAsia"/>
                <w:color w:val="auto"/>
              </w:rPr>
              <w:t>管道冲洗</w:t>
            </w:r>
          </w:p>
        </w:tc>
        <w:tc>
          <w:tcPr>
            <w:tcW w:w="680" w:type="pct"/>
            <w:vAlign w:val="center"/>
          </w:tcPr>
          <w:p w14:paraId="3DBAD764">
            <w:pPr>
              <w:pStyle w:val="74"/>
              <w:rPr>
                <w:color w:val="auto"/>
              </w:rPr>
            </w:pPr>
            <w:r>
              <w:rPr>
                <w:rFonts w:hint="eastAsia"/>
                <w:color w:val="auto"/>
              </w:rPr>
              <w:t>施工质量保证措施</w:t>
            </w:r>
          </w:p>
        </w:tc>
        <w:tc>
          <w:tcPr>
            <w:tcW w:w="3498" w:type="pct"/>
            <w:vAlign w:val="center"/>
          </w:tcPr>
          <w:p w14:paraId="43E5FCC8">
            <w:pPr>
              <w:pStyle w:val="74"/>
              <w:rPr>
                <w:color w:val="auto"/>
              </w:rPr>
            </w:pPr>
            <w:r>
              <w:rPr>
                <w:rFonts w:hint="eastAsia"/>
                <w:color w:val="auto"/>
              </w:rPr>
              <w:t>管道施工过程中及时清理管道内焊渣、杂物等。将系统分区域进行冲洗，冲洗流速在2m/s以上。保证冲洗时间与冲洗次数，直至冲洗干净。</w:t>
            </w:r>
          </w:p>
        </w:tc>
      </w:tr>
      <w:tr w14:paraId="4F833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0" w:type="pct"/>
            <w:vMerge w:val="continue"/>
            <w:vAlign w:val="center"/>
          </w:tcPr>
          <w:p w14:paraId="7322C3AF">
            <w:pPr>
              <w:pStyle w:val="74"/>
              <w:rPr>
                <w:color w:val="auto"/>
              </w:rPr>
            </w:pPr>
          </w:p>
        </w:tc>
        <w:tc>
          <w:tcPr>
            <w:tcW w:w="382" w:type="pct"/>
            <w:vMerge w:val="continue"/>
            <w:vAlign w:val="center"/>
          </w:tcPr>
          <w:p w14:paraId="17BA18DF">
            <w:pPr>
              <w:pStyle w:val="74"/>
              <w:rPr>
                <w:color w:val="auto"/>
              </w:rPr>
            </w:pPr>
          </w:p>
        </w:tc>
        <w:tc>
          <w:tcPr>
            <w:tcW w:w="680" w:type="pct"/>
            <w:vAlign w:val="center"/>
          </w:tcPr>
          <w:p w14:paraId="5958E612">
            <w:pPr>
              <w:pStyle w:val="74"/>
              <w:rPr>
                <w:color w:val="auto"/>
              </w:rPr>
            </w:pPr>
            <w:r>
              <w:rPr>
                <w:rFonts w:hint="eastAsia"/>
                <w:color w:val="auto"/>
              </w:rPr>
              <w:t>检验方法及标准</w:t>
            </w:r>
          </w:p>
        </w:tc>
        <w:tc>
          <w:tcPr>
            <w:tcW w:w="3498" w:type="pct"/>
            <w:vAlign w:val="center"/>
          </w:tcPr>
          <w:p w14:paraId="427F302F">
            <w:pPr>
              <w:pStyle w:val="74"/>
              <w:rPr>
                <w:color w:val="auto"/>
              </w:rPr>
            </w:pPr>
            <w:r>
              <w:rPr>
                <w:rFonts w:hint="eastAsia"/>
                <w:color w:val="auto"/>
              </w:rPr>
              <w:t>检验泄水口水质与入水口水质差别，出水口水色和透明度与入口处目测一致为合格。</w:t>
            </w:r>
          </w:p>
          <w:p w14:paraId="24684747">
            <w:pPr>
              <w:pStyle w:val="74"/>
              <w:rPr>
                <w:color w:val="auto"/>
              </w:rPr>
            </w:pPr>
            <w:r>
              <w:rPr>
                <w:rFonts w:hint="eastAsia"/>
                <w:color w:val="auto"/>
              </w:rPr>
              <w:t>水循环后对过滤器、临时过滤网进行检查，无杂质截留为合格。</w:t>
            </w:r>
          </w:p>
        </w:tc>
      </w:tr>
    </w:tbl>
    <w:p w14:paraId="78F6B27F">
      <w:pPr>
        <w:rPr>
          <w:color w:val="auto"/>
        </w:rPr>
      </w:pPr>
      <w:r>
        <w:rPr>
          <w:rFonts w:hint="eastAsia"/>
          <w:color w:val="auto"/>
        </w:rPr>
        <w:t>（3）电气工程质量标准</w:t>
      </w:r>
    </w:p>
    <w:p w14:paraId="2B2AAF45">
      <w:pPr>
        <w:pStyle w:val="54"/>
        <w:rPr>
          <w:color w:val="auto"/>
        </w:rPr>
      </w:pPr>
      <w:r>
        <w:rPr>
          <w:rFonts w:hint="eastAsia"/>
          <w:color w:val="auto"/>
        </w:rPr>
        <w:t>电气工程质量标准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3"/>
        <w:gridCol w:w="690"/>
        <w:gridCol w:w="1107"/>
        <w:gridCol w:w="6460"/>
      </w:tblGrid>
      <w:tr w14:paraId="2127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43" w:type="pct"/>
            <w:vAlign w:val="center"/>
          </w:tcPr>
          <w:p w14:paraId="1F92AABB">
            <w:pPr>
              <w:pStyle w:val="74"/>
              <w:rPr>
                <w:color w:val="auto"/>
              </w:rPr>
            </w:pPr>
            <w:r>
              <w:rPr>
                <w:rFonts w:hint="eastAsia"/>
                <w:color w:val="auto"/>
              </w:rPr>
              <w:t>序号</w:t>
            </w:r>
          </w:p>
        </w:tc>
        <w:tc>
          <w:tcPr>
            <w:tcW w:w="381" w:type="pct"/>
            <w:vAlign w:val="center"/>
          </w:tcPr>
          <w:p w14:paraId="58AC9868">
            <w:pPr>
              <w:pStyle w:val="74"/>
              <w:rPr>
                <w:color w:val="auto"/>
              </w:rPr>
            </w:pPr>
            <w:r>
              <w:rPr>
                <w:rFonts w:hint="eastAsia"/>
                <w:color w:val="auto"/>
              </w:rPr>
              <w:t>工序</w:t>
            </w:r>
          </w:p>
        </w:tc>
        <w:tc>
          <w:tcPr>
            <w:tcW w:w="4177" w:type="pct"/>
            <w:gridSpan w:val="2"/>
            <w:vAlign w:val="center"/>
          </w:tcPr>
          <w:p w14:paraId="705FAAC4">
            <w:pPr>
              <w:pStyle w:val="74"/>
              <w:rPr>
                <w:color w:val="auto"/>
              </w:rPr>
            </w:pPr>
            <w:r>
              <w:rPr>
                <w:rFonts w:hint="eastAsia"/>
                <w:color w:val="auto"/>
              </w:rPr>
              <w:t>质量保证措施</w:t>
            </w:r>
          </w:p>
        </w:tc>
      </w:tr>
      <w:tr w14:paraId="342DF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restart"/>
            <w:vAlign w:val="center"/>
          </w:tcPr>
          <w:p w14:paraId="71DDEB1E">
            <w:pPr>
              <w:pStyle w:val="74"/>
              <w:rPr>
                <w:color w:val="auto"/>
              </w:rPr>
            </w:pPr>
            <w:r>
              <w:rPr>
                <w:rFonts w:hint="eastAsia"/>
                <w:color w:val="auto"/>
              </w:rPr>
              <w:t>1</w:t>
            </w:r>
          </w:p>
        </w:tc>
        <w:tc>
          <w:tcPr>
            <w:tcW w:w="381" w:type="pct"/>
            <w:vMerge w:val="restart"/>
            <w:vAlign w:val="center"/>
          </w:tcPr>
          <w:p w14:paraId="6991E238">
            <w:pPr>
              <w:pStyle w:val="74"/>
              <w:rPr>
                <w:color w:val="auto"/>
              </w:rPr>
            </w:pPr>
            <w:r>
              <w:rPr>
                <w:rFonts w:hint="eastAsia"/>
                <w:color w:val="auto"/>
              </w:rPr>
              <w:t>线管安装</w:t>
            </w:r>
          </w:p>
        </w:tc>
        <w:tc>
          <w:tcPr>
            <w:tcW w:w="611" w:type="pct"/>
            <w:vAlign w:val="center"/>
          </w:tcPr>
          <w:p w14:paraId="1CA07628">
            <w:pPr>
              <w:pStyle w:val="74"/>
              <w:rPr>
                <w:color w:val="auto"/>
              </w:rPr>
            </w:pPr>
            <w:r>
              <w:rPr>
                <w:rFonts w:hint="eastAsia"/>
                <w:color w:val="auto"/>
              </w:rPr>
              <w:t>施工质量保证措施</w:t>
            </w:r>
          </w:p>
        </w:tc>
        <w:tc>
          <w:tcPr>
            <w:tcW w:w="3566" w:type="pct"/>
            <w:vAlign w:val="center"/>
          </w:tcPr>
          <w:p w14:paraId="52E1A104">
            <w:pPr>
              <w:pStyle w:val="74"/>
              <w:rPr>
                <w:color w:val="auto"/>
              </w:rPr>
            </w:pPr>
            <w:r>
              <w:rPr>
                <w:rFonts w:hint="eastAsia"/>
                <w:color w:val="auto"/>
              </w:rPr>
              <w:t>按照设计要求选用管材。</w:t>
            </w:r>
          </w:p>
          <w:p w14:paraId="34EAF10B">
            <w:pPr>
              <w:pStyle w:val="74"/>
              <w:rPr>
                <w:color w:val="auto"/>
              </w:rPr>
            </w:pPr>
            <w:r>
              <w:rPr>
                <w:rFonts w:hint="eastAsia"/>
                <w:color w:val="auto"/>
              </w:rPr>
              <w:t>套丝选用与钢管匹配的板牙，管箍连接时的套丝长度为1.1倍的钢管外径外加两扣，与配电箱柜连接钢管套丝长度为两个锁母及箱体钢板厚度外加5扣。为确保明配管横平竖直，支架布置合理，间距均匀。暗配管每1m固定一处。</w:t>
            </w:r>
          </w:p>
        </w:tc>
      </w:tr>
      <w:tr w14:paraId="4879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continue"/>
            <w:vAlign w:val="center"/>
          </w:tcPr>
          <w:p w14:paraId="6367B9AA">
            <w:pPr>
              <w:pStyle w:val="74"/>
              <w:rPr>
                <w:color w:val="auto"/>
              </w:rPr>
            </w:pPr>
          </w:p>
        </w:tc>
        <w:tc>
          <w:tcPr>
            <w:tcW w:w="381" w:type="pct"/>
            <w:vMerge w:val="continue"/>
            <w:vAlign w:val="center"/>
          </w:tcPr>
          <w:p w14:paraId="1D4AA718">
            <w:pPr>
              <w:pStyle w:val="74"/>
              <w:rPr>
                <w:color w:val="auto"/>
              </w:rPr>
            </w:pPr>
          </w:p>
        </w:tc>
        <w:tc>
          <w:tcPr>
            <w:tcW w:w="611" w:type="pct"/>
            <w:vAlign w:val="center"/>
          </w:tcPr>
          <w:p w14:paraId="53F9129E">
            <w:pPr>
              <w:pStyle w:val="74"/>
              <w:rPr>
                <w:color w:val="auto"/>
              </w:rPr>
            </w:pPr>
            <w:r>
              <w:rPr>
                <w:rFonts w:hint="eastAsia"/>
                <w:color w:val="auto"/>
              </w:rPr>
              <w:t>检验方法及标准</w:t>
            </w:r>
          </w:p>
        </w:tc>
        <w:tc>
          <w:tcPr>
            <w:tcW w:w="3566" w:type="pct"/>
            <w:vAlign w:val="center"/>
          </w:tcPr>
          <w:p w14:paraId="154C1B81">
            <w:pPr>
              <w:pStyle w:val="74"/>
              <w:rPr>
                <w:color w:val="auto"/>
              </w:rPr>
            </w:pPr>
            <w:r>
              <w:rPr>
                <w:rFonts w:hint="eastAsia"/>
                <w:color w:val="auto"/>
              </w:rPr>
              <w:t>钢管外观检查，焊缝均匀、无劈裂、砂眼、棱刺和凹扁现象，用游标卡尺检测钢管内外径、壁厚，检查通丝管箍长度。</w:t>
            </w:r>
          </w:p>
          <w:p w14:paraId="23C7F11E">
            <w:pPr>
              <w:pStyle w:val="74"/>
              <w:rPr>
                <w:color w:val="auto"/>
              </w:rPr>
            </w:pPr>
            <w:r>
              <w:rPr>
                <w:rFonts w:hint="eastAsia"/>
                <w:color w:val="auto"/>
              </w:rPr>
              <w:t>尺量检查明配管的平直度，2m内偏差不大于2mm，全长不大于0.5D。</w:t>
            </w:r>
          </w:p>
        </w:tc>
      </w:tr>
      <w:tr w14:paraId="2ACA0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restart"/>
            <w:vAlign w:val="center"/>
          </w:tcPr>
          <w:p w14:paraId="033F2593">
            <w:pPr>
              <w:pStyle w:val="74"/>
              <w:rPr>
                <w:color w:val="auto"/>
              </w:rPr>
            </w:pPr>
            <w:r>
              <w:rPr>
                <w:rFonts w:hint="eastAsia"/>
                <w:color w:val="auto"/>
              </w:rPr>
              <w:t>2</w:t>
            </w:r>
          </w:p>
        </w:tc>
        <w:tc>
          <w:tcPr>
            <w:tcW w:w="381" w:type="pct"/>
            <w:vMerge w:val="restart"/>
            <w:vAlign w:val="center"/>
          </w:tcPr>
          <w:p w14:paraId="28912E0E">
            <w:pPr>
              <w:pStyle w:val="74"/>
              <w:rPr>
                <w:color w:val="auto"/>
              </w:rPr>
            </w:pPr>
            <w:r>
              <w:rPr>
                <w:rFonts w:hint="eastAsia"/>
                <w:color w:val="auto"/>
              </w:rPr>
              <w:t>电气接线</w:t>
            </w:r>
          </w:p>
        </w:tc>
        <w:tc>
          <w:tcPr>
            <w:tcW w:w="611" w:type="pct"/>
            <w:vAlign w:val="center"/>
          </w:tcPr>
          <w:p w14:paraId="64A084A9">
            <w:pPr>
              <w:pStyle w:val="74"/>
              <w:rPr>
                <w:color w:val="auto"/>
              </w:rPr>
            </w:pPr>
            <w:r>
              <w:rPr>
                <w:rFonts w:hint="eastAsia"/>
                <w:color w:val="auto"/>
              </w:rPr>
              <w:t>施工质量保证措施</w:t>
            </w:r>
          </w:p>
        </w:tc>
        <w:tc>
          <w:tcPr>
            <w:tcW w:w="3566" w:type="pct"/>
            <w:vAlign w:val="center"/>
          </w:tcPr>
          <w:p w14:paraId="7D0E335D">
            <w:pPr>
              <w:pStyle w:val="74"/>
              <w:rPr>
                <w:color w:val="auto"/>
              </w:rPr>
            </w:pPr>
            <w:r>
              <w:rPr>
                <w:color w:val="auto"/>
              </w:rPr>
              <w:t>导线接头不能增加电阻值、不降低原导线绝缘强度</w:t>
            </w:r>
            <w:r>
              <w:rPr>
                <w:rFonts w:hint="eastAsia"/>
                <w:color w:val="auto"/>
              </w:rPr>
              <w:t>，使用刮刀刮去芯线表面的氧化膜。根据情况选择焊接方式或接线钮拧接导线。</w:t>
            </w:r>
          </w:p>
          <w:p w14:paraId="24D56D2D">
            <w:pPr>
              <w:pStyle w:val="74"/>
              <w:rPr>
                <w:color w:val="auto"/>
              </w:rPr>
            </w:pPr>
            <w:r>
              <w:rPr>
                <w:rFonts w:hint="eastAsia"/>
                <w:color w:val="auto"/>
              </w:rPr>
              <w:t>单芯线在插入开关、插座等的线孔时拗成双股，用螺丝顶紧。截面积在10mm²及以下的单股导线直接与设备器具的端子连接；截面积在2.5mm²及以下多股铜芯线拧紧搪锡或接续端子后与设备、器具端子连接；截面积大于2.5mm²的多股铜芯线接续端子后与设备或器具的端子连接。</w:t>
            </w:r>
          </w:p>
        </w:tc>
      </w:tr>
      <w:tr w14:paraId="59A5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continue"/>
            <w:vAlign w:val="center"/>
          </w:tcPr>
          <w:p w14:paraId="240292D8">
            <w:pPr>
              <w:pStyle w:val="74"/>
              <w:rPr>
                <w:color w:val="auto"/>
              </w:rPr>
            </w:pPr>
          </w:p>
        </w:tc>
        <w:tc>
          <w:tcPr>
            <w:tcW w:w="381" w:type="pct"/>
            <w:vMerge w:val="continue"/>
            <w:vAlign w:val="center"/>
          </w:tcPr>
          <w:p w14:paraId="11C82BFB">
            <w:pPr>
              <w:pStyle w:val="74"/>
              <w:rPr>
                <w:color w:val="auto"/>
              </w:rPr>
            </w:pPr>
          </w:p>
        </w:tc>
        <w:tc>
          <w:tcPr>
            <w:tcW w:w="611" w:type="pct"/>
            <w:vAlign w:val="center"/>
          </w:tcPr>
          <w:p w14:paraId="474C08E9">
            <w:pPr>
              <w:pStyle w:val="74"/>
              <w:rPr>
                <w:color w:val="auto"/>
              </w:rPr>
            </w:pPr>
            <w:r>
              <w:rPr>
                <w:rFonts w:hint="eastAsia"/>
                <w:color w:val="auto"/>
              </w:rPr>
              <w:t>检验方法及标准</w:t>
            </w:r>
          </w:p>
        </w:tc>
        <w:tc>
          <w:tcPr>
            <w:tcW w:w="3566" w:type="pct"/>
            <w:vAlign w:val="center"/>
          </w:tcPr>
          <w:p w14:paraId="4AFEAC7C">
            <w:pPr>
              <w:pStyle w:val="74"/>
              <w:rPr>
                <w:color w:val="auto"/>
              </w:rPr>
            </w:pPr>
            <w:r>
              <w:rPr>
                <w:rFonts w:hint="eastAsia"/>
                <w:color w:val="auto"/>
              </w:rPr>
              <w:t>用兆欧表测试线间以及线与管路的绝缘电阻值，电阻值不小于0.5。</w:t>
            </w:r>
          </w:p>
          <w:p w14:paraId="272BE2B8">
            <w:pPr>
              <w:pStyle w:val="74"/>
              <w:rPr>
                <w:color w:val="auto"/>
              </w:rPr>
            </w:pPr>
            <w:r>
              <w:rPr>
                <w:rFonts w:hint="eastAsia"/>
                <w:color w:val="auto"/>
              </w:rPr>
              <w:t>使用游标卡尺检查导线直径，计算导线截面积。</w:t>
            </w:r>
          </w:p>
        </w:tc>
      </w:tr>
      <w:tr w14:paraId="288CF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restart"/>
            <w:vAlign w:val="center"/>
          </w:tcPr>
          <w:p w14:paraId="3E1B7A06">
            <w:pPr>
              <w:pStyle w:val="74"/>
              <w:rPr>
                <w:color w:val="auto"/>
              </w:rPr>
            </w:pPr>
            <w:r>
              <w:rPr>
                <w:rFonts w:hint="eastAsia"/>
                <w:color w:val="auto"/>
              </w:rPr>
              <w:t>3</w:t>
            </w:r>
          </w:p>
        </w:tc>
        <w:tc>
          <w:tcPr>
            <w:tcW w:w="381" w:type="pct"/>
            <w:vMerge w:val="restart"/>
            <w:vAlign w:val="center"/>
          </w:tcPr>
          <w:p w14:paraId="3F2503EF">
            <w:pPr>
              <w:pStyle w:val="74"/>
              <w:rPr>
                <w:color w:val="auto"/>
              </w:rPr>
            </w:pPr>
            <w:r>
              <w:rPr>
                <w:rFonts w:hint="eastAsia"/>
                <w:color w:val="auto"/>
              </w:rPr>
              <w:t>电缆头制作</w:t>
            </w:r>
          </w:p>
        </w:tc>
        <w:tc>
          <w:tcPr>
            <w:tcW w:w="611" w:type="pct"/>
            <w:vAlign w:val="center"/>
          </w:tcPr>
          <w:p w14:paraId="0A14B3CE">
            <w:pPr>
              <w:pStyle w:val="74"/>
              <w:rPr>
                <w:color w:val="auto"/>
              </w:rPr>
            </w:pPr>
            <w:r>
              <w:rPr>
                <w:rFonts w:hint="eastAsia"/>
                <w:color w:val="auto"/>
              </w:rPr>
              <w:t>施工质量保证措施</w:t>
            </w:r>
          </w:p>
        </w:tc>
        <w:tc>
          <w:tcPr>
            <w:tcW w:w="3566" w:type="pct"/>
            <w:vAlign w:val="center"/>
          </w:tcPr>
          <w:p w14:paraId="5742A05B">
            <w:pPr>
              <w:pStyle w:val="74"/>
              <w:rPr>
                <w:color w:val="auto"/>
              </w:rPr>
            </w:pPr>
            <w:r>
              <w:rPr>
                <w:rFonts w:hint="eastAsia"/>
                <w:color w:val="auto"/>
              </w:rPr>
              <w:t>热缩头、热缩管及接线端子均采用符合国家标准的材料。</w:t>
            </w:r>
          </w:p>
          <w:p w14:paraId="320E9794">
            <w:pPr>
              <w:pStyle w:val="74"/>
              <w:rPr>
                <w:color w:val="auto"/>
              </w:rPr>
            </w:pPr>
            <w:r>
              <w:rPr>
                <w:rFonts w:hint="eastAsia"/>
                <w:color w:val="auto"/>
              </w:rPr>
              <w:t>电缆剥削使用旋转剥刀，控制导体、绝缘层、护层的剥削长度。</w:t>
            </w:r>
          </w:p>
          <w:p w14:paraId="74D9DE68">
            <w:pPr>
              <w:pStyle w:val="74"/>
              <w:rPr>
                <w:color w:val="auto"/>
              </w:rPr>
            </w:pPr>
            <w:r>
              <w:rPr>
                <w:rFonts w:hint="eastAsia"/>
                <w:color w:val="auto"/>
              </w:rPr>
              <w:t>电缆头的制作材料采用热缩终端头和热缩绝缘套管，热缩头及热缩绝缘套管使用喷灯加热收缩，加热温度控制在110～130℃。</w:t>
            </w:r>
          </w:p>
          <w:p w14:paraId="65362D39">
            <w:pPr>
              <w:pStyle w:val="74"/>
              <w:rPr>
                <w:color w:val="auto"/>
              </w:rPr>
            </w:pPr>
            <w:r>
              <w:rPr>
                <w:rFonts w:hint="eastAsia"/>
                <w:color w:val="auto"/>
              </w:rPr>
              <w:t>接线端子压接模具与接线端子配套，每个压接型电缆端子使用压线钳压接。</w:t>
            </w:r>
          </w:p>
          <w:p w14:paraId="6A71BDD8">
            <w:pPr>
              <w:pStyle w:val="74"/>
              <w:rPr>
                <w:color w:val="auto"/>
              </w:rPr>
            </w:pPr>
            <w:r>
              <w:rPr>
                <w:rFonts w:hint="eastAsia"/>
                <w:color w:val="auto"/>
              </w:rPr>
              <w:t>电缆在存放时端头用专用胶封堵，每放一根电缆及时制作终端头或中间头，电缆头制作前使用喷灯从里向外加热；使用压接型接线端子。</w:t>
            </w:r>
          </w:p>
        </w:tc>
      </w:tr>
      <w:tr w14:paraId="0D076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continue"/>
            <w:vAlign w:val="center"/>
          </w:tcPr>
          <w:p w14:paraId="42A0635C">
            <w:pPr>
              <w:pStyle w:val="74"/>
              <w:rPr>
                <w:color w:val="auto"/>
              </w:rPr>
            </w:pPr>
          </w:p>
        </w:tc>
        <w:tc>
          <w:tcPr>
            <w:tcW w:w="381" w:type="pct"/>
            <w:vMerge w:val="continue"/>
            <w:vAlign w:val="center"/>
          </w:tcPr>
          <w:p w14:paraId="1E109026">
            <w:pPr>
              <w:pStyle w:val="74"/>
              <w:rPr>
                <w:color w:val="auto"/>
              </w:rPr>
            </w:pPr>
          </w:p>
        </w:tc>
        <w:tc>
          <w:tcPr>
            <w:tcW w:w="611" w:type="pct"/>
            <w:vAlign w:val="center"/>
          </w:tcPr>
          <w:p w14:paraId="7C76BF78">
            <w:pPr>
              <w:pStyle w:val="74"/>
              <w:rPr>
                <w:color w:val="auto"/>
              </w:rPr>
            </w:pPr>
            <w:r>
              <w:rPr>
                <w:rFonts w:hint="eastAsia"/>
                <w:color w:val="auto"/>
              </w:rPr>
              <w:t>检验方法及标准</w:t>
            </w:r>
          </w:p>
        </w:tc>
        <w:tc>
          <w:tcPr>
            <w:tcW w:w="3566" w:type="pct"/>
            <w:vAlign w:val="center"/>
          </w:tcPr>
          <w:p w14:paraId="729C4B3D">
            <w:pPr>
              <w:pStyle w:val="74"/>
              <w:rPr>
                <w:color w:val="auto"/>
              </w:rPr>
            </w:pPr>
            <w:r>
              <w:rPr>
                <w:rFonts w:hint="eastAsia"/>
                <w:color w:val="auto"/>
              </w:rPr>
              <w:t>用游标卡尺检查接线端子的壁厚、长度。</w:t>
            </w:r>
          </w:p>
          <w:p w14:paraId="70FF4BAF">
            <w:pPr>
              <w:pStyle w:val="74"/>
              <w:rPr>
                <w:color w:val="auto"/>
              </w:rPr>
            </w:pPr>
            <w:r>
              <w:rPr>
                <w:rFonts w:hint="eastAsia"/>
                <w:color w:val="auto"/>
              </w:rPr>
              <w:t>用兆欧表测试相间及相与零和地的绝缘电阻值。</w:t>
            </w:r>
          </w:p>
        </w:tc>
      </w:tr>
      <w:tr w14:paraId="24C73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restart"/>
            <w:vAlign w:val="center"/>
          </w:tcPr>
          <w:p w14:paraId="6F306463">
            <w:pPr>
              <w:pStyle w:val="74"/>
              <w:rPr>
                <w:color w:val="auto"/>
              </w:rPr>
            </w:pPr>
            <w:r>
              <w:rPr>
                <w:rFonts w:hint="eastAsia"/>
                <w:color w:val="auto"/>
              </w:rPr>
              <w:t>4</w:t>
            </w:r>
          </w:p>
        </w:tc>
        <w:tc>
          <w:tcPr>
            <w:tcW w:w="381" w:type="pct"/>
            <w:vMerge w:val="restart"/>
            <w:vAlign w:val="center"/>
          </w:tcPr>
          <w:p w14:paraId="2E881E1B">
            <w:pPr>
              <w:pStyle w:val="74"/>
              <w:rPr>
                <w:color w:val="auto"/>
              </w:rPr>
            </w:pPr>
            <w:r>
              <w:rPr>
                <w:rFonts w:hint="eastAsia"/>
                <w:color w:val="auto"/>
              </w:rPr>
              <w:t>灯具安装</w:t>
            </w:r>
          </w:p>
        </w:tc>
        <w:tc>
          <w:tcPr>
            <w:tcW w:w="611" w:type="pct"/>
            <w:vAlign w:val="center"/>
          </w:tcPr>
          <w:p w14:paraId="36F7BA44">
            <w:pPr>
              <w:pStyle w:val="74"/>
              <w:rPr>
                <w:color w:val="auto"/>
              </w:rPr>
            </w:pPr>
            <w:r>
              <w:rPr>
                <w:rFonts w:hint="eastAsia"/>
                <w:color w:val="auto"/>
              </w:rPr>
              <w:t>施工质量保证措施</w:t>
            </w:r>
          </w:p>
        </w:tc>
        <w:tc>
          <w:tcPr>
            <w:tcW w:w="3566" w:type="pct"/>
            <w:vAlign w:val="center"/>
          </w:tcPr>
          <w:p w14:paraId="58B18EFB">
            <w:pPr>
              <w:pStyle w:val="74"/>
              <w:rPr>
                <w:color w:val="auto"/>
              </w:rPr>
            </w:pPr>
            <w:r>
              <w:rPr>
                <w:rFonts w:hint="eastAsia"/>
                <w:color w:val="auto"/>
              </w:rPr>
              <w:t>灯具选用通过认证的产品。灯具安装时与装修密切配合确定，灯具安装成列成行，灯具安装牢固。</w:t>
            </w:r>
          </w:p>
          <w:p w14:paraId="2EC70994">
            <w:pPr>
              <w:pStyle w:val="74"/>
              <w:rPr>
                <w:color w:val="auto"/>
              </w:rPr>
            </w:pPr>
            <w:r>
              <w:rPr>
                <w:rFonts w:hint="eastAsia"/>
                <w:color w:val="auto"/>
              </w:rPr>
              <w:t>停机坪灯具及航空障碍灯选用防水型灯具，停机坪灯具安装完后灯体与结构之间用环氧树脂密封。</w:t>
            </w:r>
          </w:p>
        </w:tc>
      </w:tr>
      <w:tr w14:paraId="663BA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continue"/>
            <w:vAlign w:val="center"/>
          </w:tcPr>
          <w:p w14:paraId="098E2D9E">
            <w:pPr>
              <w:pStyle w:val="74"/>
              <w:rPr>
                <w:color w:val="auto"/>
              </w:rPr>
            </w:pPr>
          </w:p>
        </w:tc>
        <w:tc>
          <w:tcPr>
            <w:tcW w:w="381" w:type="pct"/>
            <w:vMerge w:val="continue"/>
            <w:vAlign w:val="center"/>
          </w:tcPr>
          <w:p w14:paraId="2E78C364">
            <w:pPr>
              <w:pStyle w:val="74"/>
              <w:rPr>
                <w:color w:val="auto"/>
              </w:rPr>
            </w:pPr>
          </w:p>
        </w:tc>
        <w:tc>
          <w:tcPr>
            <w:tcW w:w="611" w:type="pct"/>
            <w:vAlign w:val="center"/>
          </w:tcPr>
          <w:p w14:paraId="69ECA79F">
            <w:pPr>
              <w:pStyle w:val="74"/>
              <w:rPr>
                <w:color w:val="auto"/>
              </w:rPr>
            </w:pPr>
            <w:r>
              <w:rPr>
                <w:rFonts w:hint="eastAsia"/>
                <w:color w:val="auto"/>
              </w:rPr>
              <w:t>检验方法及标准</w:t>
            </w:r>
          </w:p>
        </w:tc>
        <w:tc>
          <w:tcPr>
            <w:tcW w:w="3566" w:type="pct"/>
            <w:vAlign w:val="center"/>
          </w:tcPr>
          <w:p w14:paraId="36E765DD">
            <w:pPr>
              <w:pStyle w:val="74"/>
              <w:rPr>
                <w:color w:val="auto"/>
              </w:rPr>
            </w:pPr>
            <w:r>
              <w:rPr>
                <w:rFonts w:hint="eastAsia"/>
                <w:color w:val="auto"/>
              </w:rPr>
              <w:t>成排灯具拉线、尺量检查中心线的偏差，偏差不大于5mm。</w:t>
            </w:r>
          </w:p>
        </w:tc>
      </w:tr>
      <w:tr w14:paraId="1C1B6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restart"/>
            <w:vAlign w:val="center"/>
          </w:tcPr>
          <w:p w14:paraId="19780670">
            <w:pPr>
              <w:pStyle w:val="74"/>
              <w:rPr>
                <w:color w:val="auto"/>
              </w:rPr>
            </w:pPr>
            <w:r>
              <w:rPr>
                <w:rFonts w:hint="eastAsia"/>
                <w:color w:val="auto"/>
              </w:rPr>
              <w:t>5</w:t>
            </w:r>
          </w:p>
        </w:tc>
        <w:tc>
          <w:tcPr>
            <w:tcW w:w="381" w:type="pct"/>
            <w:vMerge w:val="restart"/>
            <w:vAlign w:val="center"/>
          </w:tcPr>
          <w:p w14:paraId="2C9BBA80">
            <w:pPr>
              <w:pStyle w:val="74"/>
              <w:rPr>
                <w:color w:val="auto"/>
              </w:rPr>
            </w:pPr>
            <w:r>
              <w:rPr>
                <w:rFonts w:hint="eastAsia"/>
                <w:color w:val="auto"/>
              </w:rPr>
              <w:t>配电箱、柜安装</w:t>
            </w:r>
          </w:p>
        </w:tc>
        <w:tc>
          <w:tcPr>
            <w:tcW w:w="611" w:type="pct"/>
            <w:vAlign w:val="center"/>
          </w:tcPr>
          <w:p w14:paraId="6D4E82BC">
            <w:pPr>
              <w:pStyle w:val="74"/>
              <w:rPr>
                <w:color w:val="auto"/>
              </w:rPr>
            </w:pPr>
            <w:r>
              <w:rPr>
                <w:rFonts w:hint="eastAsia"/>
                <w:color w:val="auto"/>
              </w:rPr>
              <w:t>施工质量保证措施</w:t>
            </w:r>
          </w:p>
        </w:tc>
        <w:tc>
          <w:tcPr>
            <w:tcW w:w="3566" w:type="pct"/>
            <w:vAlign w:val="center"/>
          </w:tcPr>
          <w:p w14:paraId="77FA5603">
            <w:pPr>
              <w:pStyle w:val="74"/>
              <w:rPr>
                <w:color w:val="auto"/>
              </w:rPr>
            </w:pPr>
            <w:r>
              <w:rPr>
                <w:rFonts w:hint="eastAsia"/>
                <w:color w:val="auto"/>
              </w:rPr>
              <w:t>箱柜内的器件选用通过“CCC”认证的产品，由厂家按照标准生产。</w:t>
            </w:r>
          </w:p>
          <w:p w14:paraId="59C2AAB2">
            <w:pPr>
              <w:pStyle w:val="74"/>
              <w:rPr>
                <w:color w:val="auto"/>
              </w:rPr>
            </w:pPr>
            <w:r>
              <w:rPr>
                <w:rFonts w:hint="eastAsia"/>
                <w:color w:val="auto"/>
              </w:rPr>
              <w:t>配电箱柜安装时根据进出线规格、数量预留敲落孔，若不合适必须用机械开孔器开孔。轻钢龙骨内隔墙上明装的配电箱根据箱体尺寸及重量确定角钢支架的形式及与隔墙的固定形式。明装配电箱安装前先在墙面上定出箱体的下边线及侧边线，然后安装箱体，以保证箱体的标高、水平度及垂直度。配电箱柜内的导线排列整齐、绑扎成束。</w:t>
            </w:r>
          </w:p>
        </w:tc>
      </w:tr>
      <w:tr w14:paraId="21D02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continue"/>
            <w:vAlign w:val="center"/>
          </w:tcPr>
          <w:p w14:paraId="62599940">
            <w:pPr>
              <w:pStyle w:val="74"/>
              <w:rPr>
                <w:color w:val="auto"/>
              </w:rPr>
            </w:pPr>
          </w:p>
        </w:tc>
        <w:tc>
          <w:tcPr>
            <w:tcW w:w="381" w:type="pct"/>
            <w:vMerge w:val="continue"/>
            <w:vAlign w:val="center"/>
          </w:tcPr>
          <w:p w14:paraId="2259221D">
            <w:pPr>
              <w:pStyle w:val="74"/>
              <w:rPr>
                <w:color w:val="auto"/>
              </w:rPr>
            </w:pPr>
          </w:p>
        </w:tc>
        <w:tc>
          <w:tcPr>
            <w:tcW w:w="611" w:type="pct"/>
            <w:vAlign w:val="center"/>
          </w:tcPr>
          <w:p w14:paraId="507E81A9">
            <w:pPr>
              <w:pStyle w:val="74"/>
              <w:rPr>
                <w:color w:val="auto"/>
              </w:rPr>
            </w:pPr>
            <w:r>
              <w:rPr>
                <w:rFonts w:hint="eastAsia"/>
                <w:color w:val="auto"/>
              </w:rPr>
              <w:t>检验方法及标准</w:t>
            </w:r>
          </w:p>
        </w:tc>
        <w:tc>
          <w:tcPr>
            <w:tcW w:w="3566" w:type="pct"/>
            <w:vAlign w:val="center"/>
          </w:tcPr>
          <w:p w14:paraId="2041030B">
            <w:pPr>
              <w:pStyle w:val="74"/>
              <w:rPr>
                <w:color w:val="auto"/>
              </w:rPr>
            </w:pPr>
            <w:r>
              <w:rPr>
                <w:rFonts w:hint="eastAsia"/>
                <w:color w:val="auto"/>
              </w:rPr>
              <w:t>箱体的支架采用拉力器进行拉力测试。</w:t>
            </w:r>
          </w:p>
          <w:p w14:paraId="791E7DE1">
            <w:pPr>
              <w:pStyle w:val="74"/>
              <w:rPr>
                <w:color w:val="auto"/>
              </w:rPr>
            </w:pPr>
            <w:r>
              <w:rPr>
                <w:rFonts w:hint="eastAsia"/>
                <w:color w:val="auto"/>
              </w:rPr>
              <w:t>柜顶及柜面的平直度、垂直度使用拉线、挂线、尺量的方法控制。</w:t>
            </w:r>
          </w:p>
        </w:tc>
      </w:tr>
      <w:tr w14:paraId="4440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restart"/>
            <w:tcBorders>
              <w:bottom w:val="single" w:color="auto" w:sz="4" w:space="0"/>
            </w:tcBorders>
            <w:vAlign w:val="center"/>
          </w:tcPr>
          <w:p w14:paraId="4A473B62">
            <w:pPr>
              <w:pStyle w:val="74"/>
              <w:rPr>
                <w:color w:val="auto"/>
              </w:rPr>
            </w:pPr>
            <w:r>
              <w:rPr>
                <w:rFonts w:hint="eastAsia"/>
                <w:color w:val="auto"/>
              </w:rPr>
              <w:t>6</w:t>
            </w:r>
          </w:p>
        </w:tc>
        <w:tc>
          <w:tcPr>
            <w:tcW w:w="381" w:type="pct"/>
            <w:vMerge w:val="restart"/>
            <w:tcBorders>
              <w:bottom w:val="single" w:color="auto" w:sz="4" w:space="0"/>
            </w:tcBorders>
            <w:vAlign w:val="center"/>
          </w:tcPr>
          <w:p w14:paraId="29BDEA22">
            <w:pPr>
              <w:pStyle w:val="74"/>
              <w:rPr>
                <w:color w:val="auto"/>
              </w:rPr>
            </w:pPr>
            <w:r>
              <w:rPr>
                <w:rFonts w:hint="eastAsia"/>
                <w:color w:val="auto"/>
              </w:rPr>
              <w:t>电气接地</w:t>
            </w:r>
          </w:p>
        </w:tc>
        <w:tc>
          <w:tcPr>
            <w:tcW w:w="611" w:type="pct"/>
            <w:tcBorders>
              <w:bottom w:val="single" w:color="auto" w:sz="4" w:space="0"/>
            </w:tcBorders>
            <w:vAlign w:val="center"/>
          </w:tcPr>
          <w:p w14:paraId="75CBD16C">
            <w:pPr>
              <w:pStyle w:val="74"/>
              <w:rPr>
                <w:color w:val="auto"/>
              </w:rPr>
            </w:pPr>
            <w:r>
              <w:rPr>
                <w:rFonts w:hint="eastAsia"/>
                <w:color w:val="auto"/>
              </w:rPr>
              <w:t>施工质量保证措施</w:t>
            </w:r>
          </w:p>
        </w:tc>
        <w:tc>
          <w:tcPr>
            <w:tcW w:w="3566" w:type="pct"/>
            <w:tcBorders>
              <w:bottom w:val="single" w:color="auto" w:sz="4" w:space="0"/>
            </w:tcBorders>
            <w:vAlign w:val="center"/>
          </w:tcPr>
          <w:p w14:paraId="272E097B">
            <w:pPr>
              <w:pStyle w:val="74"/>
              <w:rPr>
                <w:color w:val="auto"/>
              </w:rPr>
            </w:pPr>
            <w:r>
              <w:rPr>
                <w:rFonts w:hint="eastAsia"/>
                <w:color w:val="auto"/>
              </w:rPr>
              <w:t>锌扁钢宽度的2倍，焊完后立即对焊缝刷防锈漆处理；镀锌扁钢（钢板）与接地电缆采用涮锡处理的铜端子通过螺栓连接。</w:t>
            </w:r>
          </w:p>
          <w:p w14:paraId="2C2E873B">
            <w:pPr>
              <w:pStyle w:val="74"/>
              <w:rPr>
                <w:color w:val="auto"/>
              </w:rPr>
            </w:pPr>
            <w:r>
              <w:rPr>
                <w:rFonts w:hint="eastAsia"/>
                <w:color w:val="auto"/>
              </w:rPr>
              <w:t>装有电器元件的可开启门与框架的接地端子间用裸铜编织带连接，然后压接到配电箱内接地汇流排上。</w:t>
            </w:r>
          </w:p>
          <w:p w14:paraId="1006AA38">
            <w:pPr>
              <w:pStyle w:val="74"/>
              <w:rPr>
                <w:color w:val="auto"/>
              </w:rPr>
            </w:pPr>
            <w:r>
              <w:rPr>
                <w:rFonts w:hint="eastAsia"/>
                <w:color w:val="auto"/>
              </w:rPr>
              <w:t>钢管接地使用专用接地卡卡接，接地线为软铜线，用并联的方式接地。</w:t>
            </w:r>
          </w:p>
          <w:p w14:paraId="6ABCDA44">
            <w:pPr>
              <w:pStyle w:val="74"/>
              <w:rPr>
                <w:color w:val="auto"/>
              </w:rPr>
            </w:pPr>
            <w:r>
              <w:rPr>
                <w:rFonts w:hint="eastAsia"/>
                <w:color w:val="auto"/>
              </w:rPr>
              <w:t>低于2.4m灯具的金属外壳做好接地保护。</w:t>
            </w:r>
          </w:p>
          <w:p w14:paraId="6A0E5E2F">
            <w:pPr>
              <w:pStyle w:val="74"/>
              <w:rPr>
                <w:color w:val="auto"/>
              </w:rPr>
            </w:pPr>
            <w:r>
              <w:rPr>
                <w:rFonts w:hint="eastAsia"/>
                <w:color w:val="auto"/>
              </w:rPr>
              <w:t>施工完成后对所有接地线进行测试，以保证质量。</w:t>
            </w:r>
          </w:p>
        </w:tc>
      </w:tr>
      <w:tr w14:paraId="20CB3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43" w:type="pct"/>
            <w:vMerge w:val="continue"/>
            <w:vAlign w:val="center"/>
          </w:tcPr>
          <w:p w14:paraId="69E96DEB">
            <w:pPr>
              <w:pStyle w:val="74"/>
              <w:rPr>
                <w:color w:val="auto"/>
              </w:rPr>
            </w:pPr>
          </w:p>
        </w:tc>
        <w:tc>
          <w:tcPr>
            <w:tcW w:w="381" w:type="pct"/>
            <w:vMerge w:val="continue"/>
            <w:vAlign w:val="center"/>
          </w:tcPr>
          <w:p w14:paraId="3B2AAD5C">
            <w:pPr>
              <w:pStyle w:val="74"/>
              <w:rPr>
                <w:color w:val="auto"/>
              </w:rPr>
            </w:pPr>
          </w:p>
        </w:tc>
        <w:tc>
          <w:tcPr>
            <w:tcW w:w="611" w:type="pct"/>
            <w:vAlign w:val="center"/>
          </w:tcPr>
          <w:p w14:paraId="6F4965DB">
            <w:pPr>
              <w:pStyle w:val="74"/>
              <w:rPr>
                <w:color w:val="auto"/>
              </w:rPr>
            </w:pPr>
            <w:r>
              <w:rPr>
                <w:rFonts w:hint="eastAsia"/>
                <w:color w:val="auto"/>
              </w:rPr>
              <w:t>检验方法及标准</w:t>
            </w:r>
          </w:p>
        </w:tc>
        <w:tc>
          <w:tcPr>
            <w:tcW w:w="3566" w:type="pct"/>
            <w:vAlign w:val="center"/>
          </w:tcPr>
          <w:p w14:paraId="6DD56EAD">
            <w:pPr>
              <w:pStyle w:val="74"/>
              <w:rPr>
                <w:color w:val="auto"/>
              </w:rPr>
            </w:pPr>
            <w:r>
              <w:rPr>
                <w:rFonts w:hint="eastAsia"/>
                <w:color w:val="auto"/>
              </w:rPr>
              <w:t>使用游标卡尺等对镀锌扁钢、铜排、铜编织带、软铜线的截面检查。</w:t>
            </w:r>
          </w:p>
          <w:p w14:paraId="3003E73F">
            <w:pPr>
              <w:pStyle w:val="74"/>
              <w:rPr>
                <w:color w:val="auto"/>
              </w:rPr>
            </w:pPr>
            <w:r>
              <w:rPr>
                <w:rFonts w:hint="eastAsia"/>
                <w:color w:val="auto"/>
              </w:rPr>
              <w:t>使用接地摇表对接地电阻进行测试。</w:t>
            </w:r>
          </w:p>
        </w:tc>
      </w:tr>
    </w:tbl>
    <w:p w14:paraId="2E9F74D4">
      <w:pPr>
        <w:pStyle w:val="5"/>
        <w:rPr>
          <w:color w:val="auto"/>
        </w:rPr>
      </w:pPr>
      <w:bookmarkStart w:id="324" w:name="_Toc16618"/>
      <w:r>
        <w:rPr>
          <w:rFonts w:hint="eastAsia"/>
          <w:color w:val="auto"/>
        </w:rPr>
        <w:t>组织保证措施</w:t>
      </w:r>
      <w:bookmarkEnd w:id="324"/>
    </w:p>
    <w:p w14:paraId="3651C81A">
      <w:pPr>
        <w:pStyle w:val="6"/>
        <w:ind w:firstLine="480"/>
        <w:rPr>
          <w:color w:val="auto"/>
        </w:rPr>
      </w:pPr>
      <w:r>
        <w:rPr>
          <w:rFonts w:hint="eastAsia"/>
          <w:color w:val="auto"/>
        </w:rPr>
        <w:t>质量体系培训</w:t>
      </w:r>
    </w:p>
    <w:p w14:paraId="7A76542D">
      <w:pPr>
        <w:rPr>
          <w:color w:val="auto"/>
        </w:rPr>
      </w:pPr>
      <w:r>
        <w:rPr>
          <w:rFonts w:hint="eastAsia"/>
          <w:color w:val="auto"/>
        </w:rPr>
        <w:t>想要提高项目上的质量管理，就要建立一套完善的质量管理体系，在项目内部广泛开展质量管理小组活动，真正把质量管理这一行之有效的管理模式融入到项目每个员工的思想中去。</w:t>
      </w:r>
    </w:p>
    <w:p w14:paraId="28882E2C">
      <w:pPr>
        <w:rPr>
          <w:color w:val="auto"/>
        </w:rPr>
      </w:pPr>
      <w:r>
        <w:rPr>
          <w:rFonts w:hint="eastAsia"/>
          <w:color w:val="auto"/>
        </w:rPr>
        <w:t>培训内容：</w:t>
      </w:r>
    </w:p>
    <w:p w14:paraId="0B601026">
      <w:pPr>
        <w:rPr>
          <w:color w:val="auto"/>
        </w:rPr>
      </w:pPr>
      <w:r>
        <w:rPr>
          <w:rFonts w:hint="eastAsia"/>
          <w:color w:val="auto"/>
        </w:rPr>
        <w:t>（1）认真学习本单位质量管理体系程序文件的制定和实施，目的是确定企业已经建立并保持统一的质量体系，从而更好地满足招标人的要求。</w:t>
      </w:r>
    </w:p>
    <w:p w14:paraId="7F584430">
      <w:pPr>
        <w:rPr>
          <w:color w:val="auto"/>
        </w:rPr>
      </w:pPr>
      <w:r>
        <w:rPr>
          <w:rFonts w:hint="eastAsia"/>
          <w:color w:val="auto"/>
        </w:rPr>
        <w:t>（2）质量管理体系是采用PDCA（计划－行动－检查－改进）的方式，在施工的循环管理中提供一个改善系统管理的有效工具。</w:t>
      </w:r>
    </w:p>
    <w:p w14:paraId="783CE317">
      <w:pPr>
        <w:rPr>
          <w:color w:val="auto"/>
        </w:rPr>
      </w:pPr>
      <w:r>
        <w:rPr>
          <w:rFonts w:hint="eastAsia"/>
          <w:color w:val="auto"/>
        </w:rPr>
        <w:t>（3）项目管理体系基于以下八个品质管理原则：以招标人为中心、领导作用、全员参与、过程的方法、系统的管理的办法、持续改善、以事为基础的决策方法、和供方的互利的伙伴关系。</w:t>
      </w:r>
    </w:p>
    <w:p w14:paraId="52E0DAB9">
      <w:pPr>
        <w:rPr>
          <w:color w:val="auto"/>
        </w:rPr>
      </w:pPr>
      <w:r>
        <w:rPr>
          <w:rFonts w:hint="eastAsia"/>
          <w:color w:val="auto"/>
        </w:rPr>
        <w:t>通过对质量管理体系的培训，让每个员工认识到在项目建立质量管理体系广泛开展质量管理体系的培训是保障项目提高和改进质量的有效方法，是实现项目员工参与质量改进的有效途径，是依靠广大员工办好项目的一项重要措施，也是提高企业竞争力的一个有效途径。</w:t>
      </w:r>
    </w:p>
    <w:p w14:paraId="1733BE4E">
      <w:pPr>
        <w:pStyle w:val="6"/>
        <w:ind w:firstLine="480"/>
        <w:rPr>
          <w:color w:val="auto"/>
        </w:rPr>
      </w:pPr>
      <w:r>
        <w:rPr>
          <w:rFonts w:hint="eastAsia"/>
          <w:color w:val="auto"/>
        </w:rPr>
        <w:t>质量检查制度</w:t>
      </w:r>
    </w:p>
    <w:p w14:paraId="37187AAC">
      <w:pPr>
        <w:pStyle w:val="54"/>
        <w:rPr>
          <w:color w:val="auto"/>
        </w:rPr>
      </w:pPr>
      <w:r>
        <w:rPr>
          <w:rFonts w:hint="eastAsia"/>
          <w:color w:val="auto"/>
        </w:rPr>
        <w:t>质量检查制度</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601"/>
      </w:tblGrid>
      <w:tr w14:paraId="58D4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357" w:type="pct"/>
            <w:vAlign w:val="center"/>
          </w:tcPr>
          <w:p w14:paraId="4126E523">
            <w:pPr>
              <w:pStyle w:val="74"/>
              <w:rPr>
                <w:color w:val="auto"/>
              </w:rPr>
            </w:pPr>
            <w:r>
              <w:rPr>
                <w:rFonts w:hint="eastAsia"/>
                <w:color w:val="auto"/>
              </w:rPr>
              <w:t>项目</w:t>
            </w:r>
          </w:p>
        </w:tc>
        <w:tc>
          <w:tcPr>
            <w:tcW w:w="3643" w:type="pct"/>
            <w:vAlign w:val="center"/>
          </w:tcPr>
          <w:p w14:paraId="0C314297">
            <w:pPr>
              <w:pStyle w:val="74"/>
              <w:rPr>
                <w:color w:val="auto"/>
              </w:rPr>
            </w:pPr>
            <w:r>
              <w:rPr>
                <w:rFonts w:hint="eastAsia"/>
                <w:color w:val="auto"/>
              </w:rPr>
              <w:t>内容</w:t>
            </w:r>
          </w:p>
        </w:tc>
      </w:tr>
      <w:tr w14:paraId="497B4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6332AB88">
            <w:pPr>
              <w:pStyle w:val="74"/>
              <w:rPr>
                <w:color w:val="auto"/>
              </w:rPr>
            </w:pPr>
            <w:r>
              <w:rPr>
                <w:rFonts w:hint="eastAsia"/>
                <w:color w:val="auto"/>
              </w:rPr>
              <w:t>开工前检查</w:t>
            </w:r>
          </w:p>
        </w:tc>
        <w:tc>
          <w:tcPr>
            <w:tcW w:w="3643" w:type="pct"/>
            <w:vAlign w:val="center"/>
          </w:tcPr>
          <w:p w14:paraId="29EB7885">
            <w:pPr>
              <w:pStyle w:val="74"/>
              <w:rPr>
                <w:color w:val="auto"/>
              </w:rPr>
            </w:pPr>
            <w:r>
              <w:rPr>
                <w:rFonts w:hint="eastAsia"/>
                <w:color w:val="auto"/>
              </w:rPr>
              <w:t>目的是检查是否具备开工条件，开工后能否连续正常施工，能否保证工程质量。</w:t>
            </w:r>
          </w:p>
        </w:tc>
      </w:tr>
      <w:tr w14:paraId="4FFC3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185F072B">
            <w:pPr>
              <w:pStyle w:val="74"/>
              <w:rPr>
                <w:color w:val="auto"/>
              </w:rPr>
            </w:pPr>
            <w:r>
              <w:rPr>
                <w:rFonts w:hint="eastAsia"/>
                <w:color w:val="auto"/>
              </w:rPr>
              <w:t>工序交接检查</w:t>
            </w:r>
          </w:p>
        </w:tc>
        <w:tc>
          <w:tcPr>
            <w:tcW w:w="3643" w:type="pct"/>
            <w:vAlign w:val="center"/>
          </w:tcPr>
          <w:p w14:paraId="10A2C8C0">
            <w:pPr>
              <w:pStyle w:val="74"/>
              <w:rPr>
                <w:color w:val="auto"/>
              </w:rPr>
            </w:pPr>
            <w:r>
              <w:rPr>
                <w:rFonts w:hint="eastAsia"/>
                <w:color w:val="auto"/>
              </w:rPr>
              <w:t>对于重要的工序或对工程质量有重大影响的工序，在自检、互检的基础上，还要组织专职人员进行工序交接检查。</w:t>
            </w:r>
          </w:p>
        </w:tc>
      </w:tr>
      <w:tr w14:paraId="1654E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19B85B89">
            <w:pPr>
              <w:pStyle w:val="74"/>
              <w:rPr>
                <w:color w:val="auto"/>
              </w:rPr>
            </w:pPr>
            <w:r>
              <w:rPr>
                <w:rFonts w:hint="eastAsia"/>
                <w:color w:val="auto"/>
              </w:rPr>
              <w:t>隐蔽工程检查</w:t>
            </w:r>
          </w:p>
        </w:tc>
        <w:tc>
          <w:tcPr>
            <w:tcW w:w="3643" w:type="pct"/>
            <w:vAlign w:val="center"/>
          </w:tcPr>
          <w:p w14:paraId="509C46CC">
            <w:pPr>
              <w:pStyle w:val="74"/>
              <w:rPr>
                <w:color w:val="auto"/>
              </w:rPr>
            </w:pPr>
            <w:r>
              <w:rPr>
                <w:rFonts w:hint="eastAsia"/>
                <w:color w:val="auto"/>
              </w:rPr>
              <w:t>凡是隐蔽工程均应检查认证后方能进入下道工序。</w:t>
            </w:r>
          </w:p>
        </w:tc>
      </w:tr>
      <w:tr w14:paraId="70459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52B5545E">
            <w:pPr>
              <w:pStyle w:val="74"/>
              <w:rPr>
                <w:color w:val="auto"/>
              </w:rPr>
            </w:pPr>
            <w:r>
              <w:rPr>
                <w:rFonts w:hint="eastAsia"/>
                <w:color w:val="auto"/>
              </w:rPr>
              <w:t>停工后复工前的检查</w:t>
            </w:r>
          </w:p>
        </w:tc>
        <w:tc>
          <w:tcPr>
            <w:tcW w:w="3643" w:type="pct"/>
            <w:vAlign w:val="center"/>
          </w:tcPr>
          <w:p w14:paraId="11727D82">
            <w:pPr>
              <w:pStyle w:val="74"/>
              <w:rPr>
                <w:color w:val="auto"/>
              </w:rPr>
            </w:pPr>
            <w:r>
              <w:rPr>
                <w:rFonts w:hint="eastAsia"/>
                <w:color w:val="auto"/>
              </w:rPr>
              <w:t>因处理质量问题等停工后需复工时，亦应经检查认可后方能复工。</w:t>
            </w:r>
          </w:p>
        </w:tc>
      </w:tr>
      <w:tr w14:paraId="6B5AA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3804EFA2">
            <w:pPr>
              <w:pStyle w:val="74"/>
              <w:rPr>
                <w:color w:val="auto"/>
              </w:rPr>
            </w:pPr>
            <w:r>
              <w:rPr>
                <w:rFonts w:hint="eastAsia"/>
                <w:color w:val="auto"/>
              </w:rPr>
              <w:t>分项、分部工程完工检查</w:t>
            </w:r>
          </w:p>
        </w:tc>
        <w:tc>
          <w:tcPr>
            <w:tcW w:w="3643" w:type="pct"/>
            <w:vAlign w:val="center"/>
          </w:tcPr>
          <w:p w14:paraId="3069F14B">
            <w:pPr>
              <w:pStyle w:val="74"/>
              <w:rPr>
                <w:color w:val="auto"/>
              </w:rPr>
            </w:pPr>
            <w:r>
              <w:rPr>
                <w:rFonts w:hint="eastAsia"/>
                <w:color w:val="auto"/>
              </w:rPr>
              <w:t>经检查认可，签署验收记录后，进行下一分项、分部工程施工。</w:t>
            </w:r>
          </w:p>
        </w:tc>
      </w:tr>
      <w:tr w14:paraId="5A68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0F305359">
            <w:pPr>
              <w:pStyle w:val="74"/>
              <w:rPr>
                <w:color w:val="auto"/>
              </w:rPr>
            </w:pPr>
            <w:r>
              <w:rPr>
                <w:rFonts w:hint="eastAsia"/>
                <w:color w:val="auto"/>
              </w:rPr>
              <w:t>成品保护检查</w:t>
            </w:r>
          </w:p>
        </w:tc>
        <w:tc>
          <w:tcPr>
            <w:tcW w:w="3643" w:type="pct"/>
            <w:vAlign w:val="center"/>
          </w:tcPr>
          <w:p w14:paraId="4BFA3FA5">
            <w:pPr>
              <w:pStyle w:val="74"/>
              <w:rPr>
                <w:color w:val="auto"/>
              </w:rPr>
            </w:pPr>
            <w:r>
              <w:rPr>
                <w:rFonts w:hint="eastAsia"/>
                <w:color w:val="auto"/>
              </w:rPr>
              <w:t>检查成品有无保护措施，保护措施有无检查记录。</w:t>
            </w:r>
          </w:p>
        </w:tc>
      </w:tr>
      <w:tr w14:paraId="5B000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357" w:type="pct"/>
            <w:vAlign w:val="center"/>
          </w:tcPr>
          <w:p w14:paraId="733498C0">
            <w:pPr>
              <w:pStyle w:val="74"/>
              <w:rPr>
                <w:color w:val="auto"/>
              </w:rPr>
            </w:pPr>
            <w:r>
              <w:rPr>
                <w:rFonts w:hint="eastAsia"/>
                <w:color w:val="auto"/>
              </w:rPr>
              <w:t>现场巡视检查</w:t>
            </w:r>
          </w:p>
        </w:tc>
        <w:tc>
          <w:tcPr>
            <w:tcW w:w="3643" w:type="pct"/>
            <w:vAlign w:val="center"/>
          </w:tcPr>
          <w:p w14:paraId="43D4EFCA">
            <w:pPr>
              <w:pStyle w:val="74"/>
              <w:rPr>
                <w:color w:val="auto"/>
              </w:rPr>
            </w:pPr>
            <w:r>
              <w:rPr>
                <w:rFonts w:hint="eastAsia"/>
                <w:color w:val="auto"/>
              </w:rPr>
              <w:t>深入现场，对施工操作进行跟班或追踪检查。</w:t>
            </w:r>
          </w:p>
        </w:tc>
      </w:tr>
    </w:tbl>
    <w:p w14:paraId="2AA2A7DC">
      <w:pPr>
        <w:pStyle w:val="6"/>
        <w:ind w:firstLine="480"/>
        <w:rPr>
          <w:color w:val="auto"/>
        </w:rPr>
      </w:pPr>
      <w:r>
        <w:rPr>
          <w:rFonts w:hint="eastAsia"/>
          <w:color w:val="auto"/>
        </w:rPr>
        <w:t>质量奖罚制度</w:t>
      </w:r>
    </w:p>
    <w:p w14:paraId="3D0E6ED3">
      <w:pPr>
        <w:rPr>
          <w:color w:val="auto"/>
        </w:rPr>
      </w:pPr>
      <w:r>
        <w:rPr>
          <w:rFonts w:hint="eastAsia"/>
          <w:color w:val="auto"/>
        </w:rPr>
        <w:t>（1）依据国家的质量验收规范，项目制定详细的验收标准。各分部分项工程根据不同的施工进度每周进行一次质量大检查，检查结果作为奖罚的依据。</w:t>
      </w:r>
    </w:p>
    <w:p w14:paraId="6DBE6E90">
      <w:pPr>
        <w:rPr>
          <w:color w:val="auto"/>
        </w:rPr>
      </w:pPr>
      <w:r>
        <w:rPr>
          <w:rFonts w:hint="eastAsia"/>
          <w:color w:val="auto"/>
        </w:rPr>
        <w:t>（2）对于在交接检中，下道工序班组发现上道工序存在施工质量的情况，根据施工质量的严重程度对发现问题者给予奖励。</w:t>
      </w:r>
    </w:p>
    <w:p w14:paraId="3DA48951">
      <w:pPr>
        <w:rPr>
          <w:color w:val="auto"/>
        </w:rPr>
      </w:pPr>
      <w:r>
        <w:rPr>
          <w:rFonts w:hint="eastAsia"/>
          <w:color w:val="auto"/>
        </w:rPr>
        <w:t>（3）通过“质量监督核查追踪专题会”的落实结果，对于严格按照质量要求和标准进行施工的单位和个人进行奖励，而对出现施工质量问题并整改不到位且达不到验收标准的单位和个人给予经济处罚，对于造成严重施工质量事故的单位和个人坚决予以清退出场，并追究相应责任。</w:t>
      </w:r>
    </w:p>
    <w:p w14:paraId="6C34BDC4">
      <w:pPr>
        <w:rPr>
          <w:color w:val="auto"/>
        </w:rPr>
      </w:pPr>
      <w:r>
        <w:rPr>
          <w:rFonts w:hint="eastAsia"/>
          <w:color w:val="auto"/>
        </w:rPr>
        <w:t>（4）通过奖罚制度，使操作工人自觉提高质量意识，不断提升施工管理水平，创建过程精品。</w:t>
      </w:r>
    </w:p>
    <w:p w14:paraId="3E610423">
      <w:pPr>
        <w:rPr>
          <w:color w:val="auto"/>
        </w:rPr>
      </w:pPr>
      <w:r>
        <w:rPr>
          <w:rFonts w:hint="eastAsia"/>
          <w:color w:val="auto"/>
        </w:rPr>
        <w:t>（5）将奖罚结果粘贴在宣传栏中，以达到鼓励、鞭策的目的。</w:t>
      </w:r>
    </w:p>
    <w:p w14:paraId="1035878F">
      <w:pPr>
        <w:pStyle w:val="5"/>
        <w:rPr>
          <w:color w:val="auto"/>
        </w:rPr>
      </w:pPr>
      <w:bookmarkStart w:id="325" w:name="_Toc10651"/>
      <w:r>
        <w:rPr>
          <w:rFonts w:hint="eastAsia"/>
          <w:color w:val="auto"/>
        </w:rPr>
        <w:t>质量控制方法</w:t>
      </w:r>
      <w:bookmarkEnd w:id="325"/>
    </w:p>
    <w:p w14:paraId="709E2707">
      <w:pPr>
        <w:rPr>
          <w:rFonts w:hint="eastAsia"/>
          <w:color w:val="auto"/>
        </w:rPr>
      </w:pPr>
      <w:r>
        <w:rPr>
          <w:rFonts w:hint="eastAsia"/>
          <w:color w:val="auto"/>
        </w:rPr>
        <w:t>项目质量控制的方法，主要是审核有关技术文件、报告和直接进行现场检查或必要的试验等。</w:t>
      </w:r>
    </w:p>
    <w:p w14:paraId="7E4C2C94">
      <w:pPr>
        <w:rPr>
          <w:rFonts w:hint="eastAsia"/>
          <w:color w:val="auto"/>
        </w:rPr>
      </w:pPr>
      <w:r>
        <w:rPr>
          <w:rFonts w:hint="eastAsia"/>
          <w:color w:val="auto"/>
        </w:rPr>
        <w:t>1、审核有关技术文件、报告或报表</w:t>
      </w:r>
    </w:p>
    <w:p w14:paraId="4B571F7A">
      <w:pPr>
        <w:pStyle w:val="54"/>
        <w:rPr>
          <w:rFonts w:hint="eastAsia"/>
          <w:color w:val="auto"/>
        </w:rPr>
      </w:pPr>
      <w:r>
        <w:rPr>
          <w:rFonts w:hint="eastAsia"/>
          <w:color w:val="auto"/>
        </w:rPr>
        <w:t>技术文件、报告或报表审核内容一览表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8237"/>
      </w:tblGrid>
      <w:tr w14:paraId="3F9D5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54" w:type="pct"/>
            <w:tcBorders>
              <w:top w:val="single" w:color="auto" w:sz="4" w:space="0"/>
              <w:left w:val="single" w:color="auto" w:sz="4" w:space="0"/>
              <w:bottom w:val="single" w:color="auto" w:sz="4" w:space="0"/>
              <w:right w:val="single" w:color="auto" w:sz="4" w:space="0"/>
            </w:tcBorders>
            <w:vAlign w:val="center"/>
          </w:tcPr>
          <w:p w14:paraId="685F72F2">
            <w:pPr>
              <w:pStyle w:val="74"/>
              <w:rPr>
                <w:rFonts w:hint="eastAsia"/>
                <w:color w:val="auto"/>
              </w:rPr>
            </w:pPr>
            <w:r>
              <w:rPr>
                <w:rFonts w:hint="eastAsia"/>
                <w:color w:val="auto"/>
              </w:rPr>
              <w:t>序号</w:t>
            </w:r>
          </w:p>
        </w:tc>
        <w:tc>
          <w:tcPr>
            <w:tcW w:w="4546" w:type="pct"/>
            <w:tcBorders>
              <w:top w:val="single" w:color="auto" w:sz="4" w:space="0"/>
              <w:left w:val="nil"/>
              <w:bottom w:val="single" w:color="auto" w:sz="4" w:space="0"/>
              <w:right w:val="single" w:color="auto" w:sz="4" w:space="0"/>
            </w:tcBorders>
            <w:vAlign w:val="center"/>
          </w:tcPr>
          <w:p w14:paraId="30C98FC6">
            <w:pPr>
              <w:pStyle w:val="74"/>
              <w:rPr>
                <w:rFonts w:hint="eastAsia"/>
                <w:color w:val="auto"/>
              </w:rPr>
            </w:pPr>
            <w:r>
              <w:rPr>
                <w:rFonts w:hint="eastAsia"/>
                <w:color w:val="auto"/>
              </w:rPr>
              <w:t>具体内容</w:t>
            </w:r>
          </w:p>
        </w:tc>
      </w:tr>
      <w:tr w14:paraId="4054C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54" w:type="pct"/>
            <w:tcBorders>
              <w:top w:val="single" w:color="auto" w:sz="4" w:space="0"/>
              <w:left w:val="single" w:color="auto" w:sz="4" w:space="0"/>
              <w:bottom w:val="single" w:color="auto" w:sz="4" w:space="0"/>
              <w:right w:val="single" w:color="auto" w:sz="4" w:space="0"/>
            </w:tcBorders>
            <w:vAlign w:val="center"/>
          </w:tcPr>
          <w:p w14:paraId="12B6E2B7">
            <w:pPr>
              <w:pStyle w:val="74"/>
              <w:rPr>
                <w:rFonts w:hint="eastAsia"/>
                <w:color w:val="auto"/>
              </w:rPr>
            </w:pPr>
            <w:r>
              <w:rPr>
                <w:rFonts w:hint="eastAsia"/>
                <w:color w:val="auto"/>
              </w:rPr>
              <w:t>1</w:t>
            </w:r>
          </w:p>
        </w:tc>
        <w:tc>
          <w:tcPr>
            <w:tcW w:w="4546" w:type="pct"/>
            <w:tcBorders>
              <w:top w:val="single" w:color="auto" w:sz="4" w:space="0"/>
              <w:left w:val="nil"/>
              <w:bottom w:val="single" w:color="auto" w:sz="4" w:space="0"/>
              <w:right w:val="single" w:color="auto" w:sz="4" w:space="0"/>
            </w:tcBorders>
            <w:vAlign w:val="center"/>
          </w:tcPr>
          <w:p w14:paraId="0D243012">
            <w:pPr>
              <w:pStyle w:val="74"/>
              <w:rPr>
                <w:rFonts w:hint="eastAsia"/>
                <w:color w:val="auto"/>
              </w:rPr>
            </w:pPr>
            <w:r>
              <w:rPr>
                <w:rFonts w:hint="eastAsia"/>
                <w:color w:val="auto"/>
              </w:rPr>
              <w:t>审核有关技术资质证明文件</w:t>
            </w:r>
          </w:p>
        </w:tc>
      </w:tr>
      <w:tr w14:paraId="346A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454" w:type="pct"/>
            <w:tcBorders>
              <w:top w:val="single" w:color="auto" w:sz="4" w:space="0"/>
              <w:left w:val="single" w:color="auto" w:sz="4" w:space="0"/>
              <w:bottom w:val="single" w:color="auto" w:sz="4" w:space="0"/>
              <w:right w:val="single" w:color="auto" w:sz="4" w:space="0"/>
            </w:tcBorders>
            <w:vAlign w:val="center"/>
          </w:tcPr>
          <w:p w14:paraId="108C55AC">
            <w:pPr>
              <w:pStyle w:val="74"/>
              <w:rPr>
                <w:rFonts w:hint="eastAsia"/>
                <w:color w:val="auto"/>
              </w:rPr>
            </w:pPr>
            <w:r>
              <w:rPr>
                <w:rFonts w:hint="eastAsia"/>
                <w:color w:val="auto"/>
              </w:rPr>
              <w:t>2</w:t>
            </w:r>
          </w:p>
        </w:tc>
        <w:tc>
          <w:tcPr>
            <w:tcW w:w="4546" w:type="pct"/>
            <w:tcBorders>
              <w:top w:val="single" w:color="auto" w:sz="4" w:space="0"/>
              <w:left w:val="nil"/>
              <w:bottom w:val="single" w:color="auto" w:sz="4" w:space="0"/>
              <w:right w:val="single" w:color="auto" w:sz="4" w:space="0"/>
            </w:tcBorders>
            <w:vAlign w:val="center"/>
          </w:tcPr>
          <w:p w14:paraId="72BF6A9E">
            <w:pPr>
              <w:pStyle w:val="74"/>
              <w:rPr>
                <w:rFonts w:hint="eastAsia"/>
                <w:color w:val="auto"/>
              </w:rPr>
            </w:pPr>
            <w:r>
              <w:rPr>
                <w:rFonts w:hint="eastAsia"/>
                <w:color w:val="auto"/>
              </w:rPr>
              <w:t>审核施工组织设计、施工方案和技术措施</w:t>
            </w:r>
          </w:p>
        </w:tc>
      </w:tr>
      <w:tr w14:paraId="0D7CC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454" w:type="pct"/>
            <w:tcBorders>
              <w:top w:val="single" w:color="auto" w:sz="4" w:space="0"/>
              <w:left w:val="single" w:color="auto" w:sz="4" w:space="0"/>
              <w:bottom w:val="single" w:color="auto" w:sz="4" w:space="0"/>
              <w:right w:val="single" w:color="auto" w:sz="4" w:space="0"/>
            </w:tcBorders>
            <w:vAlign w:val="center"/>
          </w:tcPr>
          <w:p w14:paraId="6741093E">
            <w:pPr>
              <w:pStyle w:val="74"/>
              <w:rPr>
                <w:rFonts w:hint="eastAsia"/>
                <w:color w:val="auto"/>
              </w:rPr>
            </w:pPr>
            <w:r>
              <w:rPr>
                <w:rFonts w:hint="eastAsia"/>
                <w:color w:val="auto"/>
              </w:rPr>
              <w:t>3</w:t>
            </w:r>
          </w:p>
        </w:tc>
        <w:tc>
          <w:tcPr>
            <w:tcW w:w="4546" w:type="pct"/>
            <w:tcBorders>
              <w:top w:val="single" w:color="auto" w:sz="4" w:space="0"/>
              <w:left w:val="nil"/>
              <w:bottom w:val="single" w:color="auto" w:sz="4" w:space="0"/>
              <w:right w:val="single" w:color="auto" w:sz="4" w:space="0"/>
            </w:tcBorders>
            <w:vAlign w:val="center"/>
          </w:tcPr>
          <w:p w14:paraId="450C8CA7">
            <w:pPr>
              <w:pStyle w:val="74"/>
              <w:rPr>
                <w:rFonts w:hint="eastAsia"/>
                <w:color w:val="auto"/>
              </w:rPr>
            </w:pPr>
            <w:r>
              <w:rPr>
                <w:rFonts w:hint="eastAsia"/>
                <w:color w:val="auto"/>
              </w:rPr>
              <w:t>审核有关材料、半成品的质量检验报告</w:t>
            </w:r>
          </w:p>
        </w:tc>
      </w:tr>
      <w:tr w14:paraId="41E6F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454" w:type="pct"/>
            <w:tcBorders>
              <w:top w:val="single" w:color="auto" w:sz="4" w:space="0"/>
              <w:left w:val="single" w:color="auto" w:sz="4" w:space="0"/>
              <w:bottom w:val="single" w:color="auto" w:sz="4" w:space="0"/>
              <w:right w:val="single" w:color="auto" w:sz="4" w:space="0"/>
            </w:tcBorders>
            <w:vAlign w:val="center"/>
          </w:tcPr>
          <w:p w14:paraId="074CC266">
            <w:pPr>
              <w:pStyle w:val="74"/>
              <w:rPr>
                <w:rFonts w:hint="eastAsia"/>
                <w:color w:val="auto"/>
              </w:rPr>
            </w:pPr>
            <w:r>
              <w:rPr>
                <w:rFonts w:hint="eastAsia"/>
                <w:color w:val="auto"/>
              </w:rPr>
              <w:t>4</w:t>
            </w:r>
          </w:p>
        </w:tc>
        <w:tc>
          <w:tcPr>
            <w:tcW w:w="4546" w:type="pct"/>
            <w:tcBorders>
              <w:top w:val="single" w:color="auto" w:sz="4" w:space="0"/>
              <w:left w:val="nil"/>
              <w:bottom w:val="single" w:color="auto" w:sz="4" w:space="0"/>
              <w:right w:val="single" w:color="auto" w:sz="4" w:space="0"/>
            </w:tcBorders>
            <w:vAlign w:val="center"/>
          </w:tcPr>
          <w:p w14:paraId="26CA81EC">
            <w:pPr>
              <w:pStyle w:val="74"/>
              <w:rPr>
                <w:rFonts w:hint="eastAsia"/>
                <w:color w:val="auto"/>
              </w:rPr>
            </w:pPr>
            <w:r>
              <w:rPr>
                <w:rFonts w:hint="eastAsia"/>
                <w:color w:val="auto"/>
              </w:rPr>
              <w:t>审核反映工序质量动态的统计资料或控制图表</w:t>
            </w:r>
          </w:p>
        </w:tc>
      </w:tr>
      <w:tr w14:paraId="05C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454" w:type="pct"/>
            <w:tcBorders>
              <w:top w:val="single" w:color="auto" w:sz="4" w:space="0"/>
              <w:left w:val="single" w:color="auto" w:sz="4" w:space="0"/>
              <w:bottom w:val="single" w:color="auto" w:sz="4" w:space="0"/>
              <w:right w:val="single" w:color="auto" w:sz="4" w:space="0"/>
            </w:tcBorders>
            <w:vAlign w:val="center"/>
          </w:tcPr>
          <w:p w14:paraId="5594E509">
            <w:pPr>
              <w:pStyle w:val="74"/>
              <w:rPr>
                <w:rFonts w:hint="eastAsia"/>
                <w:color w:val="auto"/>
              </w:rPr>
            </w:pPr>
            <w:r>
              <w:rPr>
                <w:rFonts w:hint="eastAsia"/>
                <w:color w:val="auto"/>
              </w:rPr>
              <w:t>5</w:t>
            </w:r>
          </w:p>
        </w:tc>
        <w:tc>
          <w:tcPr>
            <w:tcW w:w="4546" w:type="pct"/>
            <w:tcBorders>
              <w:top w:val="single" w:color="auto" w:sz="4" w:space="0"/>
              <w:left w:val="nil"/>
              <w:bottom w:val="single" w:color="auto" w:sz="4" w:space="0"/>
              <w:right w:val="single" w:color="auto" w:sz="4" w:space="0"/>
            </w:tcBorders>
            <w:vAlign w:val="center"/>
          </w:tcPr>
          <w:p w14:paraId="4C236B14">
            <w:pPr>
              <w:pStyle w:val="74"/>
              <w:rPr>
                <w:rFonts w:hint="eastAsia"/>
                <w:color w:val="auto"/>
              </w:rPr>
            </w:pPr>
            <w:r>
              <w:rPr>
                <w:rFonts w:hint="eastAsia"/>
                <w:color w:val="auto"/>
              </w:rPr>
              <w:t>审核设计变更、修改图纸和技术核定单</w:t>
            </w:r>
          </w:p>
        </w:tc>
      </w:tr>
      <w:tr w14:paraId="206E8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454" w:type="pct"/>
            <w:tcBorders>
              <w:top w:val="single" w:color="auto" w:sz="4" w:space="0"/>
              <w:left w:val="single" w:color="auto" w:sz="4" w:space="0"/>
              <w:bottom w:val="single" w:color="auto" w:sz="4" w:space="0"/>
              <w:right w:val="single" w:color="auto" w:sz="4" w:space="0"/>
            </w:tcBorders>
            <w:vAlign w:val="center"/>
          </w:tcPr>
          <w:p w14:paraId="0AFF4AB2">
            <w:pPr>
              <w:pStyle w:val="74"/>
              <w:rPr>
                <w:rFonts w:hint="eastAsia"/>
                <w:color w:val="auto"/>
              </w:rPr>
            </w:pPr>
            <w:r>
              <w:rPr>
                <w:rFonts w:hint="eastAsia"/>
                <w:color w:val="auto"/>
              </w:rPr>
              <w:t>6</w:t>
            </w:r>
          </w:p>
        </w:tc>
        <w:tc>
          <w:tcPr>
            <w:tcW w:w="4546" w:type="pct"/>
            <w:tcBorders>
              <w:top w:val="single" w:color="auto" w:sz="4" w:space="0"/>
              <w:left w:val="nil"/>
              <w:bottom w:val="single" w:color="auto" w:sz="4" w:space="0"/>
              <w:right w:val="single" w:color="auto" w:sz="4" w:space="0"/>
            </w:tcBorders>
            <w:vAlign w:val="center"/>
          </w:tcPr>
          <w:p w14:paraId="7EE13300">
            <w:pPr>
              <w:pStyle w:val="74"/>
              <w:rPr>
                <w:rFonts w:hint="eastAsia"/>
                <w:color w:val="auto"/>
              </w:rPr>
            </w:pPr>
            <w:r>
              <w:rPr>
                <w:rFonts w:hint="eastAsia"/>
                <w:color w:val="auto"/>
              </w:rPr>
              <w:t>审核有关质量问题的处理报告</w:t>
            </w:r>
          </w:p>
        </w:tc>
      </w:tr>
      <w:tr w14:paraId="536DD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54" w:type="pct"/>
            <w:tcBorders>
              <w:top w:val="single" w:color="auto" w:sz="4" w:space="0"/>
              <w:left w:val="single" w:color="auto" w:sz="4" w:space="0"/>
              <w:bottom w:val="single" w:color="auto" w:sz="4" w:space="0"/>
              <w:right w:val="single" w:color="auto" w:sz="4" w:space="0"/>
            </w:tcBorders>
            <w:vAlign w:val="center"/>
          </w:tcPr>
          <w:p w14:paraId="4BD2813A">
            <w:pPr>
              <w:pStyle w:val="74"/>
              <w:rPr>
                <w:rFonts w:hint="eastAsia"/>
                <w:color w:val="auto"/>
              </w:rPr>
            </w:pPr>
            <w:r>
              <w:rPr>
                <w:rFonts w:hint="eastAsia"/>
                <w:color w:val="auto"/>
              </w:rPr>
              <w:t>7</w:t>
            </w:r>
          </w:p>
        </w:tc>
        <w:tc>
          <w:tcPr>
            <w:tcW w:w="4546" w:type="pct"/>
            <w:tcBorders>
              <w:top w:val="single" w:color="auto" w:sz="4" w:space="0"/>
              <w:left w:val="nil"/>
              <w:bottom w:val="single" w:color="auto" w:sz="4" w:space="0"/>
              <w:right w:val="single" w:color="auto" w:sz="4" w:space="0"/>
            </w:tcBorders>
            <w:vAlign w:val="center"/>
          </w:tcPr>
          <w:p w14:paraId="65B45D58">
            <w:pPr>
              <w:pStyle w:val="74"/>
              <w:rPr>
                <w:rFonts w:hint="eastAsia"/>
                <w:color w:val="auto"/>
              </w:rPr>
            </w:pPr>
            <w:r>
              <w:rPr>
                <w:rFonts w:hint="eastAsia"/>
                <w:color w:val="auto"/>
              </w:rPr>
              <w:t>审核有关工序交接检查，分项、分部工程质量检查报告</w:t>
            </w:r>
          </w:p>
        </w:tc>
      </w:tr>
      <w:tr w14:paraId="61754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454" w:type="pct"/>
            <w:tcBorders>
              <w:top w:val="single" w:color="auto" w:sz="4" w:space="0"/>
              <w:left w:val="single" w:color="auto" w:sz="4" w:space="0"/>
              <w:bottom w:val="single" w:color="auto" w:sz="4" w:space="0"/>
              <w:right w:val="single" w:color="auto" w:sz="4" w:space="0"/>
            </w:tcBorders>
            <w:vAlign w:val="center"/>
          </w:tcPr>
          <w:p w14:paraId="383FD53C">
            <w:pPr>
              <w:pStyle w:val="74"/>
              <w:rPr>
                <w:rFonts w:hint="eastAsia"/>
                <w:color w:val="auto"/>
              </w:rPr>
            </w:pPr>
            <w:r>
              <w:rPr>
                <w:rFonts w:hint="eastAsia"/>
                <w:color w:val="auto"/>
              </w:rPr>
              <w:t>8</w:t>
            </w:r>
          </w:p>
        </w:tc>
        <w:tc>
          <w:tcPr>
            <w:tcW w:w="4546" w:type="pct"/>
            <w:tcBorders>
              <w:top w:val="single" w:color="auto" w:sz="4" w:space="0"/>
              <w:left w:val="nil"/>
              <w:bottom w:val="single" w:color="auto" w:sz="4" w:space="0"/>
              <w:right w:val="single" w:color="auto" w:sz="4" w:space="0"/>
            </w:tcBorders>
            <w:vAlign w:val="center"/>
          </w:tcPr>
          <w:p w14:paraId="03E41E91">
            <w:pPr>
              <w:pStyle w:val="74"/>
              <w:rPr>
                <w:rFonts w:hint="eastAsia"/>
                <w:color w:val="auto"/>
              </w:rPr>
            </w:pPr>
            <w:r>
              <w:rPr>
                <w:rFonts w:hint="eastAsia"/>
                <w:color w:val="auto"/>
              </w:rPr>
              <w:t>审核并签署现场有关技术签证、文件等</w:t>
            </w:r>
          </w:p>
        </w:tc>
      </w:tr>
    </w:tbl>
    <w:p w14:paraId="6ABA69E7">
      <w:pPr>
        <w:rPr>
          <w:rFonts w:hint="eastAsia"/>
          <w:color w:val="auto"/>
        </w:rPr>
      </w:pPr>
      <w:r>
        <w:rPr>
          <w:rFonts w:hint="eastAsia"/>
          <w:color w:val="auto"/>
        </w:rPr>
        <w:t>2、现场质量检查</w:t>
      </w:r>
    </w:p>
    <w:p w14:paraId="0C7DA839">
      <w:pPr>
        <w:pStyle w:val="54"/>
        <w:rPr>
          <w:rFonts w:hint="eastAsia"/>
          <w:color w:val="auto"/>
        </w:rPr>
      </w:pPr>
      <w:r>
        <w:rPr>
          <w:rFonts w:hint="eastAsia"/>
          <w:color w:val="auto"/>
        </w:rPr>
        <w:t>现场质量检查内容一览表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0"/>
        <w:gridCol w:w="6440"/>
      </w:tblGrid>
      <w:tr w14:paraId="7B9AC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1446" w:type="pct"/>
            <w:tcBorders>
              <w:top w:val="single" w:color="auto" w:sz="4" w:space="0"/>
              <w:left w:val="single" w:color="auto" w:sz="4" w:space="0"/>
              <w:bottom w:val="single" w:color="auto" w:sz="4" w:space="0"/>
              <w:right w:val="single" w:color="auto" w:sz="4" w:space="0"/>
            </w:tcBorders>
            <w:vAlign w:val="center"/>
          </w:tcPr>
          <w:p w14:paraId="4BAB5C5C">
            <w:pPr>
              <w:pStyle w:val="74"/>
              <w:rPr>
                <w:rFonts w:hint="eastAsia"/>
                <w:color w:val="auto"/>
              </w:rPr>
            </w:pPr>
            <w:r>
              <w:rPr>
                <w:rFonts w:hint="eastAsia"/>
                <w:color w:val="auto"/>
              </w:rPr>
              <w:t>项目</w:t>
            </w:r>
          </w:p>
        </w:tc>
        <w:tc>
          <w:tcPr>
            <w:tcW w:w="3554" w:type="pct"/>
            <w:tcBorders>
              <w:top w:val="single" w:color="auto" w:sz="4" w:space="0"/>
              <w:left w:val="nil"/>
              <w:bottom w:val="single" w:color="auto" w:sz="4" w:space="0"/>
              <w:right w:val="single" w:color="auto" w:sz="4" w:space="0"/>
            </w:tcBorders>
            <w:vAlign w:val="center"/>
          </w:tcPr>
          <w:p w14:paraId="08032478">
            <w:pPr>
              <w:pStyle w:val="74"/>
              <w:rPr>
                <w:rFonts w:hint="eastAsia"/>
                <w:color w:val="auto"/>
              </w:rPr>
            </w:pPr>
            <w:r>
              <w:rPr>
                <w:rFonts w:hint="eastAsia"/>
                <w:color w:val="auto"/>
              </w:rPr>
              <w:t>内容</w:t>
            </w:r>
          </w:p>
        </w:tc>
      </w:tr>
      <w:tr w14:paraId="0BA5C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1446" w:type="pct"/>
            <w:tcBorders>
              <w:top w:val="single" w:color="auto" w:sz="4" w:space="0"/>
              <w:left w:val="single" w:color="auto" w:sz="4" w:space="0"/>
              <w:bottom w:val="single" w:color="auto" w:sz="4" w:space="0"/>
              <w:right w:val="single" w:color="auto" w:sz="4" w:space="0"/>
            </w:tcBorders>
            <w:vAlign w:val="center"/>
          </w:tcPr>
          <w:p w14:paraId="7C540E89">
            <w:pPr>
              <w:pStyle w:val="74"/>
              <w:rPr>
                <w:rFonts w:hint="eastAsia"/>
                <w:color w:val="auto"/>
              </w:rPr>
            </w:pPr>
            <w:r>
              <w:rPr>
                <w:rFonts w:hint="eastAsia"/>
                <w:color w:val="auto"/>
              </w:rPr>
              <w:t>开工前检查</w:t>
            </w:r>
          </w:p>
        </w:tc>
        <w:tc>
          <w:tcPr>
            <w:tcW w:w="3554" w:type="pct"/>
            <w:tcBorders>
              <w:top w:val="single" w:color="auto" w:sz="4" w:space="0"/>
              <w:left w:val="nil"/>
              <w:bottom w:val="single" w:color="auto" w:sz="4" w:space="0"/>
              <w:right w:val="single" w:color="auto" w:sz="4" w:space="0"/>
            </w:tcBorders>
            <w:vAlign w:val="center"/>
          </w:tcPr>
          <w:p w14:paraId="3FBE894B">
            <w:pPr>
              <w:pStyle w:val="74"/>
              <w:rPr>
                <w:rFonts w:hint="eastAsia"/>
                <w:color w:val="auto"/>
              </w:rPr>
            </w:pPr>
            <w:r>
              <w:rPr>
                <w:rFonts w:hint="eastAsia"/>
                <w:color w:val="auto"/>
              </w:rPr>
              <w:t>目的是检查是否具备开工条件，开工后能否连续正常施工，能否保证工程质量。</w:t>
            </w:r>
          </w:p>
        </w:tc>
      </w:tr>
      <w:tr w14:paraId="4E069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446" w:type="pct"/>
            <w:tcBorders>
              <w:top w:val="single" w:color="auto" w:sz="4" w:space="0"/>
              <w:left w:val="single" w:color="auto" w:sz="4" w:space="0"/>
              <w:bottom w:val="single" w:color="auto" w:sz="4" w:space="0"/>
              <w:right w:val="single" w:color="auto" w:sz="4" w:space="0"/>
            </w:tcBorders>
            <w:vAlign w:val="center"/>
          </w:tcPr>
          <w:p w14:paraId="72FF206C">
            <w:pPr>
              <w:pStyle w:val="74"/>
              <w:rPr>
                <w:rFonts w:hint="eastAsia"/>
                <w:color w:val="auto"/>
              </w:rPr>
            </w:pPr>
            <w:r>
              <w:rPr>
                <w:rFonts w:hint="eastAsia"/>
                <w:color w:val="auto"/>
              </w:rPr>
              <w:t>工序交接检查</w:t>
            </w:r>
          </w:p>
        </w:tc>
        <w:tc>
          <w:tcPr>
            <w:tcW w:w="3554" w:type="pct"/>
            <w:tcBorders>
              <w:top w:val="single" w:color="auto" w:sz="4" w:space="0"/>
              <w:left w:val="nil"/>
              <w:bottom w:val="single" w:color="auto" w:sz="4" w:space="0"/>
              <w:right w:val="single" w:color="auto" w:sz="4" w:space="0"/>
            </w:tcBorders>
            <w:vAlign w:val="center"/>
          </w:tcPr>
          <w:p w14:paraId="408BCB64">
            <w:pPr>
              <w:pStyle w:val="74"/>
              <w:rPr>
                <w:rFonts w:hint="eastAsia"/>
                <w:color w:val="auto"/>
              </w:rPr>
            </w:pPr>
            <w:r>
              <w:rPr>
                <w:rFonts w:hint="eastAsia"/>
                <w:color w:val="auto"/>
              </w:rPr>
              <w:t>对于重要的工序或对工程质量有重大影响的工序，在自检、互检的基础上，还要组织专职人员进行工序交接检查。</w:t>
            </w:r>
          </w:p>
        </w:tc>
      </w:tr>
      <w:tr w14:paraId="564D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446" w:type="pct"/>
            <w:tcBorders>
              <w:top w:val="single" w:color="auto" w:sz="4" w:space="0"/>
              <w:left w:val="single" w:color="auto" w:sz="4" w:space="0"/>
              <w:bottom w:val="single" w:color="auto" w:sz="4" w:space="0"/>
              <w:right w:val="single" w:color="auto" w:sz="4" w:space="0"/>
            </w:tcBorders>
            <w:vAlign w:val="center"/>
          </w:tcPr>
          <w:p w14:paraId="6D78A595">
            <w:pPr>
              <w:pStyle w:val="74"/>
              <w:rPr>
                <w:rFonts w:hint="eastAsia"/>
                <w:color w:val="auto"/>
              </w:rPr>
            </w:pPr>
            <w:r>
              <w:rPr>
                <w:rFonts w:hint="eastAsia"/>
                <w:color w:val="auto"/>
              </w:rPr>
              <w:t>隐蔽工程检查</w:t>
            </w:r>
          </w:p>
        </w:tc>
        <w:tc>
          <w:tcPr>
            <w:tcW w:w="3554" w:type="pct"/>
            <w:tcBorders>
              <w:top w:val="single" w:color="auto" w:sz="4" w:space="0"/>
              <w:left w:val="nil"/>
              <w:bottom w:val="single" w:color="auto" w:sz="4" w:space="0"/>
              <w:right w:val="single" w:color="auto" w:sz="4" w:space="0"/>
            </w:tcBorders>
            <w:vAlign w:val="center"/>
          </w:tcPr>
          <w:p w14:paraId="487547BB">
            <w:pPr>
              <w:pStyle w:val="74"/>
              <w:rPr>
                <w:rFonts w:hint="eastAsia"/>
                <w:color w:val="auto"/>
              </w:rPr>
            </w:pPr>
            <w:r>
              <w:rPr>
                <w:rFonts w:hint="eastAsia"/>
                <w:color w:val="auto"/>
              </w:rPr>
              <w:t>凡是隐蔽工程均应检查认证后方能进入下道工序。</w:t>
            </w:r>
          </w:p>
        </w:tc>
      </w:tr>
      <w:tr w14:paraId="1B7E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446" w:type="pct"/>
            <w:tcBorders>
              <w:top w:val="single" w:color="auto" w:sz="4" w:space="0"/>
              <w:left w:val="single" w:color="auto" w:sz="4" w:space="0"/>
              <w:bottom w:val="single" w:color="auto" w:sz="4" w:space="0"/>
              <w:right w:val="single" w:color="auto" w:sz="4" w:space="0"/>
            </w:tcBorders>
            <w:vAlign w:val="center"/>
          </w:tcPr>
          <w:p w14:paraId="7A52D9FB">
            <w:pPr>
              <w:pStyle w:val="74"/>
              <w:rPr>
                <w:rFonts w:hint="eastAsia"/>
                <w:color w:val="auto"/>
              </w:rPr>
            </w:pPr>
            <w:r>
              <w:rPr>
                <w:rFonts w:hint="eastAsia"/>
                <w:color w:val="auto"/>
              </w:rPr>
              <w:t>停工后复工前的检查</w:t>
            </w:r>
          </w:p>
        </w:tc>
        <w:tc>
          <w:tcPr>
            <w:tcW w:w="3554" w:type="pct"/>
            <w:tcBorders>
              <w:top w:val="single" w:color="auto" w:sz="4" w:space="0"/>
              <w:left w:val="nil"/>
              <w:bottom w:val="single" w:color="auto" w:sz="4" w:space="0"/>
              <w:right w:val="single" w:color="auto" w:sz="4" w:space="0"/>
            </w:tcBorders>
            <w:vAlign w:val="center"/>
          </w:tcPr>
          <w:p w14:paraId="57816EA3">
            <w:pPr>
              <w:pStyle w:val="74"/>
              <w:rPr>
                <w:rFonts w:hint="eastAsia"/>
                <w:color w:val="auto"/>
              </w:rPr>
            </w:pPr>
            <w:r>
              <w:rPr>
                <w:rFonts w:hint="eastAsia"/>
                <w:color w:val="auto"/>
              </w:rPr>
              <w:t>因处理质量问题或某种原因停工后，需复工时，亦应经检查认可后方能复工。</w:t>
            </w:r>
          </w:p>
        </w:tc>
      </w:tr>
      <w:tr w14:paraId="23CAC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1446" w:type="pct"/>
            <w:tcBorders>
              <w:top w:val="single" w:color="auto" w:sz="4" w:space="0"/>
              <w:left w:val="single" w:color="auto" w:sz="4" w:space="0"/>
              <w:bottom w:val="single" w:color="auto" w:sz="4" w:space="0"/>
              <w:right w:val="single" w:color="auto" w:sz="4" w:space="0"/>
            </w:tcBorders>
            <w:vAlign w:val="center"/>
          </w:tcPr>
          <w:p w14:paraId="5909A4F1">
            <w:pPr>
              <w:pStyle w:val="74"/>
              <w:rPr>
                <w:rFonts w:hint="eastAsia"/>
                <w:color w:val="auto"/>
              </w:rPr>
            </w:pPr>
            <w:r>
              <w:rPr>
                <w:rFonts w:hint="eastAsia"/>
                <w:color w:val="auto"/>
              </w:rPr>
              <w:t>分项、分部工程完工检查</w:t>
            </w:r>
          </w:p>
        </w:tc>
        <w:tc>
          <w:tcPr>
            <w:tcW w:w="3554" w:type="pct"/>
            <w:tcBorders>
              <w:top w:val="single" w:color="auto" w:sz="4" w:space="0"/>
              <w:left w:val="nil"/>
              <w:bottom w:val="single" w:color="auto" w:sz="4" w:space="0"/>
              <w:right w:val="single" w:color="auto" w:sz="4" w:space="0"/>
            </w:tcBorders>
            <w:vAlign w:val="center"/>
          </w:tcPr>
          <w:p w14:paraId="62098F49">
            <w:pPr>
              <w:pStyle w:val="74"/>
              <w:rPr>
                <w:rFonts w:hint="eastAsia"/>
                <w:color w:val="auto"/>
              </w:rPr>
            </w:pPr>
            <w:r>
              <w:rPr>
                <w:rFonts w:hint="eastAsia"/>
                <w:color w:val="auto"/>
              </w:rPr>
              <w:t>经检查认可，签署验收记录后，进行下一分项、分部工程施工。</w:t>
            </w:r>
          </w:p>
        </w:tc>
      </w:tr>
      <w:tr w14:paraId="58601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1446" w:type="pct"/>
            <w:tcBorders>
              <w:top w:val="single" w:color="auto" w:sz="4" w:space="0"/>
              <w:left w:val="single" w:color="auto" w:sz="4" w:space="0"/>
              <w:bottom w:val="single" w:color="auto" w:sz="4" w:space="0"/>
              <w:right w:val="single" w:color="auto" w:sz="4" w:space="0"/>
            </w:tcBorders>
            <w:vAlign w:val="center"/>
          </w:tcPr>
          <w:p w14:paraId="352554B4">
            <w:pPr>
              <w:pStyle w:val="74"/>
              <w:rPr>
                <w:rFonts w:hint="eastAsia"/>
                <w:color w:val="auto"/>
              </w:rPr>
            </w:pPr>
            <w:r>
              <w:rPr>
                <w:rFonts w:hint="eastAsia"/>
                <w:color w:val="auto"/>
              </w:rPr>
              <w:t>成品保护检查</w:t>
            </w:r>
          </w:p>
        </w:tc>
        <w:tc>
          <w:tcPr>
            <w:tcW w:w="3554" w:type="pct"/>
            <w:tcBorders>
              <w:top w:val="single" w:color="auto" w:sz="4" w:space="0"/>
              <w:left w:val="nil"/>
              <w:bottom w:val="single" w:color="auto" w:sz="4" w:space="0"/>
              <w:right w:val="single" w:color="auto" w:sz="4" w:space="0"/>
            </w:tcBorders>
            <w:vAlign w:val="center"/>
          </w:tcPr>
          <w:p w14:paraId="742F5F18">
            <w:pPr>
              <w:pStyle w:val="74"/>
              <w:rPr>
                <w:rFonts w:hint="eastAsia"/>
                <w:color w:val="auto"/>
              </w:rPr>
            </w:pPr>
            <w:r>
              <w:rPr>
                <w:rFonts w:hint="eastAsia"/>
                <w:color w:val="auto"/>
              </w:rPr>
              <w:t>检查成品有无保护措施，保护措施有无检查记录。</w:t>
            </w:r>
          </w:p>
        </w:tc>
      </w:tr>
    </w:tbl>
    <w:p w14:paraId="794D07CA">
      <w:pPr>
        <w:rPr>
          <w:rFonts w:hint="eastAsia"/>
          <w:color w:val="auto"/>
        </w:rPr>
      </w:pPr>
      <w:r>
        <w:rPr>
          <w:rFonts w:hint="eastAsia"/>
          <w:color w:val="auto"/>
        </w:rPr>
        <w:t>3、现场质量检查的方法</w:t>
      </w:r>
    </w:p>
    <w:p w14:paraId="1B30CCEB">
      <w:pPr>
        <w:rPr>
          <w:rFonts w:hint="eastAsia"/>
          <w:color w:val="auto"/>
        </w:rPr>
      </w:pPr>
      <w:r>
        <w:rPr>
          <w:rFonts w:hint="eastAsia"/>
          <w:color w:val="auto"/>
        </w:rPr>
        <w:t>采用目测法、实测法和试验法进行检查。</w:t>
      </w:r>
    </w:p>
    <w:p w14:paraId="3A3202A7">
      <w:pPr>
        <w:pStyle w:val="5"/>
        <w:rPr>
          <w:rFonts w:hint="eastAsia"/>
          <w:color w:val="auto"/>
        </w:rPr>
      </w:pPr>
      <w:bookmarkStart w:id="326" w:name="_Toc22283"/>
      <w:r>
        <w:rPr>
          <w:rFonts w:hint="eastAsia"/>
          <w:color w:val="auto"/>
        </w:rPr>
        <w:t>施工工序质量的控制</w:t>
      </w:r>
      <w:bookmarkEnd w:id="326"/>
    </w:p>
    <w:p w14:paraId="2B9C8BBF">
      <w:pPr>
        <w:pStyle w:val="54"/>
        <w:rPr>
          <w:rFonts w:hint="eastAsia"/>
          <w:color w:val="auto"/>
        </w:rPr>
      </w:pPr>
      <w:r>
        <w:rPr>
          <w:rFonts w:hint="eastAsia"/>
          <w:color w:val="auto"/>
        </w:rPr>
        <w:t>施工工序质量控制一览表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890"/>
        <w:gridCol w:w="6373"/>
      </w:tblGrid>
      <w:tr w14:paraId="64D3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440" w:type="pct"/>
            <w:tcBorders>
              <w:top w:val="single" w:color="auto" w:sz="4" w:space="0"/>
              <w:left w:val="single" w:color="auto" w:sz="4" w:space="0"/>
              <w:bottom w:val="single" w:color="auto" w:sz="4" w:space="0"/>
              <w:right w:val="single" w:color="auto" w:sz="4" w:space="0"/>
            </w:tcBorders>
            <w:vAlign w:val="center"/>
          </w:tcPr>
          <w:p w14:paraId="2FA9F860">
            <w:pPr>
              <w:pStyle w:val="74"/>
              <w:rPr>
                <w:rFonts w:hint="eastAsia"/>
                <w:color w:val="auto"/>
              </w:rPr>
            </w:pPr>
            <w:r>
              <w:rPr>
                <w:rFonts w:hint="eastAsia"/>
                <w:color w:val="auto"/>
              </w:rPr>
              <w:t>序号</w:t>
            </w:r>
          </w:p>
        </w:tc>
        <w:tc>
          <w:tcPr>
            <w:tcW w:w="1043" w:type="pct"/>
            <w:tcBorders>
              <w:top w:val="single" w:color="auto" w:sz="4" w:space="0"/>
              <w:left w:val="nil"/>
              <w:bottom w:val="single" w:color="auto" w:sz="4" w:space="0"/>
              <w:right w:val="single" w:color="auto" w:sz="4" w:space="0"/>
            </w:tcBorders>
            <w:vAlign w:val="center"/>
          </w:tcPr>
          <w:p w14:paraId="26AA5A7C">
            <w:pPr>
              <w:pStyle w:val="74"/>
              <w:rPr>
                <w:rFonts w:hint="eastAsia"/>
                <w:color w:val="auto"/>
              </w:rPr>
            </w:pPr>
            <w:r>
              <w:rPr>
                <w:rFonts w:hint="eastAsia"/>
                <w:color w:val="auto"/>
              </w:rPr>
              <w:t>项目</w:t>
            </w:r>
          </w:p>
        </w:tc>
        <w:tc>
          <w:tcPr>
            <w:tcW w:w="3517" w:type="pct"/>
            <w:tcBorders>
              <w:top w:val="single" w:color="auto" w:sz="4" w:space="0"/>
              <w:left w:val="nil"/>
              <w:bottom w:val="single" w:color="auto" w:sz="4" w:space="0"/>
              <w:right w:val="single" w:color="auto" w:sz="4" w:space="0"/>
            </w:tcBorders>
            <w:vAlign w:val="center"/>
          </w:tcPr>
          <w:p w14:paraId="705E1831">
            <w:pPr>
              <w:pStyle w:val="74"/>
              <w:rPr>
                <w:rFonts w:hint="eastAsia"/>
                <w:color w:val="auto"/>
              </w:rPr>
            </w:pPr>
            <w:r>
              <w:rPr>
                <w:rFonts w:hint="eastAsia"/>
                <w:color w:val="auto"/>
              </w:rPr>
              <w:t>内容</w:t>
            </w:r>
          </w:p>
        </w:tc>
      </w:tr>
      <w:tr w14:paraId="3A336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trPr>
        <w:tc>
          <w:tcPr>
            <w:tcW w:w="440" w:type="pct"/>
            <w:tcBorders>
              <w:top w:val="single" w:color="auto" w:sz="4" w:space="0"/>
              <w:left w:val="single" w:color="auto" w:sz="4" w:space="0"/>
              <w:bottom w:val="single" w:color="auto" w:sz="4" w:space="0"/>
              <w:right w:val="single" w:color="auto" w:sz="4" w:space="0"/>
            </w:tcBorders>
            <w:vAlign w:val="center"/>
          </w:tcPr>
          <w:p w14:paraId="0E78FAF1">
            <w:pPr>
              <w:pStyle w:val="74"/>
              <w:rPr>
                <w:rFonts w:hint="eastAsia"/>
                <w:color w:val="auto"/>
              </w:rPr>
            </w:pPr>
            <w:r>
              <w:rPr>
                <w:rFonts w:hint="eastAsia"/>
                <w:color w:val="auto"/>
              </w:rPr>
              <w:t>1</w:t>
            </w:r>
          </w:p>
        </w:tc>
        <w:tc>
          <w:tcPr>
            <w:tcW w:w="1043" w:type="pct"/>
            <w:tcBorders>
              <w:top w:val="single" w:color="auto" w:sz="4" w:space="0"/>
              <w:left w:val="nil"/>
              <w:bottom w:val="single" w:color="auto" w:sz="4" w:space="0"/>
              <w:right w:val="single" w:color="auto" w:sz="4" w:space="0"/>
            </w:tcBorders>
            <w:vAlign w:val="center"/>
          </w:tcPr>
          <w:p w14:paraId="523FA041">
            <w:pPr>
              <w:pStyle w:val="74"/>
              <w:rPr>
                <w:rFonts w:hint="eastAsia"/>
                <w:color w:val="auto"/>
              </w:rPr>
            </w:pPr>
            <w:r>
              <w:rPr>
                <w:rFonts w:hint="eastAsia"/>
                <w:color w:val="auto"/>
              </w:rPr>
              <w:t>工序质量控制内容</w:t>
            </w:r>
          </w:p>
        </w:tc>
        <w:tc>
          <w:tcPr>
            <w:tcW w:w="3517" w:type="pct"/>
            <w:tcBorders>
              <w:top w:val="single" w:color="auto" w:sz="4" w:space="0"/>
              <w:left w:val="nil"/>
              <w:bottom w:val="single" w:color="auto" w:sz="4" w:space="0"/>
              <w:right w:val="single" w:color="auto" w:sz="4" w:space="0"/>
            </w:tcBorders>
            <w:vAlign w:val="center"/>
          </w:tcPr>
          <w:p w14:paraId="6DF3B9FF">
            <w:pPr>
              <w:pStyle w:val="74"/>
              <w:ind w:firstLine="420" w:firstLineChars="200"/>
              <w:jc w:val="both"/>
              <w:rPr>
                <w:rFonts w:hint="eastAsia"/>
                <w:color w:val="auto"/>
              </w:rPr>
            </w:pPr>
            <w:r>
              <w:rPr>
                <w:rFonts w:hint="eastAsia"/>
                <w:color w:val="auto"/>
              </w:rPr>
              <w:t>一是工序活动条件的质量；二是工序活动效果的质量。从质量控制的角度来看，这两者是互为关联的，一方面要控制工序活动条件的质量，即每道工序投入品的质量（即人、机械、材料、方法、环境和测量的质量）是否符合要求，另一方面又要控制工序活动效果的质量，即每道工序施工完成的工程产品是否达到有关质量标准。</w:t>
            </w:r>
          </w:p>
        </w:tc>
      </w:tr>
      <w:tr w14:paraId="6522D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440" w:type="pct"/>
            <w:tcBorders>
              <w:top w:val="single" w:color="auto" w:sz="4" w:space="0"/>
              <w:left w:val="single" w:color="auto" w:sz="4" w:space="0"/>
              <w:bottom w:val="single" w:color="auto" w:sz="4" w:space="0"/>
              <w:right w:val="single" w:color="auto" w:sz="4" w:space="0"/>
            </w:tcBorders>
            <w:vAlign w:val="center"/>
          </w:tcPr>
          <w:p w14:paraId="61864B3C">
            <w:pPr>
              <w:pStyle w:val="74"/>
              <w:rPr>
                <w:rFonts w:hint="eastAsia"/>
                <w:color w:val="auto"/>
              </w:rPr>
            </w:pPr>
            <w:r>
              <w:rPr>
                <w:rFonts w:hint="eastAsia"/>
                <w:color w:val="auto"/>
              </w:rPr>
              <w:t>2</w:t>
            </w:r>
          </w:p>
        </w:tc>
        <w:tc>
          <w:tcPr>
            <w:tcW w:w="1043" w:type="pct"/>
            <w:tcBorders>
              <w:top w:val="single" w:color="auto" w:sz="4" w:space="0"/>
              <w:left w:val="nil"/>
              <w:bottom w:val="single" w:color="auto" w:sz="4" w:space="0"/>
              <w:right w:val="single" w:color="auto" w:sz="4" w:space="0"/>
            </w:tcBorders>
            <w:vAlign w:val="center"/>
          </w:tcPr>
          <w:p w14:paraId="780117C2">
            <w:pPr>
              <w:pStyle w:val="74"/>
              <w:rPr>
                <w:rFonts w:hint="eastAsia"/>
                <w:color w:val="auto"/>
              </w:rPr>
            </w:pPr>
            <w:r>
              <w:rPr>
                <w:rFonts w:hint="eastAsia"/>
                <w:color w:val="auto"/>
              </w:rPr>
              <w:t>工序质量控制原理</w:t>
            </w:r>
          </w:p>
        </w:tc>
        <w:tc>
          <w:tcPr>
            <w:tcW w:w="3517" w:type="pct"/>
            <w:tcBorders>
              <w:top w:val="single" w:color="auto" w:sz="4" w:space="0"/>
              <w:left w:val="nil"/>
              <w:bottom w:val="single" w:color="auto" w:sz="4" w:space="0"/>
              <w:right w:val="single" w:color="auto" w:sz="4" w:space="0"/>
            </w:tcBorders>
            <w:vAlign w:val="center"/>
          </w:tcPr>
          <w:p w14:paraId="5CF95AF2">
            <w:pPr>
              <w:pStyle w:val="74"/>
              <w:ind w:firstLine="420" w:firstLineChars="200"/>
              <w:jc w:val="both"/>
              <w:rPr>
                <w:rFonts w:hint="eastAsia"/>
                <w:color w:val="auto"/>
              </w:rPr>
            </w:pPr>
            <w:r>
              <w:rPr>
                <w:rFonts w:hint="eastAsia"/>
                <w:color w:val="auto"/>
              </w:rPr>
              <w:t>采用数理统计方法，通过对工序一部分（子样）检验的数据，进行统计、分析，来判断整道工序的质量是否稳定、正常。若不稳定，产生异常情况，必须及时采取对策和措施予以改善，从而实现对工序质量的控制。</w:t>
            </w:r>
          </w:p>
        </w:tc>
      </w:tr>
    </w:tbl>
    <w:p w14:paraId="05B697B3">
      <w:pPr>
        <w:rPr>
          <w:rFonts w:hint="eastAsia"/>
          <w:color w:val="auto"/>
        </w:rPr>
      </w:pPr>
      <w:r>
        <w:rPr>
          <w:rFonts w:hint="eastAsia"/>
          <w:color w:val="auto"/>
        </w:rPr>
        <w:t>1、施工工序质量控制程序</w:t>
      </w:r>
    </w:p>
    <w:p w14:paraId="48E66733">
      <w:pPr>
        <w:pStyle w:val="54"/>
        <w:rPr>
          <w:rFonts w:hint="eastAsia"/>
          <w:color w:val="auto"/>
        </w:rPr>
      </w:pPr>
      <w:r>
        <w:rPr>
          <w:rFonts w:hint="eastAsia"/>
          <w:color w:val="auto"/>
        </w:rPr>
        <w:t>施工工序质量控制程序一览表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263"/>
      </w:tblGrid>
      <w:tr w14:paraId="22D4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trPr>
        <w:tc>
          <w:tcPr>
            <w:tcW w:w="440" w:type="pct"/>
            <w:tcBorders>
              <w:top w:val="single" w:color="auto" w:sz="4" w:space="0"/>
              <w:left w:val="single" w:color="auto" w:sz="4" w:space="0"/>
              <w:bottom w:val="single" w:color="auto" w:sz="4" w:space="0"/>
              <w:right w:val="single" w:color="auto" w:sz="4" w:space="0"/>
            </w:tcBorders>
            <w:vAlign w:val="center"/>
          </w:tcPr>
          <w:p w14:paraId="4A11D9B5">
            <w:pPr>
              <w:pStyle w:val="74"/>
              <w:rPr>
                <w:rFonts w:hint="eastAsia"/>
                <w:color w:val="auto"/>
              </w:rPr>
            </w:pPr>
            <w:r>
              <w:rPr>
                <w:rFonts w:hint="eastAsia"/>
                <w:color w:val="auto"/>
              </w:rPr>
              <w:t>序号</w:t>
            </w:r>
          </w:p>
        </w:tc>
        <w:tc>
          <w:tcPr>
            <w:tcW w:w="4560" w:type="pct"/>
            <w:tcBorders>
              <w:top w:val="single" w:color="auto" w:sz="4" w:space="0"/>
              <w:left w:val="nil"/>
              <w:bottom w:val="single" w:color="auto" w:sz="4" w:space="0"/>
              <w:right w:val="single" w:color="auto" w:sz="4" w:space="0"/>
            </w:tcBorders>
            <w:vAlign w:val="center"/>
          </w:tcPr>
          <w:p w14:paraId="29D9C7DA">
            <w:pPr>
              <w:pStyle w:val="74"/>
              <w:rPr>
                <w:rFonts w:hint="eastAsia"/>
                <w:color w:val="auto"/>
              </w:rPr>
            </w:pPr>
            <w:r>
              <w:rPr>
                <w:rFonts w:hint="eastAsia"/>
                <w:color w:val="auto"/>
              </w:rPr>
              <w:t>内容</w:t>
            </w:r>
          </w:p>
        </w:tc>
      </w:tr>
      <w:tr w14:paraId="77B96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440" w:type="pct"/>
            <w:tcBorders>
              <w:top w:val="single" w:color="auto" w:sz="4" w:space="0"/>
              <w:left w:val="single" w:color="auto" w:sz="4" w:space="0"/>
              <w:bottom w:val="single" w:color="auto" w:sz="4" w:space="0"/>
              <w:right w:val="single" w:color="auto" w:sz="4" w:space="0"/>
            </w:tcBorders>
            <w:vAlign w:val="center"/>
          </w:tcPr>
          <w:p w14:paraId="5604C00F">
            <w:pPr>
              <w:pStyle w:val="74"/>
              <w:rPr>
                <w:rFonts w:hint="eastAsia"/>
                <w:color w:val="auto"/>
              </w:rPr>
            </w:pPr>
            <w:r>
              <w:rPr>
                <w:rFonts w:hint="eastAsia"/>
                <w:color w:val="auto"/>
              </w:rPr>
              <w:t>1</w:t>
            </w:r>
          </w:p>
        </w:tc>
        <w:tc>
          <w:tcPr>
            <w:tcW w:w="4560" w:type="pct"/>
            <w:tcBorders>
              <w:top w:val="single" w:color="auto" w:sz="4" w:space="0"/>
              <w:left w:val="nil"/>
              <w:bottom w:val="single" w:color="auto" w:sz="4" w:space="0"/>
              <w:right w:val="single" w:color="auto" w:sz="4" w:space="0"/>
            </w:tcBorders>
            <w:vAlign w:val="center"/>
          </w:tcPr>
          <w:p w14:paraId="0F48D253">
            <w:pPr>
              <w:pStyle w:val="74"/>
              <w:rPr>
                <w:rFonts w:hint="eastAsia"/>
                <w:color w:val="auto"/>
              </w:rPr>
            </w:pPr>
            <w:r>
              <w:rPr>
                <w:rFonts w:hint="eastAsia"/>
                <w:color w:val="auto"/>
              </w:rPr>
              <w:t>检查各工序是否按程序进行操作</w:t>
            </w:r>
          </w:p>
        </w:tc>
      </w:tr>
      <w:tr w14:paraId="400C3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440" w:type="pct"/>
            <w:tcBorders>
              <w:top w:val="single" w:color="auto" w:sz="4" w:space="0"/>
              <w:left w:val="single" w:color="auto" w:sz="4" w:space="0"/>
              <w:bottom w:val="single" w:color="auto" w:sz="4" w:space="0"/>
              <w:right w:val="single" w:color="auto" w:sz="4" w:space="0"/>
            </w:tcBorders>
            <w:vAlign w:val="center"/>
          </w:tcPr>
          <w:p w14:paraId="1F145225">
            <w:pPr>
              <w:pStyle w:val="74"/>
              <w:rPr>
                <w:rFonts w:hint="eastAsia"/>
                <w:color w:val="auto"/>
              </w:rPr>
            </w:pPr>
            <w:r>
              <w:rPr>
                <w:rFonts w:hint="eastAsia"/>
                <w:color w:val="auto"/>
              </w:rPr>
              <w:t>2</w:t>
            </w:r>
          </w:p>
        </w:tc>
        <w:tc>
          <w:tcPr>
            <w:tcW w:w="4560" w:type="pct"/>
            <w:tcBorders>
              <w:top w:val="single" w:color="auto" w:sz="4" w:space="0"/>
              <w:left w:val="nil"/>
              <w:bottom w:val="single" w:color="auto" w:sz="4" w:space="0"/>
              <w:right w:val="single" w:color="auto" w:sz="4" w:space="0"/>
            </w:tcBorders>
            <w:vAlign w:val="center"/>
          </w:tcPr>
          <w:p w14:paraId="69A02730">
            <w:pPr>
              <w:pStyle w:val="74"/>
              <w:rPr>
                <w:rFonts w:hint="eastAsia"/>
                <w:color w:val="auto"/>
              </w:rPr>
            </w:pPr>
            <w:r>
              <w:rPr>
                <w:rFonts w:hint="eastAsia"/>
                <w:color w:val="auto"/>
              </w:rPr>
              <w:t>检查测量定位是否准确</w:t>
            </w:r>
          </w:p>
        </w:tc>
      </w:tr>
      <w:tr w14:paraId="5046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440" w:type="pct"/>
            <w:tcBorders>
              <w:top w:val="single" w:color="auto" w:sz="4" w:space="0"/>
              <w:left w:val="single" w:color="auto" w:sz="4" w:space="0"/>
              <w:bottom w:val="single" w:color="auto" w:sz="4" w:space="0"/>
              <w:right w:val="single" w:color="auto" w:sz="4" w:space="0"/>
            </w:tcBorders>
            <w:vAlign w:val="center"/>
          </w:tcPr>
          <w:p w14:paraId="30852837">
            <w:pPr>
              <w:pStyle w:val="74"/>
              <w:rPr>
                <w:rFonts w:hint="eastAsia"/>
                <w:color w:val="auto"/>
              </w:rPr>
            </w:pPr>
            <w:r>
              <w:rPr>
                <w:rFonts w:hint="eastAsia"/>
                <w:color w:val="auto"/>
              </w:rPr>
              <w:t>3</w:t>
            </w:r>
          </w:p>
        </w:tc>
        <w:tc>
          <w:tcPr>
            <w:tcW w:w="4560" w:type="pct"/>
            <w:tcBorders>
              <w:top w:val="single" w:color="auto" w:sz="4" w:space="0"/>
              <w:left w:val="nil"/>
              <w:bottom w:val="single" w:color="auto" w:sz="4" w:space="0"/>
              <w:right w:val="single" w:color="auto" w:sz="4" w:space="0"/>
            </w:tcBorders>
            <w:vAlign w:val="center"/>
          </w:tcPr>
          <w:p w14:paraId="7F64921B">
            <w:pPr>
              <w:pStyle w:val="74"/>
              <w:rPr>
                <w:rFonts w:hint="eastAsia"/>
                <w:color w:val="auto"/>
              </w:rPr>
            </w:pPr>
            <w:r>
              <w:rPr>
                <w:rFonts w:hint="eastAsia"/>
                <w:color w:val="auto"/>
              </w:rPr>
              <w:t>检查“自检、互检、交接检”是否真实</w:t>
            </w:r>
          </w:p>
        </w:tc>
      </w:tr>
      <w:tr w14:paraId="6254B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40" w:type="pct"/>
            <w:tcBorders>
              <w:top w:val="single" w:color="auto" w:sz="4" w:space="0"/>
              <w:left w:val="single" w:color="auto" w:sz="4" w:space="0"/>
              <w:bottom w:val="single" w:color="auto" w:sz="4" w:space="0"/>
              <w:right w:val="single" w:color="auto" w:sz="4" w:space="0"/>
            </w:tcBorders>
            <w:vAlign w:val="center"/>
          </w:tcPr>
          <w:p w14:paraId="292C60D8">
            <w:pPr>
              <w:pStyle w:val="74"/>
              <w:rPr>
                <w:rFonts w:hint="eastAsia"/>
                <w:color w:val="auto"/>
              </w:rPr>
            </w:pPr>
            <w:r>
              <w:rPr>
                <w:rFonts w:hint="eastAsia"/>
                <w:color w:val="auto"/>
              </w:rPr>
              <w:t>4</w:t>
            </w:r>
          </w:p>
        </w:tc>
        <w:tc>
          <w:tcPr>
            <w:tcW w:w="4560" w:type="pct"/>
            <w:tcBorders>
              <w:top w:val="single" w:color="auto" w:sz="4" w:space="0"/>
              <w:left w:val="nil"/>
              <w:bottom w:val="single" w:color="auto" w:sz="4" w:space="0"/>
              <w:right w:val="single" w:color="auto" w:sz="4" w:space="0"/>
            </w:tcBorders>
            <w:vAlign w:val="center"/>
          </w:tcPr>
          <w:p w14:paraId="268BF578">
            <w:pPr>
              <w:pStyle w:val="74"/>
              <w:rPr>
                <w:rFonts w:hint="eastAsia"/>
                <w:color w:val="auto"/>
              </w:rPr>
            </w:pPr>
            <w:r>
              <w:rPr>
                <w:rFonts w:hint="eastAsia"/>
                <w:color w:val="auto"/>
              </w:rPr>
              <w:t>检查《分项工程评定表》是否符合实际情况</w:t>
            </w:r>
          </w:p>
        </w:tc>
      </w:tr>
      <w:tr w14:paraId="05B4B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40" w:type="pct"/>
            <w:tcBorders>
              <w:top w:val="single" w:color="auto" w:sz="4" w:space="0"/>
              <w:left w:val="single" w:color="auto" w:sz="4" w:space="0"/>
              <w:bottom w:val="single" w:color="auto" w:sz="4" w:space="0"/>
              <w:right w:val="single" w:color="auto" w:sz="4" w:space="0"/>
            </w:tcBorders>
            <w:vAlign w:val="center"/>
          </w:tcPr>
          <w:p w14:paraId="67D09EBE">
            <w:pPr>
              <w:pStyle w:val="74"/>
              <w:rPr>
                <w:rFonts w:hint="eastAsia"/>
                <w:color w:val="auto"/>
              </w:rPr>
            </w:pPr>
            <w:r>
              <w:rPr>
                <w:rFonts w:hint="eastAsia"/>
                <w:color w:val="auto"/>
              </w:rPr>
              <w:t>5</w:t>
            </w:r>
          </w:p>
        </w:tc>
        <w:tc>
          <w:tcPr>
            <w:tcW w:w="4560" w:type="pct"/>
            <w:tcBorders>
              <w:top w:val="single" w:color="auto" w:sz="4" w:space="0"/>
              <w:left w:val="nil"/>
              <w:bottom w:val="single" w:color="auto" w:sz="4" w:space="0"/>
              <w:right w:val="single" w:color="auto" w:sz="4" w:space="0"/>
            </w:tcBorders>
            <w:vAlign w:val="center"/>
          </w:tcPr>
          <w:p w14:paraId="4966BEDB">
            <w:pPr>
              <w:pStyle w:val="74"/>
              <w:rPr>
                <w:rFonts w:hint="eastAsia"/>
                <w:color w:val="auto"/>
              </w:rPr>
            </w:pPr>
            <w:r>
              <w:rPr>
                <w:rFonts w:hint="eastAsia"/>
                <w:color w:val="auto"/>
              </w:rPr>
              <w:t>检查隐蔽工程验收是否按程序进行</w:t>
            </w:r>
          </w:p>
        </w:tc>
      </w:tr>
      <w:tr w14:paraId="35F5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01DAF2A7">
            <w:pPr>
              <w:pStyle w:val="74"/>
              <w:rPr>
                <w:rFonts w:hint="eastAsia"/>
                <w:color w:val="auto"/>
              </w:rPr>
            </w:pPr>
            <w:r>
              <w:rPr>
                <w:rFonts w:hint="eastAsia"/>
                <w:color w:val="auto"/>
              </w:rPr>
              <w:t>6</w:t>
            </w:r>
          </w:p>
        </w:tc>
        <w:tc>
          <w:tcPr>
            <w:tcW w:w="4560" w:type="pct"/>
            <w:tcBorders>
              <w:top w:val="single" w:color="auto" w:sz="4" w:space="0"/>
              <w:left w:val="nil"/>
              <w:bottom w:val="single" w:color="auto" w:sz="4" w:space="0"/>
              <w:right w:val="single" w:color="auto" w:sz="4" w:space="0"/>
            </w:tcBorders>
            <w:vAlign w:val="center"/>
          </w:tcPr>
          <w:p w14:paraId="479B9023">
            <w:pPr>
              <w:pStyle w:val="74"/>
              <w:rPr>
                <w:rFonts w:hint="eastAsia"/>
                <w:color w:val="auto"/>
              </w:rPr>
            </w:pPr>
            <w:r>
              <w:rPr>
                <w:rFonts w:hint="eastAsia"/>
                <w:color w:val="auto"/>
              </w:rPr>
              <w:t>检查特殊过程是否按作业指导书进行施工</w:t>
            </w:r>
          </w:p>
        </w:tc>
      </w:tr>
    </w:tbl>
    <w:p w14:paraId="2462651F">
      <w:pPr>
        <w:rPr>
          <w:rFonts w:hint="eastAsia"/>
          <w:color w:val="auto"/>
        </w:rPr>
      </w:pPr>
      <w:r>
        <w:rPr>
          <w:rFonts w:hint="eastAsia"/>
          <w:color w:val="auto"/>
        </w:rPr>
        <w:t>2、过程控制的主要方法</w:t>
      </w:r>
    </w:p>
    <w:p w14:paraId="6DCE2A7B">
      <w:pPr>
        <w:pStyle w:val="54"/>
        <w:rPr>
          <w:rFonts w:hint="eastAsia"/>
          <w:color w:val="auto"/>
        </w:rPr>
      </w:pPr>
      <w:r>
        <w:rPr>
          <w:rFonts w:hint="eastAsia"/>
          <w:color w:val="auto"/>
        </w:rPr>
        <w:t xml:space="preserve"> 过程控制的主要方法一览表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908"/>
        <w:gridCol w:w="6355"/>
      </w:tblGrid>
      <w:tr w14:paraId="386B5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194090D2">
            <w:pPr>
              <w:pStyle w:val="74"/>
              <w:rPr>
                <w:rFonts w:hint="eastAsia"/>
                <w:color w:val="auto"/>
              </w:rPr>
            </w:pPr>
            <w:r>
              <w:rPr>
                <w:rFonts w:hint="eastAsia"/>
                <w:color w:val="auto"/>
              </w:rPr>
              <w:t>序号</w:t>
            </w:r>
          </w:p>
        </w:tc>
        <w:tc>
          <w:tcPr>
            <w:tcW w:w="1053" w:type="pct"/>
            <w:tcBorders>
              <w:top w:val="single" w:color="auto" w:sz="4" w:space="0"/>
              <w:left w:val="nil"/>
              <w:bottom w:val="single" w:color="auto" w:sz="4" w:space="0"/>
              <w:right w:val="single" w:color="auto" w:sz="4" w:space="0"/>
            </w:tcBorders>
            <w:vAlign w:val="center"/>
          </w:tcPr>
          <w:p w14:paraId="5D007D90">
            <w:pPr>
              <w:pStyle w:val="74"/>
              <w:rPr>
                <w:rFonts w:hint="eastAsia"/>
                <w:color w:val="auto"/>
              </w:rPr>
            </w:pPr>
            <w:r>
              <w:rPr>
                <w:rFonts w:hint="eastAsia"/>
                <w:color w:val="auto"/>
              </w:rPr>
              <w:t>方法</w:t>
            </w:r>
          </w:p>
        </w:tc>
        <w:tc>
          <w:tcPr>
            <w:tcW w:w="3507" w:type="pct"/>
            <w:tcBorders>
              <w:top w:val="single" w:color="auto" w:sz="4" w:space="0"/>
              <w:left w:val="nil"/>
              <w:bottom w:val="single" w:color="auto" w:sz="4" w:space="0"/>
              <w:right w:val="single" w:color="auto" w:sz="4" w:space="0"/>
            </w:tcBorders>
            <w:vAlign w:val="center"/>
          </w:tcPr>
          <w:p w14:paraId="76DDDCC5">
            <w:pPr>
              <w:pStyle w:val="74"/>
              <w:rPr>
                <w:rFonts w:hint="eastAsia"/>
                <w:color w:val="auto"/>
              </w:rPr>
            </w:pPr>
            <w:r>
              <w:rPr>
                <w:rFonts w:hint="eastAsia"/>
                <w:color w:val="auto"/>
              </w:rPr>
              <w:t>内容</w:t>
            </w:r>
          </w:p>
        </w:tc>
      </w:tr>
      <w:tr w14:paraId="2F80B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09944B60">
            <w:pPr>
              <w:pStyle w:val="74"/>
              <w:rPr>
                <w:rFonts w:hint="eastAsia"/>
                <w:color w:val="auto"/>
              </w:rPr>
            </w:pPr>
            <w:r>
              <w:rPr>
                <w:rFonts w:hint="eastAsia"/>
                <w:color w:val="auto"/>
              </w:rPr>
              <w:t>1</w:t>
            </w:r>
          </w:p>
        </w:tc>
        <w:tc>
          <w:tcPr>
            <w:tcW w:w="1053" w:type="pct"/>
            <w:tcBorders>
              <w:top w:val="single" w:color="auto" w:sz="4" w:space="0"/>
              <w:left w:val="nil"/>
              <w:bottom w:val="single" w:color="auto" w:sz="4" w:space="0"/>
              <w:right w:val="single" w:color="auto" w:sz="4" w:space="0"/>
            </w:tcBorders>
            <w:vAlign w:val="center"/>
          </w:tcPr>
          <w:p w14:paraId="191C4671">
            <w:pPr>
              <w:pStyle w:val="74"/>
              <w:rPr>
                <w:rFonts w:hint="eastAsia"/>
                <w:color w:val="auto"/>
              </w:rPr>
            </w:pPr>
            <w:r>
              <w:rPr>
                <w:rFonts w:hint="eastAsia"/>
                <w:color w:val="auto"/>
              </w:rPr>
              <w:t>全过程全天候进行跟踪监控</w:t>
            </w:r>
          </w:p>
        </w:tc>
        <w:tc>
          <w:tcPr>
            <w:tcW w:w="3507" w:type="pct"/>
            <w:tcBorders>
              <w:top w:val="single" w:color="auto" w:sz="4" w:space="0"/>
              <w:left w:val="nil"/>
              <w:bottom w:val="single" w:color="auto" w:sz="4" w:space="0"/>
              <w:right w:val="single" w:color="auto" w:sz="4" w:space="0"/>
            </w:tcBorders>
            <w:vAlign w:val="center"/>
          </w:tcPr>
          <w:p w14:paraId="6CC7291A">
            <w:pPr>
              <w:pStyle w:val="74"/>
              <w:ind w:firstLine="420" w:firstLineChars="200"/>
              <w:jc w:val="both"/>
              <w:rPr>
                <w:rFonts w:hint="eastAsia"/>
                <w:color w:val="auto"/>
              </w:rPr>
            </w:pPr>
            <w:r>
              <w:rPr>
                <w:rFonts w:hint="eastAsia"/>
                <w:color w:val="auto"/>
              </w:rPr>
              <w:t>质量责任工程师对过程质量展开全过程、全天候的监督，凡达不到质量标准的不予签字认可，并责令限期整改。</w:t>
            </w:r>
          </w:p>
        </w:tc>
      </w:tr>
      <w:tr w14:paraId="0E2F7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7744DE27">
            <w:pPr>
              <w:pStyle w:val="74"/>
              <w:rPr>
                <w:rFonts w:hint="eastAsia"/>
                <w:color w:val="auto"/>
              </w:rPr>
            </w:pPr>
            <w:r>
              <w:rPr>
                <w:rFonts w:hint="eastAsia"/>
                <w:color w:val="auto"/>
              </w:rPr>
              <w:t>2</w:t>
            </w:r>
          </w:p>
        </w:tc>
        <w:tc>
          <w:tcPr>
            <w:tcW w:w="1053" w:type="pct"/>
            <w:tcBorders>
              <w:top w:val="single" w:color="auto" w:sz="4" w:space="0"/>
              <w:left w:val="nil"/>
              <w:bottom w:val="single" w:color="auto" w:sz="4" w:space="0"/>
              <w:right w:val="single" w:color="auto" w:sz="4" w:space="0"/>
            </w:tcBorders>
            <w:vAlign w:val="center"/>
          </w:tcPr>
          <w:p w14:paraId="280B887D">
            <w:pPr>
              <w:pStyle w:val="74"/>
              <w:rPr>
                <w:rFonts w:hint="eastAsia"/>
                <w:color w:val="auto"/>
              </w:rPr>
            </w:pPr>
            <w:r>
              <w:rPr>
                <w:rFonts w:hint="eastAsia"/>
                <w:color w:val="auto"/>
              </w:rPr>
              <w:t>抓住关键过程进行质量控制</w:t>
            </w:r>
          </w:p>
        </w:tc>
        <w:tc>
          <w:tcPr>
            <w:tcW w:w="3507" w:type="pct"/>
            <w:tcBorders>
              <w:top w:val="single" w:color="auto" w:sz="4" w:space="0"/>
              <w:left w:val="nil"/>
              <w:bottom w:val="single" w:color="auto" w:sz="4" w:space="0"/>
              <w:right w:val="single" w:color="auto" w:sz="4" w:space="0"/>
            </w:tcBorders>
            <w:vAlign w:val="center"/>
          </w:tcPr>
          <w:p w14:paraId="5D7FE2DF">
            <w:pPr>
              <w:pStyle w:val="74"/>
              <w:ind w:firstLine="420" w:firstLineChars="200"/>
              <w:jc w:val="both"/>
              <w:rPr>
                <w:rFonts w:hint="eastAsia"/>
                <w:color w:val="auto"/>
              </w:rPr>
            </w:pPr>
            <w:r>
              <w:rPr>
                <w:rFonts w:hint="eastAsia"/>
                <w:color w:val="auto"/>
              </w:rPr>
              <w:t>根据施工进度节点，突出重点，抓住关键过程进行质量控制。为了控制关键过程的工程质量，要求编制施工方案，组织质量技术交底，下达作业指导书，对施工全过程实施质量检验。工程质量部加强对关键过程的检查和监督，使得关键过程施工质量始终处于受控状态。</w:t>
            </w:r>
          </w:p>
        </w:tc>
      </w:tr>
      <w:tr w14:paraId="3FB86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4F390A9C">
            <w:pPr>
              <w:pStyle w:val="74"/>
              <w:rPr>
                <w:rFonts w:hint="eastAsia"/>
                <w:color w:val="auto"/>
              </w:rPr>
            </w:pPr>
            <w:r>
              <w:rPr>
                <w:rFonts w:hint="eastAsia"/>
                <w:color w:val="auto"/>
              </w:rPr>
              <w:t>3</w:t>
            </w:r>
          </w:p>
        </w:tc>
        <w:tc>
          <w:tcPr>
            <w:tcW w:w="1053" w:type="pct"/>
            <w:tcBorders>
              <w:top w:val="single" w:color="auto" w:sz="4" w:space="0"/>
              <w:left w:val="nil"/>
              <w:bottom w:val="single" w:color="auto" w:sz="4" w:space="0"/>
              <w:right w:val="single" w:color="auto" w:sz="4" w:space="0"/>
            </w:tcBorders>
            <w:vAlign w:val="center"/>
          </w:tcPr>
          <w:p w14:paraId="5A58E67A">
            <w:pPr>
              <w:pStyle w:val="74"/>
              <w:rPr>
                <w:rFonts w:hint="eastAsia"/>
                <w:color w:val="auto"/>
              </w:rPr>
            </w:pPr>
            <w:r>
              <w:rPr>
                <w:rFonts w:hint="eastAsia"/>
                <w:color w:val="auto"/>
              </w:rPr>
              <w:t>接受工程监理、进行督促整改</w:t>
            </w:r>
          </w:p>
        </w:tc>
        <w:tc>
          <w:tcPr>
            <w:tcW w:w="3507" w:type="pct"/>
            <w:tcBorders>
              <w:top w:val="single" w:color="auto" w:sz="4" w:space="0"/>
              <w:left w:val="nil"/>
              <w:bottom w:val="single" w:color="auto" w:sz="4" w:space="0"/>
              <w:right w:val="single" w:color="auto" w:sz="4" w:space="0"/>
            </w:tcBorders>
            <w:vAlign w:val="center"/>
          </w:tcPr>
          <w:p w14:paraId="1F8EAE10">
            <w:pPr>
              <w:pStyle w:val="74"/>
              <w:ind w:firstLine="420" w:firstLineChars="200"/>
              <w:jc w:val="both"/>
              <w:rPr>
                <w:rFonts w:hint="eastAsia"/>
                <w:color w:val="auto"/>
              </w:rPr>
            </w:pPr>
            <w:r>
              <w:rPr>
                <w:rFonts w:hint="eastAsia"/>
                <w:color w:val="auto"/>
              </w:rPr>
              <w:t>在自检的基础上，提请监理工程师检验签字认可，未有监理工程师签字认可的，不得在工程上使用或进入下一道工序施工。对监理工程师开具的施工不符合设计要求、施工技术标准和工程合同约定，或者存在的测量、质量、安全等隐患方面的整改通知，总包项目经理部予以及时落实、跟踪和督促限时予以整改，直至监理工程师验证签字认可为止。</w:t>
            </w:r>
          </w:p>
        </w:tc>
      </w:tr>
      <w:tr w14:paraId="1781D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20CE8D21">
            <w:pPr>
              <w:pStyle w:val="74"/>
              <w:rPr>
                <w:rFonts w:hint="eastAsia"/>
                <w:color w:val="auto"/>
              </w:rPr>
            </w:pPr>
            <w:r>
              <w:rPr>
                <w:rFonts w:hint="eastAsia"/>
                <w:color w:val="auto"/>
              </w:rPr>
              <w:t>4</w:t>
            </w:r>
          </w:p>
        </w:tc>
        <w:tc>
          <w:tcPr>
            <w:tcW w:w="1053" w:type="pct"/>
            <w:tcBorders>
              <w:top w:val="single" w:color="auto" w:sz="4" w:space="0"/>
              <w:left w:val="nil"/>
              <w:bottom w:val="single" w:color="auto" w:sz="4" w:space="0"/>
              <w:right w:val="single" w:color="auto" w:sz="4" w:space="0"/>
            </w:tcBorders>
            <w:vAlign w:val="center"/>
          </w:tcPr>
          <w:p w14:paraId="2F08EEBA">
            <w:pPr>
              <w:pStyle w:val="74"/>
              <w:rPr>
                <w:rFonts w:hint="eastAsia"/>
                <w:color w:val="auto"/>
              </w:rPr>
            </w:pPr>
            <w:r>
              <w:rPr>
                <w:rFonts w:hint="eastAsia"/>
                <w:color w:val="auto"/>
              </w:rPr>
              <w:t>严格把关，进行过程检验</w:t>
            </w:r>
          </w:p>
        </w:tc>
        <w:tc>
          <w:tcPr>
            <w:tcW w:w="3507" w:type="pct"/>
            <w:tcBorders>
              <w:top w:val="single" w:color="auto" w:sz="4" w:space="0"/>
              <w:left w:val="nil"/>
              <w:bottom w:val="single" w:color="auto" w:sz="4" w:space="0"/>
              <w:right w:val="single" w:color="auto" w:sz="4" w:space="0"/>
            </w:tcBorders>
            <w:vAlign w:val="center"/>
          </w:tcPr>
          <w:p w14:paraId="04BB10D8">
            <w:pPr>
              <w:pStyle w:val="74"/>
              <w:ind w:firstLine="420" w:firstLineChars="200"/>
              <w:jc w:val="both"/>
              <w:rPr>
                <w:rFonts w:hint="eastAsia"/>
                <w:color w:val="auto"/>
              </w:rPr>
            </w:pPr>
            <w:r>
              <w:rPr>
                <w:rFonts w:hint="eastAsia"/>
                <w:color w:val="auto"/>
              </w:rPr>
              <w:t>在施工过程中抓好过程检验。首先进行分项分部工程的质量复验，在作业班组自检的基础上，对分项分部工程的质量进行复验；第二，对隐蔽工程采取连续或全数的检验和试验方法，对分包单位的隐蔽工程验收记录进行复验认可，并在监理工程师核验签证后方可进入下道工序施工；第三，组织主要分部工程质量等级的核验。</w:t>
            </w:r>
          </w:p>
        </w:tc>
      </w:tr>
      <w:tr w14:paraId="34DB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6AEB87EC">
            <w:pPr>
              <w:pStyle w:val="74"/>
              <w:rPr>
                <w:rFonts w:hint="eastAsia"/>
                <w:color w:val="auto"/>
              </w:rPr>
            </w:pPr>
            <w:r>
              <w:rPr>
                <w:rFonts w:hint="eastAsia"/>
                <w:color w:val="auto"/>
              </w:rPr>
              <w:t>5</w:t>
            </w:r>
          </w:p>
        </w:tc>
        <w:tc>
          <w:tcPr>
            <w:tcW w:w="1053" w:type="pct"/>
            <w:tcBorders>
              <w:top w:val="single" w:color="auto" w:sz="4" w:space="0"/>
              <w:left w:val="nil"/>
              <w:bottom w:val="single" w:color="auto" w:sz="4" w:space="0"/>
              <w:right w:val="single" w:color="auto" w:sz="4" w:space="0"/>
            </w:tcBorders>
            <w:vAlign w:val="center"/>
          </w:tcPr>
          <w:p w14:paraId="68CA5DEC">
            <w:pPr>
              <w:pStyle w:val="74"/>
              <w:rPr>
                <w:rFonts w:hint="eastAsia"/>
                <w:color w:val="auto"/>
              </w:rPr>
            </w:pPr>
            <w:r>
              <w:rPr>
                <w:rFonts w:hint="eastAsia"/>
                <w:color w:val="auto"/>
              </w:rPr>
              <w:t>针对产品保护进行系统管理</w:t>
            </w:r>
          </w:p>
        </w:tc>
        <w:tc>
          <w:tcPr>
            <w:tcW w:w="3507" w:type="pct"/>
            <w:tcBorders>
              <w:top w:val="single" w:color="auto" w:sz="4" w:space="0"/>
              <w:left w:val="nil"/>
              <w:bottom w:val="single" w:color="auto" w:sz="4" w:space="0"/>
              <w:right w:val="single" w:color="auto" w:sz="4" w:space="0"/>
            </w:tcBorders>
            <w:vAlign w:val="center"/>
          </w:tcPr>
          <w:p w14:paraId="368203DF">
            <w:pPr>
              <w:pStyle w:val="74"/>
              <w:ind w:firstLine="420" w:firstLineChars="200"/>
              <w:jc w:val="both"/>
              <w:rPr>
                <w:rFonts w:hint="eastAsia"/>
                <w:color w:val="auto"/>
              </w:rPr>
            </w:pPr>
            <w:r>
              <w:rPr>
                <w:rFonts w:hint="eastAsia"/>
                <w:color w:val="auto"/>
              </w:rPr>
              <w:t>对已完成并形成系统功能的产品，经验收后，即组织人力、物力和相应的技术手段进行产品保护，直至形成最终产品交付招标人使用为止。</w:t>
            </w:r>
          </w:p>
        </w:tc>
      </w:tr>
    </w:tbl>
    <w:p w14:paraId="3FD757E0">
      <w:pPr>
        <w:pStyle w:val="6"/>
        <w:ind w:firstLine="480"/>
        <w:rPr>
          <w:rFonts w:cs="Times New Roman"/>
          <w:color w:val="auto"/>
          <w:sz w:val="24"/>
          <w:szCs w:val="24"/>
        </w:rPr>
      </w:pPr>
      <w:r>
        <w:rPr>
          <w:rFonts w:hint="eastAsia"/>
          <w:color w:val="auto"/>
          <w:sz w:val="24"/>
          <w:szCs w:val="24"/>
        </w:rPr>
        <w:t>测量工程质量保证措施</w:t>
      </w:r>
    </w:p>
    <w:p w14:paraId="43531041">
      <w:pPr>
        <w:rPr>
          <w:rFonts w:hint="eastAsia"/>
          <w:color w:val="auto"/>
        </w:rPr>
      </w:pPr>
      <w:r>
        <w:rPr>
          <w:rFonts w:hint="eastAsia"/>
          <w:color w:val="auto"/>
        </w:rPr>
        <w:t>1、放线数据的验算</w:t>
      </w:r>
    </w:p>
    <w:p w14:paraId="64A36C52">
      <w:pPr>
        <w:rPr>
          <w:rFonts w:hint="eastAsia"/>
          <w:color w:val="auto"/>
        </w:rPr>
      </w:pPr>
      <w:r>
        <w:rPr>
          <w:rFonts w:hint="eastAsia"/>
          <w:color w:val="auto"/>
        </w:rPr>
        <w:t>将所有控制点和放线点在CAD图上编号，并将编号及坐标输入全站仪存储，放线前从CAD图上拾取所需数据并输出放线数据表，放线时与全站仪坐标放样程序自动生成的数据进行验核，两者一致方可进行点位放线。否则查出错误原因，重新组织数据。每次放线抽取10%且不少于三个点进行手算验核。</w:t>
      </w:r>
    </w:p>
    <w:p w14:paraId="6C7F7667">
      <w:pPr>
        <w:rPr>
          <w:rFonts w:hint="eastAsia"/>
          <w:color w:val="auto"/>
        </w:rPr>
      </w:pPr>
      <w:r>
        <w:rPr>
          <w:rFonts w:hint="eastAsia"/>
          <w:color w:val="auto"/>
        </w:rPr>
        <w:t>2、不合格项的管理</w:t>
      </w:r>
    </w:p>
    <w:p w14:paraId="70EE4DD8">
      <w:pPr>
        <w:rPr>
          <w:rFonts w:hint="eastAsia"/>
          <w:color w:val="auto"/>
        </w:rPr>
      </w:pPr>
      <w:r>
        <w:rPr>
          <w:rFonts w:hint="eastAsia"/>
          <w:color w:val="auto"/>
        </w:rPr>
        <w:t>实测过程中，当闭合差超出规范要求时，由测量工程师查出超差原因，并写出重测报告，报项目技术负责人批准后实施重测，同时将超差及重测情况记录存档，严禁随意调整点位处理超差情况发生。</w:t>
      </w:r>
    </w:p>
    <w:p w14:paraId="012D3E33">
      <w:pPr>
        <w:rPr>
          <w:rFonts w:hint="eastAsia"/>
          <w:color w:val="auto"/>
        </w:rPr>
      </w:pPr>
      <w:r>
        <w:rPr>
          <w:rFonts w:hint="eastAsia"/>
          <w:color w:val="auto"/>
        </w:rPr>
        <w:t>3、验线制度</w:t>
      </w:r>
    </w:p>
    <w:p w14:paraId="3FB7DF34">
      <w:pPr>
        <w:rPr>
          <w:rFonts w:hint="eastAsia"/>
          <w:color w:val="auto"/>
        </w:rPr>
      </w:pPr>
      <w:r>
        <w:rPr>
          <w:rFonts w:hint="eastAsia"/>
          <w:color w:val="auto"/>
        </w:rPr>
        <w:t>所有轴线、细部线和标高线，测量人员必须百分之百自检，自检合格后填写测量放线资料。地面定位线、垫层墨线由项目技术负责人签字并组织验线。其余线位由专业测量工程师签字后报监理验线。验线合格后，测量工程师与工长、施工队技术员进行交接，三方签字后存档。严禁不经验线进入下道工序的情况发生。</w:t>
      </w:r>
    </w:p>
    <w:p w14:paraId="0BFA9BF8">
      <w:pPr>
        <w:rPr>
          <w:rFonts w:hint="eastAsia"/>
          <w:color w:val="auto"/>
        </w:rPr>
      </w:pPr>
      <w:r>
        <w:rPr>
          <w:rFonts w:hint="eastAsia"/>
          <w:color w:val="auto"/>
        </w:rPr>
        <w:t>4、为保证测量工程的施工质量，所有测量人员必须持证上岗，并严格按照测量规范进行操作。</w:t>
      </w:r>
    </w:p>
    <w:p w14:paraId="283E4260">
      <w:pPr>
        <w:rPr>
          <w:rFonts w:hint="eastAsia"/>
          <w:color w:val="auto"/>
        </w:rPr>
      </w:pPr>
      <w:r>
        <w:rPr>
          <w:rFonts w:hint="eastAsia"/>
          <w:color w:val="auto"/>
        </w:rPr>
        <w:t>5、测量仪器必须按照国家规定年检鉴定合格，并在有效期内使用。在使用过程中，随时检查仪器的常用指标。一旦偏差超过允许范围，应当及时校正以保证测量精度。</w:t>
      </w:r>
    </w:p>
    <w:p w14:paraId="77852913">
      <w:pPr>
        <w:rPr>
          <w:rFonts w:hint="eastAsia"/>
          <w:color w:val="auto"/>
        </w:rPr>
      </w:pPr>
      <w:r>
        <w:rPr>
          <w:rFonts w:hint="eastAsia"/>
          <w:color w:val="auto"/>
        </w:rPr>
        <w:t>6、设置的测量控制点、标高控制点要设置保护装置，确保测点不被损坏；测点附近严禁堆放材料，避免影响测量工作的顺利进行。</w:t>
      </w:r>
    </w:p>
    <w:p w14:paraId="4A85B3B0">
      <w:pPr>
        <w:rPr>
          <w:rFonts w:hint="eastAsia"/>
          <w:color w:val="auto"/>
        </w:rPr>
      </w:pPr>
      <w:r>
        <w:rPr>
          <w:rFonts w:hint="eastAsia"/>
          <w:color w:val="auto"/>
        </w:rPr>
        <w:t>7、为了保证测量精度，主控轴线及标高控制点的测量时间尽量安排在每天的上午进行。</w:t>
      </w:r>
    </w:p>
    <w:p w14:paraId="064B5576">
      <w:pPr>
        <w:pStyle w:val="97"/>
        <w:spacing w:before="32" w:beforeLines="10" w:after="32" w:afterLines="10" w:line="432" w:lineRule="auto"/>
        <w:ind w:firstLine="0" w:firstLineChars="0"/>
        <w:jc w:val="center"/>
        <w:rPr>
          <w:rFonts w:hint="eastAsia"/>
          <w:b/>
          <w:bCs/>
          <w:color w:val="auto"/>
        </w:rPr>
      </w:pPr>
      <w:r>
        <w:rPr>
          <w:rFonts w:hint="eastAsia" w:ascii="Times New Roman" w:hAnsi="Times New Roman" w:eastAsia="宋体" w:cs="Times New Roman"/>
          <w:b/>
          <w:color w:val="auto"/>
          <w:kern w:val="2"/>
          <w:sz w:val="24"/>
          <w:szCs w:val="22"/>
          <w:lang w:val="en-US" w:eastAsia="zh-CN" w:bidi="ar-SA"/>
        </w:rPr>
        <w:t>插表 测量工程质量保证措施控制要点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7985"/>
      </w:tblGrid>
      <w:tr w14:paraId="068C6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131A4046">
            <w:pPr>
              <w:pStyle w:val="74"/>
              <w:rPr>
                <w:rFonts w:hint="eastAsia"/>
                <w:color w:val="auto"/>
              </w:rPr>
            </w:pPr>
            <w:r>
              <w:rPr>
                <w:rFonts w:hint="eastAsia"/>
                <w:color w:val="auto"/>
              </w:rPr>
              <w:t>控制要点</w:t>
            </w:r>
          </w:p>
        </w:tc>
        <w:tc>
          <w:tcPr>
            <w:tcW w:w="4407" w:type="pct"/>
            <w:tcBorders>
              <w:top w:val="single" w:color="auto" w:sz="4" w:space="0"/>
              <w:left w:val="single" w:color="auto" w:sz="4" w:space="0"/>
              <w:bottom w:val="single" w:color="auto" w:sz="4" w:space="0"/>
              <w:right w:val="single" w:color="auto" w:sz="4" w:space="0"/>
            </w:tcBorders>
            <w:vAlign w:val="center"/>
          </w:tcPr>
          <w:p w14:paraId="71207DF1">
            <w:pPr>
              <w:pStyle w:val="74"/>
              <w:rPr>
                <w:rFonts w:hint="eastAsia"/>
                <w:color w:val="auto"/>
              </w:rPr>
            </w:pPr>
            <w:r>
              <w:rPr>
                <w:rFonts w:hint="eastAsia"/>
                <w:color w:val="auto"/>
              </w:rPr>
              <w:t>实施细则</w:t>
            </w:r>
          </w:p>
        </w:tc>
      </w:tr>
      <w:tr w14:paraId="5B903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549C7401">
            <w:pPr>
              <w:pStyle w:val="74"/>
              <w:rPr>
                <w:rFonts w:hint="eastAsia"/>
                <w:color w:val="auto"/>
              </w:rPr>
            </w:pPr>
            <w:r>
              <w:rPr>
                <w:rFonts w:hint="eastAsia"/>
                <w:color w:val="auto"/>
              </w:rPr>
              <w:t>过程控制</w:t>
            </w:r>
          </w:p>
        </w:tc>
        <w:tc>
          <w:tcPr>
            <w:tcW w:w="4407" w:type="pct"/>
            <w:tcBorders>
              <w:top w:val="single" w:color="auto" w:sz="4" w:space="0"/>
              <w:left w:val="single" w:color="auto" w:sz="4" w:space="0"/>
              <w:bottom w:val="single" w:color="auto" w:sz="4" w:space="0"/>
              <w:right w:val="single" w:color="auto" w:sz="4" w:space="0"/>
            </w:tcBorders>
            <w:vAlign w:val="center"/>
          </w:tcPr>
          <w:p w14:paraId="111B336A">
            <w:pPr>
              <w:pStyle w:val="74"/>
              <w:rPr>
                <w:rFonts w:hint="eastAsia"/>
                <w:color w:val="auto"/>
              </w:rPr>
            </w:pPr>
            <w:r>
              <w:rPr>
                <w:rFonts w:hint="eastAsia"/>
                <w:color w:val="auto"/>
              </w:rPr>
              <w:t>分析各种测量影响因素，选择合适的仪器，制定科学、可行的测量方案。</w:t>
            </w:r>
          </w:p>
        </w:tc>
      </w:tr>
      <w:tr w14:paraId="45189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46805582">
            <w:pPr>
              <w:pStyle w:val="74"/>
              <w:rPr>
                <w:rFonts w:hint="eastAsia"/>
                <w:color w:val="auto"/>
              </w:rPr>
            </w:pPr>
            <w:r>
              <w:rPr>
                <w:rFonts w:hint="eastAsia"/>
                <w:color w:val="auto"/>
              </w:rPr>
              <w:t>控制点的保护</w:t>
            </w:r>
          </w:p>
        </w:tc>
        <w:tc>
          <w:tcPr>
            <w:tcW w:w="4407" w:type="pct"/>
            <w:tcBorders>
              <w:top w:val="single" w:color="auto" w:sz="4" w:space="0"/>
              <w:left w:val="single" w:color="auto" w:sz="4" w:space="0"/>
              <w:bottom w:val="single" w:color="auto" w:sz="4" w:space="0"/>
              <w:right w:val="single" w:color="auto" w:sz="4" w:space="0"/>
            </w:tcBorders>
            <w:vAlign w:val="center"/>
          </w:tcPr>
          <w:p w14:paraId="445D29C7">
            <w:pPr>
              <w:pStyle w:val="74"/>
              <w:rPr>
                <w:rFonts w:hint="eastAsia"/>
                <w:color w:val="auto"/>
              </w:rPr>
            </w:pPr>
            <w:r>
              <w:rPr>
                <w:rFonts w:hint="eastAsia"/>
                <w:color w:val="auto"/>
              </w:rPr>
              <w:t>做好控制点、定位线和水准点的保护，测量人员定期复核。</w:t>
            </w:r>
          </w:p>
        </w:tc>
      </w:tr>
      <w:tr w14:paraId="14C45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5A81B727">
            <w:pPr>
              <w:pStyle w:val="74"/>
              <w:rPr>
                <w:rFonts w:hint="eastAsia"/>
                <w:color w:val="auto"/>
              </w:rPr>
            </w:pPr>
            <w:r>
              <w:rPr>
                <w:rFonts w:hint="eastAsia"/>
                <w:color w:val="auto"/>
              </w:rPr>
              <w:t>定期检测</w:t>
            </w:r>
          </w:p>
        </w:tc>
        <w:tc>
          <w:tcPr>
            <w:tcW w:w="4407" w:type="pct"/>
            <w:tcBorders>
              <w:top w:val="single" w:color="auto" w:sz="4" w:space="0"/>
              <w:left w:val="single" w:color="auto" w:sz="4" w:space="0"/>
              <w:bottom w:val="single" w:color="auto" w:sz="4" w:space="0"/>
              <w:right w:val="single" w:color="auto" w:sz="4" w:space="0"/>
            </w:tcBorders>
            <w:vAlign w:val="center"/>
          </w:tcPr>
          <w:p w14:paraId="3D5C30AE">
            <w:pPr>
              <w:pStyle w:val="74"/>
              <w:rPr>
                <w:rFonts w:hint="eastAsia"/>
                <w:color w:val="auto"/>
              </w:rPr>
            </w:pPr>
            <w:r>
              <w:rPr>
                <w:rFonts w:hint="eastAsia"/>
                <w:color w:val="auto"/>
              </w:rPr>
              <w:t>定期对测量仪器进行检校维护和保养，发现问题后立即将仪器设备送检。</w:t>
            </w:r>
          </w:p>
        </w:tc>
      </w:tr>
      <w:tr w14:paraId="64BA1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4A66A216">
            <w:pPr>
              <w:pStyle w:val="74"/>
              <w:rPr>
                <w:rFonts w:hint="eastAsia"/>
                <w:color w:val="auto"/>
              </w:rPr>
            </w:pPr>
            <w:r>
              <w:rPr>
                <w:rFonts w:hint="eastAsia"/>
                <w:color w:val="auto"/>
              </w:rPr>
              <w:t>审批及存档</w:t>
            </w:r>
          </w:p>
        </w:tc>
        <w:tc>
          <w:tcPr>
            <w:tcW w:w="4407" w:type="pct"/>
            <w:tcBorders>
              <w:top w:val="single" w:color="auto" w:sz="4" w:space="0"/>
              <w:left w:val="single" w:color="auto" w:sz="4" w:space="0"/>
              <w:bottom w:val="single" w:color="auto" w:sz="4" w:space="0"/>
              <w:right w:val="single" w:color="auto" w:sz="4" w:space="0"/>
            </w:tcBorders>
            <w:vAlign w:val="center"/>
          </w:tcPr>
          <w:p w14:paraId="5E650693">
            <w:pPr>
              <w:pStyle w:val="74"/>
              <w:rPr>
                <w:rFonts w:hint="eastAsia"/>
                <w:color w:val="auto"/>
              </w:rPr>
            </w:pPr>
            <w:r>
              <w:rPr>
                <w:rFonts w:hint="eastAsia"/>
                <w:color w:val="auto"/>
              </w:rPr>
              <w:t>测量工程师根据施工蓝图、施工进度和测量方案等的要求，安排现场测量放线工作，并作好施工测量日志和相关资料的报监工作。</w:t>
            </w:r>
          </w:p>
        </w:tc>
      </w:tr>
    </w:tbl>
    <w:p w14:paraId="53008EBF">
      <w:pPr>
        <w:pStyle w:val="6"/>
        <w:ind w:firstLine="480"/>
        <w:rPr>
          <w:color w:val="auto"/>
        </w:rPr>
      </w:pPr>
      <w:r>
        <w:rPr>
          <w:rFonts w:hint="eastAsia"/>
          <w:color w:val="auto"/>
        </w:rPr>
        <w:t>钢筋工程质量保证措施</w:t>
      </w:r>
    </w:p>
    <w:p w14:paraId="57710A5B">
      <w:pPr>
        <w:rPr>
          <w:rFonts w:hint="eastAsia"/>
          <w:color w:val="auto"/>
        </w:rPr>
      </w:pPr>
      <w:r>
        <w:rPr>
          <w:rFonts w:hint="eastAsia"/>
          <w:color w:val="auto"/>
        </w:rPr>
        <w:t>钢筋工程质量保证重点有钢筋原材、制作加工、堆码、绑扎定位和配合机电留洞，杜绝随意切割钢筋等问题。具体措施见下表：</w:t>
      </w:r>
    </w:p>
    <w:p w14:paraId="26A71E26">
      <w:pPr>
        <w:pStyle w:val="54"/>
        <w:rPr>
          <w:rFonts w:hint="eastAsia"/>
          <w:color w:val="auto"/>
        </w:rPr>
      </w:pPr>
      <w:r>
        <w:rPr>
          <w:rFonts w:hint="eastAsia"/>
          <w:color w:val="auto"/>
        </w:rPr>
        <w:t>钢筋工程质量控制标准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2"/>
        <w:gridCol w:w="1758"/>
        <w:gridCol w:w="2847"/>
        <w:gridCol w:w="3173"/>
      </w:tblGrid>
      <w:tr w14:paraId="09AD8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678" w:type="pct"/>
            <w:gridSpan w:val="2"/>
            <w:tcBorders>
              <w:top w:val="single" w:color="auto" w:sz="4" w:space="0"/>
              <w:left w:val="single" w:color="auto" w:sz="4" w:space="0"/>
              <w:bottom w:val="single" w:color="auto" w:sz="4" w:space="0"/>
              <w:right w:val="single" w:color="auto" w:sz="4" w:space="0"/>
            </w:tcBorders>
            <w:vAlign w:val="center"/>
          </w:tcPr>
          <w:p w14:paraId="743C7084">
            <w:pPr>
              <w:pStyle w:val="74"/>
              <w:rPr>
                <w:rFonts w:hint="eastAsia"/>
                <w:color w:val="auto"/>
              </w:rPr>
            </w:pPr>
            <w:r>
              <w:rPr>
                <w:rFonts w:hint="eastAsia"/>
                <w:color w:val="auto"/>
              </w:rPr>
              <w:t>项目</w:t>
            </w:r>
          </w:p>
        </w:tc>
        <w:tc>
          <w:tcPr>
            <w:tcW w:w="1571" w:type="pct"/>
            <w:tcBorders>
              <w:top w:val="single" w:color="auto" w:sz="4" w:space="0"/>
              <w:left w:val="single" w:color="auto" w:sz="4" w:space="0"/>
              <w:bottom w:val="single" w:color="auto" w:sz="4" w:space="0"/>
              <w:right w:val="single" w:color="auto" w:sz="4" w:space="0"/>
            </w:tcBorders>
            <w:vAlign w:val="center"/>
          </w:tcPr>
          <w:p w14:paraId="4DB57A8D">
            <w:pPr>
              <w:pStyle w:val="74"/>
              <w:rPr>
                <w:rFonts w:hint="eastAsia"/>
                <w:color w:val="auto"/>
              </w:rPr>
            </w:pPr>
            <w:r>
              <w:rPr>
                <w:rFonts w:hint="eastAsia"/>
                <w:color w:val="auto"/>
              </w:rPr>
              <w:t>允许偏差（mm）</w:t>
            </w:r>
          </w:p>
        </w:tc>
        <w:tc>
          <w:tcPr>
            <w:tcW w:w="1751" w:type="pct"/>
            <w:tcBorders>
              <w:top w:val="single" w:color="auto" w:sz="4" w:space="0"/>
              <w:left w:val="single" w:color="auto" w:sz="4" w:space="0"/>
              <w:bottom w:val="single" w:color="auto" w:sz="4" w:space="0"/>
              <w:right w:val="single" w:color="auto" w:sz="4" w:space="0"/>
            </w:tcBorders>
            <w:vAlign w:val="center"/>
          </w:tcPr>
          <w:p w14:paraId="462B6424">
            <w:pPr>
              <w:pStyle w:val="74"/>
              <w:rPr>
                <w:rFonts w:hint="eastAsia"/>
                <w:color w:val="auto"/>
              </w:rPr>
            </w:pPr>
            <w:r>
              <w:rPr>
                <w:rFonts w:hint="eastAsia"/>
                <w:color w:val="auto"/>
              </w:rPr>
              <w:t>检验方法</w:t>
            </w:r>
          </w:p>
        </w:tc>
      </w:tr>
      <w:tr w14:paraId="12F1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pct"/>
            <w:vMerge w:val="restart"/>
            <w:tcBorders>
              <w:top w:val="nil"/>
              <w:left w:val="single" w:color="auto" w:sz="4" w:space="0"/>
              <w:bottom w:val="single" w:color="auto" w:sz="4" w:space="0"/>
              <w:right w:val="single" w:color="auto" w:sz="4" w:space="0"/>
            </w:tcBorders>
            <w:vAlign w:val="center"/>
          </w:tcPr>
          <w:p w14:paraId="616044C2">
            <w:pPr>
              <w:pStyle w:val="74"/>
              <w:rPr>
                <w:rFonts w:hint="eastAsia"/>
                <w:color w:val="auto"/>
              </w:rPr>
            </w:pPr>
            <w:r>
              <w:rPr>
                <w:rFonts w:hint="eastAsia"/>
                <w:color w:val="auto"/>
              </w:rPr>
              <w:t>绑扎钢筋网</w:t>
            </w:r>
          </w:p>
        </w:tc>
        <w:tc>
          <w:tcPr>
            <w:tcW w:w="970" w:type="pct"/>
            <w:tcBorders>
              <w:top w:val="single" w:color="auto" w:sz="4" w:space="0"/>
              <w:left w:val="single" w:color="auto" w:sz="4" w:space="0"/>
              <w:bottom w:val="single" w:color="auto" w:sz="4" w:space="0"/>
              <w:right w:val="single" w:color="auto" w:sz="4" w:space="0"/>
            </w:tcBorders>
            <w:vAlign w:val="center"/>
          </w:tcPr>
          <w:p w14:paraId="453ABB5D">
            <w:pPr>
              <w:pStyle w:val="74"/>
              <w:rPr>
                <w:rFonts w:hint="eastAsia"/>
                <w:color w:val="auto"/>
              </w:rPr>
            </w:pPr>
            <w:r>
              <w:rPr>
                <w:rFonts w:hint="eastAsia"/>
                <w:color w:val="auto"/>
              </w:rPr>
              <w:t>长、宽</w:t>
            </w:r>
          </w:p>
        </w:tc>
        <w:tc>
          <w:tcPr>
            <w:tcW w:w="1571" w:type="pct"/>
            <w:tcBorders>
              <w:top w:val="single" w:color="auto" w:sz="4" w:space="0"/>
              <w:left w:val="single" w:color="auto" w:sz="4" w:space="0"/>
              <w:bottom w:val="single" w:color="auto" w:sz="4" w:space="0"/>
              <w:right w:val="single" w:color="auto" w:sz="4" w:space="0"/>
            </w:tcBorders>
            <w:vAlign w:val="center"/>
          </w:tcPr>
          <w:p w14:paraId="7932C668">
            <w:pPr>
              <w:pStyle w:val="74"/>
              <w:rPr>
                <w:rFonts w:hint="eastAsia"/>
                <w:color w:val="auto"/>
              </w:rPr>
            </w:pPr>
            <w:r>
              <w:rPr>
                <w:rFonts w:hint="eastAsia"/>
                <w:color w:val="auto"/>
              </w:rPr>
              <w:t>±10</w:t>
            </w:r>
          </w:p>
        </w:tc>
        <w:tc>
          <w:tcPr>
            <w:tcW w:w="1751" w:type="pct"/>
            <w:tcBorders>
              <w:top w:val="single" w:color="auto" w:sz="4" w:space="0"/>
              <w:left w:val="single" w:color="auto" w:sz="4" w:space="0"/>
              <w:bottom w:val="single" w:color="auto" w:sz="4" w:space="0"/>
              <w:right w:val="single" w:color="auto" w:sz="4" w:space="0"/>
            </w:tcBorders>
            <w:vAlign w:val="center"/>
          </w:tcPr>
          <w:p w14:paraId="2BF28C01">
            <w:pPr>
              <w:pStyle w:val="74"/>
              <w:rPr>
                <w:rFonts w:hint="eastAsia"/>
                <w:color w:val="auto"/>
              </w:rPr>
            </w:pPr>
            <w:r>
              <w:rPr>
                <w:rFonts w:hint="eastAsia"/>
                <w:color w:val="auto"/>
              </w:rPr>
              <w:t>钢尺检查</w:t>
            </w:r>
          </w:p>
        </w:tc>
      </w:tr>
      <w:tr w14:paraId="6623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F273BC6">
            <w:pPr>
              <w:pStyle w:val="74"/>
              <w:rPr>
                <w:color w:val="auto"/>
              </w:rPr>
            </w:pPr>
          </w:p>
        </w:tc>
        <w:tc>
          <w:tcPr>
            <w:tcW w:w="970" w:type="pct"/>
            <w:tcBorders>
              <w:top w:val="single" w:color="auto" w:sz="4" w:space="0"/>
              <w:left w:val="single" w:color="auto" w:sz="4" w:space="0"/>
              <w:bottom w:val="single" w:color="auto" w:sz="4" w:space="0"/>
              <w:right w:val="single" w:color="auto" w:sz="4" w:space="0"/>
            </w:tcBorders>
            <w:vAlign w:val="center"/>
          </w:tcPr>
          <w:p w14:paraId="7F2D08FF">
            <w:pPr>
              <w:pStyle w:val="74"/>
              <w:rPr>
                <w:rFonts w:hint="eastAsia"/>
                <w:color w:val="auto"/>
              </w:rPr>
            </w:pPr>
            <w:r>
              <w:rPr>
                <w:rFonts w:hint="eastAsia"/>
                <w:color w:val="auto"/>
              </w:rPr>
              <w:t>网眼尺寸</w:t>
            </w:r>
          </w:p>
        </w:tc>
        <w:tc>
          <w:tcPr>
            <w:tcW w:w="1571" w:type="pct"/>
            <w:tcBorders>
              <w:top w:val="single" w:color="auto" w:sz="4" w:space="0"/>
              <w:left w:val="single" w:color="auto" w:sz="4" w:space="0"/>
              <w:bottom w:val="single" w:color="auto" w:sz="4" w:space="0"/>
              <w:right w:val="single" w:color="auto" w:sz="4" w:space="0"/>
            </w:tcBorders>
            <w:vAlign w:val="center"/>
          </w:tcPr>
          <w:p w14:paraId="7DBF1851">
            <w:pPr>
              <w:pStyle w:val="74"/>
              <w:rPr>
                <w:rFonts w:hint="eastAsia"/>
                <w:color w:val="auto"/>
              </w:rPr>
            </w:pPr>
            <w:r>
              <w:rPr>
                <w:rFonts w:hint="eastAsia"/>
                <w:color w:val="auto"/>
              </w:rPr>
              <w:t>±20</w:t>
            </w:r>
          </w:p>
        </w:tc>
        <w:tc>
          <w:tcPr>
            <w:tcW w:w="1751" w:type="pct"/>
            <w:tcBorders>
              <w:top w:val="single" w:color="auto" w:sz="4" w:space="0"/>
              <w:left w:val="single" w:color="auto" w:sz="4" w:space="0"/>
              <w:bottom w:val="single" w:color="auto" w:sz="4" w:space="0"/>
              <w:right w:val="single" w:color="auto" w:sz="4" w:space="0"/>
            </w:tcBorders>
            <w:vAlign w:val="center"/>
          </w:tcPr>
          <w:p w14:paraId="2714DB08">
            <w:pPr>
              <w:pStyle w:val="74"/>
              <w:rPr>
                <w:rFonts w:hint="eastAsia"/>
                <w:color w:val="auto"/>
              </w:rPr>
            </w:pPr>
            <w:r>
              <w:rPr>
                <w:rFonts w:hint="eastAsia"/>
                <w:color w:val="auto"/>
              </w:rPr>
              <w:t>钢尺量连续三档，取最大值</w:t>
            </w:r>
          </w:p>
        </w:tc>
      </w:tr>
      <w:tr w14:paraId="33FAF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pct"/>
            <w:vMerge w:val="restart"/>
            <w:tcBorders>
              <w:top w:val="nil"/>
              <w:left w:val="single" w:color="auto" w:sz="4" w:space="0"/>
              <w:bottom w:val="single" w:color="auto" w:sz="4" w:space="0"/>
              <w:right w:val="single" w:color="auto" w:sz="4" w:space="0"/>
            </w:tcBorders>
            <w:vAlign w:val="center"/>
          </w:tcPr>
          <w:p w14:paraId="7B496C07">
            <w:pPr>
              <w:pStyle w:val="74"/>
              <w:rPr>
                <w:rFonts w:hint="eastAsia"/>
                <w:color w:val="auto"/>
              </w:rPr>
            </w:pPr>
            <w:r>
              <w:rPr>
                <w:rFonts w:hint="eastAsia"/>
                <w:color w:val="auto"/>
              </w:rPr>
              <w:t>绑扎钢筋骨架</w:t>
            </w:r>
          </w:p>
        </w:tc>
        <w:tc>
          <w:tcPr>
            <w:tcW w:w="970" w:type="pct"/>
            <w:tcBorders>
              <w:top w:val="single" w:color="auto" w:sz="4" w:space="0"/>
              <w:left w:val="single" w:color="auto" w:sz="4" w:space="0"/>
              <w:bottom w:val="single" w:color="auto" w:sz="4" w:space="0"/>
              <w:right w:val="single" w:color="auto" w:sz="4" w:space="0"/>
            </w:tcBorders>
            <w:vAlign w:val="center"/>
          </w:tcPr>
          <w:p w14:paraId="4AC23603">
            <w:pPr>
              <w:pStyle w:val="74"/>
              <w:rPr>
                <w:rFonts w:hint="eastAsia"/>
                <w:color w:val="auto"/>
              </w:rPr>
            </w:pPr>
            <w:r>
              <w:rPr>
                <w:rFonts w:hint="eastAsia"/>
                <w:color w:val="auto"/>
              </w:rPr>
              <w:t>长</w:t>
            </w:r>
          </w:p>
        </w:tc>
        <w:tc>
          <w:tcPr>
            <w:tcW w:w="1571" w:type="pct"/>
            <w:tcBorders>
              <w:top w:val="single" w:color="auto" w:sz="4" w:space="0"/>
              <w:left w:val="single" w:color="auto" w:sz="4" w:space="0"/>
              <w:bottom w:val="single" w:color="auto" w:sz="4" w:space="0"/>
              <w:right w:val="single" w:color="auto" w:sz="4" w:space="0"/>
            </w:tcBorders>
            <w:vAlign w:val="center"/>
          </w:tcPr>
          <w:p w14:paraId="179EF978">
            <w:pPr>
              <w:pStyle w:val="74"/>
              <w:rPr>
                <w:rFonts w:hint="eastAsia"/>
                <w:color w:val="auto"/>
              </w:rPr>
            </w:pPr>
            <w:r>
              <w:rPr>
                <w:rFonts w:hint="eastAsia"/>
                <w:color w:val="auto"/>
              </w:rPr>
              <w:t>±10</w:t>
            </w:r>
          </w:p>
        </w:tc>
        <w:tc>
          <w:tcPr>
            <w:tcW w:w="1751" w:type="pct"/>
            <w:tcBorders>
              <w:top w:val="single" w:color="auto" w:sz="4" w:space="0"/>
              <w:left w:val="single" w:color="auto" w:sz="4" w:space="0"/>
              <w:bottom w:val="single" w:color="auto" w:sz="4" w:space="0"/>
              <w:right w:val="single" w:color="auto" w:sz="4" w:space="0"/>
            </w:tcBorders>
            <w:vAlign w:val="center"/>
          </w:tcPr>
          <w:p w14:paraId="48D5250B">
            <w:pPr>
              <w:pStyle w:val="74"/>
              <w:rPr>
                <w:rFonts w:hint="eastAsia"/>
                <w:color w:val="auto"/>
              </w:rPr>
            </w:pPr>
            <w:r>
              <w:rPr>
                <w:rFonts w:hint="eastAsia"/>
                <w:color w:val="auto"/>
              </w:rPr>
              <w:t>钢尺检查</w:t>
            </w:r>
          </w:p>
        </w:tc>
      </w:tr>
      <w:tr w14:paraId="4B59F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DD08996">
            <w:pPr>
              <w:pStyle w:val="74"/>
              <w:rPr>
                <w:color w:val="auto"/>
              </w:rPr>
            </w:pPr>
          </w:p>
        </w:tc>
        <w:tc>
          <w:tcPr>
            <w:tcW w:w="970" w:type="pct"/>
            <w:tcBorders>
              <w:top w:val="single" w:color="auto" w:sz="4" w:space="0"/>
              <w:left w:val="single" w:color="auto" w:sz="4" w:space="0"/>
              <w:bottom w:val="single" w:color="auto" w:sz="4" w:space="0"/>
              <w:right w:val="single" w:color="auto" w:sz="4" w:space="0"/>
            </w:tcBorders>
            <w:vAlign w:val="center"/>
          </w:tcPr>
          <w:p w14:paraId="043B1297">
            <w:pPr>
              <w:pStyle w:val="74"/>
              <w:rPr>
                <w:rFonts w:hint="eastAsia"/>
                <w:color w:val="auto"/>
              </w:rPr>
            </w:pPr>
            <w:r>
              <w:rPr>
                <w:rFonts w:hint="eastAsia"/>
                <w:color w:val="auto"/>
              </w:rPr>
              <w:t>宽、高</w:t>
            </w:r>
          </w:p>
        </w:tc>
        <w:tc>
          <w:tcPr>
            <w:tcW w:w="1571" w:type="pct"/>
            <w:tcBorders>
              <w:top w:val="single" w:color="auto" w:sz="4" w:space="0"/>
              <w:left w:val="single" w:color="auto" w:sz="4" w:space="0"/>
              <w:bottom w:val="single" w:color="auto" w:sz="4" w:space="0"/>
              <w:right w:val="single" w:color="auto" w:sz="4" w:space="0"/>
            </w:tcBorders>
            <w:vAlign w:val="center"/>
          </w:tcPr>
          <w:p w14:paraId="6944EF30">
            <w:pPr>
              <w:pStyle w:val="74"/>
              <w:rPr>
                <w:rFonts w:hint="eastAsia"/>
                <w:color w:val="auto"/>
              </w:rPr>
            </w:pPr>
            <w:r>
              <w:rPr>
                <w:rFonts w:hint="eastAsia"/>
                <w:color w:val="auto"/>
              </w:rPr>
              <w:t>±5</w:t>
            </w:r>
          </w:p>
        </w:tc>
        <w:tc>
          <w:tcPr>
            <w:tcW w:w="1751" w:type="pct"/>
            <w:tcBorders>
              <w:top w:val="single" w:color="auto" w:sz="4" w:space="0"/>
              <w:left w:val="single" w:color="auto" w:sz="4" w:space="0"/>
              <w:bottom w:val="single" w:color="auto" w:sz="4" w:space="0"/>
              <w:right w:val="single" w:color="auto" w:sz="4" w:space="0"/>
            </w:tcBorders>
            <w:vAlign w:val="center"/>
          </w:tcPr>
          <w:p w14:paraId="1498F775">
            <w:pPr>
              <w:pStyle w:val="74"/>
              <w:rPr>
                <w:rFonts w:hint="eastAsia"/>
                <w:color w:val="auto"/>
              </w:rPr>
            </w:pPr>
            <w:r>
              <w:rPr>
                <w:rFonts w:hint="eastAsia"/>
                <w:color w:val="auto"/>
              </w:rPr>
              <w:t>钢尺检查</w:t>
            </w:r>
          </w:p>
        </w:tc>
      </w:tr>
      <w:tr w14:paraId="7D79A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pct"/>
            <w:vMerge w:val="restart"/>
            <w:tcBorders>
              <w:top w:val="nil"/>
              <w:left w:val="single" w:color="auto" w:sz="4" w:space="0"/>
              <w:bottom w:val="single" w:color="auto" w:sz="4" w:space="0"/>
              <w:right w:val="single" w:color="auto" w:sz="4" w:space="0"/>
            </w:tcBorders>
            <w:vAlign w:val="center"/>
          </w:tcPr>
          <w:p w14:paraId="545978E2">
            <w:pPr>
              <w:pStyle w:val="74"/>
              <w:rPr>
                <w:rFonts w:hint="eastAsia"/>
                <w:color w:val="auto"/>
              </w:rPr>
            </w:pPr>
            <w:r>
              <w:rPr>
                <w:rFonts w:hint="eastAsia"/>
                <w:color w:val="auto"/>
              </w:rPr>
              <w:t>受力钢筋</w:t>
            </w:r>
          </w:p>
        </w:tc>
        <w:tc>
          <w:tcPr>
            <w:tcW w:w="970" w:type="pct"/>
            <w:tcBorders>
              <w:top w:val="single" w:color="auto" w:sz="4" w:space="0"/>
              <w:left w:val="single" w:color="auto" w:sz="4" w:space="0"/>
              <w:bottom w:val="single" w:color="auto" w:sz="4" w:space="0"/>
              <w:right w:val="single" w:color="auto" w:sz="4" w:space="0"/>
            </w:tcBorders>
            <w:vAlign w:val="center"/>
          </w:tcPr>
          <w:p w14:paraId="077F4F1F">
            <w:pPr>
              <w:pStyle w:val="74"/>
              <w:rPr>
                <w:rFonts w:hint="eastAsia"/>
                <w:color w:val="auto"/>
              </w:rPr>
            </w:pPr>
            <w:r>
              <w:rPr>
                <w:rFonts w:hint="eastAsia"/>
                <w:color w:val="auto"/>
              </w:rPr>
              <w:t>间距</w:t>
            </w:r>
          </w:p>
        </w:tc>
        <w:tc>
          <w:tcPr>
            <w:tcW w:w="1571" w:type="pct"/>
            <w:tcBorders>
              <w:top w:val="single" w:color="auto" w:sz="4" w:space="0"/>
              <w:left w:val="single" w:color="auto" w:sz="4" w:space="0"/>
              <w:bottom w:val="single" w:color="auto" w:sz="4" w:space="0"/>
              <w:right w:val="single" w:color="auto" w:sz="4" w:space="0"/>
            </w:tcBorders>
            <w:vAlign w:val="center"/>
          </w:tcPr>
          <w:p w14:paraId="3A0B03A5">
            <w:pPr>
              <w:pStyle w:val="74"/>
              <w:rPr>
                <w:rFonts w:hint="eastAsia"/>
                <w:color w:val="auto"/>
              </w:rPr>
            </w:pPr>
            <w:r>
              <w:rPr>
                <w:rFonts w:hint="eastAsia"/>
                <w:color w:val="auto"/>
              </w:rPr>
              <w:t>±10</w:t>
            </w:r>
          </w:p>
        </w:tc>
        <w:tc>
          <w:tcPr>
            <w:tcW w:w="1751" w:type="pct"/>
            <w:vMerge w:val="restart"/>
            <w:tcBorders>
              <w:top w:val="nil"/>
              <w:left w:val="single" w:color="auto" w:sz="4" w:space="0"/>
              <w:bottom w:val="single" w:color="auto" w:sz="4" w:space="0"/>
              <w:right w:val="single" w:color="auto" w:sz="4" w:space="0"/>
            </w:tcBorders>
            <w:vAlign w:val="center"/>
          </w:tcPr>
          <w:p w14:paraId="5397B14C">
            <w:pPr>
              <w:pStyle w:val="74"/>
              <w:rPr>
                <w:rFonts w:hint="eastAsia"/>
                <w:color w:val="auto"/>
              </w:rPr>
            </w:pPr>
            <w:r>
              <w:rPr>
                <w:rFonts w:hint="eastAsia"/>
                <w:color w:val="auto"/>
              </w:rPr>
              <w:t>钢尺量两端、中间各一点，取最大值</w:t>
            </w:r>
          </w:p>
        </w:tc>
      </w:tr>
      <w:tr w14:paraId="7E5A8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E254865">
            <w:pPr>
              <w:pStyle w:val="74"/>
              <w:rPr>
                <w:color w:val="auto"/>
              </w:rPr>
            </w:pPr>
          </w:p>
        </w:tc>
        <w:tc>
          <w:tcPr>
            <w:tcW w:w="970" w:type="pct"/>
            <w:tcBorders>
              <w:top w:val="single" w:color="auto" w:sz="4" w:space="0"/>
              <w:left w:val="single" w:color="auto" w:sz="4" w:space="0"/>
              <w:bottom w:val="single" w:color="auto" w:sz="4" w:space="0"/>
              <w:right w:val="single" w:color="auto" w:sz="4" w:space="0"/>
            </w:tcBorders>
            <w:vAlign w:val="center"/>
          </w:tcPr>
          <w:p w14:paraId="37571326">
            <w:pPr>
              <w:pStyle w:val="74"/>
              <w:rPr>
                <w:rFonts w:hint="eastAsia"/>
                <w:color w:val="auto"/>
              </w:rPr>
            </w:pPr>
            <w:r>
              <w:rPr>
                <w:rFonts w:hint="eastAsia"/>
                <w:color w:val="auto"/>
              </w:rPr>
              <w:t>排距</w:t>
            </w:r>
          </w:p>
        </w:tc>
        <w:tc>
          <w:tcPr>
            <w:tcW w:w="1571" w:type="pct"/>
            <w:tcBorders>
              <w:top w:val="single" w:color="auto" w:sz="4" w:space="0"/>
              <w:left w:val="single" w:color="auto" w:sz="4" w:space="0"/>
              <w:bottom w:val="single" w:color="auto" w:sz="4" w:space="0"/>
              <w:right w:val="single" w:color="auto" w:sz="4" w:space="0"/>
            </w:tcBorders>
            <w:vAlign w:val="center"/>
          </w:tcPr>
          <w:p w14:paraId="22866515">
            <w:pPr>
              <w:pStyle w:val="74"/>
              <w:rPr>
                <w:rFonts w:hint="eastAsia"/>
                <w:color w:val="auto"/>
              </w:rPr>
            </w:pPr>
            <w:r>
              <w:rPr>
                <w:rFonts w:hint="eastAsia"/>
                <w:color w:val="auto"/>
              </w:rPr>
              <w:t>±5</w:t>
            </w:r>
          </w:p>
        </w:tc>
        <w:tc>
          <w:tcPr>
            <w:tcW w:w="0" w:type="auto"/>
            <w:vMerge w:val="continue"/>
            <w:tcBorders>
              <w:top w:val="nil"/>
              <w:left w:val="single" w:color="auto" w:sz="4" w:space="0"/>
              <w:bottom w:val="single" w:color="auto" w:sz="4" w:space="0"/>
              <w:right w:val="single" w:color="auto" w:sz="4" w:space="0"/>
            </w:tcBorders>
            <w:vAlign w:val="center"/>
          </w:tcPr>
          <w:p w14:paraId="18E0AD06">
            <w:pPr>
              <w:pStyle w:val="74"/>
              <w:rPr>
                <w:color w:val="auto"/>
              </w:rPr>
            </w:pPr>
          </w:p>
        </w:tc>
      </w:tr>
      <w:tr w14:paraId="4B55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pct"/>
            <w:vMerge w:val="restart"/>
            <w:tcBorders>
              <w:top w:val="nil"/>
              <w:left w:val="single" w:color="auto" w:sz="4" w:space="0"/>
              <w:bottom w:val="single" w:color="auto" w:sz="4" w:space="0"/>
              <w:right w:val="single" w:color="auto" w:sz="4" w:space="0"/>
            </w:tcBorders>
            <w:vAlign w:val="center"/>
          </w:tcPr>
          <w:p w14:paraId="7168AC1F">
            <w:pPr>
              <w:pStyle w:val="74"/>
              <w:rPr>
                <w:rFonts w:hint="eastAsia"/>
                <w:color w:val="auto"/>
              </w:rPr>
            </w:pPr>
            <w:r>
              <w:rPr>
                <w:rFonts w:hint="eastAsia"/>
                <w:color w:val="auto"/>
              </w:rPr>
              <w:t>保护层厚度</w:t>
            </w:r>
          </w:p>
        </w:tc>
        <w:tc>
          <w:tcPr>
            <w:tcW w:w="970" w:type="pct"/>
            <w:tcBorders>
              <w:top w:val="single" w:color="auto" w:sz="4" w:space="0"/>
              <w:left w:val="single" w:color="auto" w:sz="4" w:space="0"/>
              <w:bottom w:val="single" w:color="auto" w:sz="4" w:space="0"/>
              <w:right w:val="single" w:color="auto" w:sz="4" w:space="0"/>
            </w:tcBorders>
            <w:vAlign w:val="center"/>
          </w:tcPr>
          <w:p w14:paraId="57A004B1">
            <w:pPr>
              <w:pStyle w:val="74"/>
              <w:rPr>
                <w:rFonts w:hint="eastAsia"/>
                <w:color w:val="auto"/>
              </w:rPr>
            </w:pPr>
            <w:r>
              <w:rPr>
                <w:rFonts w:hint="eastAsia"/>
                <w:color w:val="auto"/>
              </w:rPr>
              <w:t>基础</w:t>
            </w:r>
          </w:p>
        </w:tc>
        <w:tc>
          <w:tcPr>
            <w:tcW w:w="1571" w:type="pct"/>
            <w:tcBorders>
              <w:top w:val="single" w:color="auto" w:sz="4" w:space="0"/>
              <w:left w:val="single" w:color="auto" w:sz="4" w:space="0"/>
              <w:bottom w:val="single" w:color="auto" w:sz="4" w:space="0"/>
              <w:right w:val="single" w:color="auto" w:sz="4" w:space="0"/>
            </w:tcBorders>
            <w:vAlign w:val="center"/>
          </w:tcPr>
          <w:p w14:paraId="30E0D5A4">
            <w:pPr>
              <w:pStyle w:val="74"/>
              <w:rPr>
                <w:rFonts w:hint="eastAsia"/>
                <w:color w:val="auto"/>
              </w:rPr>
            </w:pPr>
            <w:r>
              <w:rPr>
                <w:rFonts w:hint="eastAsia"/>
                <w:color w:val="auto"/>
              </w:rPr>
              <w:t>±10</w:t>
            </w:r>
          </w:p>
        </w:tc>
        <w:tc>
          <w:tcPr>
            <w:tcW w:w="1751" w:type="pct"/>
            <w:tcBorders>
              <w:top w:val="single" w:color="auto" w:sz="4" w:space="0"/>
              <w:left w:val="single" w:color="auto" w:sz="4" w:space="0"/>
              <w:bottom w:val="single" w:color="auto" w:sz="4" w:space="0"/>
              <w:right w:val="single" w:color="auto" w:sz="4" w:space="0"/>
            </w:tcBorders>
            <w:vAlign w:val="center"/>
          </w:tcPr>
          <w:p w14:paraId="3C70B82A">
            <w:pPr>
              <w:pStyle w:val="74"/>
              <w:rPr>
                <w:rFonts w:hint="eastAsia"/>
                <w:color w:val="auto"/>
              </w:rPr>
            </w:pPr>
            <w:r>
              <w:rPr>
                <w:rFonts w:hint="eastAsia"/>
                <w:color w:val="auto"/>
              </w:rPr>
              <w:t>钢尺检查</w:t>
            </w:r>
          </w:p>
        </w:tc>
      </w:tr>
      <w:tr w14:paraId="7117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BEFC45C">
            <w:pPr>
              <w:pStyle w:val="74"/>
              <w:rPr>
                <w:color w:val="auto"/>
              </w:rPr>
            </w:pPr>
          </w:p>
        </w:tc>
        <w:tc>
          <w:tcPr>
            <w:tcW w:w="970" w:type="pct"/>
            <w:tcBorders>
              <w:top w:val="single" w:color="auto" w:sz="4" w:space="0"/>
              <w:left w:val="single" w:color="auto" w:sz="4" w:space="0"/>
              <w:bottom w:val="single" w:color="auto" w:sz="4" w:space="0"/>
              <w:right w:val="single" w:color="auto" w:sz="4" w:space="0"/>
            </w:tcBorders>
            <w:vAlign w:val="center"/>
          </w:tcPr>
          <w:p w14:paraId="784CCF77">
            <w:pPr>
              <w:pStyle w:val="74"/>
              <w:rPr>
                <w:rFonts w:hint="eastAsia"/>
                <w:color w:val="auto"/>
              </w:rPr>
            </w:pPr>
            <w:r>
              <w:rPr>
                <w:rFonts w:hint="eastAsia"/>
                <w:color w:val="auto"/>
              </w:rPr>
              <w:t>柱、梁</w:t>
            </w:r>
          </w:p>
        </w:tc>
        <w:tc>
          <w:tcPr>
            <w:tcW w:w="1571" w:type="pct"/>
            <w:tcBorders>
              <w:top w:val="single" w:color="auto" w:sz="4" w:space="0"/>
              <w:left w:val="single" w:color="auto" w:sz="4" w:space="0"/>
              <w:bottom w:val="single" w:color="auto" w:sz="4" w:space="0"/>
              <w:right w:val="single" w:color="auto" w:sz="4" w:space="0"/>
            </w:tcBorders>
            <w:vAlign w:val="center"/>
          </w:tcPr>
          <w:p w14:paraId="35C00476">
            <w:pPr>
              <w:pStyle w:val="74"/>
              <w:rPr>
                <w:rFonts w:hint="eastAsia"/>
                <w:color w:val="auto"/>
              </w:rPr>
            </w:pPr>
            <w:r>
              <w:rPr>
                <w:rFonts w:hint="eastAsia"/>
                <w:color w:val="auto"/>
              </w:rPr>
              <w:t>±5</w:t>
            </w:r>
          </w:p>
        </w:tc>
        <w:tc>
          <w:tcPr>
            <w:tcW w:w="1751" w:type="pct"/>
            <w:tcBorders>
              <w:top w:val="single" w:color="auto" w:sz="4" w:space="0"/>
              <w:left w:val="single" w:color="auto" w:sz="4" w:space="0"/>
              <w:bottom w:val="single" w:color="auto" w:sz="4" w:space="0"/>
              <w:right w:val="single" w:color="auto" w:sz="4" w:space="0"/>
            </w:tcBorders>
            <w:vAlign w:val="center"/>
          </w:tcPr>
          <w:p w14:paraId="22780301">
            <w:pPr>
              <w:pStyle w:val="74"/>
              <w:rPr>
                <w:rFonts w:hint="eastAsia"/>
                <w:color w:val="auto"/>
              </w:rPr>
            </w:pPr>
            <w:r>
              <w:rPr>
                <w:rFonts w:hint="eastAsia"/>
                <w:color w:val="auto"/>
              </w:rPr>
              <w:t>钢尺检查</w:t>
            </w:r>
          </w:p>
        </w:tc>
      </w:tr>
      <w:tr w14:paraId="7302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EC156CE">
            <w:pPr>
              <w:pStyle w:val="74"/>
              <w:rPr>
                <w:color w:val="auto"/>
              </w:rPr>
            </w:pPr>
          </w:p>
        </w:tc>
        <w:tc>
          <w:tcPr>
            <w:tcW w:w="970" w:type="pct"/>
            <w:tcBorders>
              <w:top w:val="single" w:color="auto" w:sz="4" w:space="0"/>
              <w:left w:val="single" w:color="auto" w:sz="4" w:space="0"/>
              <w:bottom w:val="single" w:color="auto" w:sz="4" w:space="0"/>
              <w:right w:val="single" w:color="auto" w:sz="4" w:space="0"/>
            </w:tcBorders>
            <w:vAlign w:val="center"/>
          </w:tcPr>
          <w:p w14:paraId="1A2BE43F">
            <w:pPr>
              <w:pStyle w:val="74"/>
              <w:rPr>
                <w:rFonts w:hint="eastAsia"/>
                <w:color w:val="auto"/>
              </w:rPr>
            </w:pPr>
            <w:r>
              <w:rPr>
                <w:rFonts w:hint="eastAsia"/>
                <w:color w:val="auto"/>
              </w:rPr>
              <w:t>板、墙、壳</w:t>
            </w:r>
          </w:p>
        </w:tc>
        <w:tc>
          <w:tcPr>
            <w:tcW w:w="1571" w:type="pct"/>
            <w:tcBorders>
              <w:top w:val="single" w:color="auto" w:sz="4" w:space="0"/>
              <w:left w:val="single" w:color="auto" w:sz="4" w:space="0"/>
              <w:bottom w:val="single" w:color="auto" w:sz="4" w:space="0"/>
              <w:right w:val="single" w:color="auto" w:sz="4" w:space="0"/>
            </w:tcBorders>
            <w:vAlign w:val="center"/>
          </w:tcPr>
          <w:p w14:paraId="20DFFC56">
            <w:pPr>
              <w:pStyle w:val="74"/>
              <w:rPr>
                <w:rFonts w:hint="eastAsia"/>
                <w:color w:val="auto"/>
              </w:rPr>
            </w:pPr>
            <w:r>
              <w:rPr>
                <w:rFonts w:hint="eastAsia"/>
                <w:color w:val="auto"/>
              </w:rPr>
              <w:t>±3</w:t>
            </w:r>
          </w:p>
        </w:tc>
        <w:tc>
          <w:tcPr>
            <w:tcW w:w="1751" w:type="pct"/>
            <w:tcBorders>
              <w:top w:val="single" w:color="auto" w:sz="4" w:space="0"/>
              <w:left w:val="single" w:color="auto" w:sz="4" w:space="0"/>
              <w:bottom w:val="single" w:color="auto" w:sz="4" w:space="0"/>
              <w:right w:val="single" w:color="auto" w:sz="4" w:space="0"/>
            </w:tcBorders>
            <w:vAlign w:val="center"/>
          </w:tcPr>
          <w:p w14:paraId="4BE0329A">
            <w:pPr>
              <w:pStyle w:val="74"/>
              <w:rPr>
                <w:rFonts w:hint="eastAsia"/>
                <w:color w:val="auto"/>
              </w:rPr>
            </w:pPr>
            <w:r>
              <w:rPr>
                <w:rFonts w:hint="eastAsia"/>
                <w:color w:val="auto"/>
              </w:rPr>
              <w:t>钢尺检查</w:t>
            </w:r>
          </w:p>
        </w:tc>
      </w:tr>
      <w:tr w14:paraId="6961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8" w:type="pct"/>
            <w:gridSpan w:val="2"/>
            <w:tcBorders>
              <w:top w:val="single" w:color="auto" w:sz="4" w:space="0"/>
              <w:left w:val="single" w:color="auto" w:sz="4" w:space="0"/>
              <w:bottom w:val="single" w:color="auto" w:sz="4" w:space="0"/>
              <w:right w:val="single" w:color="auto" w:sz="4" w:space="0"/>
            </w:tcBorders>
            <w:vAlign w:val="center"/>
          </w:tcPr>
          <w:p w14:paraId="3409582A">
            <w:pPr>
              <w:pStyle w:val="74"/>
              <w:rPr>
                <w:rFonts w:hint="eastAsia"/>
                <w:color w:val="auto"/>
              </w:rPr>
            </w:pPr>
            <w:r>
              <w:rPr>
                <w:rFonts w:hint="eastAsia"/>
                <w:color w:val="auto"/>
              </w:rPr>
              <w:t>绑扎箍筋、横向钢筋间距</w:t>
            </w:r>
          </w:p>
        </w:tc>
        <w:tc>
          <w:tcPr>
            <w:tcW w:w="1571" w:type="pct"/>
            <w:tcBorders>
              <w:top w:val="single" w:color="auto" w:sz="4" w:space="0"/>
              <w:left w:val="single" w:color="auto" w:sz="4" w:space="0"/>
              <w:bottom w:val="single" w:color="auto" w:sz="4" w:space="0"/>
              <w:right w:val="single" w:color="auto" w:sz="4" w:space="0"/>
            </w:tcBorders>
            <w:vAlign w:val="center"/>
          </w:tcPr>
          <w:p w14:paraId="65881441">
            <w:pPr>
              <w:pStyle w:val="74"/>
              <w:rPr>
                <w:rFonts w:hint="eastAsia"/>
                <w:color w:val="auto"/>
              </w:rPr>
            </w:pPr>
            <w:r>
              <w:rPr>
                <w:rFonts w:hint="eastAsia"/>
                <w:color w:val="auto"/>
              </w:rPr>
              <w:t>±20</w:t>
            </w:r>
          </w:p>
        </w:tc>
        <w:tc>
          <w:tcPr>
            <w:tcW w:w="1751" w:type="pct"/>
            <w:tcBorders>
              <w:top w:val="single" w:color="auto" w:sz="4" w:space="0"/>
              <w:left w:val="single" w:color="auto" w:sz="4" w:space="0"/>
              <w:bottom w:val="single" w:color="auto" w:sz="4" w:space="0"/>
              <w:right w:val="single" w:color="auto" w:sz="4" w:space="0"/>
            </w:tcBorders>
            <w:vAlign w:val="center"/>
          </w:tcPr>
          <w:p w14:paraId="307DE904">
            <w:pPr>
              <w:pStyle w:val="74"/>
              <w:rPr>
                <w:rFonts w:hint="eastAsia"/>
                <w:color w:val="auto"/>
              </w:rPr>
            </w:pPr>
            <w:r>
              <w:rPr>
                <w:rFonts w:hint="eastAsia"/>
                <w:color w:val="auto"/>
              </w:rPr>
              <w:t>钢尺量连续三档，取最大值</w:t>
            </w:r>
          </w:p>
        </w:tc>
      </w:tr>
      <w:tr w14:paraId="7C2E9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78" w:type="pct"/>
            <w:gridSpan w:val="2"/>
            <w:tcBorders>
              <w:top w:val="single" w:color="auto" w:sz="4" w:space="0"/>
              <w:left w:val="single" w:color="auto" w:sz="4" w:space="0"/>
              <w:bottom w:val="single" w:color="auto" w:sz="4" w:space="0"/>
              <w:right w:val="single" w:color="auto" w:sz="4" w:space="0"/>
            </w:tcBorders>
            <w:vAlign w:val="center"/>
          </w:tcPr>
          <w:p w14:paraId="4AFF5D29">
            <w:pPr>
              <w:pStyle w:val="74"/>
              <w:rPr>
                <w:rFonts w:hint="eastAsia"/>
                <w:color w:val="auto"/>
              </w:rPr>
            </w:pPr>
            <w:r>
              <w:rPr>
                <w:rFonts w:hint="eastAsia"/>
                <w:color w:val="auto"/>
              </w:rPr>
              <w:t>钢筋弯起点位置</w:t>
            </w:r>
          </w:p>
        </w:tc>
        <w:tc>
          <w:tcPr>
            <w:tcW w:w="1571" w:type="pct"/>
            <w:tcBorders>
              <w:top w:val="single" w:color="auto" w:sz="4" w:space="0"/>
              <w:left w:val="single" w:color="auto" w:sz="4" w:space="0"/>
              <w:bottom w:val="single" w:color="auto" w:sz="4" w:space="0"/>
              <w:right w:val="single" w:color="auto" w:sz="4" w:space="0"/>
            </w:tcBorders>
            <w:vAlign w:val="center"/>
          </w:tcPr>
          <w:p w14:paraId="41A5D991">
            <w:pPr>
              <w:pStyle w:val="74"/>
              <w:rPr>
                <w:rFonts w:hint="eastAsia"/>
                <w:color w:val="auto"/>
              </w:rPr>
            </w:pPr>
            <w:r>
              <w:rPr>
                <w:rFonts w:hint="eastAsia"/>
                <w:color w:val="auto"/>
              </w:rPr>
              <w:t>20</w:t>
            </w:r>
          </w:p>
        </w:tc>
        <w:tc>
          <w:tcPr>
            <w:tcW w:w="1751" w:type="pct"/>
            <w:tcBorders>
              <w:top w:val="single" w:color="auto" w:sz="4" w:space="0"/>
              <w:left w:val="single" w:color="auto" w:sz="4" w:space="0"/>
              <w:bottom w:val="single" w:color="auto" w:sz="4" w:space="0"/>
              <w:right w:val="single" w:color="auto" w:sz="4" w:space="0"/>
            </w:tcBorders>
            <w:vAlign w:val="center"/>
          </w:tcPr>
          <w:p w14:paraId="12986A31">
            <w:pPr>
              <w:pStyle w:val="74"/>
              <w:rPr>
                <w:rFonts w:hint="eastAsia"/>
                <w:color w:val="auto"/>
              </w:rPr>
            </w:pPr>
            <w:r>
              <w:rPr>
                <w:rFonts w:hint="eastAsia"/>
                <w:color w:val="auto"/>
              </w:rPr>
              <w:t>钢尺检查</w:t>
            </w:r>
          </w:p>
        </w:tc>
      </w:tr>
      <w:tr w14:paraId="2E57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8" w:type="pct"/>
            <w:vMerge w:val="restart"/>
            <w:tcBorders>
              <w:top w:val="nil"/>
              <w:left w:val="single" w:color="auto" w:sz="4" w:space="0"/>
              <w:bottom w:val="single" w:color="auto" w:sz="4" w:space="0"/>
              <w:right w:val="single" w:color="auto" w:sz="4" w:space="0"/>
            </w:tcBorders>
            <w:vAlign w:val="center"/>
          </w:tcPr>
          <w:p w14:paraId="235B9288">
            <w:pPr>
              <w:pStyle w:val="74"/>
              <w:rPr>
                <w:rFonts w:hint="eastAsia"/>
                <w:color w:val="auto"/>
              </w:rPr>
            </w:pPr>
            <w:r>
              <w:rPr>
                <w:rFonts w:hint="eastAsia"/>
                <w:color w:val="auto"/>
              </w:rPr>
              <w:t>预埋件</w:t>
            </w:r>
          </w:p>
        </w:tc>
        <w:tc>
          <w:tcPr>
            <w:tcW w:w="970" w:type="pct"/>
            <w:tcBorders>
              <w:top w:val="single" w:color="auto" w:sz="4" w:space="0"/>
              <w:left w:val="single" w:color="auto" w:sz="4" w:space="0"/>
              <w:bottom w:val="single" w:color="auto" w:sz="4" w:space="0"/>
              <w:right w:val="single" w:color="auto" w:sz="4" w:space="0"/>
            </w:tcBorders>
            <w:vAlign w:val="center"/>
          </w:tcPr>
          <w:p w14:paraId="0B113D28">
            <w:pPr>
              <w:pStyle w:val="74"/>
              <w:rPr>
                <w:rFonts w:hint="eastAsia"/>
                <w:color w:val="auto"/>
              </w:rPr>
            </w:pPr>
            <w:r>
              <w:rPr>
                <w:rFonts w:hint="eastAsia"/>
                <w:color w:val="auto"/>
              </w:rPr>
              <w:t>中心线位置</w:t>
            </w:r>
          </w:p>
        </w:tc>
        <w:tc>
          <w:tcPr>
            <w:tcW w:w="1571" w:type="pct"/>
            <w:tcBorders>
              <w:top w:val="single" w:color="auto" w:sz="4" w:space="0"/>
              <w:left w:val="single" w:color="auto" w:sz="4" w:space="0"/>
              <w:bottom w:val="single" w:color="auto" w:sz="4" w:space="0"/>
              <w:right w:val="single" w:color="auto" w:sz="4" w:space="0"/>
            </w:tcBorders>
            <w:vAlign w:val="center"/>
          </w:tcPr>
          <w:p w14:paraId="2F63E187">
            <w:pPr>
              <w:pStyle w:val="74"/>
              <w:rPr>
                <w:rFonts w:hint="eastAsia"/>
                <w:color w:val="auto"/>
              </w:rPr>
            </w:pPr>
            <w:r>
              <w:rPr>
                <w:rFonts w:hint="eastAsia"/>
                <w:color w:val="auto"/>
              </w:rPr>
              <w:t>5</w:t>
            </w:r>
          </w:p>
        </w:tc>
        <w:tc>
          <w:tcPr>
            <w:tcW w:w="1751" w:type="pct"/>
            <w:tcBorders>
              <w:top w:val="single" w:color="auto" w:sz="4" w:space="0"/>
              <w:left w:val="single" w:color="auto" w:sz="4" w:space="0"/>
              <w:bottom w:val="single" w:color="auto" w:sz="4" w:space="0"/>
              <w:right w:val="single" w:color="auto" w:sz="4" w:space="0"/>
            </w:tcBorders>
            <w:vAlign w:val="center"/>
          </w:tcPr>
          <w:p w14:paraId="25CFC226">
            <w:pPr>
              <w:pStyle w:val="74"/>
              <w:rPr>
                <w:rFonts w:hint="eastAsia"/>
                <w:color w:val="auto"/>
              </w:rPr>
            </w:pPr>
            <w:r>
              <w:rPr>
                <w:rFonts w:hint="eastAsia"/>
                <w:color w:val="auto"/>
              </w:rPr>
              <w:t>钢尺检查</w:t>
            </w:r>
          </w:p>
        </w:tc>
      </w:tr>
      <w:tr w14:paraId="3F97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7FCF5447">
            <w:pPr>
              <w:rPr>
                <w:color w:val="auto"/>
              </w:rPr>
            </w:pPr>
          </w:p>
        </w:tc>
        <w:tc>
          <w:tcPr>
            <w:tcW w:w="970" w:type="pct"/>
            <w:tcBorders>
              <w:top w:val="single" w:color="auto" w:sz="4" w:space="0"/>
              <w:left w:val="single" w:color="auto" w:sz="4" w:space="0"/>
              <w:bottom w:val="single" w:color="auto" w:sz="4" w:space="0"/>
              <w:right w:val="single" w:color="auto" w:sz="4" w:space="0"/>
            </w:tcBorders>
            <w:vAlign w:val="center"/>
          </w:tcPr>
          <w:p w14:paraId="4FE11A6F">
            <w:pPr>
              <w:pStyle w:val="74"/>
              <w:rPr>
                <w:rFonts w:hint="eastAsia"/>
                <w:color w:val="auto"/>
              </w:rPr>
            </w:pPr>
            <w:r>
              <w:rPr>
                <w:rFonts w:hint="eastAsia"/>
                <w:color w:val="auto"/>
              </w:rPr>
              <w:t>水平高差</w:t>
            </w:r>
          </w:p>
        </w:tc>
        <w:tc>
          <w:tcPr>
            <w:tcW w:w="1571" w:type="pct"/>
            <w:tcBorders>
              <w:top w:val="single" w:color="auto" w:sz="4" w:space="0"/>
              <w:left w:val="single" w:color="auto" w:sz="4" w:space="0"/>
              <w:bottom w:val="single" w:color="auto" w:sz="4" w:space="0"/>
              <w:right w:val="single" w:color="auto" w:sz="4" w:space="0"/>
            </w:tcBorders>
            <w:vAlign w:val="center"/>
          </w:tcPr>
          <w:p w14:paraId="09BFEADF">
            <w:pPr>
              <w:pStyle w:val="74"/>
              <w:rPr>
                <w:rFonts w:hint="eastAsia"/>
                <w:color w:val="auto"/>
              </w:rPr>
            </w:pPr>
            <w:r>
              <w:rPr>
                <w:rFonts w:hint="eastAsia"/>
                <w:color w:val="auto"/>
              </w:rPr>
              <w:t>+3，0</w:t>
            </w:r>
          </w:p>
        </w:tc>
        <w:tc>
          <w:tcPr>
            <w:tcW w:w="1751" w:type="pct"/>
            <w:tcBorders>
              <w:top w:val="single" w:color="auto" w:sz="4" w:space="0"/>
              <w:left w:val="single" w:color="auto" w:sz="4" w:space="0"/>
              <w:bottom w:val="single" w:color="auto" w:sz="4" w:space="0"/>
              <w:right w:val="single" w:color="auto" w:sz="4" w:space="0"/>
            </w:tcBorders>
            <w:vAlign w:val="center"/>
          </w:tcPr>
          <w:p w14:paraId="22A2189F">
            <w:pPr>
              <w:pStyle w:val="74"/>
              <w:rPr>
                <w:rFonts w:hint="eastAsia"/>
                <w:color w:val="auto"/>
              </w:rPr>
            </w:pPr>
            <w:r>
              <w:rPr>
                <w:rFonts w:hint="eastAsia"/>
                <w:color w:val="auto"/>
              </w:rPr>
              <w:t>钢尺和塞尺检查</w:t>
            </w:r>
          </w:p>
        </w:tc>
      </w:tr>
    </w:tbl>
    <w:p w14:paraId="2C7DE980">
      <w:pPr>
        <w:ind w:firstLine="482"/>
        <w:jc w:val="center"/>
        <w:rPr>
          <w:rFonts w:hint="eastAsia"/>
          <w:b/>
          <w:bCs/>
          <w:color w:val="auto"/>
        </w:rPr>
      </w:pPr>
      <w:r>
        <w:rPr>
          <w:rFonts w:hint="eastAsia"/>
          <w:b/>
          <w:bCs/>
          <w:color w:val="auto"/>
        </w:rPr>
        <w:t>插表 钢筋工程质量保障措施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7848"/>
      </w:tblGrid>
      <w:tr w14:paraId="1D54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7573A0C0">
            <w:pPr>
              <w:pStyle w:val="74"/>
              <w:rPr>
                <w:rFonts w:hint="eastAsia"/>
                <w:color w:val="auto"/>
              </w:rPr>
            </w:pPr>
            <w:r>
              <w:rPr>
                <w:rFonts w:hint="eastAsia"/>
                <w:color w:val="auto"/>
              </w:rPr>
              <w:t>控制要点</w:t>
            </w:r>
          </w:p>
        </w:tc>
        <w:tc>
          <w:tcPr>
            <w:tcW w:w="4331" w:type="pct"/>
            <w:tcBorders>
              <w:top w:val="single" w:color="auto" w:sz="4" w:space="0"/>
              <w:left w:val="single" w:color="auto" w:sz="4" w:space="0"/>
              <w:bottom w:val="single" w:color="auto" w:sz="4" w:space="0"/>
              <w:right w:val="single" w:color="auto" w:sz="4" w:space="0"/>
            </w:tcBorders>
            <w:vAlign w:val="center"/>
          </w:tcPr>
          <w:p w14:paraId="6FEACA00">
            <w:pPr>
              <w:pStyle w:val="74"/>
              <w:rPr>
                <w:rFonts w:hint="eastAsia"/>
                <w:color w:val="auto"/>
              </w:rPr>
            </w:pPr>
            <w:r>
              <w:rPr>
                <w:rFonts w:hint="eastAsia"/>
                <w:color w:val="auto"/>
              </w:rPr>
              <w:t>质量保证措施</w:t>
            </w:r>
          </w:p>
        </w:tc>
      </w:tr>
      <w:tr w14:paraId="66A47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4981B40D">
            <w:pPr>
              <w:pStyle w:val="74"/>
              <w:rPr>
                <w:rFonts w:hint="eastAsia"/>
                <w:color w:val="auto"/>
              </w:rPr>
            </w:pPr>
            <w:r>
              <w:rPr>
                <w:rFonts w:hint="eastAsia"/>
                <w:color w:val="auto"/>
              </w:rPr>
              <w:t>进场检验</w:t>
            </w:r>
          </w:p>
        </w:tc>
        <w:tc>
          <w:tcPr>
            <w:tcW w:w="4331" w:type="pct"/>
            <w:tcBorders>
              <w:top w:val="single" w:color="auto" w:sz="4" w:space="0"/>
              <w:left w:val="single" w:color="auto" w:sz="4" w:space="0"/>
              <w:bottom w:val="single" w:color="auto" w:sz="4" w:space="0"/>
              <w:right w:val="single" w:color="auto" w:sz="4" w:space="0"/>
            </w:tcBorders>
            <w:vAlign w:val="center"/>
          </w:tcPr>
          <w:p w14:paraId="0FE53164">
            <w:pPr>
              <w:pStyle w:val="74"/>
              <w:ind w:firstLine="420" w:firstLineChars="200"/>
              <w:jc w:val="left"/>
              <w:rPr>
                <w:rFonts w:hint="eastAsia"/>
                <w:color w:val="auto"/>
              </w:rPr>
            </w:pPr>
            <w:r>
              <w:rPr>
                <w:rFonts w:hint="eastAsia"/>
                <w:color w:val="auto"/>
              </w:rPr>
              <w:t>所有进场钢筋，必须通过现场检验，检验合格后方可使用。</w:t>
            </w:r>
          </w:p>
        </w:tc>
      </w:tr>
      <w:tr w14:paraId="73E42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4E188ABC">
            <w:pPr>
              <w:pStyle w:val="74"/>
              <w:rPr>
                <w:rFonts w:hint="eastAsia"/>
                <w:color w:val="auto"/>
              </w:rPr>
            </w:pPr>
            <w:r>
              <w:rPr>
                <w:rFonts w:hint="eastAsia"/>
                <w:color w:val="auto"/>
              </w:rPr>
              <w:t>钢筋制作</w:t>
            </w:r>
          </w:p>
        </w:tc>
        <w:tc>
          <w:tcPr>
            <w:tcW w:w="4331" w:type="pct"/>
            <w:tcBorders>
              <w:top w:val="single" w:color="auto" w:sz="4" w:space="0"/>
              <w:left w:val="single" w:color="auto" w:sz="4" w:space="0"/>
              <w:bottom w:val="single" w:color="auto" w:sz="4" w:space="0"/>
              <w:right w:val="single" w:color="auto" w:sz="4" w:space="0"/>
            </w:tcBorders>
            <w:vAlign w:val="center"/>
          </w:tcPr>
          <w:p w14:paraId="1E8F20A5">
            <w:pPr>
              <w:pStyle w:val="74"/>
              <w:ind w:firstLine="420" w:firstLineChars="200"/>
              <w:jc w:val="left"/>
              <w:rPr>
                <w:rFonts w:hint="eastAsia"/>
                <w:color w:val="auto"/>
              </w:rPr>
            </w:pPr>
            <w:r>
              <w:rPr>
                <w:rFonts w:hint="eastAsia"/>
                <w:color w:val="auto"/>
              </w:rPr>
              <w:t>严格审查钢筋配料单，确保钢筋配料尺寸准确并符合国家规范。</w:t>
            </w:r>
          </w:p>
        </w:tc>
      </w:tr>
      <w:tr w14:paraId="0C30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12788A4B">
            <w:pPr>
              <w:pStyle w:val="74"/>
              <w:rPr>
                <w:rFonts w:hint="eastAsia"/>
                <w:color w:val="auto"/>
              </w:rPr>
            </w:pPr>
            <w:r>
              <w:rPr>
                <w:rFonts w:hint="eastAsia"/>
                <w:color w:val="auto"/>
              </w:rPr>
              <w:t>钢筋绑扎</w:t>
            </w:r>
          </w:p>
        </w:tc>
        <w:tc>
          <w:tcPr>
            <w:tcW w:w="4331" w:type="pct"/>
            <w:tcBorders>
              <w:top w:val="single" w:color="auto" w:sz="4" w:space="0"/>
              <w:left w:val="single" w:color="auto" w:sz="4" w:space="0"/>
              <w:bottom w:val="single" w:color="auto" w:sz="4" w:space="0"/>
              <w:right w:val="single" w:color="auto" w:sz="4" w:space="0"/>
            </w:tcBorders>
            <w:vAlign w:val="center"/>
          </w:tcPr>
          <w:p w14:paraId="355E0815">
            <w:pPr>
              <w:pStyle w:val="74"/>
              <w:ind w:firstLine="420" w:firstLineChars="200"/>
              <w:jc w:val="left"/>
              <w:rPr>
                <w:rFonts w:hint="eastAsia"/>
                <w:color w:val="auto"/>
              </w:rPr>
            </w:pPr>
            <w:r>
              <w:rPr>
                <w:rFonts w:hint="eastAsia"/>
                <w:color w:val="auto"/>
              </w:rPr>
              <w:t>钢筋工程绑扎环节，执行“七不准”制度：</w:t>
            </w:r>
          </w:p>
          <w:p w14:paraId="7368E73E">
            <w:pPr>
              <w:pStyle w:val="74"/>
              <w:ind w:firstLine="420" w:firstLineChars="200"/>
              <w:jc w:val="left"/>
              <w:rPr>
                <w:rFonts w:hint="eastAsia"/>
                <w:color w:val="auto"/>
              </w:rPr>
            </w:pPr>
            <w:r>
              <w:rPr>
                <w:rFonts w:hint="eastAsia"/>
                <w:color w:val="auto"/>
              </w:rPr>
              <w:t>（1）已浇筑混凝土浮浆未清除干净不准绑钢筋。</w:t>
            </w:r>
          </w:p>
          <w:p w14:paraId="1A7C18A8">
            <w:pPr>
              <w:pStyle w:val="74"/>
              <w:ind w:firstLine="420" w:firstLineChars="200"/>
              <w:jc w:val="left"/>
              <w:rPr>
                <w:rFonts w:hint="eastAsia"/>
                <w:color w:val="auto"/>
              </w:rPr>
            </w:pPr>
            <w:r>
              <w:rPr>
                <w:rFonts w:hint="eastAsia"/>
                <w:color w:val="auto"/>
              </w:rPr>
              <w:t>（2）钢筋污染清除不干净不准绑钢筋。</w:t>
            </w:r>
          </w:p>
          <w:p w14:paraId="25CAA47F">
            <w:pPr>
              <w:pStyle w:val="74"/>
              <w:ind w:firstLine="420" w:firstLineChars="200"/>
              <w:jc w:val="left"/>
              <w:rPr>
                <w:rFonts w:hint="eastAsia"/>
                <w:color w:val="auto"/>
              </w:rPr>
            </w:pPr>
            <w:r>
              <w:rPr>
                <w:rFonts w:hint="eastAsia"/>
                <w:color w:val="auto"/>
              </w:rPr>
              <w:t>（3）控制线未弹好不准绑钢筋。</w:t>
            </w:r>
          </w:p>
          <w:p w14:paraId="6A157034">
            <w:pPr>
              <w:pStyle w:val="74"/>
              <w:ind w:firstLine="420" w:firstLineChars="200"/>
              <w:jc w:val="left"/>
              <w:rPr>
                <w:rFonts w:hint="eastAsia"/>
                <w:color w:val="auto"/>
              </w:rPr>
            </w:pPr>
            <w:r>
              <w:rPr>
                <w:rFonts w:hint="eastAsia"/>
                <w:color w:val="auto"/>
              </w:rPr>
              <w:t>（4）钢筋偏位未检查、未校正合格不准绑钢筋。</w:t>
            </w:r>
          </w:p>
          <w:p w14:paraId="537E7373">
            <w:pPr>
              <w:pStyle w:val="74"/>
              <w:ind w:firstLine="420" w:firstLineChars="200"/>
              <w:jc w:val="left"/>
              <w:rPr>
                <w:rFonts w:hint="eastAsia"/>
                <w:color w:val="auto"/>
              </w:rPr>
            </w:pPr>
            <w:r>
              <w:rPr>
                <w:rFonts w:hint="eastAsia"/>
                <w:color w:val="auto"/>
              </w:rPr>
              <w:t>（5）钢筋接头本身质量未检查合格不准绑钢筋。</w:t>
            </w:r>
          </w:p>
          <w:p w14:paraId="351FE695">
            <w:pPr>
              <w:pStyle w:val="74"/>
              <w:ind w:firstLine="420" w:firstLineChars="200"/>
              <w:jc w:val="left"/>
              <w:rPr>
                <w:rFonts w:hint="eastAsia"/>
                <w:color w:val="auto"/>
              </w:rPr>
            </w:pPr>
            <w:r>
              <w:rPr>
                <w:rFonts w:hint="eastAsia"/>
                <w:color w:val="auto"/>
              </w:rPr>
              <w:t>（6）技术交底未到位不准绑钢筋。</w:t>
            </w:r>
          </w:p>
          <w:p w14:paraId="23DDB9DF">
            <w:pPr>
              <w:pStyle w:val="74"/>
              <w:ind w:firstLine="420" w:firstLineChars="200"/>
              <w:jc w:val="left"/>
              <w:rPr>
                <w:rFonts w:hint="eastAsia"/>
                <w:color w:val="auto"/>
              </w:rPr>
            </w:pPr>
            <w:r>
              <w:rPr>
                <w:rFonts w:hint="eastAsia"/>
                <w:color w:val="auto"/>
              </w:rPr>
              <w:t>（7）钢筋加工未通过加工班组验收不准绑钢筋。</w:t>
            </w:r>
          </w:p>
        </w:tc>
      </w:tr>
      <w:tr w14:paraId="4D726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3907A5A8">
            <w:pPr>
              <w:pStyle w:val="74"/>
              <w:rPr>
                <w:rFonts w:hint="eastAsia"/>
                <w:color w:val="auto"/>
              </w:rPr>
            </w:pPr>
            <w:r>
              <w:rPr>
                <w:rFonts w:hint="eastAsia"/>
                <w:color w:val="auto"/>
              </w:rPr>
              <w:t>电渣压力焊</w:t>
            </w:r>
          </w:p>
        </w:tc>
        <w:tc>
          <w:tcPr>
            <w:tcW w:w="4331" w:type="pct"/>
            <w:tcBorders>
              <w:top w:val="single" w:color="auto" w:sz="4" w:space="0"/>
              <w:left w:val="single" w:color="auto" w:sz="4" w:space="0"/>
              <w:bottom w:val="single" w:color="auto" w:sz="4" w:space="0"/>
              <w:right w:val="single" w:color="auto" w:sz="4" w:space="0"/>
            </w:tcBorders>
            <w:vAlign w:val="center"/>
          </w:tcPr>
          <w:p w14:paraId="756AE1C3">
            <w:pPr>
              <w:pStyle w:val="74"/>
              <w:ind w:firstLine="420" w:firstLineChars="200"/>
              <w:jc w:val="left"/>
              <w:rPr>
                <w:rFonts w:hint="eastAsia"/>
                <w:color w:val="auto"/>
              </w:rPr>
            </w:pPr>
            <w:r>
              <w:rPr>
                <w:rFonts w:hint="eastAsia"/>
                <w:color w:val="auto"/>
              </w:rPr>
              <w:t>电渣压力焊接头外观检查符合下列要求：</w:t>
            </w:r>
          </w:p>
          <w:p w14:paraId="2063FDD6">
            <w:pPr>
              <w:pStyle w:val="74"/>
              <w:ind w:firstLine="420" w:firstLineChars="200"/>
              <w:jc w:val="left"/>
              <w:rPr>
                <w:rFonts w:hint="eastAsia"/>
                <w:color w:val="auto"/>
              </w:rPr>
            </w:pPr>
            <w:r>
              <w:rPr>
                <w:rFonts w:hint="eastAsia"/>
                <w:color w:val="auto"/>
              </w:rPr>
              <w:t>（1）四周焊包凸出钢筋表面的高度不得小于4mm。</w:t>
            </w:r>
          </w:p>
          <w:p w14:paraId="370DC84B">
            <w:pPr>
              <w:pStyle w:val="74"/>
              <w:ind w:firstLine="420" w:firstLineChars="200"/>
              <w:jc w:val="left"/>
              <w:rPr>
                <w:rFonts w:hint="eastAsia"/>
                <w:color w:val="auto"/>
              </w:rPr>
            </w:pPr>
            <w:r>
              <w:rPr>
                <w:rFonts w:hint="eastAsia"/>
                <w:color w:val="auto"/>
              </w:rPr>
              <w:t>（2）钢筋与电极接触处，应无烧伤缺陷。</w:t>
            </w:r>
          </w:p>
          <w:p w14:paraId="26C9BF03">
            <w:pPr>
              <w:pStyle w:val="74"/>
              <w:ind w:firstLine="420" w:firstLineChars="200"/>
              <w:jc w:val="left"/>
              <w:rPr>
                <w:rFonts w:hint="eastAsia"/>
                <w:color w:val="auto"/>
              </w:rPr>
            </w:pPr>
            <w:r>
              <w:rPr>
                <w:rFonts w:hint="eastAsia"/>
                <w:color w:val="auto"/>
              </w:rPr>
              <w:t>（3）接头处的弯折角不得大于3°。</w:t>
            </w:r>
          </w:p>
          <w:p w14:paraId="24B1A0CC">
            <w:pPr>
              <w:pStyle w:val="74"/>
              <w:ind w:firstLine="420" w:firstLineChars="200"/>
              <w:jc w:val="left"/>
              <w:rPr>
                <w:rFonts w:hint="eastAsia"/>
                <w:color w:val="auto"/>
              </w:rPr>
            </w:pPr>
            <w:r>
              <w:rPr>
                <w:rFonts w:hint="eastAsia"/>
                <w:color w:val="auto"/>
              </w:rPr>
              <w:t>（4）接头处的轴线偏移不得大于钢筋直径的0.1倍，且不得大于2mm。</w:t>
            </w:r>
          </w:p>
        </w:tc>
      </w:tr>
      <w:tr w14:paraId="5442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393CD6D4">
            <w:pPr>
              <w:pStyle w:val="74"/>
              <w:rPr>
                <w:rFonts w:hint="eastAsia"/>
                <w:color w:val="auto"/>
              </w:rPr>
            </w:pPr>
            <w:r>
              <w:rPr>
                <w:rFonts w:hint="eastAsia"/>
                <w:color w:val="auto"/>
              </w:rPr>
              <w:t>钢筋验收</w:t>
            </w:r>
          </w:p>
        </w:tc>
        <w:tc>
          <w:tcPr>
            <w:tcW w:w="4331" w:type="pct"/>
            <w:tcBorders>
              <w:top w:val="single" w:color="auto" w:sz="4" w:space="0"/>
              <w:left w:val="single" w:color="auto" w:sz="4" w:space="0"/>
              <w:bottom w:val="single" w:color="auto" w:sz="4" w:space="0"/>
              <w:right w:val="single" w:color="auto" w:sz="4" w:space="0"/>
            </w:tcBorders>
            <w:vAlign w:val="center"/>
          </w:tcPr>
          <w:p w14:paraId="6E0A524A">
            <w:pPr>
              <w:pStyle w:val="74"/>
              <w:ind w:firstLine="420" w:firstLineChars="200"/>
              <w:jc w:val="left"/>
              <w:rPr>
                <w:rFonts w:hint="eastAsia"/>
                <w:color w:val="auto"/>
              </w:rPr>
            </w:pPr>
            <w:r>
              <w:rPr>
                <w:rFonts w:hint="eastAsia"/>
                <w:color w:val="auto"/>
              </w:rPr>
              <w:t>钢筋工程验收环节，执行“五不验”制度：</w:t>
            </w:r>
          </w:p>
          <w:p w14:paraId="1D03C178">
            <w:pPr>
              <w:pStyle w:val="74"/>
              <w:ind w:firstLine="420" w:firstLineChars="200"/>
              <w:jc w:val="left"/>
              <w:rPr>
                <w:rFonts w:hint="eastAsia"/>
                <w:color w:val="auto"/>
              </w:rPr>
            </w:pPr>
            <w:r>
              <w:rPr>
                <w:rFonts w:hint="eastAsia"/>
                <w:color w:val="auto"/>
              </w:rPr>
              <w:t>（1）钢筋绑扎未完成不验收。</w:t>
            </w:r>
          </w:p>
          <w:p w14:paraId="3421D151">
            <w:pPr>
              <w:pStyle w:val="74"/>
              <w:ind w:firstLine="420" w:firstLineChars="200"/>
              <w:jc w:val="left"/>
              <w:rPr>
                <w:rFonts w:hint="eastAsia"/>
                <w:color w:val="auto"/>
              </w:rPr>
            </w:pPr>
            <w:r>
              <w:rPr>
                <w:rFonts w:hint="eastAsia"/>
                <w:color w:val="auto"/>
              </w:rPr>
              <w:t>（2）钢筋定位措施不到位不验收。</w:t>
            </w:r>
          </w:p>
          <w:p w14:paraId="1067D729">
            <w:pPr>
              <w:pStyle w:val="74"/>
              <w:ind w:firstLine="420" w:firstLineChars="200"/>
              <w:jc w:val="left"/>
              <w:rPr>
                <w:rFonts w:hint="eastAsia"/>
                <w:color w:val="auto"/>
              </w:rPr>
            </w:pPr>
            <w:r>
              <w:rPr>
                <w:rFonts w:hint="eastAsia"/>
                <w:color w:val="auto"/>
              </w:rPr>
              <w:t>（3）钢筋保护层垫块不合格、达不到要求不验收。</w:t>
            </w:r>
          </w:p>
          <w:p w14:paraId="7AB6055A">
            <w:pPr>
              <w:pStyle w:val="74"/>
              <w:ind w:firstLine="420" w:firstLineChars="200"/>
              <w:jc w:val="left"/>
              <w:rPr>
                <w:rFonts w:hint="eastAsia"/>
                <w:color w:val="auto"/>
              </w:rPr>
            </w:pPr>
            <w:r>
              <w:rPr>
                <w:rFonts w:hint="eastAsia"/>
                <w:color w:val="auto"/>
              </w:rPr>
              <w:t>（4）钢筋纠偏不合格不验收。</w:t>
            </w:r>
          </w:p>
          <w:p w14:paraId="33F83625">
            <w:pPr>
              <w:pStyle w:val="74"/>
              <w:ind w:firstLine="420" w:firstLineChars="200"/>
              <w:jc w:val="left"/>
              <w:rPr>
                <w:rFonts w:hint="eastAsia"/>
                <w:color w:val="auto"/>
              </w:rPr>
            </w:pPr>
            <w:r>
              <w:rPr>
                <w:rFonts w:hint="eastAsia"/>
                <w:color w:val="auto"/>
              </w:rPr>
              <w:t>（5）钢筋绑扎未严格按技术交底施工不验收。</w:t>
            </w:r>
          </w:p>
        </w:tc>
      </w:tr>
    </w:tbl>
    <w:p w14:paraId="04BB24DD">
      <w:pPr>
        <w:pStyle w:val="6"/>
        <w:ind w:firstLine="480"/>
        <w:rPr>
          <w:rFonts w:hint="eastAsia"/>
          <w:color w:val="auto"/>
        </w:rPr>
      </w:pPr>
      <w:r>
        <w:rPr>
          <w:rFonts w:hint="eastAsia"/>
          <w:color w:val="auto"/>
        </w:rPr>
        <w:t>模板工程质量保证措施</w:t>
      </w:r>
    </w:p>
    <w:p w14:paraId="1A81F499">
      <w:pPr>
        <w:rPr>
          <w:rFonts w:hint="eastAsia"/>
          <w:color w:val="auto"/>
        </w:rPr>
      </w:pPr>
      <w:r>
        <w:rPr>
          <w:rFonts w:hint="eastAsia"/>
          <w:color w:val="auto"/>
        </w:rPr>
        <w:t>本工程地下室结构拟采用木模板+木枋背楞加固工艺，竖向结构、水平结构均采用木模板进行支模。针对模板施工中出现的常遇问题，从模板支撑、安装、加固三个方面采取以下措施：</w:t>
      </w:r>
    </w:p>
    <w:p w14:paraId="069161E9">
      <w:pPr>
        <w:pStyle w:val="54"/>
        <w:rPr>
          <w:rFonts w:hint="eastAsia"/>
          <w:color w:val="auto"/>
        </w:rPr>
      </w:pPr>
      <w:r>
        <w:rPr>
          <w:rFonts w:hint="eastAsia"/>
          <w:color w:val="auto"/>
        </w:rPr>
        <w:t>模板工程质量保证措施</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26"/>
        <w:gridCol w:w="4534"/>
      </w:tblGrid>
      <w:tr w14:paraId="0A18E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8" w:type="pct"/>
            <w:tcBorders>
              <w:top w:val="single" w:color="auto" w:sz="4" w:space="0"/>
              <w:left w:val="single" w:color="auto" w:sz="4" w:space="0"/>
              <w:bottom w:val="single" w:color="auto" w:sz="4" w:space="0"/>
              <w:right w:val="single" w:color="auto" w:sz="4" w:space="0"/>
            </w:tcBorders>
            <w:vAlign w:val="center"/>
          </w:tcPr>
          <w:p w14:paraId="1265D055">
            <w:pPr>
              <w:spacing w:line="240" w:lineRule="auto"/>
              <w:ind w:firstLine="0" w:firstLineChars="0"/>
              <w:jc w:val="center"/>
              <w:rPr>
                <w:rFonts w:hint="eastAsia"/>
                <w:color w:val="auto"/>
                <w:sz w:val="21"/>
              </w:rPr>
            </w:pPr>
            <w:r>
              <w:rPr>
                <w:rFonts w:hint="eastAsia"/>
                <w:color w:val="auto"/>
                <w:sz w:val="21"/>
              </w:rPr>
              <w:drawing>
                <wp:inline distT="0" distB="0" distL="0" distR="0">
                  <wp:extent cx="2369820" cy="1493520"/>
                  <wp:effectExtent l="0" t="0" r="0" b="0"/>
                  <wp:docPr id="1401580541"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80541" name="图片 53"/>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2369820" cy="1493520"/>
                          </a:xfrm>
                          <a:prstGeom prst="rect">
                            <a:avLst/>
                          </a:prstGeom>
                          <a:noFill/>
                          <a:ln>
                            <a:noFill/>
                          </a:ln>
                        </pic:spPr>
                      </pic:pic>
                    </a:graphicData>
                  </a:graphic>
                </wp:inline>
              </w:drawing>
            </w:r>
          </w:p>
        </w:tc>
        <w:tc>
          <w:tcPr>
            <w:tcW w:w="2502" w:type="pct"/>
            <w:tcBorders>
              <w:top w:val="single" w:color="auto" w:sz="4" w:space="0"/>
              <w:left w:val="single" w:color="auto" w:sz="4" w:space="0"/>
              <w:bottom w:val="single" w:color="auto" w:sz="4" w:space="0"/>
              <w:right w:val="single" w:color="auto" w:sz="4" w:space="0"/>
            </w:tcBorders>
            <w:vAlign w:val="center"/>
          </w:tcPr>
          <w:p w14:paraId="66F6188E">
            <w:pPr>
              <w:spacing w:line="240" w:lineRule="auto"/>
              <w:ind w:firstLine="0" w:firstLineChars="0"/>
              <w:jc w:val="center"/>
              <w:rPr>
                <w:rFonts w:hint="eastAsia"/>
                <w:color w:val="auto"/>
                <w:sz w:val="21"/>
              </w:rPr>
            </w:pPr>
            <w:r>
              <w:rPr>
                <w:rFonts w:hint="eastAsia"/>
                <w:color w:val="auto"/>
                <w:sz w:val="21"/>
              </w:rPr>
              <w:drawing>
                <wp:inline distT="0" distB="0" distL="0" distR="0">
                  <wp:extent cx="2362200" cy="1455420"/>
                  <wp:effectExtent l="0" t="0" r="0" b="0"/>
                  <wp:docPr id="1791520647"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520647" name="图片 52"/>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a:xfrm>
                            <a:off x="0" y="0"/>
                            <a:ext cx="2362200" cy="1455420"/>
                          </a:xfrm>
                          <a:prstGeom prst="rect">
                            <a:avLst/>
                          </a:prstGeom>
                          <a:noFill/>
                          <a:ln>
                            <a:noFill/>
                          </a:ln>
                        </pic:spPr>
                      </pic:pic>
                    </a:graphicData>
                  </a:graphic>
                </wp:inline>
              </w:drawing>
            </w:r>
          </w:p>
        </w:tc>
      </w:tr>
      <w:tr w14:paraId="418C8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78FA9E01">
            <w:pPr>
              <w:spacing w:line="240" w:lineRule="auto"/>
              <w:ind w:firstLine="0" w:firstLineChars="0"/>
              <w:jc w:val="center"/>
              <w:rPr>
                <w:rFonts w:hint="eastAsia"/>
                <w:color w:val="auto"/>
                <w:sz w:val="21"/>
              </w:rPr>
            </w:pPr>
            <w:r>
              <w:rPr>
                <w:rFonts w:hint="eastAsia"/>
                <w:color w:val="auto"/>
                <w:sz w:val="21"/>
              </w:rPr>
              <w:t>模板支撑系统确保模板承载力，满足刚度、强度要求</w:t>
            </w:r>
          </w:p>
        </w:tc>
      </w:tr>
      <w:tr w14:paraId="06DED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8" w:type="pct"/>
            <w:tcBorders>
              <w:top w:val="single" w:color="auto" w:sz="4" w:space="0"/>
              <w:left w:val="single" w:color="auto" w:sz="4" w:space="0"/>
              <w:bottom w:val="single" w:color="auto" w:sz="4" w:space="0"/>
              <w:right w:val="single" w:color="auto" w:sz="4" w:space="0"/>
            </w:tcBorders>
            <w:vAlign w:val="center"/>
          </w:tcPr>
          <w:p w14:paraId="471EF240">
            <w:pPr>
              <w:spacing w:line="240" w:lineRule="auto"/>
              <w:ind w:firstLine="0" w:firstLineChars="0"/>
              <w:jc w:val="center"/>
              <w:rPr>
                <w:rFonts w:hint="eastAsia"/>
                <w:color w:val="auto"/>
                <w:sz w:val="21"/>
              </w:rPr>
            </w:pPr>
            <w:r>
              <w:rPr>
                <w:rFonts w:hint="eastAsia"/>
                <w:color w:val="auto"/>
                <w:sz w:val="21"/>
              </w:rPr>
              <w:drawing>
                <wp:inline distT="0" distB="0" distL="0" distR="0">
                  <wp:extent cx="2331720" cy="1821180"/>
                  <wp:effectExtent l="0" t="0" r="0" b="7620"/>
                  <wp:docPr id="1635266696"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66696" name="图片 51"/>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2331720" cy="1821180"/>
                          </a:xfrm>
                          <a:prstGeom prst="rect">
                            <a:avLst/>
                          </a:prstGeom>
                          <a:noFill/>
                          <a:ln>
                            <a:noFill/>
                          </a:ln>
                        </pic:spPr>
                      </pic:pic>
                    </a:graphicData>
                  </a:graphic>
                </wp:inline>
              </w:drawing>
            </w:r>
          </w:p>
        </w:tc>
        <w:tc>
          <w:tcPr>
            <w:tcW w:w="2502" w:type="pct"/>
            <w:tcBorders>
              <w:top w:val="single" w:color="auto" w:sz="4" w:space="0"/>
              <w:left w:val="single" w:color="auto" w:sz="4" w:space="0"/>
              <w:bottom w:val="single" w:color="auto" w:sz="4" w:space="0"/>
              <w:right w:val="single" w:color="auto" w:sz="4" w:space="0"/>
            </w:tcBorders>
            <w:vAlign w:val="center"/>
          </w:tcPr>
          <w:p w14:paraId="094067E8">
            <w:pPr>
              <w:spacing w:line="240" w:lineRule="auto"/>
              <w:ind w:firstLine="0" w:firstLineChars="0"/>
              <w:jc w:val="center"/>
              <w:rPr>
                <w:rFonts w:hint="eastAsia"/>
                <w:color w:val="auto"/>
                <w:sz w:val="21"/>
              </w:rPr>
            </w:pPr>
            <w:r>
              <w:rPr>
                <w:rFonts w:hint="eastAsia"/>
                <w:color w:val="auto"/>
                <w:sz w:val="21"/>
              </w:rPr>
              <w:drawing>
                <wp:inline distT="0" distB="0" distL="0" distR="0">
                  <wp:extent cx="2354580" cy="1821180"/>
                  <wp:effectExtent l="0" t="0" r="7620" b="7620"/>
                  <wp:docPr id="1972553699"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553699" name="图片 50"/>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a:xfrm>
                            <a:off x="0" y="0"/>
                            <a:ext cx="2354580" cy="1821180"/>
                          </a:xfrm>
                          <a:prstGeom prst="rect">
                            <a:avLst/>
                          </a:prstGeom>
                          <a:noFill/>
                          <a:ln>
                            <a:noFill/>
                          </a:ln>
                        </pic:spPr>
                      </pic:pic>
                    </a:graphicData>
                  </a:graphic>
                </wp:inline>
              </w:drawing>
            </w:r>
          </w:p>
        </w:tc>
      </w:tr>
      <w:tr w14:paraId="2787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2ECDC83D">
            <w:pPr>
              <w:spacing w:line="240" w:lineRule="auto"/>
              <w:ind w:firstLine="0" w:firstLineChars="0"/>
              <w:jc w:val="center"/>
              <w:rPr>
                <w:rFonts w:hint="eastAsia"/>
                <w:color w:val="auto"/>
                <w:sz w:val="21"/>
              </w:rPr>
            </w:pPr>
            <w:r>
              <w:rPr>
                <w:rFonts w:hint="eastAsia"/>
                <w:color w:val="auto"/>
                <w:sz w:val="21"/>
              </w:rPr>
              <w:t>墙柱根部加设海绵条，防止漏浆、烂根</w:t>
            </w:r>
          </w:p>
        </w:tc>
      </w:tr>
      <w:tr w14:paraId="3AED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8" w:type="pct"/>
            <w:tcBorders>
              <w:top w:val="single" w:color="auto" w:sz="4" w:space="0"/>
              <w:left w:val="single" w:color="auto" w:sz="4" w:space="0"/>
              <w:bottom w:val="single" w:color="auto" w:sz="4" w:space="0"/>
              <w:right w:val="single" w:color="auto" w:sz="4" w:space="0"/>
            </w:tcBorders>
            <w:vAlign w:val="center"/>
          </w:tcPr>
          <w:p w14:paraId="1654C994">
            <w:pPr>
              <w:spacing w:line="240" w:lineRule="auto"/>
              <w:ind w:firstLine="0" w:firstLineChars="0"/>
              <w:jc w:val="center"/>
              <w:rPr>
                <w:rFonts w:hint="eastAsia"/>
                <w:color w:val="auto"/>
                <w:sz w:val="21"/>
              </w:rPr>
            </w:pPr>
            <w:r>
              <w:rPr>
                <w:rFonts w:hint="eastAsia"/>
                <w:color w:val="auto"/>
                <w:sz w:val="21"/>
              </w:rPr>
              <w:drawing>
                <wp:inline distT="0" distB="0" distL="0" distR="0">
                  <wp:extent cx="2331720" cy="1630680"/>
                  <wp:effectExtent l="0" t="0" r="0" b="7620"/>
                  <wp:docPr id="1189888615"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888615" name="图片 4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a:xfrm>
                            <a:off x="0" y="0"/>
                            <a:ext cx="2331720" cy="1630680"/>
                          </a:xfrm>
                          <a:prstGeom prst="rect">
                            <a:avLst/>
                          </a:prstGeom>
                          <a:noFill/>
                          <a:ln>
                            <a:noFill/>
                          </a:ln>
                        </pic:spPr>
                      </pic:pic>
                    </a:graphicData>
                  </a:graphic>
                </wp:inline>
              </w:drawing>
            </w:r>
          </w:p>
        </w:tc>
        <w:tc>
          <w:tcPr>
            <w:tcW w:w="2502" w:type="pct"/>
            <w:tcBorders>
              <w:top w:val="single" w:color="auto" w:sz="4" w:space="0"/>
              <w:left w:val="single" w:color="auto" w:sz="4" w:space="0"/>
              <w:bottom w:val="single" w:color="auto" w:sz="4" w:space="0"/>
              <w:right w:val="single" w:color="auto" w:sz="4" w:space="0"/>
            </w:tcBorders>
            <w:vAlign w:val="center"/>
          </w:tcPr>
          <w:p w14:paraId="4DC5DE4C">
            <w:pPr>
              <w:spacing w:line="240" w:lineRule="auto"/>
              <w:ind w:firstLine="0" w:firstLineChars="0"/>
              <w:jc w:val="center"/>
              <w:rPr>
                <w:rFonts w:hint="eastAsia"/>
                <w:color w:val="auto"/>
                <w:sz w:val="21"/>
              </w:rPr>
            </w:pPr>
            <w:r>
              <w:rPr>
                <w:rFonts w:hint="eastAsia"/>
                <w:color w:val="auto"/>
                <w:sz w:val="21"/>
              </w:rPr>
              <w:drawing>
                <wp:inline distT="0" distB="0" distL="0" distR="0">
                  <wp:extent cx="2339340" cy="1645920"/>
                  <wp:effectExtent l="0" t="0" r="3810" b="0"/>
                  <wp:docPr id="712444017"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444017" name="图片 48"/>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a:xfrm>
                            <a:off x="0" y="0"/>
                            <a:ext cx="2339340" cy="1645920"/>
                          </a:xfrm>
                          <a:prstGeom prst="rect">
                            <a:avLst/>
                          </a:prstGeom>
                          <a:noFill/>
                          <a:ln>
                            <a:noFill/>
                          </a:ln>
                        </pic:spPr>
                      </pic:pic>
                    </a:graphicData>
                  </a:graphic>
                </wp:inline>
              </w:drawing>
            </w:r>
          </w:p>
        </w:tc>
      </w:tr>
      <w:tr w14:paraId="466BF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564C4124">
            <w:pPr>
              <w:spacing w:line="240" w:lineRule="auto"/>
              <w:ind w:firstLine="0" w:firstLineChars="0"/>
              <w:jc w:val="center"/>
              <w:rPr>
                <w:rFonts w:hint="eastAsia"/>
                <w:color w:val="auto"/>
                <w:sz w:val="21"/>
              </w:rPr>
            </w:pPr>
            <w:r>
              <w:rPr>
                <w:rFonts w:hint="eastAsia"/>
                <w:color w:val="auto"/>
                <w:sz w:val="21"/>
              </w:rPr>
              <w:t>做好拼缝处理，严格控制板面平整度</w:t>
            </w:r>
          </w:p>
        </w:tc>
      </w:tr>
      <w:tr w14:paraId="1ED75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98" w:type="pct"/>
            <w:tcBorders>
              <w:top w:val="single" w:color="auto" w:sz="4" w:space="0"/>
              <w:left w:val="single" w:color="auto" w:sz="4" w:space="0"/>
              <w:bottom w:val="single" w:color="auto" w:sz="4" w:space="0"/>
              <w:right w:val="single" w:color="auto" w:sz="4" w:space="0"/>
            </w:tcBorders>
            <w:vAlign w:val="center"/>
          </w:tcPr>
          <w:p w14:paraId="36AF0C34">
            <w:pPr>
              <w:spacing w:line="240" w:lineRule="auto"/>
              <w:ind w:firstLine="0" w:firstLineChars="0"/>
              <w:jc w:val="center"/>
              <w:rPr>
                <w:rFonts w:hint="eastAsia"/>
                <w:color w:val="auto"/>
                <w:sz w:val="21"/>
              </w:rPr>
            </w:pPr>
            <w:r>
              <w:rPr>
                <w:rFonts w:hint="eastAsia"/>
                <w:color w:val="auto"/>
                <w:sz w:val="21"/>
              </w:rPr>
              <w:drawing>
                <wp:inline distT="0" distB="0" distL="0" distR="0">
                  <wp:extent cx="2331720" cy="1638300"/>
                  <wp:effectExtent l="0" t="0" r="0" b="0"/>
                  <wp:docPr id="1893933921"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933921" name="图片 47"/>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a:xfrm>
                            <a:off x="0" y="0"/>
                            <a:ext cx="2331720" cy="1638300"/>
                          </a:xfrm>
                          <a:prstGeom prst="rect">
                            <a:avLst/>
                          </a:prstGeom>
                          <a:noFill/>
                          <a:ln>
                            <a:noFill/>
                          </a:ln>
                        </pic:spPr>
                      </pic:pic>
                    </a:graphicData>
                  </a:graphic>
                </wp:inline>
              </w:drawing>
            </w:r>
          </w:p>
        </w:tc>
        <w:tc>
          <w:tcPr>
            <w:tcW w:w="2502" w:type="pct"/>
            <w:tcBorders>
              <w:top w:val="single" w:color="auto" w:sz="4" w:space="0"/>
              <w:left w:val="single" w:color="auto" w:sz="4" w:space="0"/>
              <w:bottom w:val="single" w:color="auto" w:sz="4" w:space="0"/>
              <w:right w:val="single" w:color="auto" w:sz="4" w:space="0"/>
            </w:tcBorders>
            <w:vAlign w:val="center"/>
          </w:tcPr>
          <w:p w14:paraId="7473F051">
            <w:pPr>
              <w:spacing w:line="240" w:lineRule="auto"/>
              <w:ind w:firstLine="0" w:firstLineChars="0"/>
              <w:jc w:val="center"/>
              <w:rPr>
                <w:rFonts w:hint="eastAsia"/>
                <w:color w:val="auto"/>
                <w:sz w:val="21"/>
              </w:rPr>
            </w:pPr>
            <w:r>
              <w:rPr>
                <w:rFonts w:hint="eastAsia"/>
                <w:color w:val="auto"/>
                <w:sz w:val="21"/>
              </w:rPr>
              <w:drawing>
                <wp:inline distT="0" distB="0" distL="0" distR="0">
                  <wp:extent cx="2331720" cy="1607820"/>
                  <wp:effectExtent l="0" t="0" r="0" b="0"/>
                  <wp:docPr id="169064411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644113" name="图片 4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a:xfrm>
                            <a:off x="0" y="0"/>
                            <a:ext cx="2331720" cy="1607820"/>
                          </a:xfrm>
                          <a:prstGeom prst="rect">
                            <a:avLst/>
                          </a:prstGeom>
                          <a:noFill/>
                          <a:ln>
                            <a:noFill/>
                          </a:ln>
                        </pic:spPr>
                      </pic:pic>
                    </a:graphicData>
                  </a:graphic>
                </wp:inline>
              </w:drawing>
            </w:r>
          </w:p>
        </w:tc>
      </w:tr>
      <w:tr w14:paraId="48DE9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14:paraId="45BB98B8">
            <w:pPr>
              <w:spacing w:line="240" w:lineRule="auto"/>
              <w:ind w:firstLine="0" w:firstLineChars="0"/>
              <w:jc w:val="center"/>
              <w:rPr>
                <w:rFonts w:hint="eastAsia"/>
                <w:color w:val="auto"/>
                <w:sz w:val="21"/>
              </w:rPr>
            </w:pPr>
            <w:r>
              <w:rPr>
                <w:rFonts w:hint="eastAsia"/>
                <w:color w:val="auto"/>
                <w:sz w:val="21"/>
              </w:rPr>
              <w:t>模板弹线定位，误差控制在1mm以内</w:t>
            </w:r>
          </w:p>
        </w:tc>
      </w:tr>
    </w:tbl>
    <w:p w14:paraId="1EE25073">
      <w:pPr>
        <w:pStyle w:val="54"/>
        <w:rPr>
          <w:rFonts w:hint="eastAsia"/>
          <w:color w:val="auto"/>
        </w:rPr>
      </w:pPr>
      <w:r>
        <w:rPr>
          <w:rFonts w:hint="eastAsia"/>
          <w:color w:val="auto"/>
        </w:rPr>
        <w:t>模板工程质量控制标准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08"/>
        <w:gridCol w:w="3489"/>
        <w:gridCol w:w="3463"/>
      </w:tblGrid>
      <w:tr w14:paraId="153F0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6B3509D1">
            <w:pPr>
              <w:spacing w:line="240" w:lineRule="auto"/>
              <w:ind w:firstLine="0" w:firstLineChars="0"/>
              <w:jc w:val="center"/>
              <w:rPr>
                <w:rFonts w:hint="eastAsia"/>
                <w:color w:val="auto"/>
                <w:sz w:val="21"/>
              </w:rPr>
            </w:pPr>
            <w:r>
              <w:rPr>
                <w:rFonts w:hint="eastAsia"/>
                <w:color w:val="auto"/>
                <w:sz w:val="21"/>
              </w:rPr>
              <w:t>项目</w:t>
            </w:r>
          </w:p>
        </w:tc>
        <w:tc>
          <w:tcPr>
            <w:tcW w:w="1925" w:type="pct"/>
            <w:tcBorders>
              <w:top w:val="single" w:color="auto" w:sz="4" w:space="0"/>
              <w:left w:val="single" w:color="auto" w:sz="4" w:space="0"/>
              <w:bottom w:val="single" w:color="auto" w:sz="4" w:space="0"/>
              <w:right w:val="single" w:color="auto" w:sz="4" w:space="0"/>
            </w:tcBorders>
            <w:vAlign w:val="center"/>
          </w:tcPr>
          <w:p w14:paraId="6CC6800C">
            <w:pPr>
              <w:spacing w:line="240" w:lineRule="auto"/>
              <w:ind w:firstLine="0" w:firstLineChars="0"/>
              <w:jc w:val="center"/>
              <w:rPr>
                <w:rFonts w:hint="eastAsia"/>
                <w:color w:val="auto"/>
                <w:sz w:val="21"/>
              </w:rPr>
            </w:pPr>
            <w:r>
              <w:rPr>
                <w:rFonts w:hint="eastAsia"/>
                <w:color w:val="auto"/>
                <w:sz w:val="21"/>
              </w:rPr>
              <w:t>允许偏差（mm）</w:t>
            </w:r>
          </w:p>
        </w:tc>
        <w:tc>
          <w:tcPr>
            <w:tcW w:w="1911" w:type="pct"/>
            <w:tcBorders>
              <w:top w:val="single" w:color="auto" w:sz="4" w:space="0"/>
              <w:left w:val="single" w:color="auto" w:sz="4" w:space="0"/>
              <w:bottom w:val="single" w:color="auto" w:sz="4" w:space="0"/>
              <w:right w:val="single" w:color="auto" w:sz="4" w:space="0"/>
            </w:tcBorders>
            <w:vAlign w:val="center"/>
          </w:tcPr>
          <w:p w14:paraId="162B4692">
            <w:pPr>
              <w:spacing w:line="240" w:lineRule="auto"/>
              <w:ind w:firstLine="0" w:firstLineChars="0"/>
              <w:jc w:val="center"/>
              <w:rPr>
                <w:rFonts w:hint="eastAsia"/>
                <w:color w:val="auto"/>
                <w:sz w:val="21"/>
              </w:rPr>
            </w:pPr>
            <w:r>
              <w:rPr>
                <w:rFonts w:hint="eastAsia"/>
                <w:color w:val="auto"/>
                <w:sz w:val="21"/>
              </w:rPr>
              <w:t>检测方法</w:t>
            </w:r>
          </w:p>
        </w:tc>
      </w:tr>
      <w:tr w14:paraId="30378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2ECBC28E">
            <w:pPr>
              <w:spacing w:line="240" w:lineRule="auto"/>
              <w:ind w:firstLine="0" w:firstLineChars="0"/>
              <w:jc w:val="center"/>
              <w:rPr>
                <w:rFonts w:hint="eastAsia"/>
                <w:color w:val="auto"/>
                <w:sz w:val="21"/>
              </w:rPr>
            </w:pPr>
            <w:r>
              <w:rPr>
                <w:rFonts w:hint="eastAsia"/>
                <w:color w:val="auto"/>
                <w:sz w:val="21"/>
              </w:rPr>
              <w:t>轴线位置</w:t>
            </w:r>
          </w:p>
        </w:tc>
        <w:tc>
          <w:tcPr>
            <w:tcW w:w="1925" w:type="pct"/>
            <w:tcBorders>
              <w:top w:val="single" w:color="auto" w:sz="4" w:space="0"/>
              <w:left w:val="single" w:color="auto" w:sz="4" w:space="0"/>
              <w:bottom w:val="single" w:color="auto" w:sz="4" w:space="0"/>
              <w:right w:val="single" w:color="auto" w:sz="4" w:space="0"/>
            </w:tcBorders>
            <w:vAlign w:val="center"/>
          </w:tcPr>
          <w:p w14:paraId="59F39415">
            <w:pPr>
              <w:spacing w:line="240" w:lineRule="auto"/>
              <w:ind w:firstLine="0" w:firstLineChars="0"/>
              <w:jc w:val="center"/>
              <w:rPr>
                <w:rFonts w:hint="eastAsia"/>
                <w:color w:val="auto"/>
                <w:sz w:val="21"/>
              </w:rPr>
            </w:pPr>
            <w:r>
              <w:rPr>
                <w:rFonts w:hint="eastAsia"/>
                <w:color w:val="auto"/>
                <w:sz w:val="21"/>
              </w:rPr>
              <w:t>5</w:t>
            </w:r>
          </w:p>
        </w:tc>
        <w:tc>
          <w:tcPr>
            <w:tcW w:w="1911" w:type="pct"/>
            <w:tcBorders>
              <w:top w:val="single" w:color="auto" w:sz="4" w:space="0"/>
              <w:left w:val="single" w:color="auto" w:sz="4" w:space="0"/>
              <w:bottom w:val="single" w:color="auto" w:sz="4" w:space="0"/>
              <w:right w:val="single" w:color="auto" w:sz="4" w:space="0"/>
            </w:tcBorders>
            <w:vAlign w:val="center"/>
          </w:tcPr>
          <w:p w14:paraId="7084C2F1">
            <w:pPr>
              <w:spacing w:line="240" w:lineRule="auto"/>
              <w:ind w:firstLine="0" w:firstLineChars="0"/>
              <w:jc w:val="center"/>
              <w:rPr>
                <w:rFonts w:hint="eastAsia"/>
                <w:color w:val="auto"/>
                <w:sz w:val="21"/>
              </w:rPr>
            </w:pPr>
            <w:r>
              <w:rPr>
                <w:rFonts w:hint="eastAsia"/>
                <w:color w:val="auto"/>
                <w:sz w:val="21"/>
              </w:rPr>
              <w:t>钢尺检查</w:t>
            </w:r>
          </w:p>
        </w:tc>
      </w:tr>
      <w:tr w14:paraId="63E18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5CFCB8EE">
            <w:pPr>
              <w:spacing w:line="240" w:lineRule="auto"/>
              <w:ind w:firstLine="0" w:firstLineChars="0"/>
              <w:jc w:val="center"/>
              <w:rPr>
                <w:rFonts w:hint="eastAsia"/>
                <w:color w:val="auto"/>
                <w:sz w:val="21"/>
              </w:rPr>
            </w:pPr>
            <w:r>
              <w:rPr>
                <w:rFonts w:hint="eastAsia"/>
                <w:color w:val="auto"/>
                <w:sz w:val="21"/>
              </w:rPr>
              <w:t>底模上表面标高</w:t>
            </w:r>
          </w:p>
        </w:tc>
        <w:tc>
          <w:tcPr>
            <w:tcW w:w="1925" w:type="pct"/>
            <w:tcBorders>
              <w:top w:val="single" w:color="auto" w:sz="4" w:space="0"/>
              <w:left w:val="single" w:color="auto" w:sz="4" w:space="0"/>
              <w:bottom w:val="single" w:color="auto" w:sz="4" w:space="0"/>
              <w:right w:val="single" w:color="auto" w:sz="4" w:space="0"/>
            </w:tcBorders>
            <w:vAlign w:val="center"/>
          </w:tcPr>
          <w:p w14:paraId="664F7B65">
            <w:pPr>
              <w:spacing w:line="240" w:lineRule="auto"/>
              <w:ind w:firstLine="0" w:firstLineChars="0"/>
              <w:jc w:val="center"/>
              <w:rPr>
                <w:rFonts w:hint="eastAsia"/>
                <w:color w:val="auto"/>
                <w:sz w:val="21"/>
              </w:rPr>
            </w:pPr>
            <w:r>
              <w:rPr>
                <w:rFonts w:hint="eastAsia"/>
                <w:color w:val="auto"/>
                <w:sz w:val="21"/>
              </w:rPr>
              <w:t>±5</w:t>
            </w:r>
          </w:p>
        </w:tc>
        <w:tc>
          <w:tcPr>
            <w:tcW w:w="1911" w:type="pct"/>
            <w:tcBorders>
              <w:top w:val="single" w:color="auto" w:sz="4" w:space="0"/>
              <w:left w:val="single" w:color="auto" w:sz="4" w:space="0"/>
              <w:bottom w:val="single" w:color="auto" w:sz="4" w:space="0"/>
              <w:right w:val="single" w:color="auto" w:sz="4" w:space="0"/>
            </w:tcBorders>
            <w:vAlign w:val="center"/>
          </w:tcPr>
          <w:p w14:paraId="123DB1FA">
            <w:pPr>
              <w:spacing w:line="240" w:lineRule="auto"/>
              <w:ind w:firstLine="0" w:firstLineChars="0"/>
              <w:jc w:val="center"/>
              <w:rPr>
                <w:rFonts w:hint="eastAsia"/>
                <w:color w:val="auto"/>
                <w:sz w:val="21"/>
              </w:rPr>
            </w:pPr>
            <w:r>
              <w:rPr>
                <w:rFonts w:hint="eastAsia"/>
                <w:color w:val="auto"/>
                <w:sz w:val="21"/>
              </w:rPr>
              <w:t>水准仪或拉线、钢尺检查</w:t>
            </w:r>
          </w:p>
        </w:tc>
      </w:tr>
      <w:tr w14:paraId="7B361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5E033540">
            <w:pPr>
              <w:spacing w:line="240" w:lineRule="auto"/>
              <w:ind w:firstLine="0" w:firstLineChars="0"/>
              <w:jc w:val="center"/>
              <w:rPr>
                <w:rFonts w:hint="eastAsia"/>
                <w:color w:val="auto"/>
                <w:sz w:val="21"/>
              </w:rPr>
            </w:pPr>
            <w:r>
              <w:rPr>
                <w:rFonts w:hint="eastAsia"/>
                <w:color w:val="auto"/>
                <w:sz w:val="21"/>
              </w:rPr>
              <w:t>基础</w:t>
            </w:r>
          </w:p>
        </w:tc>
        <w:tc>
          <w:tcPr>
            <w:tcW w:w="1925" w:type="pct"/>
            <w:tcBorders>
              <w:top w:val="single" w:color="auto" w:sz="4" w:space="0"/>
              <w:left w:val="single" w:color="auto" w:sz="4" w:space="0"/>
              <w:bottom w:val="single" w:color="auto" w:sz="4" w:space="0"/>
              <w:right w:val="single" w:color="auto" w:sz="4" w:space="0"/>
            </w:tcBorders>
            <w:vAlign w:val="center"/>
          </w:tcPr>
          <w:p w14:paraId="3C1EC6B2">
            <w:pPr>
              <w:spacing w:line="240" w:lineRule="auto"/>
              <w:ind w:firstLine="0" w:firstLineChars="0"/>
              <w:jc w:val="center"/>
              <w:rPr>
                <w:rFonts w:hint="eastAsia"/>
                <w:color w:val="auto"/>
                <w:sz w:val="21"/>
              </w:rPr>
            </w:pPr>
            <w:r>
              <w:rPr>
                <w:rFonts w:hint="eastAsia"/>
                <w:color w:val="auto"/>
                <w:sz w:val="21"/>
              </w:rPr>
              <w:t>±10</w:t>
            </w:r>
          </w:p>
        </w:tc>
        <w:tc>
          <w:tcPr>
            <w:tcW w:w="1911" w:type="pct"/>
            <w:tcBorders>
              <w:top w:val="single" w:color="auto" w:sz="4" w:space="0"/>
              <w:left w:val="single" w:color="auto" w:sz="4" w:space="0"/>
              <w:bottom w:val="single" w:color="auto" w:sz="4" w:space="0"/>
              <w:right w:val="single" w:color="auto" w:sz="4" w:space="0"/>
            </w:tcBorders>
            <w:vAlign w:val="center"/>
          </w:tcPr>
          <w:p w14:paraId="03B96A77">
            <w:pPr>
              <w:spacing w:line="240" w:lineRule="auto"/>
              <w:ind w:firstLine="0" w:firstLineChars="0"/>
              <w:jc w:val="center"/>
              <w:rPr>
                <w:rFonts w:hint="eastAsia"/>
                <w:color w:val="auto"/>
                <w:sz w:val="21"/>
              </w:rPr>
            </w:pPr>
            <w:r>
              <w:rPr>
                <w:rFonts w:hint="eastAsia"/>
                <w:color w:val="auto"/>
                <w:sz w:val="21"/>
              </w:rPr>
              <w:t>钢尺检查</w:t>
            </w:r>
          </w:p>
        </w:tc>
      </w:tr>
      <w:tr w14:paraId="7B08F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65D7D5CF">
            <w:pPr>
              <w:spacing w:line="240" w:lineRule="auto"/>
              <w:ind w:firstLine="0" w:firstLineChars="0"/>
              <w:jc w:val="center"/>
              <w:rPr>
                <w:rFonts w:hint="eastAsia"/>
                <w:color w:val="auto"/>
                <w:sz w:val="21"/>
              </w:rPr>
            </w:pPr>
            <w:r>
              <w:rPr>
                <w:rFonts w:hint="eastAsia"/>
                <w:color w:val="auto"/>
                <w:sz w:val="21"/>
              </w:rPr>
              <w:t>柱、墙、梁</w:t>
            </w:r>
          </w:p>
        </w:tc>
        <w:tc>
          <w:tcPr>
            <w:tcW w:w="1925" w:type="pct"/>
            <w:tcBorders>
              <w:top w:val="single" w:color="auto" w:sz="4" w:space="0"/>
              <w:left w:val="single" w:color="auto" w:sz="4" w:space="0"/>
              <w:bottom w:val="single" w:color="auto" w:sz="4" w:space="0"/>
              <w:right w:val="single" w:color="auto" w:sz="4" w:space="0"/>
            </w:tcBorders>
            <w:vAlign w:val="center"/>
          </w:tcPr>
          <w:p w14:paraId="24324F07">
            <w:pPr>
              <w:spacing w:line="240" w:lineRule="auto"/>
              <w:ind w:firstLine="0" w:firstLineChars="0"/>
              <w:jc w:val="center"/>
              <w:rPr>
                <w:rFonts w:hint="eastAsia"/>
                <w:color w:val="auto"/>
                <w:sz w:val="21"/>
              </w:rPr>
            </w:pPr>
            <w:r>
              <w:rPr>
                <w:rFonts w:hint="eastAsia"/>
                <w:color w:val="auto"/>
                <w:sz w:val="21"/>
              </w:rPr>
              <w:t>+4，-5</w:t>
            </w:r>
          </w:p>
        </w:tc>
        <w:tc>
          <w:tcPr>
            <w:tcW w:w="1911" w:type="pct"/>
            <w:tcBorders>
              <w:top w:val="single" w:color="auto" w:sz="4" w:space="0"/>
              <w:left w:val="single" w:color="auto" w:sz="4" w:space="0"/>
              <w:bottom w:val="single" w:color="auto" w:sz="4" w:space="0"/>
              <w:right w:val="single" w:color="auto" w:sz="4" w:space="0"/>
            </w:tcBorders>
            <w:vAlign w:val="center"/>
          </w:tcPr>
          <w:p w14:paraId="390E7771">
            <w:pPr>
              <w:spacing w:line="240" w:lineRule="auto"/>
              <w:ind w:firstLine="0" w:firstLineChars="0"/>
              <w:jc w:val="center"/>
              <w:rPr>
                <w:rFonts w:hint="eastAsia"/>
                <w:color w:val="auto"/>
                <w:sz w:val="21"/>
              </w:rPr>
            </w:pPr>
            <w:r>
              <w:rPr>
                <w:rFonts w:hint="eastAsia"/>
                <w:color w:val="auto"/>
                <w:sz w:val="21"/>
              </w:rPr>
              <w:t>钢尺检查</w:t>
            </w:r>
          </w:p>
        </w:tc>
      </w:tr>
      <w:tr w14:paraId="6E2B8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210CF45A">
            <w:pPr>
              <w:spacing w:line="240" w:lineRule="auto"/>
              <w:ind w:firstLine="0" w:firstLineChars="0"/>
              <w:jc w:val="center"/>
              <w:rPr>
                <w:rFonts w:hint="eastAsia"/>
                <w:color w:val="auto"/>
                <w:sz w:val="21"/>
              </w:rPr>
            </w:pPr>
            <w:r>
              <w:rPr>
                <w:rFonts w:hint="eastAsia"/>
                <w:color w:val="auto"/>
                <w:sz w:val="21"/>
              </w:rPr>
              <w:t>不大于5m</w:t>
            </w:r>
          </w:p>
        </w:tc>
        <w:tc>
          <w:tcPr>
            <w:tcW w:w="1925" w:type="pct"/>
            <w:tcBorders>
              <w:top w:val="single" w:color="auto" w:sz="4" w:space="0"/>
              <w:left w:val="single" w:color="auto" w:sz="4" w:space="0"/>
              <w:bottom w:val="single" w:color="auto" w:sz="4" w:space="0"/>
              <w:right w:val="single" w:color="auto" w:sz="4" w:space="0"/>
            </w:tcBorders>
            <w:vAlign w:val="center"/>
          </w:tcPr>
          <w:p w14:paraId="0906DEAA">
            <w:pPr>
              <w:spacing w:line="240" w:lineRule="auto"/>
              <w:ind w:firstLine="0" w:firstLineChars="0"/>
              <w:jc w:val="center"/>
              <w:rPr>
                <w:rFonts w:hint="eastAsia"/>
                <w:color w:val="auto"/>
                <w:sz w:val="21"/>
              </w:rPr>
            </w:pPr>
            <w:r>
              <w:rPr>
                <w:rFonts w:hint="eastAsia"/>
                <w:color w:val="auto"/>
                <w:sz w:val="21"/>
              </w:rPr>
              <w:t>6</w:t>
            </w:r>
          </w:p>
        </w:tc>
        <w:tc>
          <w:tcPr>
            <w:tcW w:w="1911" w:type="pct"/>
            <w:tcBorders>
              <w:top w:val="single" w:color="auto" w:sz="4" w:space="0"/>
              <w:left w:val="single" w:color="auto" w:sz="4" w:space="0"/>
              <w:bottom w:val="single" w:color="auto" w:sz="4" w:space="0"/>
              <w:right w:val="single" w:color="auto" w:sz="4" w:space="0"/>
            </w:tcBorders>
            <w:vAlign w:val="center"/>
          </w:tcPr>
          <w:p w14:paraId="6798DB8C">
            <w:pPr>
              <w:spacing w:line="240" w:lineRule="auto"/>
              <w:ind w:firstLine="0" w:firstLineChars="0"/>
              <w:jc w:val="center"/>
              <w:rPr>
                <w:rFonts w:hint="eastAsia"/>
                <w:color w:val="auto"/>
                <w:sz w:val="21"/>
              </w:rPr>
            </w:pPr>
            <w:r>
              <w:rPr>
                <w:rFonts w:hint="eastAsia"/>
                <w:color w:val="auto"/>
                <w:sz w:val="21"/>
              </w:rPr>
              <w:t>水准仪或拉线、钢尺检查</w:t>
            </w:r>
          </w:p>
        </w:tc>
      </w:tr>
      <w:tr w14:paraId="34169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17119CDA">
            <w:pPr>
              <w:spacing w:line="240" w:lineRule="auto"/>
              <w:ind w:firstLine="0" w:firstLineChars="0"/>
              <w:jc w:val="center"/>
              <w:rPr>
                <w:rFonts w:hint="eastAsia"/>
                <w:color w:val="auto"/>
                <w:sz w:val="21"/>
              </w:rPr>
            </w:pPr>
            <w:r>
              <w:rPr>
                <w:rFonts w:hint="eastAsia"/>
                <w:color w:val="auto"/>
                <w:sz w:val="21"/>
              </w:rPr>
              <w:t>大于5m</w:t>
            </w:r>
          </w:p>
        </w:tc>
        <w:tc>
          <w:tcPr>
            <w:tcW w:w="1925" w:type="pct"/>
            <w:tcBorders>
              <w:top w:val="single" w:color="auto" w:sz="4" w:space="0"/>
              <w:left w:val="single" w:color="auto" w:sz="4" w:space="0"/>
              <w:bottom w:val="single" w:color="auto" w:sz="4" w:space="0"/>
              <w:right w:val="single" w:color="auto" w:sz="4" w:space="0"/>
            </w:tcBorders>
            <w:vAlign w:val="center"/>
          </w:tcPr>
          <w:p w14:paraId="19BB0248">
            <w:pPr>
              <w:spacing w:line="240" w:lineRule="auto"/>
              <w:ind w:firstLine="0" w:firstLineChars="0"/>
              <w:jc w:val="center"/>
              <w:rPr>
                <w:rFonts w:hint="eastAsia"/>
                <w:color w:val="auto"/>
                <w:sz w:val="21"/>
              </w:rPr>
            </w:pPr>
            <w:r>
              <w:rPr>
                <w:rFonts w:hint="eastAsia"/>
                <w:color w:val="auto"/>
                <w:sz w:val="21"/>
              </w:rPr>
              <w:t>8</w:t>
            </w:r>
          </w:p>
        </w:tc>
        <w:tc>
          <w:tcPr>
            <w:tcW w:w="1911" w:type="pct"/>
            <w:tcBorders>
              <w:top w:val="single" w:color="auto" w:sz="4" w:space="0"/>
              <w:left w:val="single" w:color="auto" w:sz="4" w:space="0"/>
              <w:bottom w:val="single" w:color="auto" w:sz="4" w:space="0"/>
              <w:right w:val="single" w:color="auto" w:sz="4" w:space="0"/>
            </w:tcBorders>
            <w:vAlign w:val="center"/>
          </w:tcPr>
          <w:p w14:paraId="365348A4">
            <w:pPr>
              <w:spacing w:line="240" w:lineRule="auto"/>
              <w:ind w:firstLine="0" w:firstLineChars="0"/>
              <w:jc w:val="center"/>
              <w:rPr>
                <w:rFonts w:hint="eastAsia"/>
                <w:color w:val="auto"/>
                <w:sz w:val="21"/>
              </w:rPr>
            </w:pPr>
            <w:r>
              <w:rPr>
                <w:rFonts w:hint="eastAsia"/>
                <w:color w:val="auto"/>
                <w:sz w:val="21"/>
              </w:rPr>
              <w:t>水准仪或拉线、钢尺检查</w:t>
            </w:r>
          </w:p>
        </w:tc>
      </w:tr>
      <w:tr w14:paraId="6A0A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618BBA3F">
            <w:pPr>
              <w:spacing w:line="240" w:lineRule="auto"/>
              <w:ind w:firstLine="0" w:firstLineChars="0"/>
              <w:jc w:val="center"/>
              <w:rPr>
                <w:rFonts w:hint="eastAsia"/>
                <w:color w:val="auto"/>
                <w:sz w:val="21"/>
              </w:rPr>
            </w:pPr>
            <w:r>
              <w:rPr>
                <w:rFonts w:hint="eastAsia"/>
                <w:color w:val="auto"/>
                <w:sz w:val="21"/>
              </w:rPr>
              <w:t>相邻两板表面高低差</w:t>
            </w:r>
          </w:p>
        </w:tc>
        <w:tc>
          <w:tcPr>
            <w:tcW w:w="1925" w:type="pct"/>
            <w:tcBorders>
              <w:top w:val="single" w:color="auto" w:sz="4" w:space="0"/>
              <w:left w:val="single" w:color="auto" w:sz="4" w:space="0"/>
              <w:bottom w:val="single" w:color="auto" w:sz="4" w:space="0"/>
              <w:right w:val="single" w:color="auto" w:sz="4" w:space="0"/>
            </w:tcBorders>
            <w:vAlign w:val="center"/>
          </w:tcPr>
          <w:p w14:paraId="4874FFCB">
            <w:pPr>
              <w:spacing w:line="240" w:lineRule="auto"/>
              <w:ind w:firstLine="0" w:firstLineChars="0"/>
              <w:jc w:val="center"/>
              <w:rPr>
                <w:rFonts w:hint="eastAsia"/>
                <w:color w:val="auto"/>
                <w:sz w:val="21"/>
              </w:rPr>
            </w:pPr>
            <w:r>
              <w:rPr>
                <w:rFonts w:hint="eastAsia"/>
                <w:color w:val="auto"/>
                <w:sz w:val="21"/>
              </w:rPr>
              <w:t>2</w:t>
            </w:r>
          </w:p>
        </w:tc>
        <w:tc>
          <w:tcPr>
            <w:tcW w:w="1911" w:type="pct"/>
            <w:tcBorders>
              <w:top w:val="single" w:color="auto" w:sz="4" w:space="0"/>
              <w:left w:val="single" w:color="auto" w:sz="4" w:space="0"/>
              <w:bottom w:val="single" w:color="auto" w:sz="4" w:space="0"/>
              <w:right w:val="single" w:color="auto" w:sz="4" w:space="0"/>
            </w:tcBorders>
            <w:vAlign w:val="center"/>
          </w:tcPr>
          <w:p w14:paraId="4B85E0B8">
            <w:pPr>
              <w:spacing w:line="240" w:lineRule="auto"/>
              <w:ind w:firstLine="0" w:firstLineChars="0"/>
              <w:jc w:val="center"/>
              <w:rPr>
                <w:rFonts w:hint="eastAsia"/>
                <w:color w:val="auto"/>
                <w:sz w:val="21"/>
              </w:rPr>
            </w:pPr>
            <w:r>
              <w:rPr>
                <w:rFonts w:hint="eastAsia"/>
                <w:color w:val="auto"/>
                <w:sz w:val="21"/>
              </w:rPr>
              <w:t>钢尺检查</w:t>
            </w:r>
          </w:p>
        </w:tc>
      </w:tr>
      <w:tr w14:paraId="1924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63" w:type="pct"/>
            <w:tcBorders>
              <w:top w:val="single" w:color="auto" w:sz="4" w:space="0"/>
              <w:left w:val="single" w:color="auto" w:sz="4" w:space="0"/>
              <w:bottom w:val="single" w:color="auto" w:sz="4" w:space="0"/>
              <w:right w:val="single" w:color="auto" w:sz="4" w:space="0"/>
            </w:tcBorders>
            <w:vAlign w:val="center"/>
          </w:tcPr>
          <w:p w14:paraId="39B77A21">
            <w:pPr>
              <w:spacing w:line="240" w:lineRule="auto"/>
              <w:ind w:firstLine="0" w:firstLineChars="0"/>
              <w:jc w:val="center"/>
              <w:rPr>
                <w:rFonts w:hint="eastAsia"/>
                <w:color w:val="auto"/>
                <w:sz w:val="21"/>
              </w:rPr>
            </w:pPr>
            <w:r>
              <w:rPr>
                <w:rFonts w:hint="eastAsia"/>
                <w:color w:val="auto"/>
                <w:sz w:val="21"/>
              </w:rPr>
              <w:t>表面平整度</w:t>
            </w:r>
          </w:p>
        </w:tc>
        <w:tc>
          <w:tcPr>
            <w:tcW w:w="1925" w:type="pct"/>
            <w:tcBorders>
              <w:top w:val="single" w:color="auto" w:sz="4" w:space="0"/>
              <w:left w:val="single" w:color="auto" w:sz="4" w:space="0"/>
              <w:bottom w:val="single" w:color="auto" w:sz="4" w:space="0"/>
              <w:right w:val="single" w:color="auto" w:sz="4" w:space="0"/>
            </w:tcBorders>
            <w:vAlign w:val="center"/>
          </w:tcPr>
          <w:p w14:paraId="4ED5113D">
            <w:pPr>
              <w:spacing w:line="240" w:lineRule="auto"/>
              <w:ind w:firstLine="0" w:firstLineChars="0"/>
              <w:jc w:val="center"/>
              <w:rPr>
                <w:rFonts w:hint="eastAsia"/>
                <w:color w:val="auto"/>
                <w:sz w:val="21"/>
              </w:rPr>
            </w:pPr>
            <w:r>
              <w:rPr>
                <w:rFonts w:hint="eastAsia"/>
                <w:color w:val="auto"/>
                <w:sz w:val="21"/>
              </w:rPr>
              <w:t>5</w:t>
            </w:r>
          </w:p>
        </w:tc>
        <w:tc>
          <w:tcPr>
            <w:tcW w:w="1911" w:type="pct"/>
            <w:tcBorders>
              <w:top w:val="single" w:color="auto" w:sz="4" w:space="0"/>
              <w:left w:val="single" w:color="auto" w:sz="4" w:space="0"/>
              <w:bottom w:val="single" w:color="auto" w:sz="4" w:space="0"/>
              <w:right w:val="single" w:color="auto" w:sz="4" w:space="0"/>
            </w:tcBorders>
            <w:vAlign w:val="center"/>
          </w:tcPr>
          <w:p w14:paraId="5F03356A">
            <w:pPr>
              <w:spacing w:line="240" w:lineRule="auto"/>
              <w:ind w:firstLine="0" w:firstLineChars="0"/>
              <w:jc w:val="center"/>
              <w:rPr>
                <w:rFonts w:hint="eastAsia"/>
                <w:color w:val="auto"/>
                <w:sz w:val="21"/>
              </w:rPr>
            </w:pPr>
            <w:r>
              <w:rPr>
                <w:rFonts w:hint="eastAsia"/>
                <w:color w:val="auto"/>
                <w:sz w:val="21"/>
              </w:rPr>
              <w:t>2m靠尺和塞尺检查</w:t>
            </w:r>
          </w:p>
        </w:tc>
      </w:tr>
    </w:tbl>
    <w:p w14:paraId="3B4BCEAD">
      <w:pPr>
        <w:pStyle w:val="54"/>
        <w:rPr>
          <w:rFonts w:hint="eastAsia"/>
          <w:color w:val="auto"/>
        </w:rPr>
      </w:pPr>
      <w:r>
        <w:rPr>
          <w:rFonts w:hint="eastAsia"/>
          <w:color w:val="auto"/>
        </w:rPr>
        <w:t>模板工程质量保障措施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1"/>
        <w:gridCol w:w="7739"/>
      </w:tblGrid>
      <w:tr w14:paraId="30651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66449EC8">
            <w:pPr>
              <w:spacing w:line="240" w:lineRule="auto"/>
              <w:ind w:firstLine="0" w:firstLineChars="0"/>
              <w:jc w:val="center"/>
              <w:rPr>
                <w:rFonts w:hint="eastAsia"/>
                <w:color w:val="auto"/>
                <w:sz w:val="21"/>
              </w:rPr>
            </w:pPr>
            <w:r>
              <w:rPr>
                <w:rFonts w:hint="eastAsia"/>
                <w:color w:val="auto"/>
                <w:sz w:val="21"/>
              </w:rPr>
              <w:t>控制要点</w:t>
            </w:r>
          </w:p>
        </w:tc>
        <w:tc>
          <w:tcPr>
            <w:tcW w:w="4271" w:type="pct"/>
            <w:tcBorders>
              <w:top w:val="single" w:color="auto" w:sz="4" w:space="0"/>
              <w:left w:val="single" w:color="auto" w:sz="4" w:space="0"/>
              <w:bottom w:val="single" w:color="auto" w:sz="4" w:space="0"/>
              <w:right w:val="single" w:color="auto" w:sz="4" w:space="0"/>
            </w:tcBorders>
            <w:vAlign w:val="center"/>
          </w:tcPr>
          <w:p w14:paraId="718C59FC">
            <w:pPr>
              <w:spacing w:line="240" w:lineRule="auto"/>
              <w:ind w:firstLine="0" w:firstLineChars="0"/>
              <w:jc w:val="center"/>
              <w:rPr>
                <w:rFonts w:hint="eastAsia"/>
                <w:color w:val="auto"/>
                <w:sz w:val="21"/>
              </w:rPr>
            </w:pPr>
            <w:r>
              <w:rPr>
                <w:rFonts w:hint="eastAsia"/>
                <w:color w:val="auto"/>
                <w:sz w:val="21"/>
              </w:rPr>
              <w:t>质量保证措施</w:t>
            </w:r>
          </w:p>
        </w:tc>
      </w:tr>
      <w:tr w14:paraId="7707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315690CB">
            <w:pPr>
              <w:spacing w:line="240" w:lineRule="auto"/>
              <w:ind w:firstLine="0" w:firstLineChars="0"/>
              <w:jc w:val="center"/>
              <w:rPr>
                <w:rFonts w:hint="eastAsia"/>
                <w:color w:val="auto"/>
                <w:sz w:val="21"/>
              </w:rPr>
            </w:pPr>
            <w:r>
              <w:rPr>
                <w:rFonts w:hint="eastAsia"/>
                <w:color w:val="auto"/>
                <w:sz w:val="21"/>
              </w:rPr>
              <w:t>模板的选择</w:t>
            </w:r>
          </w:p>
        </w:tc>
        <w:tc>
          <w:tcPr>
            <w:tcW w:w="4271" w:type="pct"/>
            <w:tcBorders>
              <w:top w:val="single" w:color="auto" w:sz="4" w:space="0"/>
              <w:left w:val="single" w:color="auto" w:sz="4" w:space="0"/>
              <w:bottom w:val="single" w:color="auto" w:sz="4" w:space="0"/>
              <w:right w:val="single" w:color="auto" w:sz="4" w:space="0"/>
            </w:tcBorders>
            <w:vAlign w:val="center"/>
          </w:tcPr>
          <w:p w14:paraId="60FD7896">
            <w:pPr>
              <w:spacing w:line="240" w:lineRule="auto"/>
              <w:ind w:firstLine="420"/>
              <w:jc w:val="left"/>
              <w:rPr>
                <w:rFonts w:hint="eastAsia"/>
                <w:color w:val="auto"/>
                <w:sz w:val="21"/>
              </w:rPr>
            </w:pPr>
            <w:r>
              <w:rPr>
                <w:rFonts w:hint="eastAsia"/>
                <w:color w:val="auto"/>
                <w:sz w:val="21"/>
              </w:rPr>
              <w:t>本工程钢筋混凝土梁、墙、底板、坑、井和钢筋混凝土方柱模板选择15mm厚双面覆膜木胶合板。</w:t>
            </w:r>
          </w:p>
        </w:tc>
      </w:tr>
      <w:tr w14:paraId="5F2A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08D6A9F7">
            <w:pPr>
              <w:spacing w:line="240" w:lineRule="auto"/>
              <w:ind w:firstLine="0" w:firstLineChars="0"/>
              <w:jc w:val="center"/>
              <w:rPr>
                <w:rFonts w:hint="eastAsia"/>
                <w:color w:val="auto"/>
                <w:sz w:val="21"/>
              </w:rPr>
            </w:pPr>
            <w:r>
              <w:rPr>
                <w:rFonts w:hint="eastAsia"/>
                <w:color w:val="auto"/>
                <w:sz w:val="21"/>
              </w:rPr>
              <w:t>模板设计</w:t>
            </w:r>
          </w:p>
        </w:tc>
        <w:tc>
          <w:tcPr>
            <w:tcW w:w="4271" w:type="pct"/>
            <w:tcBorders>
              <w:top w:val="single" w:color="auto" w:sz="4" w:space="0"/>
              <w:left w:val="single" w:color="auto" w:sz="4" w:space="0"/>
              <w:bottom w:val="single" w:color="auto" w:sz="4" w:space="0"/>
              <w:right w:val="single" w:color="auto" w:sz="4" w:space="0"/>
            </w:tcBorders>
            <w:vAlign w:val="center"/>
          </w:tcPr>
          <w:p w14:paraId="2E431936">
            <w:pPr>
              <w:spacing w:line="240" w:lineRule="auto"/>
              <w:ind w:firstLine="420"/>
              <w:jc w:val="left"/>
              <w:rPr>
                <w:rFonts w:hint="eastAsia"/>
                <w:color w:val="auto"/>
                <w:sz w:val="21"/>
              </w:rPr>
            </w:pPr>
            <w:r>
              <w:rPr>
                <w:rFonts w:hint="eastAsia"/>
                <w:color w:val="auto"/>
                <w:sz w:val="21"/>
              </w:rPr>
              <w:t>模板及支撑系统设计时，充分考虑其自重、施工荷载、混凝土自重及浇捣时产生的侧向压力，结合周转料具材料性能、支模高度等参数，综合计算，合理布置，以保证模板及支架有足够的承载能力、刚度和稳定性。</w:t>
            </w:r>
          </w:p>
        </w:tc>
      </w:tr>
      <w:tr w14:paraId="7576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0DE347DD">
            <w:pPr>
              <w:spacing w:line="240" w:lineRule="auto"/>
              <w:ind w:firstLine="0" w:firstLineChars="0"/>
              <w:jc w:val="center"/>
              <w:rPr>
                <w:rFonts w:hint="eastAsia"/>
                <w:color w:val="auto"/>
                <w:sz w:val="21"/>
              </w:rPr>
            </w:pPr>
            <w:r>
              <w:rPr>
                <w:rFonts w:hint="eastAsia"/>
                <w:color w:val="auto"/>
                <w:sz w:val="21"/>
              </w:rPr>
              <w:t>轴线位移</w:t>
            </w:r>
          </w:p>
        </w:tc>
        <w:tc>
          <w:tcPr>
            <w:tcW w:w="4271" w:type="pct"/>
            <w:tcBorders>
              <w:top w:val="single" w:color="auto" w:sz="4" w:space="0"/>
              <w:left w:val="single" w:color="auto" w:sz="4" w:space="0"/>
              <w:bottom w:val="single" w:color="auto" w:sz="4" w:space="0"/>
              <w:right w:val="single" w:color="auto" w:sz="4" w:space="0"/>
            </w:tcBorders>
            <w:vAlign w:val="center"/>
          </w:tcPr>
          <w:p w14:paraId="6348A886">
            <w:pPr>
              <w:spacing w:line="240" w:lineRule="auto"/>
              <w:ind w:firstLine="420"/>
              <w:jc w:val="left"/>
              <w:rPr>
                <w:rFonts w:hint="eastAsia"/>
                <w:color w:val="auto"/>
                <w:sz w:val="21"/>
              </w:rPr>
            </w:pPr>
            <w:r>
              <w:rPr>
                <w:rFonts w:hint="eastAsia"/>
                <w:color w:val="auto"/>
                <w:sz w:val="21"/>
              </w:rPr>
              <w:t>模板轴线测放后，组织专人进行技术复核验收，确认无误才能支模；墙、柱模板根部和顶部必须设可靠的限位措施；支模时要拉水平、竖向通线，并设竖向垂直度控制线，以保证模板水平、竖向位置准确；混凝土浇筑前，对模板轴线、支架、顶撑、螺栓进行认真检查、复合，发现问题及时处理。</w:t>
            </w:r>
          </w:p>
        </w:tc>
      </w:tr>
      <w:tr w14:paraId="38389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4B3F89D0">
            <w:pPr>
              <w:spacing w:line="240" w:lineRule="auto"/>
              <w:ind w:firstLine="0" w:firstLineChars="0"/>
              <w:jc w:val="center"/>
              <w:rPr>
                <w:rFonts w:hint="eastAsia"/>
                <w:color w:val="auto"/>
                <w:sz w:val="21"/>
              </w:rPr>
            </w:pPr>
            <w:r>
              <w:rPr>
                <w:rFonts w:hint="eastAsia"/>
                <w:color w:val="auto"/>
                <w:sz w:val="21"/>
              </w:rPr>
              <w:t>标高偏差</w:t>
            </w:r>
          </w:p>
        </w:tc>
        <w:tc>
          <w:tcPr>
            <w:tcW w:w="4271" w:type="pct"/>
            <w:tcBorders>
              <w:top w:val="single" w:color="auto" w:sz="4" w:space="0"/>
              <w:left w:val="single" w:color="auto" w:sz="4" w:space="0"/>
              <w:bottom w:val="single" w:color="auto" w:sz="4" w:space="0"/>
              <w:right w:val="single" w:color="auto" w:sz="4" w:space="0"/>
            </w:tcBorders>
            <w:vAlign w:val="center"/>
          </w:tcPr>
          <w:p w14:paraId="5F96D364">
            <w:pPr>
              <w:spacing w:line="240" w:lineRule="auto"/>
              <w:ind w:firstLine="420"/>
              <w:jc w:val="left"/>
              <w:rPr>
                <w:rFonts w:hint="eastAsia"/>
                <w:color w:val="auto"/>
                <w:sz w:val="21"/>
              </w:rPr>
            </w:pPr>
            <w:r>
              <w:rPr>
                <w:rFonts w:hint="eastAsia"/>
                <w:color w:val="auto"/>
                <w:sz w:val="21"/>
              </w:rPr>
              <w:t>每层设足够的标高控制点，竖向模板根部须做找平；建筑楼层标高由首层±0、000标高控制，严禁逐层引测，以防止累计误差，并设标高控制线，每层标高引测点应不少于2个，以便复核。</w:t>
            </w:r>
          </w:p>
        </w:tc>
      </w:tr>
      <w:tr w14:paraId="20A12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6D82259F">
            <w:pPr>
              <w:spacing w:line="240" w:lineRule="auto"/>
              <w:ind w:firstLine="0" w:firstLineChars="0"/>
              <w:jc w:val="center"/>
              <w:rPr>
                <w:rFonts w:hint="eastAsia"/>
                <w:color w:val="auto"/>
                <w:sz w:val="21"/>
              </w:rPr>
            </w:pPr>
            <w:r>
              <w:rPr>
                <w:rFonts w:hint="eastAsia"/>
                <w:color w:val="auto"/>
                <w:sz w:val="21"/>
              </w:rPr>
              <w:t>模板安装</w:t>
            </w:r>
          </w:p>
        </w:tc>
        <w:tc>
          <w:tcPr>
            <w:tcW w:w="4271" w:type="pct"/>
            <w:tcBorders>
              <w:top w:val="single" w:color="auto" w:sz="4" w:space="0"/>
              <w:left w:val="single" w:color="auto" w:sz="4" w:space="0"/>
              <w:bottom w:val="single" w:color="auto" w:sz="4" w:space="0"/>
              <w:right w:val="single" w:color="auto" w:sz="4" w:space="0"/>
            </w:tcBorders>
            <w:vAlign w:val="center"/>
          </w:tcPr>
          <w:p w14:paraId="34EA3FF2">
            <w:pPr>
              <w:spacing w:line="240" w:lineRule="auto"/>
              <w:ind w:firstLine="420"/>
              <w:jc w:val="left"/>
              <w:rPr>
                <w:rFonts w:hint="eastAsia"/>
                <w:color w:val="auto"/>
                <w:sz w:val="21"/>
              </w:rPr>
            </w:pPr>
            <w:r>
              <w:rPr>
                <w:rFonts w:hint="eastAsia"/>
                <w:color w:val="auto"/>
                <w:sz w:val="21"/>
              </w:rPr>
              <w:t>（1）在施工过程中，每块模板进行编号，严格按照深化设计配模图确定各模板位置，保证外形尺寸准确。</w:t>
            </w:r>
          </w:p>
          <w:p w14:paraId="19A3F212">
            <w:pPr>
              <w:spacing w:line="240" w:lineRule="auto"/>
              <w:ind w:firstLine="420"/>
              <w:jc w:val="left"/>
              <w:rPr>
                <w:rFonts w:hint="eastAsia"/>
                <w:color w:val="auto"/>
                <w:sz w:val="21"/>
              </w:rPr>
            </w:pPr>
            <w:r>
              <w:rPr>
                <w:rFonts w:hint="eastAsia"/>
                <w:color w:val="auto"/>
                <w:sz w:val="21"/>
              </w:rPr>
              <w:t>（2）梁、方柱模板拼缝部位要严密，保证接缝不漏浆。</w:t>
            </w:r>
          </w:p>
          <w:p w14:paraId="418A5722">
            <w:pPr>
              <w:spacing w:line="240" w:lineRule="auto"/>
              <w:ind w:firstLine="420"/>
              <w:jc w:val="left"/>
              <w:rPr>
                <w:rFonts w:hint="eastAsia"/>
                <w:color w:val="auto"/>
                <w:sz w:val="21"/>
              </w:rPr>
            </w:pPr>
            <w:r>
              <w:rPr>
                <w:rFonts w:hint="eastAsia"/>
                <w:color w:val="auto"/>
                <w:sz w:val="21"/>
              </w:rPr>
              <w:t>（3）预埋件及预留孔洞，在安装前应与图纸对照，确认无误后准确固定在设计位置上，必要时用电焊或套框等方法将其固定，在浇筑混凝土时，应沿其周围分层均匀浇筑，严禁碰击和振动预埋件与模板。</w:t>
            </w:r>
          </w:p>
          <w:p w14:paraId="733D8ED6">
            <w:pPr>
              <w:spacing w:line="240" w:lineRule="auto"/>
              <w:ind w:firstLine="420"/>
              <w:jc w:val="left"/>
              <w:rPr>
                <w:rFonts w:hint="eastAsia"/>
                <w:color w:val="auto"/>
                <w:sz w:val="21"/>
              </w:rPr>
            </w:pPr>
            <w:r>
              <w:rPr>
                <w:rFonts w:hint="eastAsia"/>
                <w:color w:val="auto"/>
                <w:sz w:val="21"/>
              </w:rPr>
              <w:t>（4）模板安装后全面检查每块模板的安装位置、紧固情况，梁、柱交接部位支撑是否牢固，拼缝是否严密，尤其是阴阳角部位，经验收合格后方可浇筑。</w:t>
            </w:r>
          </w:p>
          <w:p w14:paraId="1B9D9FA1">
            <w:pPr>
              <w:spacing w:line="240" w:lineRule="auto"/>
              <w:ind w:firstLine="420"/>
              <w:jc w:val="left"/>
              <w:rPr>
                <w:rFonts w:hint="eastAsia"/>
                <w:color w:val="auto"/>
                <w:sz w:val="21"/>
              </w:rPr>
            </w:pPr>
            <w:r>
              <w:rPr>
                <w:rFonts w:hint="eastAsia"/>
                <w:color w:val="auto"/>
                <w:sz w:val="21"/>
              </w:rPr>
              <w:t>（5）浇筑混凝土时，木模板要提前浇水湿润，严格控制木模板含水率，使其胀开密封。</w:t>
            </w:r>
          </w:p>
          <w:p w14:paraId="0901AEF2">
            <w:pPr>
              <w:spacing w:line="240" w:lineRule="auto"/>
              <w:ind w:firstLine="420"/>
              <w:jc w:val="left"/>
              <w:rPr>
                <w:rFonts w:hint="eastAsia"/>
                <w:color w:val="auto"/>
                <w:sz w:val="21"/>
              </w:rPr>
            </w:pPr>
            <w:r>
              <w:rPr>
                <w:rFonts w:hint="eastAsia"/>
                <w:color w:val="auto"/>
                <w:sz w:val="21"/>
              </w:rPr>
              <w:t>（6）浇捣混凝土时，要均匀对称下料，严格控制浇灌高度，特别是门窗洞口模板两侧，既要保证混凝土振捣密实，也要防止过分振捣引起模板变形。</w:t>
            </w:r>
          </w:p>
        </w:tc>
      </w:tr>
      <w:tr w14:paraId="69CB2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29" w:type="pct"/>
            <w:tcBorders>
              <w:top w:val="single" w:color="auto" w:sz="4" w:space="0"/>
              <w:left w:val="single" w:color="auto" w:sz="4" w:space="0"/>
              <w:bottom w:val="single" w:color="auto" w:sz="4" w:space="0"/>
              <w:right w:val="single" w:color="auto" w:sz="4" w:space="0"/>
            </w:tcBorders>
            <w:vAlign w:val="center"/>
          </w:tcPr>
          <w:p w14:paraId="61D5CCD1">
            <w:pPr>
              <w:spacing w:line="240" w:lineRule="auto"/>
              <w:ind w:firstLine="0" w:firstLineChars="0"/>
              <w:jc w:val="center"/>
              <w:rPr>
                <w:rFonts w:hint="eastAsia"/>
                <w:color w:val="auto"/>
                <w:sz w:val="21"/>
              </w:rPr>
            </w:pPr>
            <w:r>
              <w:rPr>
                <w:rFonts w:hint="eastAsia"/>
                <w:color w:val="auto"/>
                <w:sz w:val="21"/>
              </w:rPr>
              <w:t>模板拆除</w:t>
            </w:r>
          </w:p>
        </w:tc>
        <w:tc>
          <w:tcPr>
            <w:tcW w:w="4271" w:type="pct"/>
            <w:tcBorders>
              <w:top w:val="single" w:color="auto" w:sz="4" w:space="0"/>
              <w:left w:val="single" w:color="auto" w:sz="4" w:space="0"/>
              <w:bottom w:val="single" w:color="auto" w:sz="4" w:space="0"/>
              <w:right w:val="single" w:color="auto" w:sz="4" w:space="0"/>
            </w:tcBorders>
            <w:vAlign w:val="center"/>
          </w:tcPr>
          <w:p w14:paraId="621F674F">
            <w:pPr>
              <w:spacing w:line="240" w:lineRule="auto"/>
              <w:ind w:firstLine="420"/>
              <w:jc w:val="left"/>
              <w:rPr>
                <w:rFonts w:hint="eastAsia"/>
                <w:color w:val="auto"/>
                <w:sz w:val="21"/>
              </w:rPr>
            </w:pPr>
            <w:r>
              <w:rPr>
                <w:rFonts w:hint="eastAsia"/>
                <w:color w:val="auto"/>
                <w:sz w:val="21"/>
              </w:rPr>
              <w:t>模板拆除时严禁用硬物敲击，造成模板或混凝土表面缺陷。每次模板拆除后必须全面检查模板，对变形、损坏的部位及时修补或更换，可以周转的模板表面清除干净，使用时涂刷脱模剂。</w:t>
            </w:r>
          </w:p>
        </w:tc>
      </w:tr>
    </w:tbl>
    <w:p w14:paraId="035EE361">
      <w:pPr>
        <w:pStyle w:val="6"/>
        <w:ind w:firstLine="480"/>
        <w:rPr>
          <w:rFonts w:ascii="宋体" w:hAnsi="宋体"/>
          <w:b w:val="0"/>
          <w:bCs w:val="0"/>
          <w:color w:val="auto"/>
        </w:rPr>
      </w:pPr>
      <w:bookmarkStart w:id="327" w:name="_Toc126528425"/>
      <w:bookmarkStart w:id="328" w:name="_Toc75894987"/>
      <w:bookmarkStart w:id="329" w:name="_Toc26641"/>
      <w:bookmarkStart w:id="330" w:name="_Toc76234093"/>
      <w:r>
        <w:rPr>
          <w:rFonts w:hint="eastAsia" w:ascii="宋体" w:hAnsi="宋体"/>
          <w:b w:val="0"/>
          <w:bCs w:val="0"/>
          <w:color w:val="auto"/>
        </w:rPr>
        <w:t>混凝土工程质量保证措施</w:t>
      </w:r>
      <w:bookmarkEnd w:id="327"/>
      <w:bookmarkEnd w:id="328"/>
      <w:bookmarkEnd w:id="329"/>
      <w:bookmarkEnd w:id="330"/>
    </w:p>
    <w:p w14:paraId="60BC4A2F">
      <w:pPr>
        <w:pStyle w:val="97"/>
        <w:spacing w:before="24" w:beforeLines="10" w:after="24" w:afterLines="10" w:line="360" w:lineRule="auto"/>
        <w:ind w:firstLine="560"/>
        <w:rPr>
          <w:color w:val="auto"/>
          <w:sz w:val="24"/>
          <w:szCs w:val="24"/>
        </w:rPr>
      </w:pPr>
      <w:r>
        <w:rPr>
          <w:rFonts w:hint="eastAsia"/>
          <w:color w:val="auto"/>
          <w:sz w:val="24"/>
          <w:szCs w:val="24"/>
        </w:rPr>
        <w:t>1、混凝土工程保证措施</w:t>
      </w:r>
    </w:p>
    <w:p w14:paraId="00864E4E">
      <w:pPr>
        <w:pStyle w:val="97"/>
        <w:spacing w:before="24" w:beforeLines="10" w:after="24" w:afterLines="10" w:line="360" w:lineRule="auto"/>
        <w:ind w:firstLine="560"/>
        <w:rPr>
          <w:color w:val="auto"/>
          <w:sz w:val="24"/>
          <w:szCs w:val="24"/>
        </w:rPr>
      </w:pPr>
      <w:r>
        <w:rPr>
          <w:rFonts w:hint="eastAsia"/>
          <w:color w:val="auto"/>
          <w:sz w:val="24"/>
          <w:szCs w:val="24"/>
        </w:rPr>
        <w:t>（1）选用实力较好的商品混凝土搅拌站厂家，混凝土用水泥、砂、石、粉煤灰、外加剂等均应进行复检，合格后方可使用。</w:t>
      </w:r>
    </w:p>
    <w:p w14:paraId="4BBDCD91">
      <w:pPr>
        <w:pStyle w:val="97"/>
        <w:spacing w:before="24" w:beforeLines="10" w:after="24" w:afterLines="10" w:line="360" w:lineRule="auto"/>
        <w:ind w:firstLine="560"/>
        <w:rPr>
          <w:color w:val="auto"/>
          <w:sz w:val="24"/>
          <w:szCs w:val="24"/>
        </w:rPr>
      </w:pPr>
      <w:r>
        <w:rPr>
          <w:rFonts w:hint="eastAsia"/>
          <w:color w:val="auto"/>
          <w:sz w:val="24"/>
          <w:szCs w:val="24"/>
        </w:rPr>
        <w:t>（2）优化混凝土配合比，根据具体要求进行试配，得出最优施工配合比。</w:t>
      </w:r>
    </w:p>
    <w:p w14:paraId="5A149506">
      <w:pPr>
        <w:pStyle w:val="97"/>
        <w:spacing w:before="24" w:beforeLines="10" w:after="24" w:afterLines="10" w:line="360" w:lineRule="auto"/>
        <w:ind w:firstLine="560"/>
        <w:rPr>
          <w:color w:val="auto"/>
          <w:sz w:val="24"/>
          <w:szCs w:val="24"/>
        </w:rPr>
      </w:pPr>
      <w:r>
        <w:rPr>
          <w:rFonts w:hint="eastAsia"/>
          <w:color w:val="auto"/>
          <w:sz w:val="24"/>
          <w:szCs w:val="24"/>
        </w:rPr>
        <w:t>（3）混凝土的强度等级必须符合设计要求；评定混凝土强度的试块，必须按《混凝土强度检验评定标准》的规定取样、制作、养护和试验，取样数量和取样次数应满足《检验和试验计划》的要求。</w:t>
      </w:r>
    </w:p>
    <w:p w14:paraId="0295D8ED">
      <w:pPr>
        <w:pStyle w:val="97"/>
        <w:spacing w:before="24" w:beforeLines="10" w:after="24" w:afterLines="10" w:line="360" w:lineRule="auto"/>
        <w:ind w:firstLine="560"/>
        <w:rPr>
          <w:color w:val="auto"/>
          <w:sz w:val="24"/>
          <w:szCs w:val="24"/>
        </w:rPr>
      </w:pPr>
      <w:r>
        <w:rPr>
          <w:rFonts w:hint="eastAsia"/>
          <w:color w:val="auto"/>
          <w:sz w:val="24"/>
          <w:szCs w:val="24"/>
        </w:rPr>
        <w:t>每拌制100盘且不超过100m</w:t>
      </w:r>
      <w:r>
        <w:rPr>
          <w:color w:val="auto"/>
          <w:sz w:val="24"/>
          <w:szCs w:val="24"/>
          <w:vertAlign w:val="superscript"/>
        </w:rPr>
        <w:t>3</w:t>
      </w:r>
      <w:r>
        <w:rPr>
          <w:rFonts w:hint="eastAsia"/>
          <w:color w:val="auto"/>
          <w:sz w:val="24"/>
          <w:szCs w:val="24"/>
        </w:rPr>
        <w:t>的同配合比的混凝土，取样不得少于一次；</w:t>
      </w:r>
    </w:p>
    <w:p w14:paraId="67FCAADA">
      <w:pPr>
        <w:pStyle w:val="97"/>
        <w:spacing w:before="24" w:beforeLines="10" w:after="24" w:afterLines="10" w:line="360" w:lineRule="auto"/>
        <w:ind w:firstLine="560"/>
        <w:rPr>
          <w:color w:val="auto"/>
          <w:sz w:val="24"/>
          <w:szCs w:val="24"/>
        </w:rPr>
      </w:pPr>
      <w:r>
        <w:rPr>
          <w:rFonts w:hint="eastAsia"/>
          <w:color w:val="auto"/>
          <w:sz w:val="24"/>
          <w:szCs w:val="24"/>
        </w:rPr>
        <w:t>每工作班拌制的同一配合比的混凝土不足100盘时，取样不得少于一次；</w:t>
      </w:r>
    </w:p>
    <w:p w14:paraId="761DBF31">
      <w:pPr>
        <w:pStyle w:val="97"/>
        <w:spacing w:before="24" w:beforeLines="10" w:after="24" w:afterLines="10" w:line="360" w:lineRule="auto"/>
        <w:ind w:firstLine="560"/>
        <w:rPr>
          <w:color w:val="auto"/>
          <w:sz w:val="24"/>
          <w:szCs w:val="24"/>
        </w:rPr>
      </w:pPr>
      <w:r>
        <w:rPr>
          <w:rFonts w:hint="eastAsia"/>
          <w:color w:val="auto"/>
          <w:sz w:val="24"/>
          <w:szCs w:val="24"/>
        </w:rPr>
        <w:t>当一次连续浇筑超过1000 m</w:t>
      </w:r>
      <w:r>
        <w:rPr>
          <w:color w:val="auto"/>
          <w:sz w:val="24"/>
          <w:szCs w:val="24"/>
          <w:vertAlign w:val="superscript"/>
        </w:rPr>
        <w:t>3</w:t>
      </w:r>
      <w:r>
        <w:rPr>
          <w:rFonts w:hint="eastAsia"/>
          <w:color w:val="auto"/>
          <w:sz w:val="24"/>
          <w:szCs w:val="24"/>
        </w:rPr>
        <w:t>时，同一配合比的混凝土每200m</w:t>
      </w:r>
      <w:r>
        <w:rPr>
          <w:color w:val="auto"/>
          <w:sz w:val="24"/>
          <w:szCs w:val="24"/>
          <w:vertAlign w:val="superscript"/>
        </w:rPr>
        <w:t>3</w:t>
      </w:r>
      <w:r>
        <w:rPr>
          <w:rFonts w:hint="eastAsia"/>
          <w:color w:val="auto"/>
          <w:sz w:val="24"/>
          <w:szCs w:val="24"/>
        </w:rPr>
        <w:t>取样不得少于一次；</w:t>
      </w:r>
    </w:p>
    <w:p w14:paraId="0D894C61">
      <w:pPr>
        <w:pStyle w:val="97"/>
        <w:spacing w:before="24" w:beforeLines="10" w:after="24" w:afterLines="10" w:line="360" w:lineRule="auto"/>
        <w:ind w:firstLine="560"/>
        <w:rPr>
          <w:color w:val="auto"/>
          <w:sz w:val="24"/>
          <w:szCs w:val="24"/>
        </w:rPr>
      </w:pPr>
      <w:r>
        <w:rPr>
          <w:rFonts w:hint="eastAsia"/>
          <w:color w:val="auto"/>
          <w:sz w:val="24"/>
          <w:szCs w:val="24"/>
        </w:rPr>
        <w:t>每一楼层、同一配合比的混凝土，取样不得少于一次；</w:t>
      </w:r>
    </w:p>
    <w:p w14:paraId="1818C523">
      <w:pPr>
        <w:pStyle w:val="97"/>
        <w:spacing w:before="24" w:beforeLines="10" w:after="24" w:afterLines="10" w:line="360" w:lineRule="auto"/>
        <w:ind w:firstLine="560"/>
        <w:rPr>
          <w:color w:val="auto"/>
          <w:sz w:val="24"/>
          <w:szCs w:val="24"/>
        </w:rPr>
      </w:pPr>
      <w:r>
        <w:rPr>
          <w:rFonts w:hint="eastAsia"/>
          <w:color w:val="auto"/>
          <w:sz w:val="24"/>
          <w:szCs w:val="24"/>
        </w:rPr>
        <w:t>每次取样应至少留置一组标养试块，同条件养护试件的留置组数应根据实际需要确定。</w:t>
      </w:r>
    </w:p>
    <w:p w14:paraId="428A6E8C">
      <w:pPr>
        <w:pStyle w:val="97"/>
        <w:spacing w:before="24" w:beforeLines="10" w:after="24" w:afterLines="10" w:line="360" w:lineRule="auto"/>
        <w:ind w:firstLine="560"/>
        <w:rPr>
          <w:color w:val="auto"/>
          <w:sz w:val="24"/>
          <w:szCs w:val="24"/>
        </w:rPr>
      </w:pPr>
      <w:r>
        <w:rPr>
          <w:rFonts w:hint="eastAsia"/>
          <w:color w:val="auto"/>
          <w:sz w:val="24"/>
          <w:szCs w:val="24"/>
        </w:rPr>
        <w:t>（4）在混凝土浇筑之前，施工缝充分润湿，需将施工缝处杂物、碎渣清除干净，防止缝隙夹渣。</w:t>
      </w:r>
    </w:p>
    <w:p w14:paraId="691B48A1">
      <w:pPr>
        <w:pStyle w:val="97"/>
        <w:spacing w:before="24" w:beforeLines="10" w:after="24" w:afterLines="10" w:line="360" w:lineRule="auto"/>
        <w:ind w:firstLine="560"/>
        <w:rPr>
          <w:color w:val="auto"/>
          <w:sz w:val="24"/>
          <w:szCs w:val="24"/>
        </w:rPr>
      </w:pPr>
      <w:r>
        <w:rPr>
          <w:rFonts w:hint="eastAsia"/>
          <w:color w:val="auto"/>
          <w:sz w:val="24"/>
          <w:szCs w:val="24"/>
        </w:rPr>
        <w:t>（5）改善泵送工艺，加强振捣。对于钢筋较密处，在不影响钢筋位置的情况下预先放置套管，使振动棒能够插入构件；构件内部盲区采用大功率的振动棒进行针对性振捣。</w:t>
      </w:r>
    </w:p>
    <w:p w14:paraId="6DBC3189">
      <w:pPr>
        <w:pStyle w:val="97"/>
        <w:spacing w:before="24" w:beforeLines="10" w:after="24" w:afterLines="10" w:line="360" w:lineRule="auto"/>
        <w:ind w:firstLine="560"/>
        <w:rPr>
          <w:color w:val="auto"/>
          <w:sz w:val="24"/>
          <w:szCs w:val="24"/>
        </w:rPr>
      </w:pPr>
      <w:r>
        <w:rPr>
          <w:rFonts w:hint="eastAsia"/>
          <w:color w:val="auto"/>
          <w:sz w:val="24"/>
          <w:szCs w:val="24"/>
        </w:rPr>
        <w:t>（6）加强养护，保证养护时间足够；对于混凝土缺陷，按规范进行修补。</w:t>
      </w:r>
    </w:p>
    <w:p w14:paraId="771A0B5B">
      <w:pPr>
        <w:pStyle w:val="97"/>
        <w:spacing w:before="24" w:beforeLines="10" w:after="24" w:afterLines="10" w:line="360" w:lineRule="auto"/>
        <w:ind w:firstLine="560"/>
        <w:rPr>
          <w:color w:val="auto"/>
          <w:sz w:val="24"/>
          <w:szCs w:val="24"/>
        </w:rPr>
      </w:pPr>
      <w:r>
        <w:rPr>
          <w:rFonts w:hint="eastAsia"/>
          <w:color w:val="auto"/>
          <w:sz w:val="24"/>
          <w:szCs w:val="24"/>
        </w:rPr>
        <w:t>（7）混凝土的外观质量：现浇结构的外观质量不应有严重缺陷，不宜有一般缺陷。</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7"/>
        <w:gridCol w:w="3019"/>
        <w:gridCol w:w="3024"/>
      </w:tblGrid>
      <w:tr w14:paraId="4DFD7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5" w:type="pct"/>
            <w:noWrap w:val="0"/>
            <w:vAlign w:val="center"/>
          </w:tcPr>
          <w:p w14:paraId="399FAF39">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104265"/>
                  <wp:effectExtent l="0" t="0" r="0" b="635"/>
                  <wp:docPr id="104"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33"/>
                          <pic:cNvPicPr>
                            <a:picLocks noChangeAspect="1"/>
                          </pic:cNvPicPr>
                        </pic:nvPicPr>
                        <pic:blipFill>
                          <a:blip r:embed="rId216"/>
                          <a:stretch>
                            <a:fillRect/>
                          </a:stretch>
                        </pic:blipFill>
                        <pic:spPr>
                          <a:xfrm>
                            <a:off x="0" y="0"/>
                            <a:ext cx="1435100" cy="1104265"/>
                          </a:xfrm>
                          <a:prstGeom prst="rect">
                            <a:avLst/>
                          </a:prstGeom>
                          <a:noFill/>
                          <a:ln>
                            <a:noFill/>
                          </a:ln>
                        </pic:spPr>
                      </pic:pic>
                    </a:graphicData>
                  </a:graphic>
                </wp:inline>
              </w:drawing>
            </w:r>
          </w:p>
        </w:tc>
        <w:tc>
          <w:tcPr>
            <w:tcW w:w="1666" w:type="pct"/>
            <w:noWrap w:val="0"/>
            <w:vAlign w:val="center"/>
          </w:tcPr>
          <w:p w14:paraId="7FB1E380">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041400"/>
                  <wp:effectExtent l="0" t="0" r="0" b="0"/>
                  <wp:docPr id="9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34"/>
                          <pic:cNvPicPr>
                            <a:picLocks noChangeAspect="1"/>
                          </pic:cNvPicPr>
                        </pic:nvPicPr>
                        <pic:blipFill>
                          <a:blip r:embed="rId217"/>
                          <a:stretch>
                            <a:fillRect/>
                          </a:stretch>
                        </pic:blipFill>
                        <pic:spPr>
                          <a:xfrm>
                            <a:off x="0" y="0"/>
                            <a:ext cx="1435100" cy="1041400"/>
                          </a:xfrm>
                          <a:prstGeom prst="rect">
                            <a:avLst/>
                          </a:prstGeom>
                          <a:noFill/>
                          <a:ln>
                            <a:noFill/>
                          </a:ln>
                        </pic:spPr>
                      </pic:pic>
                    </a:graphicData>
                  </a:graphic>
                </wp:inline>
              </w:drawing>
            </w:r>
          </w:p>
        </w:tc>
        <w:tc>
          <w:tcPr>
            <w:tcW w:w="1670" w:type="pct"/>
            <w:noWrap w:val="0"/>
            <w:vAlign w:val="center"/>
          </w:tcPr>
          <w:p w14:paraId="5981C7A6">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47800" cy="1016000"/>
                  <wp:effectExtent l="0" t="0" r="0" b="0"/>
                  <wp:docPr id="102"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35"/>
                          <pic:cNvPicPr>
                            <a:picLocks noChangeAspect="1"/>
                          </pic:cNvPicPr>
                        </pic:nvPicPr>
                        <pic:blipFill>
                          <a:blip r:embed="rId218"/>
                          <a:stretch>
                            <a:fillRect/>
                          </a:stretch>
                        </pic:blipFill>
                        <pic:spPr>
                          <a:xfrm>
                            <a:off x="0" y="0"/>
                            <a:ext cx="1447800" cy="1016000"/>
                          </a:xfrm>
                          <a:prstGeom prst="rect">
                            <a:avLst/>
                          </a:prstGeom>
                          <a:noFill/>
                          <a:ln>
                            <a:noFill/>
                          </a:ln>
                        </pic:spPr>
                      </pic:pic>
                    </a:graphicData>
                  </a:graphic>
                </wp:inline>
              </w:drawing>
            </w:r>
          </w:p>
        </w:tc>
      </w:tr>
      <w:tr w14:paraId="5912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5" w:type="pct"/>
            <w:noWrap w:val="0"/>
            <w:vAlign w:val="center"/>
          </w:tcPr>
          <w:p w14:paraId="5B423DB2">
            <w:pPr>
              <w:spacing w:line="240" w:lineRule="auto"/>
              <w:ind w:firstLine="0" w:firstLineChars="0"/>
              <w:jc w:val="center"/>
              <w:rPr>
                <w:rFonts w:hint="eastAsia"/>
                <w:color w:val="auto"/>
                <w:sz w:val="21"/>
              </w:rPr>
            </w:pPr>
            <w:r>
              <w:rPr>
                <w:rFonts w:hint="eastAsia"/>
                <w:color w:val="auto"/>
                <w:sz w:val="21"/>
              </w:rPr>
              <w:t>搅拌站原材检查</w:t>
            </w:r>
          </w:p>
        </w:tc>
        <w:tc>
          <w:tcPr>
            <w:tcW w:w="1666" w:type="pct"/>
            <w:noWrap w:val="0"/>
            <w:vAlign w:val="center"/>
          </w:tcPr>
          <w:p w14:paraId="244E0535">
            <w:pPr>
              <w:spacing w:line="240" w:lineRule="auto"/>
              <w:ind w:firstLine="0" w:firstLineChars="0"/>
              <w:jc w:val="center"/>
              <w:rPr>
                <w:rFonts w:hint="eastAsia"/>
                <w:color w:val="auto"/>
                <w:sz w:val="21"/>
              </w:rPr>
            </w:pPr>
            <w:r>
              <w:rPr>
                <w:rFonts w:hint="eastAsia"/>
                <w:color w:val="auto"/>
                <w:sz w:val="21"/>
              </w:rPr>
              <w:t>混凝土泵送</w:t>
            </w:r>
          </w:p>
        </w:tc>
        <w:tc>
          <w:tcPr>
            <w:tcW w:w="1670" w:type="pct"/>
            <w:noWrap w:val="0"/>
            <w:vAlign w:val="center"/>
          </w:tcPr>
          <w:p w14:paraId="20E5E524">
            <w:pPr>
              <w:spacing w:line="240" w:lineRule="auto"/>
              <w:ind w:firstLine="0" w:firstLineChars="0"/>
              <w:jc w:val="center"/>
              <w:rPr>
                <w:rFonts w:hint="eastAsia"/>
                <w:color w:val="auto"/>
                <w:sz w:val="21"/>
              </w:rPr>
            </w:pPr>
            <w:r>
              <w:rPr>
                <w:rFonts w:hint="eastAsia"/>
                <w:color w:val="auto"/>
                <w:sz w:val="21"/>
              </w:rPr>
              <w:t>混凝土浇筑</w:t>
            </w:r>
          </w:p>
        </w:tc>
      </w:tr>
      <w:tr w14:paraId="5CF3F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5" w:type="pct"/>
            <w:noWrap w:val="0"/>
            <w:vAlign w:val="center"/>
          </w:tcPr>
          <w:p w14:paraId="1FE6EE6A">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143000"/>
                  <wp:effectExtent l="0" t="0" r="0" b="0"/>
                  <wp:docPr id="84"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6"/>
                          <pic:cNvPicPr>
                            <a:picLocks noChangeAspect="1"/>
                          </pic:cNvPicPr>
                        </pic:nvPicPr>
                        <pic:blipFill>
                          <a:blip r:embed="rId219"/>
                          <a:stretch>
                            <a:fillRect/>
                          </a:stretch>
                        </pic:blipFill>
                        <pic:spPr>
                          <a:xfrm>
                            <a:off x="0" y="0"/>
                            <a:ext cx="1435100" cy="1143000"/>
                          </a:xfrm>
                          <a:prstGeom prst="rect">
                            <a:avLst/>
                          </a:prstGeom>
                          <a:noFill/>
                          <a:ln>
                            <a:noFill/>
                          </a:ln>
                        </pic:spPr>
                      </pic:pic>
                    </a:graphicData>
                  </a:graphic>
                </wp:inline>
              </w:drawing>
            </w:r>
          </w:p>
        </w:tc>
        <w:tc>
          <w:tcPr>
            <w:tcW w:w="1666" w:type="pct"/>
            <w:noWrap w:val="0"/>
            <w:vAlign w:val="center"/>
          </w:tcPr>
          <w:p w14:paraId="13FAB878">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167130"/>
                  <wp:effectExtent l="0" t="0" r="0" b="1270"/>
                  <wp:docPr id="93"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37"/>
                          <pic:cNvPicPr>
                            <a:picLocks noChangeAspect="1"/>
                          </pic:cNvPicPr>
                        </pic:nvPicPr>
                        <pic:blipFill>
                          <a:blip r:embed="rId220"/>
                          <a:srcRect b="8270"/>
                          <a:stretch>
                            <a:fillRect/>
                          </a:stretch>
                        </pic:blipFill>
                        <pic:spPr>
                          <a:xfrm>
                            <a:off x="0" y="0"/>
                            <a:ext cx="1435100" cy="1167130"/>
                          </a:xfrm>
                          <a:prstGeom prst="rect">
                            <a:avLst/>
                          </a:prstGeom>
                          <a:noFill/>
                          <a:ln>
                            <a:noFill/>
                          </a:ln>
                        </pic:spPr>
                      </pic:pic>
                    </a:graphicData>
                  </a:graphic>
                </wp:inline>
              </w:drawing>
            </w:r>
          </w:p>
        </w:tc>
        <w:tc>
          <w:tcPr>
            <w:tcW w:w="1670" w:type="pct"/>
            <w:noWrap w:val="0"/>
            <w:vAlign w:val="center"/>
          </w:tcPr>
          <w:p w14:paraId="2006555B">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105535"/>
                  <wp:effectExtent l="0" t="0" r="0" b="12065"/>
                  <wp:docPr id="9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38"/>
                          <pic:cNvPicPr>
                            <a:picLocks noChangeAspect="1"/>
                          </pic:cNvPicPr>
                        </pic:nvPicPr>
                        <pic:blipFill>
                          <a:blip r:embed="rId221"/>
                          <a:srcRect l="4581" t="18182" r="7124" b="3897"/>
                          <a:stretch>
                            <a:fillRect/>
                          </a:stretch>
                        </pic:blipFill>
                        <pic:spPr>
                          <a:xfrm>
                            <a:off x="0" y="0"/>
                            <a:ext cx="1435100" cy="1105535"/>
                          </a:xfrm>
                          <a:prstGeom prst="rect">
                            <a:avLst/>
                          </a:prstGeom>
                          <a:noFill/>
                          <a:ln>
                            <a:noFill/>
                          </a:ln>
                        </pic:spPr>
                      </pic:pic>
                    </a:graphicData>
                  </a:graphic>
                </wp:inline>
              </w:drawing>
            </w:r>
          </w:p>
        </w:tc>
      </w:tr>
      <w:tr w14:paraId="0E84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5" w:type="pct"/>
            <w:noWrap w:val="0"/>
            <w:vAlign w:val="center"/>
          </w:tcPr>
          <w:p w14:paraId="32BB1F49">
            <w:pPr>
              <w:spacing w:line="240" w:lineRule="auto"/>
              <w:ind w:firstLine="0" w:firstLineChars="0"/>
              <w:jc w:val="center"/>
              <w:rPr>
                <w:rFonts w:hint="eastAsia"/>
                <w:color w:val="auto"/>
                <w:sz w:val="21"/>
              </w:rPr>
            </w:pPr>
            <w:r>
              <w:rPr>
                <w:rFonts w:hint="eastAsia"/>
                <w:color w:val="auto"/>
                <w:sz w:val="21"/>
              </w:rPr>
              <w:t>混凝土振捣</w:t>
            </w:r>
          </w:p>
        </w:tc>
        <w:tc>
          <w:tcPr>
            <w:tcW w:w="1666" w:type="pct"/>
            <w:noWrap w:val="0"/>
            <w:vAlign w:val="center"/>
          </w:tcPr>
          <w:p w14:paraId="23C3D581">
            <w:pPr>
              <w:spacing w:line="240" w:lineRule="auto"/>
              <w:ind w:firstLine="0" w:firstLineChars="0"/>
              <w:jc w:val="center"/>
              <w:rPr>
                <w:rFonts w:hint="eastAsia"/>
                <w:color w:val="auto"/>
                <w:sz w:val="21"/>
              </w:rPr>
            </w:pPr>
            <w:r>
              <w:rPr>
                <w:rFonts w:hint="eastAsia"/>
                <w:color w:val="auto"/>
                <w:sz w:val="21"/>
              </w:rPr>
              <w:t>混凝土养护</w:t>
            </w:r>
          </w:p>
        </w:tc>
        <w:tc>
          <w:tcPr>
            <w:tcW w:w="1670" w:type="pct"/>
            <w:noWrap w:val="0"/>
            <w:vAlign w:val="center"/>
          </w:tcPr>
          <w:p w14:paraId="556B504E">
            <w:pPr>
              <w:spacing w:line="240" w:lineRule="auto"/>
              <w:ind w:firstLine="0" w:firstLineChars="0"/>
              <w:jc w:val="center"/>
              <w:rPr>
                <w:rFonts w:hint="eastAsia"/>
                <w:color w:val="auto"/>
                <w:sz w:val="21"/>
              </w:rPr>
            </w:pPr>
            <w:r>
              <w:rPr>
                <w:rFonts w:hint="eastAsia"/>
                <w:color w:val="auto"/>
                <w:sz w:val="21"/>
              </w:rPr>
              <w:t>施工缝保护</w:t>
            </w:r>
          </w:p>
        </w:tc>
      </w:tr>
    </w:tbl>
    <w:p w14:paraId="16A4D117">
      <w:pPr>
        <w:pStyle w:val="97"/>
        <w:spacing w:before="24" w:beforeLines="10" w:after="24" w:afterLines="10" w:line="432" w:lineRule="auto"/>
        <w:ind w:firstLine="560"/>
        <w:rPr>
          <w:color w:val="auto"/>
          <w:sz w:val="24"/>
          <w:szCs w:val="24"/>
        </w:rPr>
      </w:pPr>
      <w:r>
        <w:rPr>
          <w:rFonts w:hint="eastAsia"/>
          <w:color w:val="auto"/>
          <w:sz w:val="24"/>
          <w:szCs w:val="24"/>
        </w:rPr>
        <w:t>（8）混凝土的尺寸偏差：现浇结构不应有影响结构性能和使用功能的尺寸偏差。允许偏差项目，见下表：</w:t>
      </w:r>
    </w:p>
    <w:p w14:paraId="6C4F358A">
      <w:pPr>
        <w:pStyle w:val="97"/>
        <w:spacing w:before="24" w:beforeLines="10" w:after="24" w:afterLines="10" w:line="432" w:lineRule="auto"/>
        <w:ind w:firstLine="0" w:firstLineChars="0"/>
        <w:jc w:val="center"/>
        <w:rPr>
          <w:b/>
          <w:bCs/>
          <w:color w:val="auto"/>
          <w:sz w:val="24"/>
          <w:szCs w:val="24"/>
        </w:rPr>
      </w:pPr>
      <w:r>
        <w:rPr>
          <w:rFonts w:hint="eastAsia"/>
          <w:b/>
          <w:bCs/>
          <w:color w:val="auto"/>
          <w:sz w:val="24"/>
          <w:szCs w:val="24"/>
        </w:rPr>
        <w:t>插表 砼施工允许偏差</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2"/>
        <w:gridCol w:w="2526"/>
        <w:gridCol w:w="2506"/>
        <w:gridCol w:w="2506"/>
      </w:tblGrid>
      <w:tr w14:paraId="32A2D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blHeader/>
        </w:trPr>
        <w:tc>
          <w:tcPr>
            <w:tcW w:w="2234" w:type="pct"/>
            <w:gridSpan w:val="2"/>
            <w:noWrap w:val="0"/>
            <w:vAlign w:val="center"/>
          </w:tcPr>
          <w:p w14:paraId="7D6B1A2C">
            <w:pPr>
              <w:spacing w:line="240" w:lineRule="auto"/>
              <w:ind w:firstLine="0" w:firstLineChars="0"/>
              <w:jc w:val="center"/>
              <w:rPr>
                <w:rFonts w:hint="eastAsia"/>
                <w:color w:val="auto"/>
                <w:sz w:val="21"/>
              </w:rPr>
            </w:pPr>
            <w:r>
              <w:rPr>
                <w:rFonts w:hint="eastAsia"/>
                <w:color w:val="auto"/>
                <w:sz w:val="21"/>
              </w:rPr>
              <w:t>项      目</w:t>
            </w:r>
          </w:p>
        </w:tc>
        <w:tc>
          <w:tcPr>
            <w:tcW w:w="1383" w:type="pct"/>
            <w:noWrap w:val="0"/>
            <w:vAlign w:val="center"/>
          </w:tcPr>
          <w:p w14:paraId="38068655">
            <w:pPr>
              <w:spacing w:line="240" w:lineRule="auto"/>
              <w:ind w:firstLine="0" w:firstLineChars="0"/>
              <w:jc w:val="center"/>
              <w:rPr>
                <w:rFonts w:hint="eastAsia"/>
                <w:color w:val="auto"/>
                <w:sz w:val="21"/>
              </w:rPr>
            </w:pPr>
            <w:r>
              <w:rPr>
                <w:rFonts w:hint="eastAsia"/>
                <w:color w:val="auto"/>
                <w:sz w:val="21"/>
              </w:rPr>
              <w:t>允许偏差（mm）</w:t>
            </w:r>
          </w:p>
        </w:tc>
        <w:tc>
          <w:tcPr>
            <w:tcW w:w="1383" w:type="pct"/>
            <w:noWrap w:val="0"/>
            <w:vAlign w:val="center"/>
          </w:tcPr>
          <w:p w14:paraId="7E85D582">
            <w:pPr>
              <w:spacing w:line="240" w:lineRule="auto"/>
              <w:ind w:firstLine="0" w:firstLineChars="0"/>
              <w:jc w:val="center"/>
              <w:rPr>
                <w:rFonts w:hint="eastAsia"/>
                <w:color w:val="auto"/>
                <w:sz w:val="21"/>
              </w:rPr>
            </w:pPr>
            <w:r>
              <w:rPr>
                <w:rFonts w:hint="eastAsia"/>
                <w:color w:val="auto"/>
                <w:sz w:val="21"/>
              </w:rPr>
              <w:t>检查方法</w:t>
            </w:r>
          </w:p>
        </w:tc>
      </w:tr>
      <w:tr w14:paraId="14CD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2899B03B">
            <w:pPr>
              <w:spacing w:line="240" w:lineRule="auto"/>
              <w:ind w:firstLine="0" w:firstLineChars="0"/>
              <w:jc w:val="center"/>
              <w:rPr>
                <w:rFonts w:hint="eastAsia"/>
                <w:color w:val="auto"/>
                <w:sz w:val="21"/>
              </w:rPr>
            </w:pPr>
            <w:r>
              <w:rPr>
                <w:rFonts w:hint="eastAsia"/>
                <w:color w:val="auto"/>
                <w:sz w:val="21"/>
              </w:rPr>
              <w:t>轴线位移</w:t>
            </w:r>
          </w:p>
        </w:tc>
        <w:tc>
          <w:tcPr>
            <w:tcW w:w="1394" w:type="pct"/>
            <w:noWrap w:val="0"/>
            <w:vAlign w:val="center"/>
          </w:tcPr>
          <w:p w14:paraId="10C53A54">
            <w:pPr>
              <w:spacing w:line="240" w:lineRule="auto"/>
              <w:ind w:firstLine="0" w:firstLineChars="0"/>
              <w:jc w:val="center"/>
              <w:rPr>
                <w:rFonts w:hint="eastAsia"/>
                <w:color w:val="auto"/>
                <w:sz w:val="21"/>
              </w:rPr>
            </w:pPr>
            <w:r>
              <w:rPr>
                <w:rFonts w:hint="eastAsia"/>
                <w:color w:val="auto"/>
                <w:sz w:val="21"/>
              </w:rPr>
              <w:t>基础</w:t>
            </w:r>
          </w:p>
        </w:tc>
        <w:tc>
          <w:tcPr>
            <w:tcW w:w="1383" w:type="pct"/>
            <w:noWrap w:val="0"/>
            <w:vAlign w:val="center"/>
          </w:tcPr>
          <w:p w14:paraId="4C6AAF20">
            <w:pPr>
              <w:spacing w:line="240" w:lineRule="auto"/>
              <w:ind w:firstLine="0" w:firstLineChars="0"/>
              <w:jc w:val="center"/>
              <w:rPr>
                <w:rFonts w:hint="eastAsia"/>
                <w:color w:val="auto"/>
                <w:sz w:val="21"/>
              </w:rPr>
            </w:pPr>
            <w:r>
              <w:rPr>
                <w:rFonts w:hint="eastAsia"/>
                <w:color w:val="auto"/>
                <w:sz w:val="21"/>
              </w:rPr>
              <w:t>15</w:t>
            </w:r>
          </w:p>
        </w:tc>
        <w:tc>
          <w:tcPr>
            <w:tcW w:w="1383" w:type="pct"/>
            <w:vMerge w:val="restart"/>
            <w:noWrap w:val="0"/>
            <w:vAlign w:val="center"/>
          </w:tcPr>
          <w:p w14:paraId="5DBAB06D">
            <w:pPr>
              <w:spacing w:line="240" w:lineRule="auto"/>
              <w:ind w:firstLine="0" w:firstLineChars="0"/>
              <w:jc w:val="center"/>
              <w:rPr>
                <w:rFonts w:hint="eastAsia"/>
                <w:color w:val="auto"/>
                <w:sz w:val="21"/>
              </w:rPr>
            </w:pPr>
            <w:r>
              <w:rPr>
                <w:rFonts w:hint="eastAsia"/>
                <w:color w:val="auto"/>
                <w:sz w:val="21"/>
              </w:rPr>
              <w:t>尺检</w:t>
            </w:r>
          </w:p>
        </w:tc>
      </w:tr>
      <w:tr w14:paraId="6A76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5E909D78">
            <w:pPr>
              <w:spacing w:line="240" w:lineRule="auto"/>
              <w:ind w:firstLine="0" w:firstLineChars="0"/>
              <w:jc w:val="center"/>
              <w:rPr>
                <w:rFonts w:hint="eastAsia"/>
                <w:color w:val="auto"/>
                <w:sz w:val="21"/>
              </w:rPr>
            </w:pPr>
          </w:p>
        </w:tc>
        <w:tc>
          <w:tcPr>
            <w:tcW w:w="1394" w:type="pct"/>
            <w:noWrap w:val="0"/>
            <w:vAlign w:val="center"/>
          </w:tcPr>
          <w:p w14:paraId="75987FCD">
            <w:pPr>
              <w:spacing w:line="240" w:lineRule="auto"/>
              <w:ind w:firstLine="0" w:firstLineChars="0"/>
              <w:jc w:val="center"/>
              <w:rPr>
                <w:rFonts w:hint="eastAsia"/>
                <w:color w:val="auto"/>
                <w:sz w:val="21"/>
              </w:rPr>
            </w:pPr>
            <w:r>
              <w:rPr>
                <w:rFonts w:hint="eastAsia"/>
                <w:color w:val="auto"/>
                <w:sz w:val="21"/>
              </w:rPr>
              <w:t>墙、柱、梁</w:t>
            </w:r>
          </w:p>
        </w:tc>
        <w:tc>
          <w:tcPr>
            <w:tcW w:w="1383" w:type="pct"/>
            <w:noWrap w:val="0"/>
            <w:vAlign w:val="center"/>
          </w:tcPr>
          <w:p w14:paraId="4EAF3AE0">
            <w:pPr>
              <w:spacing w:line="240" w:lineRule="auto"/>
              <w:ind w:firstLine="0" w:firstLineChars="0"/>
              <w:jc w:val="center"/>
              <w:rPr>
                <w:rFonts w:hint="eastAsia"/>
                <w:color w:val="auto"/>
                <w:sz w:val="21"/>
              </w:rPr>
            </w:pPr>
            <w:r>
              <w:rPr>
                <w:rFonts w:hint="eastAsia"/>
                <w:color w:val="auto"/>
                <w:sz w:val="21"/>
              </w:rPr>
              <w:t>5</w:t>
            </w:r>
          </w:p>
        </w:tc>
        <w:tc>
          <w:tcPr>
            <w:tcW w:w="1383" w:type="pct"/>
            <w:vMerge w:val="continue"/>
            <w:noWrap w:val="0"/>
            <w:vAlign w:val="center"/>
          </w:tcPr>
          <w:p w14:paraId="14D5AC5F">
            <w:pPr>
              <w:spacing w:line="240" w:lineRule="auto"/>
              <w:ind w:firstLine="0" w:firstLineChars="0"/>
              <w:jc w:val="center"/>
              <w:rPr>
                <w:rFonts w:hint="eastAsia"/>
                <w:color w:val="auto"/>
                <w:sz w:val="21"/>
              </w:rPr>
            </w:pPr>
          </w:p>
        </w:tc>
      </w:tr>
      <w:tr w14:paraId="1E99F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28B6C256">
            <w:pPr>
              <w:spacing w:line="240" w:lineRule="auto"/>
              <w:ind w:firstLine="0" w:firstLineChars="0"/>
              <w:jc w:val="center"/>
              <w:rPr>
                <w:rFonts w:hint="eastAsia"/>
                <w:color w:val="auto"/>
                <w:sz w:val="21"/>
              </w:rPr>
            </w:pPr>
            <w:r>
              <w:rPr>
                <w:rFonts w:hint="eastAsia"/>
                <w:color w:val="auto"/>
                <w:sz w:val="21"/>
              </w:rPr>
              <w:t>垂直度</w:t>
            </w:r>
          </w:p>
        </w:tc>
        <w:tc>
          <w:tcPr>
            <w:tcW w:w="1394" w:type="pct"/>
            <w:noWrap w:val="0"/>
            <w:vAlign w:val="center"/>
          </w:tcPr>
          <w:p w14:paraId="22CAA475">
            <w:pPr>
              <w:spacing w:line="240" w:lineRule="auto"/>
              <w:ind w:firstLine="0" w:firstLineChars="0"/>
              <w:jc w:val="center"/>
              <w:rPr>
                <w:rFonts w:hint="eastAsia"/>
                <w:color w:val="auto"/>
                <w:sz w:val="21"/>
              </w:rPr>
            </w:pPr>
            <w:r>
              <w:rPr>
                <w:rFonts w:hint="eastAsia"/>
                <w:color w:val="auto"/>
                <w:sz w:val="21"/>
              </w:rPr>
              <w:t>层高≤5m</w:t>
            </w:r>
          </w:p>
        </w:tc>
        <w:tc>
          <w:tcPr>
            <w:tcW w:w="1383" w:type="pct"/>
            <w:noWrap w:val="0"/>
            <w:vAlign w:val="center"/>
          </w:tcPr>
          <w:p w14:paraId="4A756F99">
            <w:pPr>
              <w:spacing w:line="240" w:lineRule="auto"/>
              <w:ind w:firstLine="0" w:firstLineChars="0"/>
              <w:jc w:val="center"/>
              <w:rPr>
                <w:rFonts w:hint="eastAsia"/>
                <w:color w:val="auto"/>
                <w:sz w:val="21"/>
              </w:rPr>
            </w:pPr>
            <w:r>
              <w:rPr>
                <w:rFonts w:hint="eastAsia"/>
                <w:color w:val="auto"/>
                <w:sz w:val="21"/>
              </w:rPr>
              <w:t>5</w:t>
            </w:r>
          </w:p>
        </w:tc>
        <w:tc>
          <w:tcPr>
            <w:tcW w:w="1383" w:type="pct"/>
            <w:vMerge w:val="restart"/>
            <w:noWrap w:val="0"/>
            <w:vAlign w:val="center"/>
          </w:tcPr>
          <w:p w14:paraId="2C53BBA0">
            <w:pPr>
              <w:spacing w:line="240" w:lineRule="auto"/>
              <w:ind w:firstLine="0" w:firstLineChars="0"/>
              <w:jc w:val="center"/>
              <w:rPr>
                <w:rFonts w:hint="eastAsia"/>
                <w:color w:val="auto"/>
                <w:sz w:val="21"/>
              </w:rPr>
            </w:pPr>
            <w:r>
              <w:rPr>
                <w:rFonts w:hint="eastAsia"/>
                <w:color w:val="auto"/>
                <w:sz w:val="21"/>
              </w:rPr>
              <w:t>2m靠尺检查</w:t>
            </w:r>
          </w:p>
        </w:tc>
      </w:tr>
      <w:tr w14:paraId="42A71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498D79E3">
            <w:pPr>
              <w:spacing w:line="240" w:lineRule="auto"/>
              <w:ind w:firstLine="0" w:firstLineChars="0"/>
              <w:jc w:val="center"/>
              <w:rPr>
                <w:rFonts w:hint="eastAsia"/>
                <w:color w:val="auto"/>
                <w:sz w:val="21"/>
              </w:rPr>
            </w:pPr>
          </w:p>
        </w:tc>
        <w:tc>
          <w:tcPr>
            <w:tcW w:w="1394" w:type="pct"/>
            <w:noWrap w:val="0"/>
            <w:vAlign w:val="center"/>
          </w:tcPr>
          <w:p w14:paraId="2A47956B">
            <w:pPr>
              <w:spacing w:line="240" w:lineRule="auto"/>
              <w:ind w:firstLine="0" w:firstLineChars="0"/>
              <w:jc w:val="center"/>
              <w:rPr>
                <w:rFonts w:hint="eastAsia"/>
                <w:color w:val="auto"/>
                <w:sz w:val="21"/>
              </w:rPr>
            </w:pPr>
            <w:r>
              <w:rPr>
                <w:rFonts w:hint="eastAsia"/>
                <w:color w:val="auto"/>
                <w:sz w:val="21"/>
              </w:rPr>
              <w:t>层高＞5m</w:t>
            </w:r>
          </w:p>
        </w:tc>
        <w:tc>
          <w:tcPr>
            <w:tcW w:w="1383" w:type="pct"/>
            <w:noWrap w:val="0"/>
            <w:vAlign w:val="center"/>
          </w:tcPr>
          <w:p w14:paraId="5E8A65C3">
            <w:pPr>
              <w:spacing w:line="240" w:lineRule="auto"/>
              <w:ind w:firstLine="0" w:firstLineChars="0"/>
              <w:jc w:val="center"/>
              <w:rPr>
                <w:rFonts w:hint="eastAsia"/>
                <w:color w:val="auto"/>
                <w:sz w:val="21"/>
              </w:rPr>
            </w:pPr>
            <w:r>
              <w:rPr>
                <w:rFonts w:hint="eastAsia"/>
                <w:color w:val="auto"/>
                <w:sz w:val="21"/>
              </w:rPr>
              <w:t>8</w:t>
            </w:r>
          </w:p>
        </w:tc>
        <w:tc>
          <w:tcPr>
            <w:tcW w:w="1383" w:type="pct"/>
            <w:vMerge w:val="continue"/>
            <w:noWrap w:val="0"/>
            <w:vAlign w:val="center"/>
          </w:tcPr>
          <w:p w14:paraId="194D0A1E">
            <w:pPr>
              <w:spacing w:line="240" w:lineRule="auto"/>
              <w:ind w:firstLine="0" w:firstLineChars="0"/>
              <w:jc w:val="center"/>
              <w:rPr>
                <w:rFonts w:hint="eastAsia"/>
                <w:color w:val="auto"/>
                <w:sz w:val="21"/>
              </w:rPr>
            </w:pPr>
          </w:p>
        </w:tc>
      </w:tr>
      <w:tr w14:paraId="4ECF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1A08B7F1">
            <w:pPr>
              <w:spacing w:line="240" w:lineRule="auto"/>
              <w:ind w:firstLine="0" w:firstLineChars="0"/>
              <w:jc w:val="center"/>
              <w:rPr>
                <w:rFonts w:hint="eastAsia"/>
                <w:color w:val="auto"/>
                <w:sz w:val="21"/>
              </w:rPr>
            </w:pPr>
          </w:p>
        </w:tc>
        <w:tc>
          <w:tcPr>
            <w:tcW w:w="1394" w:type="pct"/>
            <w:noWrap w:val="0"/>
            <w:vAlign w:val="center"/>
          </w:tcPr>
          <w:p w14:paraId="7F8F9F61">
            <w:pPr>
              <w:spacing w:line="240" w:lineRule="auto"/>
              <w:ind w:firstLine="0" w:firstLineChars="0"/>
              <w:jc w:val="center"/>
              <w:rPr>
                <w:rFonts w:hint="eastAsia"/>
                <w:color w:val="auto"/>
                <w:sz w:val="21"/>
              </w:rPr>
            </w:pPr>
            <w:r>
              <w:rPr>
                <w:rFonts w:hint="eastAsia"/>
                <w:color w:val="auto"/>
                <w:sz w:val="21"/>
              </w:rPr>
              <w:t>全高</w:t>
            </w:r>
          </w:p>
        </w:tc>
        <w:tc>
          <w:tcPr>
            <w:tcW w:w="1383" w:type="pct"/>
            <w:noWrap w:val="0"/>
            <w:vAlign w:val="center"/>
          </w:tcPr>
          <w:p w14:paraId="149FF80B">
            <w:pPr>
              <w:spacing w:line="240" w:lineRule="auto"/>
              <w:ind w:firstLine="0" w:firstLineChars="0"/>
              <w:jc w:val="center"/>
              <w:rPr>
                <w:rFonts w:hint="eastAsia"/>
                <w:color w:val="auto"/>
                <w:sz w:val="21"/>
              </w:rPr>
            </w:pPr>
            <w:r>
              <w:rPr>
                <w:rFonts w:hint="eastAsia"/>
                <w:color w:val="auto"/>
                <w:sz w:val="21"/>
              </w:rPr>
              <w:t>H/1000；30</w:t>
            </w:r>
          </w:p>
        </w:tc>
        <w:tc>
          <w:tcPr>
            <w:tcW w:w="1383" w:type="pct"/>
            <w:noWrap w:val="0"/>
            <w:vAlign w:val="center"/>
          </w:tcPr>
          <w:p w14:paraId="7F6507B9">
            <w:pPr>
              <w:spacing w:line="240" w:lineRule="auto"/>
              <w:ind w:firstLine="0" w:firstLineChars="0"/>
              <w:jc w:val="center"/>
              <w:rPr>
                <w:rFonts w:hint="eastAsia"/>
                <w:color w:val="auto"/>
                <w:sz w:val="21"/>
              </w:rPr>
            </w:pPr>
            <w:r>
              <w:rPr>
                <w:rFonts w:hint="eastAsia"/>
                <w:color w:val="auto"/>
                <w:sz w:val="21"/>
              </w:rPr>
              <w:t>经纬仪、吊线、尺量</w:t>
            </w:r>
          </w:p>
        </w:tc>
      </w:tr>
      <w:tr w14:paraId="7BE31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319F568D">
            <w:pPr>
              <w:spacing w:line="240" w:lineRule="auto"/>
              <w:ind w:firstLine="0" w:firstLineChars="0"/>
              <w:jc w:val="center"/>
              <w:rPr>
                <w:rFonts w:hint="eastAsia"/>
                <w:color w:val="auto"/>
                <w:sz w:val="21"/>
              </w:rPr>
            </w:pPr>
            <w:r>
              <w:rPr>
                <w:rFonts w:hint="eastAsia"/>
                <w:color w:val="auto"/>
                <w:sz w:val="21"/>
              </w:rPr>
              <w:t>标  高</w:t>
            </w:r>
          </w:p>
        </w:tc>
        <w:tc>
          <w:tcPr>
            <w:tcW w:w="1394" w:type="pct"/>
            <w:noWrap w:val="0"/>
            <w:vAlign w:val="center"/>
          </w:tcPr>
          <w:p w14:paraId="3A065003">
            <w:pPr>
              <w:spacing w:line="240" w:lineRule="auto"/>
              <w:ind w:firstLine="0" w:firstLineChars="0"/>
              <w:jc w:val="center"/>
              <w:rPr>
                <w:rFonts w:hint="eastAsia"/>
                <w:color w:val="auto"/>
                <w:sz w:val="21"/>
              </w:rPr>
            </w:pPr>
            <w:r>
              <w:rPr>
                <w:rFonts w:hint="eastAsia"/>
                <w:color w:val="auto"/>
                <w:sz w:val="21"/>
              </w:rPr>
              <w:t>层高</w:t>
            </w:r>
          </w:p>
        </w:tc>
        <w:tc>
          <w:tcPr>
            <w:tcW w:w="1383" w:type="pct"/>
            <w:noWrap w:val="0"/>
            <w:vAlign w:val="center"/>
          </w:tcPr>
          <w:p w14:paraId="5CBE2854">
            <w:pPr>
              <w:spacing w:line="240" w:lineRule="auto"/>
              <w:ind w:firstLine="0" w:firstLineChars="0"/>
              <w:jc w:val="center"/>
              <w:rPr>
                <w:rFonts w:hint="eastAsia"/>
                <w:color w:val="auto"/>
                <w:sz w:val="21"/>
              </w:rPr>
            </w:pPr>
            <w:r>
              <w:rPr>
                <w:rFonts w:hint="eastAsia"/>
                <w:color w:val="auto"/>
                <w:sz w:val="21"/>
              </w:rPr>
              <w:t>±5</w:t>
            </w:r>
          </w:p>
        </w:tc>
        <w:tc>
          <w:tcPr>
            <w:tcW w:w="1383" w:type="pct"/>
            <w:vMerge w:val="restart"/>
            <w:noWrap w:val="0"/>
            <w:vAlign w:val="center"/>
          </w:tcPr>
          <w:p w14:paraId="010D1087">
            <w:pPr>
              <w:spacing w:line="240" w:lineRule="auto"/>
              <w:ind w:firstLine="0" w:firstLineChars="0"/>
              <w:jc w:val="center"/>
              <w:rPr>
                <w:rFonts w:hint="eastAsia"/>
                <w:color w:val="auto"/>
                <w:sz w:val="21"/>
              </w:rPr>
            </w:pPr>
            <w:r>
              <w:rPr>
                <w:rFonts w:hint="eastAsia"/>
                <w:color w:val="auto"/>
                <w:sz w:val="21"/>
              </w:rPr>
              <w:t>水准仪、尺量</w:t>
            </w:r>
          </w:p>
        </w:tc>
      </w:tr>
      <w:tr w14:paraId="156A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32DF4AA0">
            <w:pPr>
              <w:spacing w:line="240" w:lineRule="auto"/>
              <w:ind w:firstLine="0" w:firstLineChars="0"/>
              <w:jc w:val="center"/>
              <w:rPr>
                <w:rFonts w:hint="eastAsia"/>
                <w:color w:val="auto"/>
                <w:sz w:val="21"/>
              </w:rPr>
            </w:pPr>
          </w:p>
        </w:tc>
        <w:tc>
          <w:tcPr>
            <w:tcW w:w="1394" w:type="pct"/>
            <w:noWrap w:val="0"/>
            <w:vAlign w:val="center"/>
          </w:tcPr>
          <w:p w14:paraId="47D0367C">
            <w:pPr>
              <w:spacing w:line="240" w:lineRule="auto"/>
              <w:ind w:firstLine="0" w:firstLineChars="0"/>
              <w:jc w:val="center"/>
              <w:rPr>
                <w:rFonts w:hint="eastAsia"/>
                <w:color w:val="auto"/>
                <w:sz w:val="21"/>
              </w:rPr>
            </w:pPr>
            <w:r>
              <w:rPr>
                <w:rFonts w:hint="eastAsia"/>
                <w:color w:val="auto"/>
                <w:sz w:val="21"/>
              </w:rPr>
              <w:t>全高</w:t>
            </w:r>
          </w:p>
        </w:tc>
        <w:tc>
          <w:tcPr>
            <w:tcW w:w="1383" w:type="pct"/>
            <w:noWrap w:val="0"/>
            <w:vAlign w:val="center"/>
          </w:tcPr>
          <w:p w14:paraId="63B5DC4A">
            <w:pPr>
              <w:spacing w:line="240" w:lineRule="auto"/>
              <w:ind w:firstLine="0" w:firstLineChars="0"/>
              <w:jc w:val="center"/>
              <w:rPr>
                <w:rFonts w:hint="eastAsia"/>
                <w:color w:val="auto"/>
                <w:sz w:val="21"/>
              </w:rPr>
            </w:pPr>
            <w:r>
              <w:rPr>
                <w:rFonts w:hint="eastAsia"/>
                <w:color w:val="auto"/>
                <w:sz w:val="21"/>
              </w:rPr>
              <w:t>±30</w:t>
            </w:r>
          </w:p>
        </w:tc>
        <w:tc>
          <w:tcPr>
            <w:tcW w:w="1383" w:type="pct"/>
            <w:vMerge w:val="continue"/>
            <w:noWrap w:val="0"/>
            <w:vAlign w:val="center"/>
          </w:tcPr>
          <w:p w14:paraId="5796F688">
            <w:pPr>
              <w:spacing w:line="240" w:lineRule="auto"/>
              <w:ind w:firstLine="0" w:firstLineChars="0"/>
              <w:jc w:val="center"/>
              <w:rPr>
                <w:rFonts w:hint="eastAsia"/>
                <w:color w:val="auto"/>
                <w:sz w:val="21"/>
              </w:rPr>
            </w:pPr>
          </w:p>
        </w:tc>
      </w:tr>
      <w:tr w14:paraId="55F7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3F0E447D">
            <w:pPr>
              <w:spacing w:line="240" w:lineRule="auto"/>
              <w:ind w:firstLine="0" w:firstLineChars="0"/>
              <w:jc w:val="center"/>
              <w:rPr>
                <w:rFonts w:hint="eastAsia"/>
                <w:color w:val="auto"/>
                <w:sz w:val="21"/>
              </w:rPr>
            </w:pPr>
            <w:r>
              <w:rPr>
                <w:rFonts w:hint="eastAsia"/>
                <w:color w:val="auto"/>
                <w:sz w:val="21"/>
              </w:rPr>
              <w:t>截面尺寸</w:t>
            </w:r>
          </w:p>
        </w:tc>
        <w:tc>
          <w:tcPr>
            <w:tcW w:w="1394" w:type="pct"/>
            <w:noWrap w:val="0"/>
            <w:vAlign w:val="center"/>
          </w:tcPr>
          <w:p w14:paraId="4716A3E1">
            <w:pPr>
              <w:spacing w:line="240" w:lineRule="auto"/>
              <w:ind w:firstLine="0" w:firstLineChars="0"/>
              <w:jc w:val="center"/>
              <w:rPr>
                <w:rFonts w:hint="eastAsia"/>
                <w:color w:val="auto"/>
                <w:sz w:val="21"/>
              </w:rPr>
            </w:pPr>
            <w:r>
              <w:rPr>
                <w:rFonts w:hint="eastAsia"/>
                <w:color w:val="auto"/>
                <w:sz w:val="21"/>
              </w:rPr>
              <w:t>基础宽高</w:t>
            </w:r>
          </w:p>
        </w:tc>
        <w:tc>
          <w:tcPr>
            <w:tcW w:w="1383" w:type="pct"/>
            <w:noWrap w:val="0"/>
            <w:vAlign w:val="center"/>
          </w:tcPr>
          <w:p w14:paraId="7185D0E3">
            <w:pPr>
              <w:spacing w:line="240" w:lineRule="auto"/>
              <w:ind w:firstLine="0" w:firstLineChars="0"/>
              <w:jc w:val="center"/>
              <w:rPr>
                <w:rFonts w:hint="eastAsia"/>
                <w:color w:val="auto"/>
                <w:sz w:val="21"/>
              </w:rPr>
            </w:pPr>
            <w:r>
              <w:rPr>
                <w:rFonts w:hint="eastAsia"/>
                <w:color w:val="auto"/>
                <w:sz w:val="21"/>
              </w:rPr>
              <w:t>±5</w:t>
            </w:r>
          </w:p>
        </w:tc>
        <w:tc>
          <w:tcPr>
            <w:tcW w:w="1383" w:type="pct"/>
            <w:vMerge w:val="restart"/>
            <w:noWrap w:val="0"/>
            <w:vAlign w:val="center"/>
          </w:tcPr>
          <w:p w14:paraId="0E7B6E43">
            <w:pPr>
              <w:spacing w:line="240" w:lineRule="auto"/>
              <w:ind w:firstLine="0" w:firstLineChars="0"/>
              <w:jc w:val="center"/>
              <w:rPr>
                <w:rFonts w:hint="eastAsia"/>
                <w:color w:val="auto"/>
                <w:sz w:val="21"/>
              </w:rPr>
            </w:pPr>
            <w:r>
              <w:rPr>
                <w:rFonts w:hint="eastAsia"/>
                <w:color w:val="auto"/>
                <w:sz w:val="21"/>
              </w:rPr>
              <w:t>尺量</w:t>
            </w:r>
          </w:p>
        </w:tc>
      </w:tr>
      <w:tr w14:paraId="3ED3A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37E8F697">
            <w:pPr>
              <w:spacing w:line="240" w:lineRule="auto"/>
              <w:ind w:firstLine="0" w:firstLineChars="0"/>
              <w:jc w:val="center"/>
              <w:rPr>
                <w:rFonts w:hint="eastAsia"/>
                <w:color w:val="auto"/>
                <w:sz w:val="21"/>
              </w:rPr>
            </w:pPr>
          </w:p>
        </w:tc>
        <w:tc>
          <w:tcPr>
            <w:tcW w:w="1394" w:type="pct"/>
            <w:noWrap w:val="0"/>
            <w:vAlign w:val="center"/>
          </w:tcPr>
          <w:p w14:paraId="4BC5D5F4">
            <w:pPr>
              <w:spacing w:line="240" w:lineRule="auto"/>
              <w:ind w:firstLine="0" w:firstLineChars="0"/>
              <w:jc w:val="center"/>
              <w:rPr>
                <w:rFonts w:hint="eastAsia"/>
                <w:color w:val="auto"/>
                <w:sz w:val="21"/>
              </w:rPr>
            </w:pPr>
            <w:r>
              <w:rPr>
                <w:rFonts w:hint="eastAsia"/>
                <w:color w:val="auto"/>
                <w:sz w:val="21"/>
              </w:rPr>
              <w:t>柱、墙、梁宽、高</w:t>
            </w:r>
          </w:p>
        </w:tc>
        <w:tc>
          <w:tcPr>
            <w:tcW w:w="1383" w:type="pct"/>
            <w:noWrap w:val="0"/>
            <w:vAlign w:val="center"/>
          </w:tcPr>
          <w:p w14:paraId="1C00D3BA">
            <w:pPr>
              <w:spacing w:line="240" w:lineRule="auto"/>
              <w:ind w:firstLine="0" w:firstLineChars="0"/>
              <w:jc w:val="center"/>
              <w:rPr>
                <w:rFonts w:hint="eastAsia"/>
                <w:color w:val="auto"/>
                <w:sz w:val="21"/>
              </w:rPr>
            </w:pPr>
            <w:r>
              <w:rPr>
                <w:rFonts w:hint="eastAsia"/>
                <w:color w:val="auto"/>
                <w:sz w:val="21"/>
              </w:rPr>
              <w:t>±3</w:t>
            </w:r>
          </w:p>
        </w:tc>
        <w:tc>
          <w:tcPr>
            <w:tcW w:w="1383" w:type="pct"/>
            <w:vMerge w:val="continue"/>
            <w:noWrap w:val="0"/>
            <w:vAlign w:val="center"/>
          </w:tcPr>
          <w:p w14:paraId="0C7AA48F">
            <w:pPr>
              <w:spacing w:line="240" w:lineRule="auto"/>
              <w:ind w:firstLine="0" w:firstLineChars="0"/>
              <w:jc w:val="center"/>
              <w:rPr>
                <w:rFonts w:hint="eastAsia"/>
                <w:color w:val="auto"/>
                <w:sz w:val="21"/>
              </w:rPr>
            </w:pPr>
          </w:p>
        </w:tc>
      </w:tr>
      <w:tr w14:paraId="0BE52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234" w:type="pct"/>
            <w:gridSpan w:val="2"/>
            <w:noWrap w:val="0"/>
            <w:vAlign w:val="center"/>
          </w:tcPr>
          <w:p w14:paraId="2BE7EC55">
            <w:pPr>
              <w:spacing w:line="240" w:lineRule="auto"/>
              <w:ind w:firstLine="0" w:firstLineChars="0"/>
              <w:jc w:val="center"/>
              <w:rPr>
                <w:rFonts w:hint="eastAsia"/>
                <w:color w:val="auto"/>
                <w:sz w:val="21"/>
              </w:rPr>
            </w:pPr>
            <w:r>
              <w:rPr>
                <w:rFonts w:hint="eastAsia"/>
                <w:color w:val="auto"/>
                <w:sz w:val="21"/>
              </w:rPr>
              <w:t>表面平整度</w:t>
            </w:r>
          </w:p>
        </w:tc>
        <w:tc>
          <w:tcPr>
            <w:tcW w:w="1383" w:type="pct"/>
            <w:noWrap w:val="0"/>
            <w:vAlign w:val="center"/>
          </w:tcPr>
          <w:p w14:paraId="2A239457">
            <w:pPr>
              <w:spacing w:line="240" w:lineRule="auto"/>
              <w:ind w:firstLine="0" w:firstLineChars="0"/>
              <w:jc w:val="center"/>
              <w:rPr>
                <w:rFonts w:hint="eastAsia"/>
                <w:color w:val="auto"/>
                <w:sz w:val="21"/>
              </w:rPr>
            </w:pPr>
            <w:r>
              <w:rPr>
                <w:rFonts w:hint="eastAsia"/>
                <w:color w:val="auto"/>
                <w:sz w:val="21"/>
              </w:rPr>
              <w:t>3</w:t>
            </w:r>
          </w:p>
        </w:tc>
        <w:tc>
          <w:tcPr>
            <w:tcW w:w="1383" w:type="pct"/>
            <w:noWrap w:val="0"/>
            <w:vAlign w:val="center"/>
          </w:tcPr>
          <w:p w14:paraId="3157C2EB">
            <w:pPr>
              <w:spacing w:line="240" w:lineRule="auto"/>
              <w:ind w:firstLine="0" w:firstLineChars="0"/>
              <w:jc w:val="center"/>
              <w:rPr>
                <w:rFonts w:hint="eastAsia"/>
                <w:color w:val="auto"/>
                <w:sz w:val="21"/>
              </w:rPr>
            </w:pPr>
            <w:r>
              <w:rPr>
                <w:rFonts w:hint="eastAsia"/>
                <w:color w:val="auto"/>
                <w:sz w:val="21"/>
              </w:rPr>
              <w:t>2m靠尺，楔尺检查</w:t>
            </w:r>
          </w:p>
        </w:tc>
      </w:tr>
      <w:tr w14:paraId="6E38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34" w:type="pct"/>
            <w:gridSpan w:val="2"/>
            <w:noWrap w:val="0"/>
            <w:vAlign w:val="center"/>
          </w:tcPr>
          <w:p w14:paraId="558AD137">
            <w:pPr>
              <w:spacing w:line="240" w:lineRule="auto"/>
              <w:ind w:firstLine="0" w:firstLineChars="0"/>
              <w:jc w:val="center"/>
              <w:rPr>
                <w:rFonts w:hint="eastAsia"/>
                <w:color w:val="auto"/>
                <w:sz w:val="21"/>
              </w:rPr>
            </w:pPr>
            <w:r>
              <w:rPr>
                <w:rFonts w:hint="eastAsia"/>
                <w:color w:val="auto"/>
                <w:sz w:val="21"/>
              </w:rPr>
              <w:t>角、线顺直度</w:t>
            </w:r>
          </w:p>
        </w:tc>
        <w:tc>
          <w:tcPr>
            <w:tcW w:w="1383" w:type="pct"/>
            <w:noWrap w:val="0"/>
            <w:vAlign w:val="center"/>
          </w:tcPr>
          <w:p w14:paraId="012FFC75">
            <w:pPr>
              <w:spacing w:line="240" w:lineRule="auto"/>
              <w:ind w:firstLine="0" w:firstLineChars="0"/>
              <w:jc w:val="center"/>
              <w:rPr>
                <w:rFonts w:hint="eastAsia"/>
                <w:color w:val="auto"/>
                <w:sz w:val="21"/>
              </w:rPr>
            </w:pPr>
            <w:r>
              <w:rPr>
                <w:rFonts w:hint="eastAsia"/>
                <w:color w:val="auto"/>
                <w:sz w:val="21"/>
              </w:rPr>
              <w:t>3</w:t>
            </w:r>
          </w:p>
        </w:tc>
        <w:tc>
          <w:tcPr>
            <w:tcW w:w="1383" w:type="pct"/>
            <w:noWrap w:val="0"/>
            <w:vAlign w:val="center"/>
          </w:tcPr>
          <w:p w14:paraId="78088185">
            <w:pPr>
              <w:spacing w:line="240" w:lineRule="auto"/>
              <w:ind w:firstLine="0" w:firstLineChars="0"/>
              <w:jc w:val="center"/>
              <w:rPr>
                <w:rFonts w:hint="eastAsia"/>
                <w:color w:val="auto"/>
                <w:sz w:val="21"/>
              </w:rPr>
            </w:pPr>
            <w:r>
              <w:rPr>
                <w:rFonts w:hint="eastAsia"/>
                <w:color w:val="auto"/>
                <w:sz w:val="21"/>
              </w:rPr>
              <w:t>拉线、尺量</w:t>
            </w:r>
          </w:p>
        </w:tc>
      </w:tr>
      <w:tr w14:paraId="56E7D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6F8573EF">
            <w:pPr>
              <w:spacing w:line="240" w:lineRule="auto"/>
              <w:ind w:firstLine="0" w:firstLineChars="0"/>
              <w:jc w:val="center"/>
              <w:rPr>
                <w:rFonts w:hint="eastAsia"/>
                <w:color w:val="auto"/>
                <w:sz w:val="21"/>
              </w:rPr>
            </w:pPr>
            <w:r>
              <w:rPr>
                <w:rFonts w:hint="eastAsia"/>
                <w:color w:val="auto"/>
                <w:sz w:val="21"/>
              </w:rPr>
              <w:t>保护层</w:t>
            </w:r>
          </w:p>
          <w:p w14:paraId="5BAAF102">
            <w:pPr>
              <w:spacing w:line="240" w:lineRule="auto"/>
              <w:ind w:firstLine="0" w:firstLineChars="0"/>
              <w:jc w:val="center"/>
              <w:rPr>
                <w:rFonts w:hint="eastAsia"/>
                <w:color w:val="auto"/>
                <w:sz w:val="21"/>
              </w:rPr>
            </w:pPr>
            <w:r>
              <w:rPr>
                <w:rFonts w:hint="eastAsia"/>
                <w:color w:val="auto"/>
                <w:sz w:val="21"/>
              </w:rPr>
              <w:t>厚  度</w:t>
            </w:r>
          </w:p>
        </w:tc>
        <w:tc>
          <w:tcPr>
            <w:tcW w:w="1394" w:type="pct"/>
            <w:noWrap w:val="0"/>
            <w:vAlign w:val="center"/>
          </w:tcPr>
          <w:p w14:paraId="6C858FF2">
            <w:pPr>
              <w:spacing w:line="240" w:lineRule="auto"/>
              <w:ind w:firstLine="0" w:firstLineChars="0"/>
              <w:jc w:val="center"/>
              <w:rPr>
                <w:rFonts w:hint="eastAsia"/>
                <w:color w:val="auto"/>
                <w:sz w:val="21"/>
              </w:rPr>
            </w:pPr>
            <w:r>
              <w:rPr>
                <w:rFonts w:hint="eastAsia"/>
                <w:color w:val="auto"/>
                <w:sz w:val="21"/>
              </w:rPr>
              <w:t>基础</w:t>
            </w:r>
          </w:p>
        </w:tc>
        <w:tc>
          <w:tcPr>
            <w:tcW w:w="1383" w:type="pct"/>
            <w:noWrap w:val="0"/>
            <w:vAlign w:val="center"/>
          </w:tcPr>
          <w:p w14:paraId="49EC3E70">
            <w:pPr>
              <w:spacing w:line="240" w:lineRule="auto"/>
              <w:ind w:firstLine="0" w:firstLineChars="0"/>
              <w:jc w:val="center"/>
              <w:rPr>
                <w:rFonts w:hint="eastAsia"/>
                <w:color w:val="auto"/>
                <w:sz w:val="21"/>
              </w:rPr>
            </w:pPr>
            <w:r>
              <w:rPr>
                <w:rFonts w:hint="eastAsia"/>
                <w:color w:val="auto"/>
                <w:sz w:val="21"/>
              </w:rPr>
              <w:t>±5</w:t>
            </w:r>
          </w:p>
        </w:tc>
        <w:tc>
          <w:tcPr>
            <w:tcW w:w="1383" w:type="pct"/>
            <w:vMerge w:val="restart"/>
            <w:noWrap w:val="0"/>
            <w:vAlign w:val="center"/>
          </w:tcPr>
          <w:p w14:paraId="710913E5">
            <w:pPr>
              <w:spacing w:line="240" w:lineRule="auto"/>
              <w:ind w:firstLine="0" w:firstLineChars="0"/>
              <w:jc w:val="center"/>
              <w:rPr>
                <w:rFonts w:hint="eastAsia"/>
                <w:color w:val="auto"/>
                <w:sz w:val="21"/>
              </w:rPr>
            </w:pPr>
            <w:r>
              <w:rPr>
                <w:rFonts w:hint="eastAsia"/>
                <w:color w:val="auto"/>
                <w:sz w:val="21"/>
              </w:rPr>
              <w:t>尺量</w:t>
            </w:r>
          </w:p>
        </w:tc>
      </w:tr>
      <w:tr w14:paraId="27ED7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840" w:type="pct"/>
            <w:vMerge w:val="continue"/>
            <w:noWrap w:val="0"/>
            <w:vAlign w:val="center"/>
          </w:tcPr>
          <w:p w14:paraId="036D9043">
            <w:pPr>
              <w:spacing w:line="240" w:lineRule="auto"/>
              <w:ind w:firstLine="0" w:firstLineChars="0"/>
              <w:jc w:val="center"/>
              <w:rPr>
                <w:rFonts w:hint="eastAsia"/>
                <w:color w:val="auto"/>
                <w:sz w:val="21"/>
              </w:rPr>
            </w:pPr>
          </w:p>
        </w:tc>
        <w:tc>
          <w:tcPr>
            <w:tcW w:w="1394" w:type="pct"/>
            <w:noWrap w:val="0"/>
            <w:vAlign w:val="center"/>
          </w:tcPr>
          <w:p w14:paraId="527D3FBE">
            <w:pPr>
              <w:spacing w:line="240" w:lineRule="auto"/>
              <w:ind w:firstLine="0" w:firstLineChars="0"/>
              <w:jc w:val="center"/>
              <w:rPr>
                <w:rFonts w:hint="eastAsia"/>
                <w:color w:val="auto"/>
                <w:sz w:val="21"/>
              </w:rPr>
            </w:pPr>
            <w:r>
              <w:rPr>
                <w:rFonts w:hint="eastAsia"/>
                <w:color w:val="auto"/>
                <w:sz w:val="21"/>
              </w:rPr>
              <w:t>柱、梁、墙、板</w:t>
            </w:r>
          </w:p>
        </w:tc>
        <w:tc>
          <w:tcPr>
            <w:tcW w:w="1383" w:type="pct"/>
            <w:noWrap w:val="0"/>
            <w:vAlign w:val="center"/>
          </w:tcPr>
          <w:p w14:paraId="763EA471">
            <w:pPr>
              <w:spacing w:line="240" w:lineRule="auto"/>
              <w:ind w:firstLine="0" w:firstLineChars="0"/>
              <w:jc w:val="center"/>
              <w:rPr>
                <w:rFonts w:hint="eastAsia"/>
                <w:color w:val="auto"/>
                <w:sz w:val="21"/>
              </w:rPr>
            </w:pPr>
            <w:r>
              <w:rPr>
                <w:rFonts w:hint="eastAsia"/>
                <w:color w:val="auto"/>
                <w:sz w:val="21"/>
              </w:rPr>
              <w:t>+5、-3</w:t>
            </w:r>
          </w:p>
        </w:tc>
        <w:tc>
          <w:tcPr>
            <w:tcW w:w="1383" w:type="pct"/>
            <w:vMerge w:val="continue"/>
            <w:noWrap w:val="0"/>
            <w:vAlign w:val="center"/>
          </w:tcPr>
          <w:p w14:paraId="359FA397">
            <w:pPr>
              <w:spacing w:line="240" w:lineRule="auto"/>
              <w:ind w:firstLine="0" w:firstLineChars="0"/>
              <w:jc w:val="center"/>
              <w:rPr>
                <w:rFonts w:hint="eastAsia"/>
                <w:color w:val="auto"/>
                <w:sz w:val="21"/>
              </w:rPr>
            </w:pPr>
          </w:p>
        </w:tc>
      </w:tr>
      <w:tr w14:paraId="6954D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234" w:type="pct"/>
            <w:gridSpan w:val="2"/>
            <w:noWrap w:val="0"/>
            <w:vAlign w:val="center"/>
          </w:tcPr>
          <w:p w14:paraId="7F29E8CC">
            <w:pPr>
              <w:spacing w:line="240" w:lineRule="auto"/>
              <w:ind w:firstLine="0" w:firstLineChars="0"/>
              <w:jc w:val="center"/>
              <w:rPr>
                <w:rFonts w:hint="eastAsia"/>
                <w:color w:val="auto"/>
                <w:sz w:val="21"/>
              </w:rPr>
            </w:pPr>
            <w:r>
              <w:rPr>
                <w:rFonts w:hint="eastAsia"/>
                <w:color w:val="auto"/>
                <w:sz w:val="21"/>
              </w:rPr>
              <w:t>楼体踏步板宽度、高度</w:t>
            </w:r>
          </w:p>
        </w:tc>
        <w:tc>
          <w:tcPr>
            <w:tcW w:w="1383" w:type="pct"/>
            <w:noWrap w:val="0"/>
            <w:vAlign w:val="center"/>
          </w:tcPr>
          <w:p w14:paraId="260F0105">
            <w:pPr>
              <w:spacing w:line="240" w:lineRule="auto"/>
              <w:ind w:firstLine="0" w:firstLineChars="0"/>
              <w:jc w:val="center"/>
              <w:rPr>
                <w:rFonts w:hint="eastAsia"/>
                <w:color w:val="auto"/>
                <w:sz w:val="21"/>
              </w:rPr>
            </w:pPr>
            <w:r>
              <w:rPr>
                <w:rFonts w:hint="eastAsia"/>
                <w:color w:val="auto"/>
                <w:sz w:val="21"/>
              </w:rPr>
              <w:t>±3</w:t>
            </w:r>
          </w:p>
        </w:tc>
        <w:tc>
          <w:tcPr>
            <w:tcW w:w="1383" w:type="pct"/>
            <w:noWrap w:val="0"/>
            <w:vAlign w:val="center"/>
          </w:tcPr>
          <w:p w14:paraId="7659E7FD">
            <w:pPr>
              <w:spacing w:line="240" w:lineRule="auto"/>
              <w:ind w:firstLine="0" w:firstLineChars="0"/>
              <w:jc w:val="center"/>
              <w:rPr>
                <w:rFonts w:hint="eastAsia"/>
                <w:color w:val="auto"/>
                <w:sz w:val="21"/>
              </w:rPr>
            </w:pPr>
            <w:r>
              <w:rPr>
                <w:rFonts w:hint="eastAsia"/>
                <w:color w:val="auto"/>
                <w:sz w:val="21"/>
              </w:rPr>
              <w:t>尺量</w:t>
            </w:r>
          </w:p>
        </w:tc>
      </w:tr>
      <w:tr w14:paraId="38CC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7EA61463">
            <w:pPr>
              <w:spacing w:line="240" w:lineRule="auto"/>
              <w:ind w:firstLine="0" w:firstLineChars="0"/>
              <w:jc w:val="center"/>
              <w:rPr>
                <w:rFonts w:hint="eastAsia"/>
                <w:color w:val="auto"/>
                <w:sz w:val="21"/>
              </w:rPr>
            </w:pPr>
            <w:r>
              <w:rPr>
                <w:rFonts w:hint="eastAsia"/>
                <w:color w:val="auto"/>
                <w:sz w:val="21"/>
              </w:rPr>
              <w:t>电梯井筒</w:t>
            </w:r>
          </w:p>
        </w:tc>
        <w:tc>
          <w:tcPr>
            <w:tcW w:w="1394" w:type="pct"/>
            <w:noWrap w:val="0"/>
            <w:vAlign w:val="center"/>
          </w:tcPr>
          <w:p w14:paraId="310A9E2A">
            <w:pPr>
              <w:spacing w:line="240" w:lineRule="auto"/>
              <w:ind w:firstLine="0" w:firstLineChars="0"/>
              <w:jc w:val="center"/>
              <w:rPr>
                <w:rFonts w:hint="eastAsia"/>
                <w:color w:val="auto"/>
                <w:sz w:val="21"/>
              </w:rPr>
            </w:pPr>
            <w:r>
              <w:rPr>
                <w:rFonts w:hint="eastAsia"/>
                <w:color w:val="auto"/>
                <w:sz w:val="21"/>
              </w:rPr>
              <w:t>长宽对中心线</w:t>
            </w:r>
          </w:p>
        </w:tc>
        <w:tc>
          <w:tcPr>
            <w:tcW w:w="1383" w:type="pct"/>
            <w:noWrap w:val="0"/>
            <w:vAlign w:val="center"/>
          </w:tcPr>
          <w:p w14:paraId="661AF418">
            <w:pPr>
              <w:spacing w:line="240" w:lineRule="auto"/>
              <w:ind w:firstLine="0" w:firstLineChars="0"/>
              <w:jc w:val="center"/>
              <w:rPr>
                <w:rFonts w:hint="eastAsia"/>
                <w:color w:val="auto"/>
                <w:sz w:val="21"/>
              </w:rPr>
            </w:pPr>
            <w:r>
              <w:rPr>
                <w:rFonts w:hint="eastAsia"/>
                <w:color w:val="auto"/>
                <w:sz w:val="21"/>
              </w:rPr>
              <w:t>+20、-0</w:t>
            </w:r>
          </w:p>
        </w:tc>
        <w:tc>
          <w:tcPr>
            <w:tcW w:w="1383" w:type="pct"/>
            <w:vMerge w:val="restart"/>
            <w:noWrap w:val="0"/>
            <w:vAlign w:val="center"/>
          </w:tcPr>
          <w:p w14:paraId="4197E180">
            <w:pPr>
              <w:spacing w:line="240" w:lineRule="auto"/>
              <w:ind w:firstLine="0" w:firstLineChars="0"/>
              <w:jc w:val="center"/>
              <w:rPr>
                <w:rFonts w:hint="eastAsia"/>
                <w:color w:val="auto"/>
                <w:sz w:val="21"/>
              </w:rPr>
            </w:pPr>
            <w:r>
              <w:rPr>
                <w:rFonts w:hint="eastAsia"/>
                <w:color w:val="auto"/>
                <w:sz w:val="21"/>
              </w:rPr>
              <w:t>经纬仪、尺量</w:t>
            </w:r>
          </w:p>
        </w:tc>
      </w:tr>
      <w:tr w14:paraId="14C56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600AA720">
            <w:pPr>
              <w:spacing w:line="240" w:lineRule="auto"/>
              <w:ind w:firstLine="0" w:firstLineChars="0"/>
              <w:jc w:val="center"/>
              <w:rPr>
                <w:rFonts w:hint="eastAsia"/>
                <w:color w:val="auto"/>
                <w:sz w:val="21"/>
              </w:rPr>
            </w:pPr>
          </w:p>
        </w:tc>
        <w:tc>
          <w:tcPr>
            <w:tcW w:w="1394" w:type="pct"/>
            <w:noWrap w:val="0"/>
            <w:vAlign w:val="center"/>
          </w:tcPr>
          <w:p w14:paraId="52A191CB">
            <w:pPr>
              <w:spacing w:line="240" w:lineRule="auto"/>
              <w:ind w:firstLine="0" w:firstLineChars="0"/>
              <w:jc w:val="center"/>
              <w:rPr>
                <w:rFonts w:hint="eastAsia"/>
                <w:color w:val="auto"/>
                <w:sz w:val="21"/>
              </w:rPr>
            </w:pPr>
            <w:r>
              <w:rPr>
                <w:rFonts w:hint="eastAsia"/>
                <w:color w:val="auto"/>
                <w:sz w:val="21"/>
              </w:rPr>
              <w:t>全高垂直度</w:t>
            </w:r>
          </w:p>
        </w:tc>
        <w:tc>
          <w:tcPr>
            <w:tcW w:w="1383" w:type="pct"/>
            <w:noWrap w:val="0"/>
            <w:vAlign w:val="center"/>
          </w:tcPr>
          <w:p w14:paraId="2D6D635E">
            <w:pPr>
              <w:spacing w:line="240" w:lineRule="auto"/>
              <w:ind w:firstLine="0" w:firstLineChars="0"/>
              <w:jc w:val="center"/>
              <w:rPr>
                <w:rFonts w:hint="eastAsia"/>
                <w:color w:val="auto"/>
                <w:sz w:val="21"/>
              </w:rPr>
            </w:pPr>
            <w:r>
              <w:rPr>
                <w:rFonts w:hint="eastAsia"/>
                <w:color w:val="auto"/>
                <w:sz w:val="21"/>
              </w:rPr>
              <w:t>H/1000、且≤30</w:t>
            </w:r>
          </w:p>
        </w:tc>
        <w:tc>
          <w:tcPr>
            <w:tcW w:w="1383" w:type="pct"/>
            <w:vMerge w:val="continue"/>
            <w:noWrap w:val="0"/>
            <w:vAlign w:val="center"/>
          </w:tcPr>
          <w:p w14:paraId="5ED05367">
            <w:pPr>
              <w:spacing w:line="240" w:lineRule="auto"/>
              <w:ind w:firstLine="0" w:firstLineChars="0"/>
              <w:jc w:val="center"/>
              <w:rPr>
                <w:rFonts w:hint="eastAsia"/>
                <w:color w:val="auto"/>
                <w:sz w:val="21"/>
              </w:rPr>
            </w:pPr>
          </w:p>
        </w:tc>
      </w:tr>
      <w:tr w14:paraId="3ACE2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34" w:type="pct"/>
            <w:gridSpan w:val="2"/>
            <w:noWrap w:val="0"/>
            <w:vAlign w:val="center"/>
          </w:tcPr>
          <w:p w14:paraId="7EB60715">
            <w:pPr>
              <w:spacing w:line="240" w:lineRule="auto"/>
              <w:ind w:firstLine="0" w:firstLineChars="0"/>
              <w:jc w:val="center"/>
              <w:rPr>
                <w:rFonts w:hint="eastAsia"/>
                <w:color w:val="auto"/>
                <w:sz w:val="21"/>
              </w:rPr>
            </w:pPr>
            <w:r>
              <w:rPr>
                <w:rFonts w:hint="eastAsia"/>
                <w:color w:val="auto"/>
                <w:sz w:val="21"/>
              </w:rPr>
              <w:t>阳台雨罩位移</w:t>
            </w:r>
          </w:p>
        </w:tc>
        <w:tc>
          <w:tcPr>
            <w:tcW w:w="1383" w:type="pct"/>
            <w:noWrap w:val="0"/>
            <w:vAlign w:val="center"/>
          </w:tcPr>
          <w:p w14:paraId="073AEF4C">
            <w:pPr>
              <w:spacing w:line="240" w:lineRule="auto"/>
              <w:ind w:firstLine="0" w:firstLineChars="0"/>
              <w:jc w:val="center"/>
              <w:rPr>
                <w:rFonts w:hint="eastAsia"/>
                <w:color w:val="auto"/>
                <w:sz w:val="21"/>
              </w:rPr>
            </w:pPr>
            <w:r>
              <w:rPr>
                <w:rFonts w:hint="eastAsia"/>
                <w:color w:val="auto"/>
                <w:sz w:val="21"/>
              </w:rPr>
              <w:t>±5</w:t>
            </w:r>
          </w:p>
        </w:tc>
        <w:tc>
          <w:tcPr>
            <w:tcW w:w="1383" w:type="pct"/>
            <w:noWrap w:val="0"/>
            <w:vAlign w:val="center"/>
          </w:tcPr>
          <w:p w14:paraId="44628D0E">
            <w:pPr>
              <w:spacing w:line="240" w:lineRule="auto"/>
              <w:ind w:firstLine="0" w:firstLineChars="0"/>
              <w:jc w:val="center"/>
              <w:rPr>
                <w:rFonts w:hint="eastAsia"/>
                <w:color w:val="auto"/>
                <w:sz w:val="21"/>
              </w:rPr>
            </w:pPr>
            <w:r>
              <w:rPr>
                <w:rFonts w:hint="eastAsia"/>
                <w:color w:val="auto"/>
                <w:sz w:val="21"/>
              </w:rPr>
              <w:t>吊线、尺量</w:t>
            </w:r>
          </w:p>
        </w:tc>
      </w:tr>
      <w:tr w14:paraId="2BF69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34" w:type="pct"/>
            <w:gridSpan w:val="2"/>
            <w:noWrap w:val="0"/>
            <w:vAlign w:val="center"/>
          </w:tcPr>
          <w:p w14:paraId="7C84AB05">
            <w:pPr>
              <w:spacing w:line="240" w:lineRule="auto"/>
              <w:ind w:firstLine="0" w:firstLineChars="0"/>
              <w:jc w:val="center"/>
              <w:rPr>
                <w:rFonts w:hint="eastAsia"/>
                <w:color w:val="auto"/>
                <w:sz w:val="21"/>
              </w:rPr>
            </w:pPr>
            <w:r>
              <w:rPr>
                <w:rFonts w:hint="eastAsia"/>
                <w:color w:val="auto"/>
                <w:sz w:val="21"/>
              </w:rPr>
              <w:t>预埋管、预留孔中心线位移</w:t>
            </w:r>
          </w:p>
        </w:tc>
        <w:tc>
          <w:tcPr>
            <w:tcW w:w="1383" w:type="pct"/>
            <w:noWrap w:val="0"/>
            <w:vAlign w:val="center"/>
          </w:tcPr>
          <w:p w14:paraId="1B9F0F1A">
            <w:pPr>
              <w:spacing w:line="240" w:lineRule="auto"/>
              <w:ind w:firstLine="0" w:firstLineChars="0"/>
              <w:jc w:val="center"/>
              <w:rPr>
                <w:rFonts w:hint="eastAsia"/>
                <w:color w:val="auto"/>
                <w:sz w:val="21"/>
              </w:rPr>
            </w:pPr>
            <w:r>
              <w:rPr>
                <w:rFonts w:hint="eastAsia"/>
                <w:color w:val="auto"/>
                <w:sz w:val="21"/>
              </w:rPr>
              <w:t>10</w:t>
            </w:r>
          </w:p>
        </w:tc>
        <w:tc>
          <w:tcPr>
            <w:tcW w:w="1383" w:type="pct"/>
            <w:noWrap w:val="0"/>
            <w:vAlign w:val="center"/>
          </w:tcPr>
          <w:p w14:paraId="025F5D91">
            <w:pPr>
              <w:spacing w:line="240" w:lineRule="auto"/>
              <w:ind w:firstLine="0" w:firstLineChars="0"/>
              <w:jc w:val="center"/>
              <w:rPr>
                <w:rFonts w:hint="eastAsia"/>
                <w:color w:val="auto"/>
                <w:sz w:val="21"/>
              </w:rPr>
            </w:pPr>
            <w:r>
              <w:rPr>
                <w:rFonts w:hint="eastAsia"/>
                <w:color w:val="auto"/>
                <w:sz w:val="21"/>
              </w:rPr>
              <w:t>尺量</w:t>
            </w:r>
          </w:p>
        </w:tc>
      </w:tr>
      <w:tr w14:paraId="25ED4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restart"/>
            <w:noWrap w:val="0"/>
            <w:vAlign w:val="center"/>
          </w:tcPr>
          <w:p w14:paraId="25E126E3">
            <w:pPr>
              <w:spacing w:line="240" w:lineRule="auto"/>
              <w:ind w:firstLine="0" w:firstLineChars="0"/>
              <w:jc w:val="center"/>
              <w:rPr>
                <w:rFonts w:hint="eastAsia"/>
                <w:color w:val="auto"/>
                <w:sz w:val="21"/>
              </w:rPr>
            </w:pPr>
            <w:r>
              <w:rPr>
                <w:rFonts w:hint="eastAsia"/>
                <w:color w:val="auto"/>
                <w:sz w:val="21"/>
              </w:rPr>
              <w:t>预埋螺栓</w:t>
            </w:r>
          </w:p>
        </w:tc>
        <w:tc>
          <w:tcPr>
            <w:tcW w:w="1394" w:type="pct"/>
            <w:noWrap w:val="0"/>
            <w:vAlign w:val="center"/>
          </w:tcPr>
          <w:p w14:paraId="1780F3C5">
            <w:pPr>
              <w:spacing w:line="240" w:lineRule="auto"/>
              <w:ind w:firstLine="0" w:firstLineChars="0"/>
              <w:jc w:val="center"/>
              <w:rPr>
                <w:rFonts w:hint="eastAsia"/>
                <w:color w:val="auto"/>
                <w:sz w:val="21"/>
              </w:rPr>
            </w:pPr>
            <w:r>
              <w:rPr>
                <w:rFonts w:hint="eastAsia"/>
                <w:color w:val="auto"/>
                <w:sz w:val="21"/>
              </w:rPr>
              <w:t>中心线位移</w:t>
            </w:r>
          </w:p>
        </w:tc>
        <w:tc>
          <w:tcPr>
            <w:tcW w:w="1383" w:type="pct"/>
            <w:noWrap w:val="0"/>
            <w:vAlign w:val="center"/>
          </w:tcPr>
          <w:p w14:paraId="7DCBB5AA">
            <w:pPr>
              <w:spacing w:line="240" w:lineRule="auto"/>
              <w:ind w:firstLine="0" w:firstLineChars="0"/>
              <w:jc w:val="center"/>
              <w:rPr>
                <w:rFonts w:hint="eastAsia"/>
                <w:color w:val="auto"/>
                <w:sz w:val="21"/>
              </w:rPr>
            </w:pPr>
            <w:r>
              <w:rPr>
                <w:rFonts w:hint="eastAsia"/>
                <w:color w:val="auto"/>
                <w:sz w:val="21"/>
              </w:rPr>
              <w:t>3</w:t>
            </w:r>
          </w:p>
        </w:tc>
        <w:tc>
          <w:tcPr>
            <w:tcW w:w="1383" w:type="pct"/>
            <w:vMerge w:val="restart"/>
            <w:noWrap w:val="0"/>
            <w:vAlign w:val="center"/>
          </w:tcPr>
          <w:p w14:paraId="54D1F84D">
            <w:pPr>
              <w:spacing w:line="240" w:lineRule="auto"/>
              <w:ind w:firstLine="0" w:firstLineChars="0"/>
              <w:jc w:val="center"/>
              <w:rPr>
                <w:rFonts w:hint="eastAsia"/>
                <w:color w:val="auto"/>
                <w:sz w:val="21"/>
              </w:rPr>
            </w:pPr>
            <w:r>
              <w:rPr>
                <w:rFonts w:hint="eastAsia"/>
                <w:color w:val="auto"/>
                <w:sz w:val="21"/>
              </w:rPr>
              <w:t>尺量</w:t>
            </w:r>
          </w:p>
        </w:tc>
      </w:tr>
      <w:tr w14:paraId="5455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0" w:type="pct"/>
            <w:vMerge w:val="continue"/>
            <w:noWrap w:val="0"/>
            <w:vAlign w:val="center"/>
          </w:tcPr>
          <w:p w14:paraId="2D56897D">
            <w:pPr>
              <w:spacing w:line="240" w:lineRule="auto"/>
              <w:ind w:firstLine="0" w:firstLineChars="0"/>
              <w:jc w:val="center"/>
              <w:rPr>
                <w:rFonts w:hint="eastAsia"/>
                <w:color w:val="auto"/>
                <w:sz w:val="21"/>
              </w:rPr>
            </w:pPr>
          </w:p>
        </w:tc>
        <w:tc>
          <w:tcPr>
            <w:tcW w:w="1394" w:type="pct"/>
            <w:noWrap w:val="0"/>
            <w:vAlign w:val="center"/>
          </w:tcPr>
          <w:p w14:paraId="7F762AD8">
            <w:pPr>
              <w:spacing w:line="240" w:lineRule="auto"/>
              <w:ind w:firstLine="0" w:firstLineChars="0"/>
              <w:jc w:val="center"/>
              <w:rPr>
                <w:rFonts w:hint="eastAsia"/>
                <w:color w:val="auto"/>
                <w:sz w:val="21"/>
              </w:rPr>
            </w:pPr>
            <w:r>
              <w:rPr>
                <w:rFonts w:hint="eastAsia"/>
                <w:color w:val="auto"/>
                <w:sz w:val="21"/>
              </w:rPr>
              <w:t>螺栓外露长度</w:t>
            </w:r>
          </w:p>
        </w:tc>
        <w:tc>
          <w:tcPr>
            <w:tcW w:w="1383" w:type="pct"/>
            <w:noWrap w:val="0"/>
            <w:vAlign w:val="center"/>
          </w:tcPr>
          <w:p w14:paraId="50652759">
            <w:pPr>
              <w:spacing w:line="240" w:lineRule="auto"/>
              <w:ind w:firstLine="0" w:firstLineChars="0"/>
              <w:jc w:val="center"/>
              <w:rPr>
                <w:rFonts w:hint="eastAsia"/>
                <w:color w:val="auto"/>
                <w:sz w:val="21"/>
              </w:rPr>
            </w:pPr>
            <w:r>
              <w:rPr>
                <w:rFonts w:hint="eastAsia"/>
                <w:color w:val="auto"/>
                <w:sz w:val="21"/>
              </w:rPr>
              <w:t>+5、-0</w:t>
            </w:r>
          </w:p>
        </w:tc>
        <w:tc>
          <w:tcPr>
            <w:tcW w:w="1383" w:type="pct"/>
            <w:vMerge w:val="continue"/>
            <w:noWrap w:val="0"/>
            <w:vAlign w:val="center"/>
          </w:tcPr>
          <w:p w14:paraId="339D01FB">
            <w:pPr>
              <w:pStyle w:val="97"/>
              <w:spacing w:before="24" w:beforeLines="10" w:after="24" w:afterLines="10" w:line="432" w:lineRule="auto"/>
              <w:ind w:firstLine="0" w:firstLineChars="0"/>
              <w:jc w:val="center"/>
              <w:rPr>
                <w:color w:val="auto"/>
                <w:szCs w:val="28"/>
              </w:rPr>
            </w:pPr>
          </w:p>
        </w:tc>
      </w:tr>
    </w:tbl>
    <w:p w14:paraId="4FF02B6D">
      <w:pPr>
        <w:pStyle w:val="97"/>
        <w:spacing w:before="24" w:beforeLines="10" w:after="24" w:afterLines="10" w:line="432" w:lineRule="auto"/>
        <w:ind w:firstLine="560"/>
        <w:rPr>
          <w:rFonts w:hint="eastAsia"/>
          <w:color w:val="auto"/>
          <w:sz w:val="24"/>
          <w:szCs w:val="24"/>
        </w:rPr>
      </w:pPr>
      <w:r>
        <w:rPr>
          <w:rFonts w:hint="eastAsia"/>
          <w:color w:val="auto"/>
          <w:sz w:val="24"/>
          <w:szCs w:val="24"/>
        </w:rPr>
        <w:t>2、混凝土施工缝质量保证措施</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5"/>
        <w:gridCol w:w="3234"/>
        <w:gridCol w:w="2993"/>
      </w:tblGrid>
      <w:tr w14:paraId="3AF0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55" w:type="dxa"/>
            <w:noWrap w:val="0"/>
            <w:vAlign w:val="center"/>
          </w:tcPr>
          <w:p w14:paraId="141ACA82">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59865" cy="1297305"/>
                  <wp:effectExtent l="0" t="0" r="635" b="10795"/>
                  <wp:docPr id="86"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9"/>
                          <pic:cNvPicPr>
                            <a:picLocks noChangeAspect="1"/>
                          </pic:cNvPicPr>
                        </pic:nvPicPr>
                        <pic:blipFill>
                          <a:blip r:embed="rId222"/>
                          <a:srcRect t="6380" r="12466"/>
                          <a:stretch>
                            <a:fillRect/>
                          </a:stretch>
                        </pic:blipFill>
                        <pic:spPr>
                          <a:xfrm>
                            <a:off x="0" y="0"/>
                            <a:ext cx="1459865" cy="1297305"/>
                          </a:xfrm>
                          <a:prstGeom prst="rect">
                            <a:avLst/>
                          </a:prstGeom>
                          <a:noFill/>
                          <a:ln>
                            <a:noFill/>
                          </a:ln>
                        </pic:spPr>
                      </pic:pic>
                    </a:graphicData>
                  </a:graphic>
                </wp:inline>
              </w:drawing>
            </w:r>
          </w:p>
        </w:tc>
        <w:tc>
          <w:tcPr>
            <w:tcW w:w="3234" w:type="dxa"/>
            <w:noWrap w:val="0"/>
            <w:vAlign w:val="center"/>
          </w:tcPr>
          <w:p w14:paraId="2B8CBE7F">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598295" cy="1296035"/>
                  <wp:effectExtent l="0" t="0" r="1905" b="12065"/>
                  <wp:docPr id="85"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40"/>
                          <pic:cNvPicPr>
                            <a:picLocks noChangeAspect="1"/>
                          </pic:cNvPicPr>
                        </pic:nvPicPr>
                        <pic:blipFill>
                          <a:blip r:embed="rId223"/>
                          <a:stretch>
                            <a:fillRect/>
                          </a:stretch>
                        </pic:blipFill>
                        <pic:spPr>
                          <a:xfrm>
                            <a:off x="0" y="0"/>
                            <a:ext cx="1598295" cy="1296035"/>
                          </a:xfrm>
                          <a:prstGeom prst="rect">
                            <a:avLst/>
                          </a:prstGeom>
                          <a:noFill/>
                          <a:ln>
                            <a:noFill/>
                          </a:ln>
                        </pic:spPr>
                      </pic:pic>
                    </a:graphicData>
                  </a:graphic>
                </wp:inline>
              </w:drawing>
            </w:r>
          </w:p>
        </w:tc>
        <w:tc>
          <w:tcPr>
            <w:tcW w:w="2993" w:type="dxa"/>
            <w:noWrap w:val="0"/>
            <w:vAlign w:val="center"/>
          </w:tcPr>
          <w:p w14:paraId="3D89274A">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7005" cy="1293495"/>
                  <wp:effectExtent l="0" t="0" r="10795" b="1905"/>
                  <wp:docPr id="10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41"/>
                          <pic:cNvPicPr>
                            <a:picLocks noChangeAspect="1"/>
                          </pic:cNvPicPr>
                        </pic:nvPicPr>
                        <pic:blipFill>
                          <a:blip r:embed="rId224"/>
                          <a:stretch>
                            <a:fillRect/>
                          </a:stretch>
                        </pic:blipFill>
                        <pic:spPr>
                          <a:xfrm>
                            <a:off x="0" y="0"/>
                            <a:ext cx="1437005" cy="1293495"/>
                          </a:xfrm>
                          <a:prstGeom prst="rect">
                            <a:avLst/>
                          </a:prstGeom>
                          <a:noFill/>
                          <a:ln>
                            <a:noFill/>
                          </a:ln>
                        </pic:spPr>
                      </pic:pic>
                    </a:graphicData>
                  </a:graphic>
                </wp:inline>
              </w:drawing>
            </w:r>
          </w:p>
        </w:tc>
      </w:tr>
      <w:tr w14:paraId="5CEC3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55" w:type="dxa"/>
            <w:noWrap w:val="0"/>
            <w:vAlign w:val="center"/>
          </w:tcPr>
          <w:p w14:paraId="4E7DCC26">
            <w:pPr>
              <w:spacing w:line="240" w:lineRule="auto"/>
              <w:ind w:firstLine="0" w:firstLineChars="0"/>
              <w:jc w:val="center"/>
              <w:rPr>
                <w:rFonts w:hint="eastAsia"/>
                <w:color w:val="auto"/>
                <w:sz w:val="21"/>
              </w:rPr>
            </w:pPr>
            <w:r>
              <w:rPr>
                <w:rFonts w:hint="eastAsia"/>
                <w:color w:val="auto"/>
                <w:sz w:val="21"/>
              </w:rPr>
              <w:t>竖向施工缝切割剔除</w:t>
            </w:r>
          </w:p>
        </w:tc>
        <w:tc>
          <w:tcPr>
            <w:tcW w:w="6227" w:type="dxa"/>
            <w:gridSpan w:val="2"/>
            <w:noWrap w:val="0"/>
            <w:vAlign w:val="center"/>
          </w:tcPr>
          <w:p w14:paraId="02F43E4F">
            <w:pPr>
              <w:spacing w:line="240" w:lineRule="auto"/>
              <w:ind w:firstLine="0" w:firstLineChars="0"/>
              <w:jc w:val="center"/>
              <w:rPr>
                <w:rFonts w:hint="eastAsia"/>
                <w:color w:val="auto"/>
                <w:sz w:val="21"/>
              </w:rPr>
            </w:pPr>
            <w:r>
              <w:rPr>
                <w:rFonts w:hint="eastAsia"/>
                <w:color w:val="auto"/>
                <w:sz w:val="21"/>
              </w:rPr>
              <w:t>水平施工缝剔除浮浆并做凿毛处理</w:t>
            </w:r>
          </w:p>
        </w:tc>
      </w:tr>
    </w:tbl>
    <w:p w14:paraId="44437B72">
      <w:pPr>
        <w:pStyle w:val="97"/>
        <w:spacing w:before="24" w:beforeLines="10" w:after="24" w:afterLines="10" w:line="432" w:lineRule="auto"/>
        <w:ind w:firstLine="560"/>
        <w:rPr>
          <w:color w:val="auto"/>
          <w:sz w:val="24"/>
          <w:szCs w:val="24"/>
        </w:rPr>
      </w:pPr>
      <w:r>
        <w:rPr>
          <w:rFonts w:hint="eastAsia"/>
          <w:color w:val="auto"/>
          <w:sz w:val="24"/>
          <w:szCs w:val="24"/>
        </w:rPr>
        <w:t>3、梁柱接头部位混凝土质量保证措施</w:t>
      </w:r>
    </w:p>
    <w:p w14:paraId="2B70F955">
      <w:pPr>
        <w:pStyle w:val="97"/>
        <w:spacing w:before="24" w:beforeLines="10" w:after="24" w:afterLines="10" w:line="432" w:lineRule="auto"/>
        <w:ind w:firstLine="560"/>
        <w:rPr>
          <w:color w:val="auto"/>
          <w:sz w:val="24"/>
          <w:szCs w:val="24"/>
        </w:rPr>
      </w:pPr>
      <w:r>
        <w:rPr>
          <w:rFonts w:hint="eastAsia"/>
          <w:color w:val="auto"/>
          <w:sz w:val="24"/>
          <w:szCs w:val="24"/>
        </w:rPr>
        <w:t>梁柱节点区由于钢筋过于密集，并且内包有型钢，致使钢筋与钢筋，钢筋与型钢之间经常出现位置冲突的现象，同时，钢筋之间的间距过小，加上型钢的影响，使得进了口面积较小，不利于混凝土的下料和振捣。</w:t>
      </w:r>
    </w:p>
    <w:p w14:paraId="6E48E7FA">
      <w:pPr>
        <w:pStyle w:val="97"/>
        <w:spacing w:before="24" w:beforeLines="10" w:after="24" w:afterLines="10" w:line="432" w:lineRule="auto"/>
        <w:ind w:firstLine="560"/>
        <w:rPr>
          <w:color w:val="auto"/>
          <w:sz w:val="24"/>
          <w:szCs w:val="24"/>
        </w:rPr>
      </w:pPr>
      <w:r>
        <w:rPr>
          <w:rFonts w:hint="eastAsia"/>
          <w:color w:val="auto"/>
          <w:sz w:val="24"/>
          <w:szCs w:val="24"/>
        </w:rPr>
        <w:t>（1）梁柱接头质量主要是由接头的模板来决定的，施工中要做好此部位模板方案，确保有足够的刚度不发生变形。</w:t>
      </w:r>
    </w:p>
    <w:p w14:paraId="44E5D0C7">
      <w:pPr>
        <w:pStyle w:val="97"/>
        <w:spacing w:before="24" w:beforeLines="10" w:after="24" w:afterLines="10" w:line="432" w:lineRule="auto"/>
        <w:ind w:firstLine="560"/>
        <w:rPr>
          <w:color w:val="auto"/>
          <w:sz w:val="24"/>
          <w:szCs w:val="24"/>
        </w:rPr>
      </w:pPr>
      <w:r>
        <w:rPr>
          <w:rFonts w:hint="eastAsia"/>
          <w:color w:val="auto"/>
          <w:sz w:val="24"/>
          <w:szCs w:val="24"/>
        </w:rPr>
        <w:t>（2）钢筋密集的梁柱节点要先放大样再绑扎，防止钢筋偏位影响模板的准确性。</w:t>
      </w:r>
    </w:p>
    <w:p w14:paraId="63E899ED">
      <w:pPr>
        <w:pStyle w:val="97"/>
        <w:spacing w:before="24" w:beforeLines="10" w:after="24" w:afterLines="10" w:line="432" w:lineRule="auto"/>
        <w:ind w:firstLine="560"/>
        <w:rPr>
          <w:color w:val="auto"/>
          <w:sz w:val="24"/>
          <w:szCs w:val="24"/>
        </w:rPr>
      </w:pPr>
      <w:r>
        <w:rPr>
          <w:rFonts w:hint="eastAsia"/>
          <w:color w:val="auto"/>
          <w:sz w:val="24"/>
          <w:szCs w:val="24"/>
        </w:rPr>
        <w:t>（3）梁柱接头的混凝土按柱子混凝土标号选用，梁板浇筑时需将此部位用钢丝网隔开，每段混凝土浇筑时先浇梁柱接头高标号混凝土，后浇梁板其它部位，浇捣要认真仔细。</w:t>
      </w:r>
    </w:p>
    <w:p w14:paraId="0BCAD22B">
      <w:pPr>
        <w:pStyle w:val="97"/>
        <w:spacing w:before="24" w:beforeLines="10" w:after="24" w:afterLines="10" w:line="432" w:lineRule="auto"/>
        <w:ind w:firstLine="560"/>
        <w:rPr>
          <w:color w:val="auto"/>
          <w:sz w:val="24"/>
          <w:szCs w:val="24"/>
        </w:rPr>
      </w:pPr>
      <w:r>
        <w:rPr>
          <w:rFonts w:hint="eastAsia"/>
          <w:color w:val="auto"/>
          <w:sz w:val="24"/>
          <w:szCs w:val="24"/>
        </w:rPr>
        <w:t>4、大方量混凝土结构质量保证措施</w:t>
      </w:r>
    </w:p>
    <w:p w14:paraId="35B8B340">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大方量混凝土结构质量保证措施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7848"/>
      </w:tblGrid>
      <w:tr w14:paraId="475F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69" w:type="pct"/>
            <w:noWrap w:val="0"/>
            <w:vAlign w:val="center"/>
          </w:tcPr>
          <w:p w14:paraId="361B4C6D">
            <w:pPr>
              <w:spacing w:line="240" w:lineRule="auto"/>
              <w:ind w:firstLine="0" w:firstLineChars="0"/>
              <w:jc w:val="center"/>
              <w:rPr>
                <w:rFonts w:hint="eastAsia"/>
                <w:color w:val="auto"/>
                <w:sz w:val="21"/>
              </w:rPr>
            </w:pPr>
            <w:r>
              <w:rPr>
                <w:rFonts w:hint="eastAsia"/>
                <w:color w:val="auto"/>
                <w:sz w:val="21"/>
              </w:rPr>
              <w:t>项目</w:t>
            </w:r>
          </w:p>
        </w:tc>
        <w:tc>
          <w:tcPr>
            <w:tcW w:w="4331" w:type="pct"/>
            <w:noWrap w:val="0"/>
            <w:vAlign w:val="center"/>
          </w:tcPr>
          <w:p w14:paraId="378E3E7C">
            <w:pPr>
              <w:spacing w:line="240" w:lineRule="auto"/>
              <w:ind w:firstLine="0" w:firstLineChars="0"/>
              <w:jc w:val="center"/>
              <w:rPr>
                <w:rFonts w:hint="eastAsia"/>
                <w:color w:val="auto"/>
                <w:sz w:val="21"/>
              </w:rPr>
            </w:pPr>
            <w:r>
              <w:rPr>
                <w:rFonts w:hint="eastAsia"/>
                <w:color w:val="auto"/>
                <w:sz w:val="21"/>
              </w:rPr>
              <w:t>具体内容和要求</w:t>
            </w:r>
          </w:p>
        </w:tc>
      </w:tr>
      <w:tr w14:paraId="04F2F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noWrap w:val="0"/>
            <w:vAlign w:val="center"/>
          </w:tcPr>
          <w:p w14:paraId="006854A2">
            <w:pPr>
              <w:spacing w:line="240" w:lineRule="auto"/>
              <w:ind w:firstLine="0" w:firstLineChars="0"/>
              <w:jc w:val="center"/>
              <w:rPr>
                <w:rFonts w:hint="eastAsia"/>
                <w:color w:val="auto"/>
                <w:sz w:val="21"/>
              </w:rPr>
            </w:pPr>
            <w:r>
              <w:rPr>
                <w:rFonts w:hint="eastAsia"/>
                <w:color w:val="auto"/>
                <w:sz w:val="21"/>
              </w:rPr>
              <w:t>专项策划</w:t>
            </w:r>
          </w:p>
        </w:tc>
        <w:tc>
          <w:tcPr>
            <w:tcW w:w="4331" w:type="pct"/>
            <w:noWrap w:val="0"/>
            <w:vAlign w:val="center"/>
          </w:tcPr>
          <w:p w14:paraId="110A46C5">
            <w:pPr>
              <w:spacing w:line="240" w:lineRule="auto"/>
              <w:ind w:firstLine="0" w:firstLineChars="0"/>
              <w:jc w:val="center"/>
              <w:rPr>
                <w:rFonts w:hint="eastAsia"/>
                <w:color w:val="auto"/>
                <w:sz w:val="21"/>
              </w:rPr>
            </w:pPr>
            <w:r>
              <w:rPr>
                <w:rFonts w:hint="eastAsia"/>
                <w:color w:val="auto"/>
                <w:sz w:val="21"/>
              </w:rPr>
              <w:t>本工程地下室底板属大方量混凝土结构，施工前编制专项施工方案与质量策划，专项施工方案报监理审批后严格按方案实施。</w:t>
            </w:r>
          </w:p>
        </w:tc>
      </w:tr>
      <w:tr w14:paraId="6132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noWrap w:val="0"/>
            <w:vAlign w:val="center"/>
          </w:tcPr>
          <w:p w14:paraId="582F4E9E">
            <w:pPr>
              <w:spacing w:line="240" w:lineRule="auto"/>
              <w:ind w:firstLine="0" w:firstLineChars="0"/>
              <w:jc w:val="center"/>
              <w:rPr>
                <w:rFonts w:hint="eastAsia"/>
                <w:color w:val="auto"/>
                <w:sz w:val="21"/>
              </w:rPr>
            </w:pPr>
            <w:r>
              <w:rPr>
                <w:rFonts w:hint="eastAsia"/>
                <w:color w:val="auto"/>
                <w:sz w:val="21"/>
              </w:rPr>
              <w:t>降低水泥水化热和变形</w:t>
            </w:r>
          </w:p>
        </w:tc>
        <w:tc>
          <w:tcPr>
            <w:tcW w:w="4331" w:type="pct"/>
            <w:noWrap w:val="0"/>
            <w:vAlign w:val="center"/>
          </w:tcPr>
          <w:p w14:paraId="0CF70B9B">
            <w:pPr>
              <w:spacing w:line="240" w:lineRule="auto"/>
              <w:ind w:firstLine="0" w:firstLineChars="0"/>
              <w:jc w:val="center"/>
              <w:rPr>
                <w:rFonts w:hint="eastAsia"/>
                <w:color w:val="auto"/>
                <w:sz w:val="21"/>
              </w:rPr>
            </w:pPr>
            <w:r>
              <w:rPr>
                <w:rFonts w:hint="eastAsia"/>
                <w:color w:val="auto"/>
                <w:sz w:val="21"/>
              </w:rPr>
              <w:t>1、选用低水化热的水泥品种配制混凝土。</w:t>
            </w:r>
          </w:p>
          <w:p w14:paraId="2FB146D4">
            <w:pPr>
              <w:spacing w:line="240" w:lineRule="auto"/>
              <w:ind w:firstLine="0" w:firstLineChars="0"/>
              <w:jc w:val="center"/>
              <w:rPr>
                <w:rFonts w:hint="eastAsia"/>
                <w:color w:val="auto"/>
                <w:sz w:val="21"/>
              </w:rPr>
            </w:pPr>
            <w:r>
              <w:rPr>
                <w:rFonts w:hint="eastAsia"/>
                <w:color w:val="auto"/>
                <w:sz w:val="21"/>
              </w:rPr>
              <w:t>2、尽量选用粒径较大，级配良好的粗细骨料；控制砂石含泥量；掺加粉煤灰等掺合料或掺加相应的减水剂、缓凝剂，改善和易性、降低水灰比，以达到减少水泥用量、降低水化热的目的。</w:t>
            </w:r>
          </w:p>
        </w:tc>
      </w:tr>
      <w:tr w14:paraId="25FC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noWrap w:val="0"/>
            <w:vAlign w:val="center"/>
          </w:tcPr>
          <w:p w14:paraId="6B0A696A">
            <w:pPr>
              <w:spacing w:line="240" w:lineRule="auto"/>
              <w:ind w:firstLine="0" w:firstLineChars="0"/>
              <w:jc w:val="center"/>
              <w:rPr>
                <w:rFonts w:hint="eastAsia"/>
                <w:color w:val="auto"/>
                <w:sz w:val="21"/>
              </w:rPr>
            </w:pPr>
            <w:r>
              <w:rPr>
                <w:rFonts w:hint="eastAsia"/>
                <w:color w:val="auto"/>
                <w:sz w:val="21"/>
              </w:rPr>
              <w:t>加强施工中的温度控制</w:t>
            </w:r>
          </w:p>
        </w:tc>
        <w:tc>
          <w:tcPr>
            <w:tcW w:w="4331" w:type="pct"/>
            <w:noWrap w:val="0"/>
            <w:vAlign w:val="center"/>
          </w:tcPr>
          <w:p w14:paraId="3B5D7173">
            <w:pPr>
              <w:spacing w:line="240" w:lineRule="auto"/>
              <w:ind w:firstLine="0" w:firstLineChars="0"/>
              <w:jc w:val="center"/>
              <w:rPr>
                <w:rFonts w:hint="eastAsia"/>
                <w:color w:val="auto"/>
                <w:sz w:val="21"/>
              </w:rPr>
            </w:pPr>
            <w:r>
              <w:rPr>
                <w:rFonts w:hint="eastAsia"/>
                <w:color w:val="auto"/>
                <w:sz w:val="21"/>
              </w:rPr>
              <w:t>1、采用有效的保温保湿措施，控制混凝土内外温差不超过25℃，温度陡降不超过10℃，避免产生裂缝。</w:t>
            </w:r>
          </w:p>
          <w:p w14:paraId="58BBF6B5">
            <w:pPr>
              <w:spacing w:line="240" w:lineRule="auto"/>
              <w:ind w:firstLine="0" w:firstLineChars="0"/>
              <w:jc w:val="center"/>
              <w:rPr>
                <w:rFonts w:hint="eastAsia"/>
                <w:color w:val="auto"/>
                <w:sz w:val="21"/>
              </w:rPr>
            </w:pPr>
            <w:r>
              <w:rPr>
                <w:rFonts w:hint="eastAsia"/>
                <w:color w:val="auto"/>
                <w:sz w:val="21"/>
              </w:rPr>
              <w:t>2、保湿养护时间不少于14昼夜，严禁太阳暴晒。</w:t>
            </w:r>
          </w:p>
        </w:tc>
      </w:tr>
      <w:tr w14:paraId="4B3E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noWrap w:val="0"/>
            <w:vAlign w:val="center"/>
          </w:tcPr>
          <w:p w14:paraId="36BF794E">
            <w:pPr>
              <w:spacing w:line="240" w:lineRule="auto"/>
              <w:ind w:firstLine="0" w:firstLineChars="0"/>
              <w:jc w:val="center"/>
              <w:rPr>
                <w:rFonts w:hint="eastAsia"/>
                <w:color w:val="auto"/>
                <w:sz w:val="21"/>
              </w:rPr>
            </w:pPr>
            <w:r>
              <w:rPr>
                <w:rFonts w:hint="eastAsia"/>
                <w:color w:val="auto"/>
                <w:sz w:val="21"/>
              </w:rPr>
              <w:t>改善约束件，削减温度应力</w:t>
            </w:r>
          </w:p>
        </w:tc>
        <w:tc>
          <w:tcPr>
            <w:tcW w:w="4331" w:type="pct"/>
            <w:noWrap w:val="0"/>
            <w:vAlign w:val="center"/>
          </w:tcPr>
          <w:p w14:paraId="7C35AF03">
            <w:pPr>
              <w:spacing w:line="240" w:lineRule="auto"/>
              <w:ind w:firstLine="0" w:firstLineChars="0"/>
              <w:jc w:val="center"/>
              <w:rPr>
                <w:rFonts w:hint="eastAsia"/>
                <w:color w:val="auto"/>
                <w:sz w:val="21"/>
              </w:rPr>
            </w:pPr>
            <w:r>
              <w:rPr>
                <w:rFonts w:hint="eastAsia"/>
                <w:color w:val="auto"/>
                <w:sz w:val="21"/>
              </w:rPr>
              <w:t>1、采取分层或分块浇筑混凝土，合理设置水平或垂直施工缝。</w:t>
            </w:r>
          </w:p>
        </w:tc>
      </w:tr>
      <w:tr w14:paraId="3F67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noWrap w:val="0"/>
            <w:vAlign w:val="center"/>
          </w:tcPr>
          <w:p w14:paraId="084F49AD">
            <w:pPr>
              <w:spacing w:line="240" w:lineRule="auto"/>
              <w:ind w:firstLine="0" w:firstLineChars="0"/>
              <w:jc w:val="center"/>
              <w:rPr>
                <w:rFonts w:hint="eastAsia"/>
                <w:color w:val="auto"/>
                <w:sz w:val="21"/>
              </w:rPr>
            </w:pPr>
            <w:r>
              <w:rPr>
                <w:rFonts w:hint="eastAsia"/>
                <w:color w:val="auto"/>
                <w:sz w:val="21"/>
              </w:rPr>
              <w:t>提高混凝土的极限拉伸强度</w:t>
            </w:r>
          </w:p>
        </w:tc>
        <w:tc>
          <w:tcPr>
            <w:tcW w:w="4331" w:type="pct"/>
            <w:noWrap w:val="0"/>
            <w:vAlign w:val="center"/>
          </w:tcPr>
          <w:p w14:paraId="6EDC8A76">
            <w:pPr>
              <w:spacing w:line="240" w:lineRule="auto"/>
              <w:ind w:firstLine="0" w:firstLineChars="0"/>
              <w:jc w:val="center"/>
              <w:rPr>
                <w:rFonts w:hint="eastAsia"/>
                <w:color w:val="auto"/>
                <w:sz w:val="21"/>
              </w:rPr>
            </w:pPr>
            <w:r>
              <w:rPr>
                <w:rFonts w:hint="eastAsia"/>
                <w:color w:val="auto"/>
                <w:sz w:val="21"/>
              </w:rPr>
              <w:t>1、选择良好级配的粗骨料，严格控制其含水量，加强混凝土的振捣，提高混凝土密实度和抗拉强度，减小收缩变形，保证施工质量。</w:t>
            </w:r>
          </w:p>
          <w:p w14:paraId="2C278323">
            <w:pPr>
              <w:spacing w:line="240" w:lineRule="auto"/>
              <w:ind w:firstLine="0" w:firstLineChars="0"/>
              <w:jc w:val="center"/>
              <w:rPr>
                <w:rFonts w:hint="eastAsia"/>
                <w:color w:val="auto"/>
                <w:sz w:val="21"/>
              </w:rPr>
            </w:pPr>
            <w:r>
              <w:rPr>
                <w:rFonts w:hint="eastAsia"/>
                <w:color w:val="auto"/>
                <w:sz w:val="21"/>
              </w:rPr>
              <w:t>2、采取二次振捣法，选择合理的振捣时间，浇筑后及时排除泌水，加强早期养护，提高混凝土早期或相应龄期的抗拉强度和弹性模量。</w:t>
            </w:r>
          </w:p>
        </w:tc>
      </w:tr>
      <w:tr w14:paraId="7EE2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noWrap w:val="0"/>
            <w:vAlign w:val="center"/>
          </w:tcPr>
          <w:p w14:paraId="7FC25198">
            <w:pPr>
              <w:spacing w:line="240" w:lineRule="auto"/>
              <w:ind w:firstLine="0" w:firstLineChars="0"/>
              <w:jc w:val="center"/>
              <w:rPr>
                <w:rFonts w:hint="eastAsia"/>
                <w:color w:val="auto"/>
                <w:sz w:val="21"/>
              </w:rPr>
            </w:pPr>
            <w:r>
              <w:rPr>
                <w:rFonts w:hint="eastAsia"/>
                <w:color w:val="auto"/>
                <w:sz w:val="21"/>
              </w:rPr>
              <w:t>大体积混凝土温度监控</w:t>
            </w:r>
          </w:p>
        </w:tc>
        <w:tc>
          <w:tcPr>
            <w:tcW w:w="4331" w:type="pct"/>
            <w:noWrap w:val="0"/>
            <w:vAlign w:val="center"/>
          </w:tcPr>
          <w:p w14:paraId="5AA23B02">
            <w:pPr>
              <w:spacing w:line="240" w:lineRule="auto"/>
              <w:ind w:firstLine="0" w:firstLineChars="0"/>
              <w:jc w:val="center"/>
              <w:rPr>
                <w:rFonts w:hint="eastAsia"/>
                <w:color w:val="auto"/>
                <w:sz w:val="21"/>
              </w:rPr>
            </w:pPr>
            <w:r>
              <w:rPr>
                <w:rFonts w:hint="eastAsia"/>
                <w:color w:val="auto"/>
                <w:sz w:val="21"/>
              </w:rPr>
              <w:t>底板混凝土浇筑完成后，安排专人、专职进行测温及记录。</w:t>
            </w:r>
          </w:p>
          <w:p w14:paraId="188F42AE">
            <w:pPr>
              <w:spacing w:line="240" w:lineRule="auto"/>
              <w:ind w:firstLine="0" w:firstLineChars="0"/>
              <w:jc w:val="center"/>
              <w:rPr>
                <w:rFonts w:hint="eastAsia"/>
                <w:color w:val="auto"/>
                <w:sz w:val="21"/>
              </w:rPr>
            </w:pPr>
            <w:r>
              <w:rPr>
                <w:rFonts w:hint="eastAsia"/>
                <w:color w:val="auto"/>
                <w:sz w:val="21"/>
              </w:rPr>
              <w:t>测温采用TD-3型GPRS大体积混凝土测温仪，在混凝土浇筑前埋设传感器，联网调试搭建实时监控系统，在混凝土浇筑后养护期间，通过采集的温度数据，及时进行调整覆盖层的温度和湿度，以满足温控指标，到达控制裂缝的目的。</w:t>
            </w:r>
          </w:p>
        </w:tc>
      </w:tr>
    </w:tbl>
    <w:p w14:paraId="3AD6702F">
      <w:pPr>
        <w:pStyle w:val="6"/>
        <w:ind w:firstLine="480"/>
        <w:rPr>
          <w:rFonts w:ascii="宋体" w:hAnsi="宋体"/>
          <w:b w:val="0"/>
          <w:bCs w:val="0"/>
          <w:color w:val="auto"/>
        </w:rPr>
      </w:pPr>
      <w:bookmarkStart w:id="331" w:name="_Toc8216"/>
      <w:bookmarkStart w:id="332" w:name="_Toc75894988"/>
      <w:bookmarkStart w:id="333" w:name="_Toc76234094"/>
      <w:bookmarkStart w:id="334" w:name="_Toc126528426"/>
      <w:r>
        <w:rPr>
          <w:rFonts w:hint="eastAsia" w:ascii="宋体" w:hAnsi="宋体"/>
          <w:b w:val="0"/>
          <w:bCs w:val="0"/>
          <w:color w:val="auto"/>
        </w:rPr>
        <w:t>装配式构件工程质量保证措施</w:t>
      </w:r>
      <w:bookmarkEnd w:id="331"/>
      <w:bookmarkEnd w:id="332"/>
      <w:bookmarkEnd w:id="333"/>
      <w:bookmarkEnd w:id="334"/>
    </w:p>
    <w:p w14:paraId="504DCF12">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装配式构件材料进场质量控制措施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8400"/>
      </w:tblGrid>
      <w:tr w14:paraId="46318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64" w:type="pct"/>
            <w:noWrap w:val="0"/>
            <w:vAlign w:val="center"/>
          </w:tcPr>
          <w:p w14:paraId="2ABB6FD8">
            <w:pPr>
              <w:spacing w:line="240" w:lineRule="auto"/>
              <w:ind w:firstLine="0" w:firstLineChars="0"/>
              <w:jc w:val="center"/>
              <w:rPr>
                <w:rFonts w:hint="eastAsia"/>
                <w:color w:val="auto"/>
                <w:sz w:val="21"/>
              </w:rPr>
            </w:pPr>
            <w:r>
              <w:rPr>
                <w:rFonts w:hint="eastAsia"/>
                <w:color w:val="auto"/>
                <w:sz w:val="21"/>
              </w:rPr>
              <w:t>序号</w:t>
            </w:r>
          </w:p>
        </w:tc>
        <w:tc>
          <w:tcPr>
            <w:tcW w:w="4636" w:type="pct"/>
            <w:noWrap w:val="0"/>
            <w:vAlign w:val="center"/>
          </w:tcPr>
          <w:p w14:paraId="4AE25CA7">
            <w:pPr>
              <w:spacing w:line="240" w:lineRule="auto"/>
              <w:ind w:firstLine="0" w:firstLineChars="0"/>
              <w:jc w:val="center"/>
              <w:rPr>
                <w:rFonts w:hint="eastAsia"/>
                <w:color w:val="auto"/>
                <w:sz w:val="21"/>
              </w:rPr>
            </w:pPr>
            <w:r>
              <w:rPr>
                <w:rFonts w:hint="eastAsia"/>
                <w:color w:val="auto"/>
                <w:sz w:val="21"/>
              </w:rPr>
              <w:t>保证措施</w:t>
            </w:r>
          </w:p>
        </w:tc>
      </w:tr>
      <w:tr w14:paraId="7B1F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3F47B107">
            <w:pPr>
              <w:spacing w:line="240" w:lineRule="auto"/>
              <w:ind w:firstLine="0" w:firstLineChars="0"/>
              <w:jc w:val="center"/>
              <w:rPr>
                <w:rFonts w:hint="eastAsia"/>
                <w:color w:val="auto"/>
                <w:sz w:val="21"/>
              </w:rPr>
            </w:pPr>
            <w:r>
              <w:rPr>
                <w:rFonts w:hint="eastAsia"/>
                <w:color w:val="auto"/>
                <w:sz w:val="21"/>
              </w:rPr>
              <w:t>1</w:t>
            </w:r>
          </w:p>
        </w:tc>
        <w:tc>
          <w:tcPr>
            <w:tcW w:w="4636" w:type="pct"/>
            <w:noWrap w:val="0"/>
            <w:vAlign w:val="center"/>
          </w:tcPr>
          <w:p w14:paraId="62F0F466">
            <w:pPr>
              <w:spacing w:line="240" w:lineRule="auto"/>
              <w:ind w:firstLine="0" w:firstLineChars="0"/>
              <w:jc w:val="center"/>
              <w:rPr>
                <w:rFonts w:hint="eastAsia"/>
                <w:color w:val="auto"/>
                <w:sz w:val="21"/>
              </w:rPr>
            </w:pPr>
            <w:r>
              <w:rPr>
                <w:rFonts w:hint="eastAsia"/>
                <w:color w:val="auto"/>
                <w:sz w:val="21"/>
              </w:rPr>
              <w:t>采用质量可靠的钢框架、预制钢梁、预制钢柱、钢筋桁架楼承板等预制构件生产厂家，经监理、业主认可后方可进场。</w:t>
            </w:r>
          </w:p>
        </w:tc>
      </w:tr>
      <w:tr w14:paraId="0343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36F1A024">
            <w:pPr>
              <w:spacing w:line="240" w:lineRule="auto"/>
              <w:ind w:firstLine="0" w:firstLineChars="0"/>
              <w:jc w:val="center"/>
              <w:rPr>
                <w:rFonts w:hint="eastAsia"/>
                <w:color w:val="auto"/>
                <w:sz w:val="21"/>
              </w:rPr>
            </w:pPr>
            <w:r>
              <w:rPr>
                <w:rFonts w:hint="eastAsia"/>
                <w:color w:val="auto"/>
                <w:sz w:val="21"/>
              </w:rPr>
              <w:t>2</w:t>
            </w:r>
          </w:p>
        </w:tc>
        <w:tc>
          <w:tcPr>
            <w:tcW w:w="4636" w:type="pct"/>
            <w:noWrap w:val="0"/>
            <w:vAlign w:val="center"/>
          </w:tcPr>
          <w:p w14:paraId="012C23E2">
            <w:pPr>
              <w:spacing w:line="240" w:lineRule="auto"/>
              <w:ind w:firstLine="0" w:firstLineChars="0"/>
              <w:jc w:val="center"/>
              <w:rPr>
                <w:rFonts w:hint="eastAsia"/>
                <w:color w:val="auto"/>
                <w:sz w:val="21"/>
              </w:rPr>
            </w:pPr>
            <w:r>
              <w:rPr>
                <w:rFonts w:hint="eastAsia"/>
                <w:color w:val="auto"/>
                <w:sz w:val="21"/>
              </w:rPr>
              <w:t>进场的预制构件需含有出厂合格证、相关质量证明文件等。</w:t>
            </w:r>
          </w:p>
        </w:tc>
      </w:tr>
      <w:tr w14:paraId="4B7F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6CE1376D">
            <w:pPr>
              <w:spacing w:line="240" w:lineRule="auto"/>
              <w:ind w:firstLine="0" w:firstLineChars="0"/>
              <w:jc w:val="center"/>
              <w:rPr>
                <w:rFonts w:hint="eastAsia"/>
                <w:color w:val="auto"/>
                <w:sz w:val="21"/>
              </w:rPr>
            </w:pPr>
            <w:r>
              <w:rPr>
                <w:rFonts w:hint="eastAsia"/>
                <w:color w:val="auto"/>
                <w:sz w:val="21"/>
              </w:rPr>
              <w:t>3</w:t>
            </w:r>
          </w:p>
        </w:tc>
        <w:tc>
          <w:tcPr>
            <w:tcW w:w="4636" w:type="pct"/>
            <w:noWrap w:val="0"/>
            <w:vAlign w:val="center"/>
          </w:tcPr>
          <w:p w14:paraId="54CA5282">
            <w:pPr>
              <w:spacing w:line="240" w:lineRule="auto"/>
              <w:ind w:firstLine="0" w:firstLineChars="0"/>
              <w:jc w:val="center"/>
              <w:rPr>
                <w:rFonts w:hint="eastAsia"/>
                <w:color w:val="auto"/>
                <w:sz w:val="21"/>
              </w:rPr>
            </w:pPr>
            <w:r>
              <w:rPr>
                <w:rFonts w:hint="eastAsia"/>
                <w:color w:val="auto"/>
                <w:sz w:val="21"/>
              </w:rPr>
              <w:t>预制构件应全数检查，要求检查人员带图、带测量工具、留影视资料。</w:t>
            </w:r>
          </w:p>
        </w:tc>
      </w:tr>
      <w:tr w14:paraId="37AA6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70F1D969">
            <w:pPr>
              <w:spacing w:line="240" w:lineRule="auto"/>
              <w:ind w:firstLine="0" w:firstLineChars="0"/>
              <w:jc w:val="center"/>
              <w:rPr>
                <w:rFonts w:hint="eastAsia"/>
                <w:color w:val="auto"/>
                <w:sz w:val="21"/>
              </w:rPr>
            </w:pPr>
            <w:r>
              <w:rPr>
                <w:rFonts w:hint="eastAsia"/>
                <w:color w:val="auto"/>
                <w:sz w:val="21"/>
              </w:rPr>
              <w:t>4</w:t>
            </w:r>
          </w:p>
        </w:tc>
        <w:tc>
          <w:tcPr>
            <w:tcW w:w="4636" w:type="pct"/>
            <w:noWrap w:val="0"/>
            <w:vAlign w:val="center"/>
          </w:tcPr>
          <w:p w14:paraId="413B01B2">
            <w:pPr>
              <w:spacing w:line="240" w:lineRule="auto"/>
              <w:ind w:firstLine="0" w:firstLineChars="0"/>
              <w:jc w:val="center"/>
              <w:rPr>
                <w:rFonts w:hint="eastAsia"/>
                <w:color w:val="auto"/>
                <w:sz w:val="21"/>
              </w:rPr>
            </w:pPr>
            <w:r>
              <w:rPr>
                <w:rFonts w:hint="eastAsia"/>
                <w:color w:val="auto"/>
                <w:sz w:val="21"/>
              </w:rPr>
              <w:t>现场检查应落实厂家自检、施工单位交接检查、监理单位验收检查、工程师现场完善全过程监督。</w:t>
            </w:r>
          </w:p>
        </w:tc>
      </w:tr>
    </w:tbl>
    <w:p w14:paraId="485057DF">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装配式构件材料制作质量控制</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8400"/>
      </w:tblGrid>
      <w:tr w14:paraId="7CB5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64" w:type="pct"/>
            <w:noWrap w:val="0"/>
            <w:vAlign w:val="center"/>
          </w:tcPr>
          <w:p w14:paraId="4BB09270">
            <w:pPr>
              <w:spacing w:line="240" w:lineRule="auto"/>
              <w:ind w:firstLine="0" w:firstLineChars="0"/>
              <w:jc w:val="center"/>
              <w:rPr>
                <w:rFonts w:hint="eastAsia"/>
                <w:color w:val="auto"/>
                <w:sz w:val="21"/>
              </w:rPr>
            </w:pPr>
            <w:r>
              <w:rPr>
                <w:rFonts w:hint="eastAsia"/>
                <w:color w:val="auto"/>
                <w:sz w:val="21"/>
              </w:rPr>
              <w:t>序号</w:t>
            </w:r>
          </w:p>
        </w:tc>
        <w:tc>
          <w:tcPr>
            <w:tcW w:w="4636" w:type="pct"/>
            <w:noWrap w:val="0"/>
            <w:vAlign w:val="center"/>
          </w:tcPr>
          <w:p w14:paraId="26D10A32">
            <w:pPr>
              <w:spacing w:line="240" w:lineRule="auto"/>
              <w:ind w:firstLine="0" w:firstLineChars="0"/>
              <w:jc w:val="center"/>
              <w:rPr>
                <w:rFonts w:hint="eastAsia"/>
                <w:color w:val="auto"/>
                <w:sz w:val="21"/>
              </w:rPr>
            </w:pPr>
            <w:r>
              <w:rPr>
                <w:rFonts w:hint="eastAsia"/>
                <w:color w:val="auto"/>
                <w:sz w:val="21"/>
              </w:rPr>
              <w:t>保证措施</w:t>
            </w:r>
          </w:p>
        </w:tc>
      </w:tr>
      <w:tr w14:paraId="329E7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1BBE1306">
            <w:pPr>
              <w:spacing w:line="240" w:lineRule="auto"/>
              <w:ind w:firstLine="0" w:firstLineChars="0"/>
              <w:jc w:val="center"/>
              <w:rPr>
                <w:rFonts w:hint="eastAsia"/>
                <w:color w:val="auto"/>
                <w:sz w:val="21"/>
              </w:rPr>
            </w:pPr>
            <w:r>
              <w:rPr>
                <w:rFonts w:hint="eastAsia"/>
                <w:color w:val="auto"/>
                <w:sz w:val="21"/>
              </w:rPr>
              <w:t>1</w:t>
            </w:r>
          </w:p>
        </w:tc>
        <w:tc>
          <w:tcPr>
            <w:tcW w:w="4636" w:type="pct"/>
            <w:noWrap w:val="0"/>
            <w:vAlign w:val="center"/>
          </w:tcPr>
          <w:p w14:paraId="2D984FEA">
            <w:pPr>
              <w:spacing w:line="240" w:lineRule="auto"/>
              <w:ind w:firstLine="0" w:firstLineChars="0"/>
              <w:jc w:val="center"/>
              <w:rPr>
                <w:rFonts w:hint="eastAsia"/>
                <w:color w:val="auto"/>
                <w:sz w:val="21"/>
              </w:rPr>
            </w:pPr>
            <w:r>
              <w:rPr>
                <w:rFonts w:hint="eastAsia"/>
                <w:color w:val="auto"/>
                <w:sz w:val="21"/>
              </w:rPr>
              <w:t>预制构件应在明显部位标明生产单位、构件型号、生产日期和质量验收标志。构件上的预埋件、插筋和预留孔洞的规格、位置和数量应符合标准图或设计的要求。具体要求为：预制构件的外观质量不应有严重缺陷。对已经出现的严重缺陷，应按技术处理方案进行处理和经原设计单位认可，并重新检查验收。预制构件不应有影响结构性能和安装、使用功能的尺寸偏差。对超过尺寸允许偏差且影响结构性能和安装、使用功能的部位，应按技术处理方案进行处理，并重新检查验收。预制构件的混凝土强度应按现行国家标准《混凝土强度检验评定标准》GB/T 50107-2010的规定分批检验评定。</w:t>
            </w:r>
          </w:p>
        </w:tc>
      </w:tr>
      <w:tr w14:paraId="7F44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60F8E049">
            <w:pPr>
              <w:spacing w:line="240" w:lineRule="auto"/>
              <w:ind w:firstLine="0" w:firstLineChars="0"/>
              <w:jc w:val="center"/>
              <w:rPr>
                <w:rFonts w:hint="eastAsia"/>
                <w:color w:val="auto"/>
                <w:sz w:val="21"/>
              </w:rPr>
            </w:pPr>
            <w:r>
              <w:rPr>
                <w:rFonts w:hint="eastAsia"/>
                <w:color w:val="auto"/>
                <w:sz w:val="21"/>
              </w:rPr>
              <w:t>2</w:t>
            </w:r>
          </w:p>
        </w:tc>
        <w:tc>
          <w:tcPr>
            <w:tcW w:w="4636" w:type="pct"/>
            <w:noWrap w:val="0"/>
            <w:vAlign w:val="center"/>
          </w:tcPr>
          <w:p w14:paraId="5D5617B2">
            <w:pPr>
              <w:spacing w:line="240" w:lineRule="auto"/>
              <w:ind w:firstLine="0" w:firstLineChars="0"/>
              <w:jc w:val="center"/>
              <w:rPr>
                <w:rFonts w:hint="eastAsia"/>
                <w:color w:val="auto"/>
                <w:sz w:val="21"/>
              </w:rPr>
            </w:pPr>
            <w:r>
              <w:rPr>
                <w:rFonts w:hint="eastAsia"/>
                <w:color w:val="auto"/>
                <w:sz w:val="21"/>
              </w:rPr>
              <w:t>凡是因修补、缺陷等需技术处理的，均应编制技术方案，技术方案需厂家、施工、现场监理、建设单位共同确认。</w:t>
            </w:r>
          </w:p>
        </w:tc>
      </w:tr>
      <w:tr w14:paraId="2CB61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509B6D38">
            <w:pPr>
              <w:spacing w:line="240" w:lineRule="auto"/>
              <w:ind w:firstLine="0" w:firstLineChars="0"/>
              <w:jc w:val="center"/>
              <w:rPr>
                <w:rFonts w:hint="eastAsia"/>
                <w:color w:val="auto"/>
                <w:sz w:val="21"/>
              </w:rPr>
            </w:pPr>
            <w:r>
              <w:rPr>
                <w:rFonts w:hint="eastAsia"/>
                <w:color w:val="auto"/>
                <w:sz w:val="21"/>
              </w:rPr>
              <w:t>3</w:t>
            </w:r>
          </w:p>
        </w:tc>
        <w:tc>
          <w:tcPr>
            <w:tcW w:w="4636" w:type="pct"/>
            <w:noWrap w:val="0"/>
            <w:vAlign w:val="center"/>
          </w:tcPr>
          <w:p w14:paraId="3AF02E33">
            <w:pPr>
              <w:spacing w:line="240" w:lineRule="auto"/>
              <w:ind w:firstLine="0" w:firstLineChars="0"/>
              <w:jc w:val="center"/>
              <w:rPr>
                <w:rFonts w:hint="eastAsia"/>
                <w:color w:val="auto"/>
                <w:sz w:val="21"/>
              </w:rPr>
            </w:pPr>
            <w:r>
              <w:rPr>
                <w:rFonts w:hint="eastAsia"/>
                <w:color w:val="auto"/>
                <w:sz w:val="21"/>
              </w:rPr>
              <w:t>构件脱模时，同条件养护的混凝土立方体试件抗压强度应达到设计混凝土强度等级的75%，否则应考虑临时支撑。</w:t>
            </w:r>
          </w:p>
        </w:tc>
      </w:tr>
      <w:tr w14:paraId="2C3B6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6C7FDED1">
            <w:pPr>
              <w:spacing w:line="240" w:lineRule="auto"/>
              <w:ind w:firstLine="0" w:firstLineChars="0"/>
              <w:jc w:val="center"/>
              <w:rPr>
                <w:rFonts w:hint="eastAsia"/>
                <w:color w:val="auto"/>
                <w:sz w:val="21"/>
              </w:rPr>
            </w:pPr>
            <w:r>
              <w:rPr>
                <w:rFonts w:hint="eastAsia"/>
                <w:color w:val="auto"/>
                <w:sz w:val="21"/>
              </w:rPr>
              <w:t>4</w:t>
            </w:r>
          </w:p>
        </w:tc>
        <w:tc>
          <w:tcPr>
            <w:tcW w:w="4636" w:type="pct"/>
            <w:noWrap w:val="0"/>
            <w:vAlign w:val="center"/>
          </w:tcPr>
          <w:p w14:paraId="4D632980">
            <w:pPr>
              <w:spacing w:line="240" w:lineRule="auto"/>
              <w:ind w:firstLine="0" w:firstLineChars="0"/>
              <w:jc w:val="center"/>
              <w:rPr>
                <w:rFonts w:hint="eastAsia"/>
                <w:color w:val="auto"/>
                <w:sz w:val="21"/>
              </w:rPr>
            </w:pPr>
            <w:r>
              <w:rPr>
                <w:rFonts w:hint="eastAsia"/>
                <w:color w:val="auto"/>
                <w:sz w:val="21"/>
              </w:rPr>
              <w:t>底板开洞口应在制作时预留，且应满足以下要求：</w:t>
            </w:r>
          </w:p>
          <w:p w14:paraId="02438734">
            <w:pPr>
              <w:spacing w:line="240" w:lineRule="auto"/>
              <w:ind w:firstLine="0" w:firstLineChars="0"/>
              <w:jc w:val="center"/>
              <w:rPr>
                <w:rFonts w:hint="eastAsia"/>
                <w:color w:val="auto"/>
                <w:sz w:val="21"/>
              </w:rPr>
            </w:pPr>
            <w:r>
              <w:rPr>
                <w:rFonts w:hint="eastAsia"/>
                <w:color w:val="auto"/>
                <w:sz w:val="21"/>
              </w:rPr>
              <w:t xml:space="preserve">（1）开洞位置应避开桁架钢筋的位置; 当无法避开时，设计人员应另行设计。 </w:t>
            </w:r>
          </w:p>
          <w:p w14:paraId="124C00DB">
            <w:pPr>
              <w:spacing w:line="240" w:lineRule="auto"/>
              <w:ind w:firstLine="0" w:firstLineChars="0"/>
              <w:jc w:val="center"/>
              <w:rPr>
                <w:rFonts w:hint="eastAsia"/>
                <w:color w:val="auto"/>
                <w:sz w:val="21"/>
              </w:rPr>
            </w:pPr>
            <w:r>
              <w:rPr>
                <w:rFonts w:hint="eastAsia"/>
                <w:color w:val="auto"/>
                <w:sz w:val="21"/>
              </w:rPr>
              <w:t>（2）当洞口直径（或边长）小于300mm时，受力钢筋绕过洞口，不得切断；当洞口直径（或边长）大于等于300mm时，由设计人员另行设计。</w:t>
            </w:r>
          </w:p>
          <w:p w14:paraId="553EBADF">
            <w:pPr>
              <w:spacing w:line="240" w:lineRule="auto"/>
              <w:ind w:firstLine="0" w:firstLineChars="0"/>
              <w:jc w:val="center"/>
              <w:rPr>
                <w:rFonts w:hint="eastAsia"/>
                <w:color w:val="auto"/>
                <w:sz w:val="21"/>
              </w:rPr>
            </w:pPr>
            <w:r>
              <w:rPr>
                <w:rFonts w:hint="eastAsia"/>
                <w:color w:val="auto"/>
                <w:sz w:val="21"/>
              </w:rPr>
              <w:t>（3）开洞底板在制作、堆放、运输、安装过程应进行专门的施工验算或采取可靠的技术措施。</w:t>
            </w:r>
          </w:p>
        </w:tc>
      </w:tr>
      <w:tr w14:paraId="0536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317EE9E1">
            <w:pPr>
              <w:spacing w:line="240" w:lineRule="auto"/>
              <w:ind w:firstLine="0" w:firstLineChars="0"/>
              <w:jc w:val="center"/>
              <w:rPr>
                <w:rFonts w:hint="eastAsia"/>
                <w:color w:val="auto"/>
                <w:sz w:val="21"/>
              </w:rPr>
            </w:pPr>
            <w:r>
              <w:rPr>
                <w:rFonts w:hint="eastAsia"/>
                <w:color w:val="auto"/>
                <w:sz w:val="21"/>
              </w:rPr>
              <w:t>5</w:t>
            </w:r>
          </w:p>
        </w:tc>
        <w:tc>
          <w:tcPr>
            <w:tcW w:w="4636" w:type="pct"/>
            <w:noWrap w:val="0"/>
            <w:vAlign w:val="center"/>
          </w:tcPr>
          <w:p w14:paraId="174E1B1F">
            <w:pPr>
              <w:spacing w:line="240" w:lineRule="auto"/>
              <w:ind w:firstLine="0" w:firstLineChars="0"/>
              <w:jc w:val="center"/>
              <w:rPr>
                <w:rFonts w:hint="eastAsia"/>
                <w:color w:val="auto"/>
                <w:sz w:val="21"/>
              </w:rPr>
            </w:pPr>
            <w:r>
              <w:rPr>
                <w:rFonts w:hint="eastAsia"/>
                <w:color w:val="auto"/>
                <w:sz w:val="21"/>
              </w:rPr>
              <w:t>钢筋构架的桁架应满足设计要求。</w:t>
            </w:r>
          </w:p>
        </w:tc>
      </w:tr>
    </w:tbl>
    <w:p w14:paraId="180AE5B1">
      <w:pPr>
        <w:pStyle w:val="97"/>
        <w:spacing w:before="24" w:beforeLines="10" w:after="24" w:afterLines="10" w:line="432" w:lineRule="auto"/>
        <w:ind w:firstLine="560"/>
        <w:rPr>
          <w:color w:val="auto"/>
          <w:sz w:val="24"/>
          <w:szCs w:val="24"/>
        </w:rPr>
      </w:pPr>
      <w:r>
        <w:rPr>
          <w:rFonts w:hint="eastAsia"/>
          <w:color w:val="auto"/>
          <w:sz w:val="24"/>
          <w:szCs w:val="24"/>
        </w:rPr>
        <w:t>预制构件制作模具尺寸应符合下列规定。</w:t>
      </w:r>
    </w:p>
    <w:p w14:paraId="51960F36">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模具尺寸允许偏差（mm）</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336"/>
        <w:gridCol w:w="5356"/>
      </w:tblGrid>
      <w:tr w14:paraId="21671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755" w:type="pct"/>
            <w:noWrap w:val="0"/>
            <w:vAlign w:val="center"/>
          </w:tcPr>
          <w:p w14:paraId="4B546D20">
            <w:pPr>
              <w:spacing w:line="240" w:lineRule="auto"/>
              <w:ind w:firstLine="0" w:firstLineChars="0"/>
              <w:jc w:val="center"/>
              <w:rPr>
                <w:rFonts w:hint="eastAsia"/>
                <w:color w:val="auto"/>
                <w:sz w:val="21"/>
              </w:rPr>
            </w:pPr>
            <w:r>
              <w:rPr>
                <w:rFonts w:hint="eastAsia"/>
                <w:color w:val="auto"/>
                <w:sz w:val="21"/>
              </w:rPr>
              <w:t>测定部位</w:t>
            </w:r>
          </w:p>
        </w:tc>
        <w:tc>
          <w:tcPr>
            <w:tcW w:w="1289" w:type="pct"/>
            <w:noWrap w:val="0"/>
            <w:vAlign w:val="center"/>
          </w:tcPr>
          <w:p w14:paraId="40E33E20">
            <w:pPr>
              <w:spacing w:line="240" w:lineRule="auto"/>
              <w:ind w:firstLine="0" w:firstLineChars="0"/>
              <w:jc w:val="center"/>
              <w:rPr>
                <w:rFonts w:hint="eastAsia"/>
                <w:color w:val="auto"/>
                <w:sz w:val="21"/>
              </w:rPr>
            </w:pPr>
            <w:r>
              <w:rPr>
                <w:rFonts w:hint="eastAsia"/>
                <w:color w:val="auto"/>
                <w:sz w:val="21"/>
              </w:rPr>
              <w:t>允许偏差</w:t>
            </w:r>
          </w:p>
        </w:tc>
        <w:tc>
          <w:tcPr>
            <w:tcW w:w="2956" w:type="pct"/>
            <w:noWrap w:val="0"/>
            <w:vAlign w:val="center"/>
          </w:tcPr>
          <w:p w14:paraId="04B1CCA3">
            <w:pPr>
              <w:spacing w:line="240" w:lineRule="auto"/>
              <w:ind w:firstLine="0" w:firstLineChars="0"/>
              <w:jc w:val="center"/>
              <w:rPr>
                <w:rFonts w:hint="eastAsia"/>
                <w:color w:val="auto"/>
                <w:sz w:val="21"/>
              </w:rPr>
            </w:pPr>
            <w:r>
              <w:rPr>
                <w:rFonts w:hint="eastAsia"/>
                <w:color w:val="auto"/>
                <w:sz w:val="21"/>
              </w:rPr>
              <w:t>检验方法</w:t>
            </w:r>
          </w:p>
        </w:tc>
      </w:tr>
      <w:tr w14:paraId="3D38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014D72F8">
            <w:pPr>
              <w:spacing w:line="240" w:lineRule="auto"/>
              <w:ind w:firstLine="0" w:firstLineChars="0"/>
              <w:jc w:val="center"/>
              <w:rPr>
                <w:rFonts w:hint="eastAsia"/>
                <w:color w:val="auto"/>
                <w:sz w:val="21"/>
              </w:rPr>
            </w:pPr>
            <w:r>
              <w:rPr>
                <w:rFonts w:hint="eastAsia"/>
                <w:color w:val="auto"/>
                <w:sz w:val="21"/>
              </w:rPr>
              <w:t>边长</w:t>
            </w:r>
          </w:p>
        </w:tc>
        <w:tc>
          <w:tcPr>
            <w:tcW w:w="1289" w:type="pct"/>
            <w:noWrap w:val="0"/>
            <w:vAlign w:val="center"/>
          </w:tcPr>
          <w:p w14:paraId="744AF063">
            <w:pPr>
              <w:spacing w:line="240" w:lineRule="auto"/>
              <w:ind w:firstLine="0" w:firstLineChars="0"/>
              <w:jc w:val="center"/>
              <w:rPr>
                <w:rFonts w:hint="eastAsia"/>
                <w:color w:val="auto"/>
                <w:sz w:val="21"/>
              </w:rPr>
            </w:pPr>
            <w:r>
              <w:rPr>
                <w:rFonts w:hint="eastAsia"/>
                <w:color w:val="auto"/>
                <w:sz w:val="21"/>
              </w:rPr>
              <w:t>±2</w:t>
            </w:r>
          </w:p>
        </w:tc>
        <w:tc>
          <w:tcPr>
            <w:tcW w:w="2956" w:type="pct"/>
            <w:noWrap w:val="0"/>
            <w:vAlign w:val="center"/>
          </w:tcPr>
          <w:p w14:paraId="0FA6A577">
            <w:pPr>
              <w:spacing w:line="240" w:lineRule="auto"/>
              <w:ind w:firstLine="0" w:firstLineChars="0"/>
              <w:jc w:val="center"/>
              <w:rPr>
                <w:rFonts w:hint="eastAsia"/>
                <w:color w:val="auto"/>
                <w:sz w:val="21"/>
              </w:rPr>
            </w:pPr>
            <w:r>
              <w:rPr>
                <w:rFonts w:hint="eastAsia"/>
                <w:color w:val="auto"/>
                <w:sz w:val="21"/>
              </w:rPr>
              <w:t>钢尺四边测量</w:t>
            </w:r>
          </w:p>
        </w:tc>
      </w:tr>
      <w:tr w14:paraId="01460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0E5A38B3">
            <w:pPr>
              <w:spacing w:line="240" w:lineRule="auto"/>
              <w:ind w:firstLine="0" w:firstLineChars="0"/>
              <w:jc w:val="center"/>
              <w:rPr>
                <w:rFonts w:hint="eastAsia"/>
                <w:color w:val="auto"/>
                <w:sz w:val="21"/>
              </w:rPr>
            </w:pPr>
            <w:r>
              <w:rPr>
                <w:rFonts w:hint="eastAsia"/>
                <w:color w:val="auto"/>
                <w:sz w:val="21"/>
              </w:rPr>
              <w:t>板厚</w:t>
            </w:r>
          </w:p>
        </w:tc>
        <w:tc>
          <w:tcPr>
            <w:tcW w:w="1289" w:type="pct"/>
            <w:noWrap w:val="0"/>
            <w:vAlign w:val="center"/>
          </w:tcPr>
          <w:p w14:paraId="18CDA8A2">
            <w:pPr>
              <w:spacing w:line="240" w:lineRule="auto"/>
              <w:ind w:firstLine="0" w:firstLineChars="0"/>
              <w:jc w:val="center"/>
              <w:rPr>
                <w:rFonts w:hint="eastAsia"/>
                <w:color w:val="auto"/>
                <w:sz w:val="21"/>
              </w:rPr>
            </w:pPr>
            <w:r>
              <w:rPr>
                <w:rFonts w:hint="eastAsia"/>
                <w:color w:val="auto"/>
                <w:sz w:val="21"/>
              </w:rPr>
              <w:t>＋1，0</w:t>
            </w:r>
          </w:p>
        </w:tc>
        <w:tc>
          <w:tcPr>
            <w:tcW w:w="2956" w:type="pct"/>
            <w:noWrap w:val="0"/>
            <w:vAlign w:val="center"/>
          </w:tcPr>
          <w:p w14:paraId="4CED99EF">
            <w:pPr>
              <w:spacing w:line="240" w:lineRule="auto"/>
              <w:ind w:firstLine="0" w:firstLineChars="0"/>
              <w:jc w:val="center"/>
              <w:rPr>
                <w:rFonts w:hint="eastAsia"/>
                <w:color w:val="auto"/>
                <w:sz w:val="21"/>
              </w:rPr>
            </w:pPr>
            <w:r>
              <w:rPr>
                <w:rFonts w:hint="eastAsia"/>
                <w:color w:val="auto"/>
                <w:sz w:val="21"/>
              </w:rPr>
              <w:t>钢尺测量，取两边平均值</w:t>
            </w:r>
          </w:p>
        </w:tc>
      </w:tr>
      <w:tr w14:paraId="20245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06AAB3A9">
            <w:pPr>
              <w:spacing w:line="240" w:lineRule="auto"/>
              <w:ind w:firstLine="0" w:firstLineChars="0"/>
              <w:jc w:val="center"/>
              <w:rPr>
                <w:rFonts w:hint="eastAsia"/>
                <w:color w:val="auto"/>
                <w:sz w:val="21"/>
              </w:rPr>
            </w:pPr>
            <w:r>
              <w:rPr>
                <w:rFonts w:hint="eastAsia"/>
                <w:color w:val="auto"/>
                <w:sz w:val="21"/>
              </w:rPr>
              <w:t>扭曲</w:t>
            </w:r>
          </w:p>
        </w:tc>
        <w:tc>
          <w:tcPr>
            <w:tcW w:w="1289" w:type="pct"/>
            <w:noWrap w:val="0"/>
            <w:vAlign w:val="center"/>
          </w:tcPr>
          <w:p w14:paraId="4F2397F5">
            <w:pPr>
              <w:spacing w:line="240" w:lineRule="auto"/>
              <w:ind w:firstLine="0" w:firstLineChars="0"/>
              <w:jc w:val="center"/>
              <w:rPr>
                <w:rFonts w:hint="eastAsia"/>
                <w:color w:val="auto"/>
                <w:sz w:val="21"/>
              </w:rPr>
            </w:pPr>
            <w:r>
              <w:rPr>
                <w:rFonts w:hint="eastAsia"/>
                <w:color w:val="auto"/>
                <w:sz w:val="21"/>
              </w:rPr>
              <w:t>2</w:t>
            </w:r>
          </w:p>
        </w:tc>
        <w:tc>
          <w:tcPr>
            <w:tcW w:w="2956" w:type="pct"/>
            <w:noWrap w:val="0"/>
            <w:vAlign w:val="center"/>
          </w:tcPr>
          <w:p w14:paraId="473FA494">
            <w:pPr>
              <w:spacing w:line="240" w:lineRule="auto"/>
              <w:ind w:firstLine="0" w:firstLineChars="0"/>
              <w:jc w:val="center"/>
              <w:rPr>
                <w:rFonts w:hint="eastAsia"/>
                <w:color w:val="auto"/>
                <w:sz w:val="21"/>
              </w:rPr>
            </w:pPr>
            <w:r>
              <w:rPr>
                <w:rFonts w:hint="eastAsia"/>
                <w:color w:val="auto"/>
                <w:sz w:val="21"/>
              </w:rPr>
              <w:t>四角用两根细线交叉固定，钢尺测中心点高度</w:t>
            </w:r>
          </w:p>
        </w:tc>
      </w:tr>
      <w:tr w14:paraId="42B28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5819DF4A">
            <w:pPr>
              <w:spacing w:line="240" w:lineRule="auto"/>
              <w:ind w:firstLine="0" w:firstLineChars="0"/>
              <w:jc w:val="center"/>
              <w:rPr>
                <w:rFonts w:hint="eastAsia"/>
                <w:color w:val="auto"/>
                <w:sz w:val="21"/>
              </w:rPr>
            </w:pPr>
            <w:r>
              <w:rPr>
                <w:rFonts w:hint="eastAsia"/>
                <w:color w:val="auto"/>
                <w:sz w:val="21"/>
              </w:rPr>
              <w:t>翘曲</w:t>
            </w:r>
          </w:p>
        </w:tc>
        <w:tc>
          <w:tcPr>
            <w:tcW w:w="1289" w:type="pct"/>
            <w:noWrap w:val="0"/>
            <w:vAlign w:val="center"/>
          </w:tcPr>
          <w:p w14:paraId="28623E51">
            <w:pPr>
              <w:spacing w:line="240" w:lineRule="auto"/>
              <w:ind w:firstLine="0" w:firstLineChars="0"/>
              <w:jc w:val="center"/>
              <w:rPr>
                <w:rFonts w:hint="eastAsia"/>
                <w:color w:val="auto"/>
                <w:sz w:val="21"/>
              </w:rPr>
            </w:pPr>
            <w:r>
              <w:rPr>
                <w:rFonts w:hint="eastAsia"/>
                <w:color w:val="auto"/>
                <w:sz w:val="21"/>
              </w:rPr>
              <w:t>3</w:t>
            </w:r>
          </w:p>
        </w:tc>
        <w:tc>
          <w:tcPr>
            <w:tcW w:w="2956" w:type="pct"/>
            <w:noWrap w:val="0"/>
            <w:vAlign w:val="center"/>
          </w:tcPr>
          <w:p w14:paraId="0247C958">
            <w:pPr>
              <w:spacing w:line="240" w:lineRule="auto"/>
              <w:ind w:firstLine="0" w:firstLineChars="0"/>
              <w:jc w:val="center"/>
              <w:rPr>
                <w:rFonts w:hint="eastAsia"/>
                <w:color w:val="auto"/>
                <w:sz w:val="21"/>
              </w:rPr>
            </w:pPr>
            <w:r>
              <w:rPr>
                <w:rFonts w:hint="eastAsia"/>
                <w:color w:val="auto"/>
                <w:sz w:val="21"/>
              </w:rPr>
              <w:t>四角固定细线，钢尺测细线到钢模边距离，取最大值</w:t>
            </w:r>
          </w:p>
        </w:tc>
      </w:tr>
      <w:tr w14:paraId="60345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759C6B1F">
            <w:pPr>
              <w:spacing w:line="240" w:lineRule="auto"/>
              <w:ind w:firstLine="0" w:firstLineChars="0"/>
              <w:jc w:val="center"/>
              <w:rPr>
                <w:rFonts w:hint="eastAsia"/>
                <w:color w:val="auto"/>
                <w:sz w:val="21"/>
              </w:rPr>
            </w:pPr>
            <w:r>
              <w:rPr>
                <w:rFonts w:hint="eastAsia"/>
                <w:color w:val="auto"/>
                <w:sz w:val="21"/>
              </w:rPr>
              <w:t>表面凹凸</w:t>
            </w:r>
          </w:p>
        </w:tc>
        <w:tc>
          <w:tcPr>
            <w:tcW w:w="1289" w:type="pct"/>
            <w:noWrap w:val="0"/>
            <w:vAlign w:val="center"/>
          </w:tcPr>
          <w:p w14:paraId="5A6BEC93">
            <w:pPr>
              <w:spacing w:line="240" w:lineRule="auto"/>
              <w:ind w:firstLine="0" w:firstLineChars="0"/>
              <w:jc w:val="center"/>
              <w:rPr>
                <w:rFonts w:hint="eastAsia"/>
                <w:color w:val="auto"/>
                <w:sz w:val="21"/>
              </w:rPr>
            </w:pPr>
            <w:r>
              <w:rPr>
                <w:rFonts w:hint="eastAsia"/>
                <w:color w:val="auto"/>
                <w:sz w:val="21"/>
              </w:rPr>
              <w:t>2</w:t>
            </w:r>
          </w:p>
        </w:tc>
        <w:tc>
          <w:tcPr>
            <w:tcW w:w="2956" w:type="pct"/>
            <w:noWrap w:val="0"/>
            <w:vAlign w:val="center"/>
          </w:tcPr>
          <w:p w14:paraId="6C7BD148">
            <w:pPr>
              <w:spacing w:line="240" w:lineRule="auto"/>
              <w:ind w:firstLine="0" w:firstLineChars="0"/>
              <w:jc w:val="center"/>
              <w:rPr>
                <w:rFonts w:hint="eastAsia"/>
                <w:color w:val="auto"/>
                <w:sz w:val="21"/>
              </w:rPr>
            </w:pPr>
            <w:r>
              <w:rPr>
                <w:rFonts w:hint="eastAsia"/>
                <w:color w:val="auto"/>
                <w:sz w:val="21"/>
              </w:rPr>
              <w:t>靠尺和塞尺检查</w:t>
            </w:r>
          </w:p>
        </w:tc>
      </w:tr>
      <w:tr w14:paraId="699E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5AB628E8">
            <w:pPr>
              <w:spacing w:line="240" w:lineRule="auto"/>
              <w:ind w:firstLine="0" w:firstLineChars="0"/>
              <w:jc w:val="center"/>
              <w:rPr>
                <w:rFonts w:hint="eastAsia"/>
                <w:color w:val="auto"/>
                <w:sz w:val="21"/>
              </w:rPr>
            </w:pPr>
            <w:r>
              <w:rPr>
                <w:rFonts w:hint="eastAsia"/>
                <w:color w:val="auto"/>
                <w:sz w:val="21"/>
              </w:rPr>
              <w:t>弯曲</w:t>
            </w:r>
          </w:p>
        </w:tc>
        <w:tc>
          <w:tcPr>
            <w:tcW w:w="1289" w:type="pct"/>
            <w:noWrap w:val="0"/>
            <w:vAlign w:val="center"/>
          </w:tcPr>
          <w:p w14:paraId="39C56D6A">
            <w:pPr>
              <w:spacing w:line="240" w:lineRule="auto"/>
              <w:ind w:firstLine="0" w:firstLineChars="0"/>
              <w:jc w:val="center"/>
              <w:rPr>
                <w:rFonts w:hint="eastAsia"/>
                <w:color w:val="auto"/>
                <w:sz w:val="21"/>
              </w:rPr>
            </w:pPr>
            <w:r>
              <w:rPr>
                <w:rFonts w:hint="eastAsia"/>
                <w:color w:val="auto"/>
                <w:sz w:val="21"/>
              </w:rPr>
              <w:t>2</w:t>
            </w:r>
          </w:p>
        </w:tc>
        <w:tc>
          <w:tcPr>
            <w:tcW w:w="2956" w:type="pct"/>
            <w:noWrap w:val="0"/>
            <w:vAlign w:val="center"/>
          </w:tcPr>
          <w:p w14:paraId="5876A30C">
            <w:pPr>
              <w:spacing w:line="240" w:lineRule="auto"/>
              <w:ind w:firstLine="0" w:firstLineChars="0"/>
              <w:jc w:val="center"/>
              <w:rPr>
                <w:rFonts w:hint="eastAsia"/>
                <w:color w:val="auto"/>
                <w:sz w:val="21"/>
              </w:rPr>
            </w:pPr>
            <w:r>
              <w:rPr>
                <w:rFonts w:hint="eastAsia"/>
                <w:color w:val="auto"/>
                <w:sz w:val="21"/>
              </w:rPr>
              <w:t>四角用两根细线交叉固定，钢尺测细线到钢模边距离</w:t>
            </w:r>
          </w:p>
        </w:tc>
      </w:tr>
      <w:tr w14:paraId="32BF0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7CD5C0A6">
            <w:pPr>
              <w:spacing w:line="240" w:lineRule="auto"/>
              <w:ind w:firstLine="0" w:firstLineChars="0"/>
              <w:jc w:val="center"/>
              <w:rPr>
                <w:rFonts w:hint="eastAsia"/>
                <w:color w:val="auto"/>
                <w:sz w:val="21"/>
              </w:rPr>
            </w:pPr>
            <w:r>
              <w:rPr>
                <w:rFonts w:hint="eastAsia"/>
                <w:color w:val="auto"/>
                <w:sz w:val="21"/>
              </w:rPr>
              <w:t>对角线误差</w:t>
            </w:r>
          </w:p>
        </w:tc>
        <w:tc>
          <w:tcPr>
            <w:tcW w:w="1289" w:type="pct"/>
            <w:noWrap w:val="0"/>
            <w:vAlign w:val="center"/>
          </w:tcPr>
          <w:p w14:paraId="28BFF15B">
            <w:pPr>
              <w:spacing w:line="240" w:lineRule="auto"/>
              <w:ind w:firstLine="0" w:firstLineChars="0"/>
              <w:jc w:val="center"/>
              <w:rPr>
                <w:rFonts w:hint="eastAsia"/>
                <w:color w:val="auto"/>
                <w:sz w:val="21"/>
              </w:rPr>
            </w:pPr>
            <w:r>
              <w:rPr>
                <w:rFonts w:hint="eastAsia"/>
                <w:color w:val="auto"/>
                <w:sz w:val="21"/>
              </w:rPr>
              <w:t>2</w:t>
            </w:r>
          </w:p>
        </w:tc>
        <w:tc>
          <w:tcPr>
            <w:tcW w:w="2956" w:type="pct"/>
            <w:noWrap w:val="0"/>
            <w:vAlign w:val="center"/>
          </w:tcPr>
          <w:p w14:paraId="2EE3AE83">
            <w:pPr>
              <w:spacing w:line="240" w:lineRule="auto"/>
              <w:ind w:firstLine="0" w:firstLineChars="0"/>
              <w:jc w:val="center"/>
              <w:rPr>
                <w:rFonts w:hint="eastAsia"/>
                <w:color w:val="auto"/>
                <w:sz w:val="21"/>
              </w:rPr>
            </w:pPr>
            <w:r>
              <w:rPr>
                <w:rFonts w:hint="eastAsia"/>
                <w:color w:val="auto"/>
                <w:sz w:val="21"/>
              </w:rPr>
              <w:t>细线测两根对角线尺寸，取差值</w:t>
            </w:r>
          </w:p>
        </w:tc>
      </w:tr>
      <w:tr w14:paraId="775C1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noWrap w:val="0"/>
            <w:vAlign w:val="center"/>
          </w:tcPr>
          <w:p w14:paraId="664A4213">
            <w:pPr>
              <w:spacing w:line="240" w:lineRule="auto"/>
              <w:ind w:firstLine="0" w:firstLineChars="0"/>
              <w:jc w:val="center"/>
              <w:rPr>
                <w:rFonts w:hint="eastAsia"/>
                <w:color w:val="auto"/>
                <w:sz w:val="21"/>
              </w:rPr>
            </w:pPr>
            <w:r>
              <w:rPr>
                <w:rFonts w:hint="eastAsia"/>
                <w:color w:val="auto"/>
                <w:sz w:val="21"/>
              </w:rPr>
              <w:t>预埋件位置（中心线）</w:t>
            </w:r>
          </w:p>
        </w:tc>
        <w:tc>
          <w:tcPr>
            <w:tcW w:w="1289" w:type="pct"/>
            <w:noWrap w:val="0"/>
            <w:vAlign w:val="center"/>
          </w:tcPr>
          <w:p w14:paraId="16352786">
            <w:pPr>
              <w:spacing w:line="240" w:lineRule="auto"/>
              <w:ind w:firstLine="0" w:firstLineChars="0"/>
              <w:jc w:val="center"/>
              <w:rPr>
                <w:rFonts w:hint="eastAsia"/>
                <w:color w:val="auto"/>
                <w:sz w:val="21"/>
              </w:rPr>
            </w:pPr>
            <w:r>
              <w:rPr>
                <w:rFonts w:hint="eastAsia"/>
                <w:color w:val="auto"/>
                <w:sz w:val="21"/>
              </w:rPr>
              <w:t>±2</w:t>
            </w:r>
          </w:p>
        </w:tc>
        <w:tc>
          <w:tcPr>
            <w:tcW w:w="2956" w:type="pct"/>
            <w:noWrap w:val="0"/>
            <w:vAlign w:val="center"/>
          </w:tcPr>
          <w:p w14:paraId="41E8CD1B">
            <w:pPr>
              <w:spacing w:line="240" w:lineRule="auto"/>
              <w:ind w:firstLine="0" w:firstLineChars="0"/>
              <w:jc w:val="center"/>
              <w:rPr>
                <w:rFonts w:hint="eastAsia"/>
                <w:color w:val="auto"/>
                <w:sz w:val="21"/>
              </w:rPr>
            </w:pPr>
            <w:r>
              <w:rPr>
                <w:rFonts w:hint="eastAsia"/>
                <w:color w:val="auto"/>
                <w:sz w:val="21"/>
              </w:rPr>
              <w:t>钢尺检查</w:t>
            </w:r>
          </w:p>
        </w:tc>
      </w:tr>
      <w:tr w14:paraId="0AF45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vMerge w:val="restart"/>
            <w:noWrap w:val="0"/>
            <w:vAlign w:val="center"/>
          </w:tcPr>
          <w:p w14:paraId="64E75D16">
            <w:pPr>
              <w:spacing w:line="240" w:lineRule="auto"/>
              <w:ind w:firstLine="0" w:firstLineChars="0"/>
              <w:jc w:val="center"/>
              <w:rPr>
                <w:rFonts w:hint="eastAsia"/>
                <w:color w:val="auto"/>
                <w:sz w:val="21"/>
              </w:rPr>
            </w:pPr>
            <w:r>
              <w:rPr>
                <w:rFonts w:hint="eastAsia"/>
                <w:color w:val="auto"/>
                <w:sz w:val="21"/>
              </w:rPr>
              <w:t>侧向扭度</w:t>
            </w:r>
          </w:p>
        </w:tc>
        <w:tc>
          <w:tcPr>
            <w:tcW w:w="1289" w:type="pct"/>
            <w:noWrap w:val="0"/>
            <w:vAlign w:val="center"/>
          </w:tcPr>
          <w:p w14:paraId="64491AEE">
            <w:pPr>
              <w:spacing w:line="240" w:lineRule="auto"/>
              <w:ind w:firstLine="0" w:firstLineChars="0"/>
              <w:jc w:val="center"/>
              <w:rPr>
                <w:rFonts w:hint="eastAsia"/>
                <w:color w:val="auto"/>
                <w:sz w:val="21"/>
              </w:rPr>
            </w:pPr>
            <w:r>
              <w:rPr>
                <w:rFonts w:hint="eastAsia"/>
                <w:color w:val="auto"/>
                <w:sz w:val="21"/>
              </w:rPr>
              <w:t>H≤300    1.0</w:t>
            </w:r>
          </w:p>
        </w:tc>
        <w:tc>
          <w:tcPr>
            <w:tcW w:w="2956" w:type="pct"/>
            <w:noWrap w:val="0"/>
            <w:vAlign w:val="center"/>
          </w:tcPr>
          <w:p w14:paraId="0B28A10A">
            <w:pPr>
              <w:spacing w:line="240" w:lineRule="auto"/>
              <w:ind w:firstLine="0" w:firstLineChars="0"/>
              <w:jc w:val="center"/>
              <w:rPr>
                <w:rFonts w:hint="eastAsia"/>
                <w:color w:val="auto"/>
                <w:sz w:val="21"/>
              </w:rPr>
            </w:pPr>
            <w:r>
              <w:rPr>
                <w:rFonts w:hint="eastAsia"/>
                <w:color w:val="auto"/>
                <w:sz w:val="21"/>
              </w:rPr>
              <w:t>两角用细线固定，钢尺测中心点高度</w:t>
            </w:r>
          </w:p>
        </w:tc>
      </w:tr>
      <w:tr w14:paraId="024C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5" w:type="pct"/>
            <w:vMerge w:val="continue"/>
            <w:noWrap w:val="0"/>
            <w:vAlign w:val="center"/>
          </w:tcPr>
          <w:p w14:paraId="566D5657">
            <w:pPr>
              <w:spacing w:line="240" w:lineRule="auto"/>
              <w:ind w:firstLine="0" w:firstLineChars="0"/>
              <w:jc w:val="center"/>
              <w:rPr>
                <w:rFonts w:hint="eastAsia"/>
                <w:color w:val="auto"/>
                <w:sz w:val="21"/>
              </w:rPr>
            </w:pPr>
          </w:p>
        </w:tc>
        <w:tc>
          <w:tcPr>
            <w:tcW w:w="1289" w:type="pct"/>
            <w:noWrap w:val="0"/>
            <w:vAlign w:val="center"/>
          </w:tcPr>
          <w:p w14:paraId="0524B670">
            <w:pPr>
              <w:spacing w:line="240" w:lineRule="auto"/>
              <w:ind w:firstLine="0" w:firstLineChars="0"/>
              <w:jc w:val="center"/>
              <w:rPr>
                <w:rFonts w:hint="eastAsia"/>
                <w:color w:val="auto"/>
                <w:sz w:val="21"/>
              </w:rPr>
            </w:pPr>
            <w:r>
              <w:rPr>
                <w:rFonts w:hint="eastAsia"/>
                <w:color w:val="auto"/>
                <w:sz w:val="21"/>
              </w:rPr>
              <w:t>H＞300    2.0</w:t>
            </w:r>
          </w:p>
        </w:tc>
        <w:tc>
          <w:tcPr>
            <w:tcW w:w="2956" w:type="pct"/>
            <w:noWrap w:val="0"/>
            <w:vAlign w:val="center"/>
          </w:tcPr>
          <w:p w14:paraId="43815E92">
            <w:pPr>
              <w:spacing w:line="240" w:lineRule="auto"/>
              <w:ind w:firstLine="0" w:firstLineChars="0"/>
              <w:jc w:val="center"/>
              <w:rPr>
                <w:rFonts w:hint="eastAsia"/>
                <w:color w:val="auto"/>
                <w:sz w:val="21"/>
              </w:rPr>
            </w:pPr>
            <w:r>
              <w:rPr>
                <w:rFonts w:hint="eastAsia"/>
                <w:color w:val="auto"/>
                <w:sz w:val="21"/>
              </w:rPr>
              <w:t>两角用细线固定，钢尺测中心点高度</w:t>
            </w:r>
          </w:p>
        </w:tc>
      </w:tr>
    </w:tbl>
    <w:p w14:paraId="20EA3BAD">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预埋件和预留孔洞的允许偏差（mm）</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946"/>
        <w:gridCol w:w="2865"/>
        <w:gridCol w:w="2865"/>
      </w:tblGrid>
      <w:tr w14:paraId="28C2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838" w:type="pct"/>
            <w:gridSpan w:val="2"/>
            <w:noWrap w:val="0"/>
            <w:vAlign w:val="top"/>
          </w:tcPr>
          <w:p w14:paraId="0E57A547">
            <w:pPr>
              <w:spacing w:line="240" w:lineRule="auto"/>
              <w:ind w:firstLine="0" w:firstLineChars="0"/>
              <w:jc w:val="center"/>
              <w:rPr>
                <w:rFonts w:hint="eastAsia"/>
                <w:color w:val="auto"/>
                <w:sz w:val="21"/>
              </w:rPr>
            </w:pPr>
            <w:r>
              <w:rPr>
                <w:rFonts w:hint="eastAsia"/>
                <w:color w:val="auto"/>
                <w:sz w:val="21"/>
              </w:rPr>
              <w:t>项目</w:t>
            </w:r>
          </w:p>
        </w:tc>
        <w:tc>
          <w:tcPr>
            <w:tcW w:w="1581" w:type="pct"/>
            <w:noWrap w:val="0"/>
            <w:vAlign w:val="center"/>
          </w:tcPr>
          <w:p w14:paraId="62F75E33">
            <w:pPr>
              <w:spacing w:line="240" w:lineRule="auto"/>
              <w:ind w:firstLine="0" w:firstLineChars="0"/>
              <w:jc w:val="center"/>
              <w:rPr>
                <w:rFonts w:hint="eastAsia"/>
                <w:color w:val="auto"/>
                <w:sz w:val="21"/>
              </w:rPr>
            </w:pPr>
            <w:r>
              <w:rPr>
                <w:rFonts w:hint="eastAsia"/>
                <w:color w:val="auto"/>
                <w:sz w:val="21"/>
              </w:rPr>
              <w:t>允许偏差</w:t>
            </w:r>
          </w:p>
        </w:tc>
        <w:tc>
          <w:tcPr>
            <w:tcW w:w="1581" w:type="pct"/>
            <w:noWrap w:val="0"/>
            <w:vAlign w:val="top"/>
          </w:tcPr>
          <w:p w14:paraId="4103F469">
            <w:pPr>
              <w:spacing w:line="240" w:lineRule="auto"/>
              <w:ind w:firstLine="0" w:firstLineChars="0"/>
              <w:jc w:val="center"/>
              <w:rPr>
                <w:rFonts w:hint="eastAsia"/>
                <w:color w:val="auto"/>
                <w:sz w:val="21"/>
              </w:rPr>
            </w:pPr>
            <w:r>
              <w:rPr>
                <w:rFonts w:hint="eastAsia"/>
                <w:color w:val="auto"/>
                <w:sz w:val="21"/>
              </w:rPr>
              <w:t>检验方法</w:t>
            </w:r>
          </w:p>
        </w:tc>
      </w:tr>
      <w:tr w14:paraId="787E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restart"/>
            <w:noWrap w:val="0"/>
            <w:vAlign w:val="top"/>
          </w:tcPr>
          <w:p w14:paraId="536B8EE3">
            <w:pPr>
              <w:spacing w:line="240" w:lineRule="auto"/>
              <w:ind w:firstLine="0" w:firstLineChars="0"/>
              <w:jc w:val="center"/>
              <w:rPr>
                <w:rFonts w:hint="eastAsia"/>
                <w:color w:val="auto"/>
                <w:sz w:val="21"/>
              </w:rPr>
            </w:pPr>
            <w:r>
              <w:rPr>
                <w:rFonts w:hint="eastAsia"/>
                <w:color w:val="auto"/>
                <w:sz w:val="21"/>
              </w:rPr>
              <w:t>预埋钢板</w:t>
            </w:r>
          </w:p>
        </w:tc>
        <w:tc>
          <w:tcPr>
            <w:tcW w:w="1074" w:type="pct"/>
            <w:noWrap w:val="0"/>
            <w:vAlign w:val="center"/>
          </w:tcPr>
          <w:p w14:paraId="53575F48">
            <w:pPr>
              <w:spacing w:line="240" w:lineRule="auto"/>
              <w:ind w:firstLine="0" w:firstLineChars="0"/>
              <w:jc w:val="center"/>
              <w:rPr>
                <w:rFonts w:hint="eastAsia"/>
                <w:color w:val="auto"/>
                <w:sz w:val="21"/>
              </w:rPr>
            </w:pPr>
            <w:r>
              <w:rPr>
                <w:rFonts w:hint="eastAsia"/>
                <w:color w:val="auto"/>
                <w:sz w:val="21"/>
              </w:rPr>
              <w:t>中心线位置</w:t>
            </w:r>
          </w:p>
        </w:tc>
        <w:tc>
          <w:tcPr>
            <w:tcW w:w="1581" w:type="pct"/>
            <w:noWrap w:val="0"/>
            <w:vAlign w:val="center"/>
          </w:tcPr>
          <w:p w14:paraId="346A885B">
            <w:pPr>
              <w:spacing w:line="240" w:lineRule="auto"/>
              <w:ind w:firstLine="0" w:firstLineChars="0"/>
              <w:jc w:val="center"/>
              <w:rPr>
                <w:rFonts w:hint="eastAsia"/>
                <w:color w:val="auto"/>
                <w:sz w:val="21"/>
              </w:rPr>
            </w:pPr>
            <w:r>
              <w:rPr>
                <w:rFonts w:hint="eastAsia"/>
                <w:color w:val="auto"/>
                <w:sz w:val="21"/>
              </w:rPr>
              <w:t>3</w:t>
            </w:r>
          </w:p>
        </w:tc>
        <w:tc>
          <w:tcPr>
            <w:tcW w:w="1581" w:type="pct"/>
            <w:noWrap w:val="0"/>
            <w:vAlign w:val="top"/>
          </w:tcPr>
          <w:p w14:paraId="537D3FD5">
            <w:pPr>
              <w:spacing w:line="240" w:lineRule="auto"/>
              <w:ind w:firstLine="0" w:firstLineChars="0"/>
              <w:jc w:val="center"/>
              <w:rPr>
                <w:rFonts w:hint="eastAsia"/>
                <w:color w:val="auto"/>
                <w:sz w:val="21"/>
              </w:rPr>
            </w:pPr>
            <w:r>
              <w:rPr>
                <w:rFonts w:hint="eastAsia"/>
                <w:color w:val="auto"/>
                <w:sz w:val="21"/>
              </w:rPr>
              <w:t>钢尺检查</w:t>
            </w:r>
          </w:p>
        </w:tc>
      </w:tr>
      <w:tr w14:paraId="173E4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noWrap w:val="0"/>
            <w:vAlign w:val="top"/>
          </w:tcPr>
          <w:p w14:paraId="1BA6C9DD">
            <w:pPr>
              <w:spacing w:line="240" w:lineRule="auto"/>
              <w:ind w:firstLine="0" w:firstLineChars="0"/>
              <w:jc w:val="center"/>
              <w:rPr>
                <w:rFonts w:hint="eastAsia"/>
                <w:color w:val="auto"/>
                <w:sz w:val="21"/>
              </w:rPr>
            </w:pPr>
          </w:p>
        </w:tc>
        <w:tc>
          <w:tcPr>
            <w:tcW w:w="1074" w:type="pct"/>
            <w:noWrap w:val="0"/>
            <w:vAlign w:val="center"/>
          </w:tcPr>
          <w:p w14:paraId="7849C8A4">
            <w:pPr>
              <w:spacing w:line="240" w:lineRule="auto"/>
              <w:ind w:firstLine="0" w:firstLineChars="0"/>
              <w:jc w:val="center"/>
              <w:rPr>
                <w:rFonts w:hint="eastAsia"/>
                <w:color w:val="auto"/>
                <w:sz w:val="21"/>
              </w:rPr>
            </w:pPr>
            <w:r>
              <w:rPr>
                <w:rFonts w:hint="eastAsia"/>
                <w:color w:val="auto"/>
                <w:sz w:val="21"/>
              </w:rPr>
              <w:t>安装平整度</w:t>
            </w:r>
          </w:p>
        </w:tc>
        <w:tc>
          <w:tcPr>
            <w:tcW w:w="1581" w:type="pct"/>
            <w:noWrap w:val="0"/>
            <w:vAlign w:val="center"/>
          </w:tcPr>
          <w:p w14:paraId="619A88AF">
            <w:pPr>
              <w:spacing w:line="240" w:lineRule="auto"/>
              <w:ind w:firstLine="0" w:firstLineChars="0"/>
              <w:jc w:val="center"/>
              <w:rPr>
                <w:rFonts w:hint="eastAsia"/>
                <w:color w:val="auto"/>
                <w:sz w:val="21"/>
              </w:rPr>
            </w:pPr>
            <w:r>
              <w:rPr>
                <w:rFonts w:hint="eastAsia"/>
                <w:color w:val="auto"/>
                <w:sz w:val="21"/>
              </w:rPr>
              <w:t>5</w:t>
            </w:r>
          </w:p>
        </w:tc>
        <w:tc>
          <w:tcPr>
            <w:tcW w:w="1581" w:type="pct"/>
            <w:noWrap w:val="0"/>
            <w:vAlign w:val="top"/>
          </w:tcPr>
          <w:p w14:paraId="7C3D754B">
            <w:pPr>
              <w:spacing w:line="240" w:lineRule="auto"/>
              <w:ind w:firstLine="0" w:firstLineChars="0"/>
              <w:jc w:val="center"/>
              <w:rPr>
                <w:rFonts w:hint="eastAsia"/>
                <w:color w:val="auto"/>
                <w:sz w:val="21"/>
              </w:rPr>
            </w:pPr>
            <w:r>
              <w:rPr>
                <w:rFonts w:hint="eastAsia"/>
                <w:color w:val="auto"/>
                <w:sz w:val="21"/>
              </w:rPr>
              <w:t>靠尺和塞尺检查</w:t>
            </w:r>
          </w:p>
        </w:tc>
      </w:tr>
      <w:tr w14:paraId="0963F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38" w:type="pct"/>
            <w:gridSpan w:val="2"/>
            <w:noWrap w:val="0"/>
            <w:vAlign w:val="top"/>
          </w:tcPr>
          <w:p w14:paraId="2E07ADCE">
            <w:pPr>
              <w:spacing w:line="240" w:lineRule="auto"/>
              <w:ind w:firstLine="0" w:firstLineChars="0"/>
              <w:jc w:val="center"/>
              <w:rPr>
                <w:rFonts w:hint="eastAsia"/>
                <w:color w:val="auto"/>
                <w:sz w:val="21"/>
              </w:rPr>
            </w:pPr>
            <w:r>
              <w:rPr>
                <w:rFonts w:hint="eastAsia"/>
                <w:color w:val="auto"/>
                <w:sz w:val="21"/>
              </w:rPr>
              <w:t>预埋管、预留孔中心线位置</w:t>
            </w:r>
          </w:p>
        </w:tc>
        <w:tc>
          <w:tcPr>
            <w:tcW w:w="1581" w:type="pct"/>
            <w:noWrap w:val="0"/>
            <w:vAlign w:val="center"/>
          </w:tcPr>
          <w:p w14:paraId="09AA8E54">
            <w:pPr>
              <w:spacing w:line="240" w:lineRule="auto"/>
              <w:ind w:firstLine="0" w:firstLineChars="0"/>
              <w:jc w:val="center"/>
              <w:rPr>
                <w:rFonts w:hint="eastAsia"/>
                <w:color w:val="auto"/>
                <w:sz w:val="21"/>
              </w:rPr>
            </w:pPr>
            <w:r>
              <w:rPr>
                <w:rFonts w:hint="eastAsia"/>
                <w:color w:val="auto"/>
                <w:sz w:val="21"/>
              </w:rPr>
              <w:t>3</w:t>
            </w:r>
          </w:p>
        </w:tc>
        <w:tc>
          <w:tcPr>
            <w:tcW w:w="1581" w:type="pct"/>
            <w:noWrap w:val="0"/>
            <w:vAlign w:val="top"/>
          </w:tcPr>
          <w:p w14:paraId="6AA72014">
            <w:pPr>
              <w:spacing w:line="240" w:lineRule="auto"/>
              <w:ind w:firstLine="0" w:firstLineChars="0"/>
              <w:jc w:val="center"/>
              <w:rPr>
                <w:rFonts w:hint="eastAsia"/>
                <w:color w:val="auto"/>
                <w:sz w:val="21"/>
              </w:rPr>
            </w:pPr>
            <w:r>
              <w:rPr>
                <w:rFonts w:hint="eastAsia"/>
                <w:color w:val="auto"/>
                <w:sz w:val="21"/>
              </w:rPr>
              <w:t>钢尺检查</w:t>
            </w:r>
          </w:p>
        </w:tc>
      </w:tr>
      <w:tr w14:paraId="45A00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restart"/>
            <w:noWrap w:val="0"/>
            <w:vAlign w:val="top"/>
          </w:tcPr>
          <w:p w14:paraId="619C2102">
            <w:pPr>
              <w:spacing w:line="240" w:lineRule="auto"/>
              <w:ind w:firstLine="0" w:firstLineChars="0"/>
              <w:jc w:val="center"/>
              <w:rPr>
                <w:rFonts w:hint="eastAsia"/>
                <w:color w:val="auto"/>
                <w:sz w:val="21"/>
              </w:rPr>
            </w:pPr>
            <w:r>
              <w:rPr>
                <w:rFonts w:hint="eastAsia"/>
                <w:color w:val="auto"/>
                <w:sz w:val="21"/>
              </w:rPr>
              <w:t>插  筋</w:t>
            </w:r>
          </w:p>
        </w:tc>
        <w:tc>
          <w:tcPr>
            <w:tcW w:w="1074" w:type="pct"/>
            <w:noWrap w:val="0"/>
            <w:vAlign w:val="center"/>
          </w:tcPr>
          <w:p w14:paraId="4F9A166D">
            <w:pPr>
              <w:spacing w:line="240" w:lineRule="auto"/>
              <w:ind w:firstLine="0" w:firstLineChars="0"/>
              <w:jc w:val="center"/>
              <w:rPr>
                <w:rFonts w:hint="eastAsia"/>
                <w:color w:val="auto"/>
                <w:sz w:val="21"/>
              </w:rPr>
            </w:pPr>
            <w:r>
              <w:rPr>
                <w:rFonts w:hint="eastAsia"/>
                <w:color w:val="auto"/>
                <w:sz w:val="21"/>
              </w:rPr>
              <w:t>中心线位置</w:t>
            </w:r>
          </w:p>
        </w:tc>
        <w:tc>
          <w:tcPr>
            <w:tcW w:w="1581" w:type="pct"/>
            <w:noWrap w:val="0"/>
            <w:vAlign w:val="center"/>
          </w:tcPr>
          <w:p w14:paraId="40D30641">
            <w:pPr>
              <w:spacing w:line="240" w:lineRule="auto"/>
              <w:ind w:firstLine="0" w:firstLineChars="0"/>
              <w:jc w:val="center"/>
              <w:rPr>
                <w:rFonts w:hint="eastAsia"/>
                <w:color w:val="auto"/>
                <w:sz w:val="21"/>
              </w:rPr>
            </w:pPr>
            <w:r>
              <w:rPr>
                <w:rFonts w:hint="eastAsia"/>
                <w:color w:val="auto"/>
                <w:sz w:val="21"/>
              </w:rPr>
              <w:t>5</w:t>
            </w:r>
          </w:p>
        </w:tc>
        <w:tc>
          <w:tcPr>
            <w:tcW w:w="1581" w:type="pct"/>
            <w:noWrap w:val="0"/>
            <w:vAlign w:val="center"/>
          </w:tcPr>
          <w:p w14:paraId="2C1F3D89">
            <w:pPr>
              <w:spacing w:line="240" w:lineRule="auto"/>
              <w:ind w:firstLine="0" w:firstLineChars="0"/>
              <w:jc w:val="center"/>
              <w:rPr>
                <w:rFonts w:hint="eastAsia"/>
                <w:color w:val="auto"/>
                <w:sz w:val="21"/>
              </w:rPr>
            </w:pPr>
            <w:r>
              <w:rPr>
                <w:rFonts w:hint="eastAsia"/>
                <w:color w:val="auto"/>
                <w:sz w:val="21"/>
              </w:rPr>
              <w:t>钢尺检查</w:t>
            </w:r>
          </w:p>
        </w:tc>
      </w:tr>
      <w:tr w14:paraId="088F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noWrap w:val="0"/>
            <w:vAlign w:val="top"/>
          </w:tcPr>
          <w:p w14:paraId="0E720329">
            <w:pPr>
              <w:spacing w:line="240" w:lineRule="auto"/>
              <w:ind w:firstLine="0" w:firstLineChars="0"/>
              <w:jc w:val="center"/>
              <w:rPr>
                <w:rFonts w:hint="eastAsia"/>
                <w:color w:val="auto"/>
                <w:sz w:val="21"/>
              </w:rPr>
            </w:pPr>
          </w:p>
        </w:tc>
        <w:tc>
          <w:tcPr>
            <w:tcW w:w="1074" w:type="pct"/>
            <w:noWrap w:val="0"/>
            <w:vAlign w:val="center"/>
          </w:tcPr>
          <w:p w14:paraId="7C492D09">
            <w:pPr>
              <w:spacing w:line="240" w:lineRule="auto"/>
              <w:ind w:firstLine="0" w:firstLineChars="0"/>
              <w:jc w:val="center"/>
              <w:rPr>
                <w:rFonts w:hint="eastAsia"/>
                <w:color w:val="auto"/>
                <w:sz w:val="21"/>
              </w:rPr>
            </w:pPr>
            <w:r>
              <w:rPr>
                <w:rFonts w:hint="eastAsia"/>
                <w:color w:val="auto"/>
                <w:sz w:val="21"/>
              </w:rPr>
              <w:t>外露长度</w:t>
            </w:r>
          </w:p>
        </w:tc>
        <w:tc>
          <w:tcPr>
            <w:tcW w:w="1581" w:type="pct"/>
            <w:noWrap w:val="0"/>
            <w:vAlign w:val="center"/>
          </w:tcPr>
          <w:p w14:paraId="0E3AC5EE">
            <w:pPr>
              <w:spacing w:line="240" w:lineRule="auto"/>
              <w:ind w:firstLine="0" w:firstLineChars="0"/>
              <w:jc w:val="center"/>
              <w:rPr>
                <w:rFonts w:hint="eastAsia"/>
                <w:color w:val="auto"/>
                <w:sz w:val="21"/>
              </w:rPr>
            </w:pPr>
            <w:r>
              <w:rPr>
                <w:rFonts w:hint="eastAsia"/>
                <w:color w:val="auto"/>
                <w:sz w:val="21"/>
              </w:rPr>
              <w:t>+8， 0</w:t>
            </w:r>
          </w:p>
        </w:tc>
        <w:tc>
          <w:tcPr>
            <w:tcW w:w="1581" w:type="pct"/>
            <w:noWrap w:val="0"/>
            <w:vAlign w:val="center"/>
          </w:tcPr>
          <w:p w14:paraId="428F40A7">
            <w:pPr>
              <w:spacing w:line="240" w:lineRule="auto"/>
              <w:ind w:firstLine="0" w:firstLineChars="0"/>
              <w:jc w:val="center"/>
              <w:rPr>
                <w:rFonts w:hint="eastAsia"/>
                <w:color w:val="auto"/>
                <w:sz w:val="21"/>
              </w:rPr>
            </w:pPr>
            <w:r>
              <w:rPr>
                <w:rFonts w:hint="eastAsia"/>
                <w:color w:val="auto"/>
                <w:sz w:val="21"/>
              </w:rPr>
              <w:t>钢尺检查</w:t>
            </w:r>
          </w:p>
        </w:tc>
      </w:tr>
      <w:tr w14:paraId="25AD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restart"/>
            <w:noWrap w:val="0"/>
            <w:vAlign w:val="top"/>
          </w:tcPr>
          <w:p w14:paraId="00703B75">
            <w:pPr>
              <w:spacing w:line="240" w:lineRule="auto"/>
              <w:ind w:firstLine="0" w:firstLineChars="0"/>
              <w:jc w:val="center"/>
              <w:rPr>
                <w:rFonts w:hint="eastAsia"/>
                <w:color w:val="auto"/>
                <w:sz w:val="21"/>
              </w:rPr>
            </w:pPr>
            <w:r>
              <w:rPr>
                <w:rFonts w:hint="eastAsia"/>
                <w:color w:val="auto"/>
                <w:sz w:val="21"/>
              </w:rPr>
              <w:t>预埋吊环</w:t>
            </w:r>
          </w:p>
        </w:tc>
        <w:tc>
          <w:tcPr>
            <w:tcW w:w="1074" w:type="pct"/>
            <w:noWrap w:val="0"/>
            <w:vAlign w:val="center"/>
          </w:tcPr>
          <w:p w14:paraId="61B3A010">
            <w:pPr>
              <w:spacing w:line="240" w:lineRule="auto"/>
              <w:ind w:firstLine="0" w:firstLineChars="0"/>
              <w:jc w:val="center"/>
              <w:rPr>
                <w:rFonts w:hint="eastAsia"/>
                <w:color w:val="auto"/>
                <w:sz w:val="21"/>
              </w:rPr>
            </w:pPr>
            <w:r>
              <w:rPr>
                <w:rFonts w:hint="eastAsia"/>
                <w:color w:val="auto"/>
                <w:sz w:val="21"/>
              </w:rPr>
              <w:t>中心线位置</w:t>
            </w:r>
          </w:p>
        </w:tc>
        <w:tc>
          <w:tcPr>
            <w:tcW w:w="1581" w:type="pct"/>
            <w:noWrap w:val="0"/>
            <w:vAlign w:val="center"/>
          </w:tcPr>
          <w:p w14:paraId="5846633E">
            <w:pPr>
              <w:spacing w:line="240" w:lineRule="auto"/>
              <w:ind w:firstLine="0" w:firstLineChars="0"/>
              <w:jc w:val="center"/>
              <w:rPr>
                <w:rFonts w:hint="eastAsia"/>
                <w:color w:val="auto"/>
                <w:sz w:val="21"/>
              </w:rPr>
            </w:pPr>
            <w:r>
              <w:rPr>
                <w:rFonts w:hint="eastAsia"/>
                <w:color w:val="auto"/>
                <w:sz w:val="21"/>
              </w:rPr>
              <w:t>5</w:t>
            </w:r>
          </w:p>
        </w:tc>
        <w:tc>
          <w:tcPr>
            <w:tcW w:w="1581" w:type="pct"/>
            <w:noWrap w:val="0"/>
            <w:vAlign w:val="center"/>
          </w:tcPr>
          <w:p w14:paraId="047CAC7A">
            <w:pPr>
              <w:spacing w:line="240" w:lineRule="auto"/>
              <w:ind w:firstLine="0" w:firstLineChars="0"/>
              <w:jc w:val="center"/>
              <w:rPr>
                <w:rFonts w:hint="eastAsia"/>
                <w:color w:val="auto"/>
                <w:sz w:val="21"/>
              </w:rPr>
            </w:pPr>
            <w:r>
              <w:rPr>
                <w:rFonts w:hint="eastAsia"/>
                <w:color w:val="auto"/>
                <w:sz w:val="21"/>
              </w:rPr>
              <w:t>钢尺检查</w:t>
            </w:r>
          </w:p>
        </w:tc>
      </w:tr>
      <w:tr w14:paraId="1470F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noWrap w:val="0"/>
            <w:vAlign w:val="top"/>
          </w:tcPr>
          <w:p w14:paraId="67F622DE">
            <w:pPr>
              <w:spacing w:line="240" w:lineRule="auto"/>
              <w:ind w:firstLine="0" w:firstLineChars="0"/>
              <w:jc w:val="center"/>
              <w:rPr>
                <w:rFonts w:hint="eastAsia"/>
                <w:color w:val="auto"/>
                <w:sz w:val="21"/>
              </w:rPr>
            </w:pPr>
          </w:p>
        </w:tc>
        <w:tc>
          <w:tcPr>
            <w:tcW w:w="1074" w:type="pct"/>
            <w:noWrap w:val="0"/>
            <w:vAlign w:val="center"/>
          </w:tcPr>
          <w:p w14:paraId="7135FCEB">
            <w:pPr>
              <w:spacing w:line="240" w:lineRule="auto"/>
              <w:ind w:firstLine="0" w:firstLineChars="0"/>
              <w:jc w:val="center"/>
              <w:rPr>
                <w:rFonts w:hint="eastAsia"/>
                <w:color w:val="auto"/>
                <w:sz w:val="21"/>
              </w:rPr>
            </w:pPr>
            <w:r>
              <w:rPr>
                <w:rFonts w:hint="eastAsia"/>
                <w:color w:val="auto"/>
                <w:sz w:val="21"/>
              </w:rPr>
              <w:t>外露长度</w:t>
            </w:r>
          </w:p>
        </w:tc>
        <w:tc>
          <w:tcPr>
            <w:tcW w:w="1581" w:type="pct"/>
            <w:noWrap w:val="0"/>
            <w:vAlign w:val="center"/>
          </w:tcPr>
          <w:p w14:paraId="19830A57">
            <w:pPr>
              <w:spacing w:line="240" w:lineRule="auto"/>
              <w:ind w:firstLine="0" w:firstLineChars="0"/>
              <w:jc w:val="center"/>
              <w:rPr>
                <w:rFonts w:hint="eastAsia"/>
                <w:color w:val="auto"/>
                <w:sz w:val="21"/>
              </w:rPr>
            </w:pPr>
            <w:r>
              <w:rPr>
                <w:rFonts w:hint="eastAsia"/>
                <w:color w:val="auto"/>
                <w:sz w:val="21"/>
              </w:rPr>
              <w:t>+8， 0</w:t>
            </w:r>
          </w:p>
        </w:tc>
        <w:tc>
          <w:tcPr>
            <w:tcW w:w="1581" w:type="pct"/>
            <w:noWrap w:val="0"/>
            <w:vAlign w:val="center"/>
          </w:tcPr>
          <w:p w14:paraId="3A661EE1">
            <w:pPr>
              <w:spacing w:line="240" w:lineRule="auto"/>
              <w:ind w:firstLine="0" w:firstLineChars="0"/>
              <w:jc w:val="center"/>
              <w:rPr>
                <w:rFonts w:hint="eastAsia"/>
                <w:color w:val="auto"/>
                <w:sz w:val="21"/>
              </w:rPr>
            </w:pPr>
            <w:r>
              <w:rPr>
                <w:rFonts w:hint="eastAsia"/>
                <w:color w:val="auto"/>
                <w:sz w:val="21"/>
              </w:rPr>
              <w:t>钢尺检查</w:t>
            </w:r>
          </w:p>
        </w:tc>
      </w:tr>
      <w:tr w14:paraId="71E8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restart"/>
            <w:noWrap w:val="0"/>
            <w:vAlign w:val="center"/>
          </w:tcPr>
          <w:p w14:paraId="673DE3BA">
            <w:pPr>
              <w:spacing w:line="240" w:lineRule="auto"/>
              <w:ind w:firstLine="0" w:firstLineChars="0"/>
              <w:jc w:val="center"/>
              <w:rPr>
                <w:rFonts w:hint="eastAsia"/>
                <w:color w:val="auto"/>
                <w:sz w:val="21"/>
              </w:rPr>
            </w:pPr>
            <w:r>
              <w:rPr>
                <w:rFonts w:hint="eastAsia"/>
                <w:color w:val="auto"/>
                <w:sz w:val="21"/>
              </w:rPr>
              <w:t>预留洞</w:t>
            </w:r>
          </w:p>
        </w:tc>
        <w:tc>
          <w:tcPr>
            <w:tcW w:w="1074" w:type="pct"/>
            <w:noWrap w:val="0"/>
            <w:vAlign w:val="center"/>
          </w:tcPr>
          <w:p w14:paraId="662CF6AB">
            <w:pPr>
              <w:spacing w:line="240" w:lineRule="auto"/>
              <w:ind w:firstLine="0" w:firstLineChars="0"/>
              <w:jc w:val="center"/>
              <w:rPr>
                <w:rFonts w:hint="eastAsia"/>
                <w:color w:val="auto"/>
                <w:sz w:val="21"/>
              </w:rPr>
            </w:pPr>
            <w:r>
              <w:rPr>
                <w:rFonts w:hint="eastAsia"/>
                <w:color w:val="auto"/>
                <w:sz w:val="21"/>
              </w:rPr>
              <w:t>中心线位置</w:t>
            </w:r>
          </w:p>
        </w:tc>
        <w:tc>
          <w:tcPr>
            <w:tcW w:w="1581" w:type="pct"/>
            <w:noWrap w:val="0"/>
            <w:vAlign w:val="center"/>
          </w:tcPr>
          <w:p w14:paraId="590ECA25">
            <w:pPr>
              <w:spacing w:line="240" w:lineRule="auto"/>
              <w:ind w:firstLine="0" w:firstLineChars="0"/>
              <w:jc w:val="center"/>
              <w:rPr>
                <w:rFonts w:hint="eastAsia"/>
                <w:color w:val="auto"/>
                <w:sz w:val="21"/>
              </w:rPr>
            </w:pPr>
            <w:r>
              <w:rPr>
                <w:rFonts w:hint="eastAsia"/>
                <w:color w:val="auto"/>
                <w:sz w:val="21"/>
              </w:rPr>
              <w:t>5</w:t>
            </w:r>
          </w:p>
        </w:tc>
        <w:tc>
          <w:tcPr>
            <w:tcW w:w="1581" w:type="pct"/>
            <w:noWrap w:val="0"/>
            <w:vAlign w:val="center"/>
          </w:tcPr>
          <w:p w14:paraId="606F59F9">
            <w:pPr>
              <w:spacing w:line="240" w:lineRule="auto"/>
              <w:ind w:firstLine="0" w:firstLineChars="0"/>
              <w:jc w:val="center"/>
              <w:rPr>
                <w:rFonts w:hint="eastAsia"/>
                <w:color w:val="auto"/>
                <w:sz w:val="21"/>
              </w:rPr>
            </w:pPr>
            <w:r>
              <w:rPr>
                <w:rFonts w:hint="eastAsia"/>
                <w:color w:val="auto"/>
                <w:sz w:val="21"/>
              </w:rPr>
              <w:t>钢尺检查</w:t>
            </w:r>
          </w:p>
        </w:tc>
      </w:tr>
      <w:tr w14:paraId="73C42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vMerge w:val="continue"/>
            <w:noWrap w:val="0"/>
            <w:vAlign w:val="center"/>
          </w:tcPr>
          <w:p w14:paraId="092067C9">
            <w:pPr>
              <w:spacing w:line="240" w:lineRule="auto"/>
              <w:ind w:firstLine="0" w:firstLineChars="0"/>
              <w:jc w:val="center"/>
              <w:rPr>
                <w:rFonts w:hint="eastAsia"/>
                <w:color w:val="auto"/>
                <w:sz w:val="21"/>
              </w:rPr>
            </w:pPr>
          </w:p>
        </w:tc>
        <w:tc>
          <w:tcPr>
            <w:tcW w:w="1074" w:type="pct"/>
            <w:noWrap w:val="0"/>
            <w:vAlign w:val="center"/>
          </w:tcPr>
          <w:p w14:paraId="076B6D92">
            <w:pPr>
              <w:spacing w:line="240" w:lineRule="auto"/>
              <w:ind w:firstLine="0" w:firstLineChars="0"/>
              <w:jc w:val="center"/>
              <w:rPr>
                <w:rFonts w:hint="eastAsia"/>
                <w:color w:val="auto"/>
                <w:sz w:val="21"/>
              </w:rPr>
            </w:pPr>
            <w:r>
              <w:rPr>
                <w:rFonts w:hint="eastAsia"/>
                <w:color w:val="auto"/>
                <w:sz w:val="21"/>
              </w:rPr>
              <w:t>尺 寸</w:t>
            </w:r>
          </w:p>
        </w:tc>
        <w:tc>
          <w:tcPr>
            <w:tcW w:w="1581" w:type="pct"/>
            <w:noWrap w:val="0"/>
            <w:vAlign w:val="center"/>
          </w:tcPr>
          <w:p w14:paraId="63DFE807">
            <w:pPr>
              <w:spacing w:line="240" w:lineRule="auto"/>
              <w:ind w:firstLine="0" w:firstLineChars="0"/>
              <w:jc w:val="center"/>
              <w:rPr>
                <w:rFonts w:hint="eastAsia"/>
                <w:color w:val="auto"/>
                <w:sz w:val="21"/>
              </w:rPr>
            </w:pPr>
            <w:r>
              <w:rPr>
                <w:rFonts w:hint="eastAsia"/>
                <w:color w:val="auto"/>
                <w:sz w:val="21"/>
              </w:rPr>
              <w:t>+8， 0</w:t>
            </w:r>
          </w:p>
        </w:tc>
        <w:tc>
          <w:tcPr>
            <w:tcW w:w="1581" w:type="pct"/>
            <w:noWrap w:val="0"/>
            <w:vAlign w:val="center"/>
          </w:tcPr>
          <w:p w14:paraId="7D3C8001">
            <w:pPr>
              <w:spacing w:line="240" w:lineRule="auto"/>
              <w:ind w:firstLine="0" w:firstLineChars="0"/>
              <w:jc w:val="center"/>
              <w:rPr>
                <w:rFonts w:hint="eastAsia"/>
                <w:color w:val="auto"/>
                <w:sz w:val="21"/>
              </w:rPr>
            </w:pPr>
            <w:r>
              <w:rPr>
                <w:rFonts w:hint="eastAsia"/>
                <w:color w:val="auto"/>
                <w:sz w:val="21"/>
              </w:rPr>
              <w:t>钢尺检查</w:t>
            </w:r>
          </w:p>
        </w:tc>
      </w:tr>
      <w:tr w14:paraId="51D53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64" w:type="pct"/>
            <w:noWrap w:val="0"/>
            <w:vAlign w:val="center"/>
          </w:tcPr>
          <w:p w14:paraId="62B798D1">
            <w:pPr>
              <w:spacing w:line="240" w:lineRule="auto"/>
              <w:ind w:firstLine="0" w:firstLineChars="0"/>
              <w:jc w:val="center"/>
              <w:rPr>
                <w:rFonts w:hint="eastAsia"/>
                <w:color w:val="auto"/>
                <w:sz w:val="21"/>
              </w:rPr>
            </w:pPr>
            <w:r>
              <w:rPr>
                <w:rFonts w:hint="eastAsia"/>
                <w:color w:val="auto"/>
                <w:sz w:val="21"/>
              </w:rPr>
              <w:t>预埋接驳器</w:t>
            </w:r>
          </w:p>
        </w:tc>
        <w:tc>
          <w:tcPr>
            <w:tcW w:w="1074" w:type="pct"/>
            <w:noWrap w:val="0"/>
            <w:vAlign w:val="center"/>
          </w:tcPr>
          <w:p w14:paraId="51949750">
            <w:pPr>
              <w:spacing w:line="240" w:lineRule="auto"/>
              <w:ind w:firstLine="0" w:firstLineChars="0"/>
              <w:jc w:val="center"/>
              <w:rPr>
                <w:rFonts w:hint="eastAsia"/>
                <w:color w:val="auto"/>
                <w:sz w:val="21"/>
              </w:rPr>
            </w:pPr>
            <w:r>
              <w:rPr>
                <w:rFonts w:hint="eastAsia"/>
                <w:color w:val="auto"/>
                <w:sz w:val="21"/>
              </w:rPr>
              <w:t>中心线位置</w:t>
            </w:r>
          </w:p>
        </w:tc>
        <w:tc>
          <w:tcPr>
            <w:tcW w:w="1581" w:type="pct"/>
            <w:noWrap w:val="0"/>
            <w:vAlign w:val="center"/>
          </w:tcPr>
          <w:p w14:paraId="43D2E0B3">
            <w:pPr>
              <w:spacing w:line="240" w:lineRule="auto"/>
              <w:ind w:firstLine="0" w:firstLineChars="0"/>
              <w:jc w:val="center"/>
              <w:rPr>
                <w:rFonts w:hint="eastAsia"/>
                <w:color w:val="auto"/>
                <w:sz w:val="21"/>
              </w:rPr>
            </w:pPr>
            <w:r>
              <w:rPr>
                <w:rFonts w:hint="eastAsia"/>
                <w:color w:val="auto"/>
                <w:sz w:val="21"/>
              </w:rPr>
              <w:t>5</w:t>
            </w:r>
          </w:p>
        </w:tc>
        <w:tc>
          <w:tcPr>
            <w:tcW w:w="1581" w:type="pct"/>
            <w:noWrap w:val="0"/>
            <w:vAlign w:val="center"/>
          </w:tcPr>
          <w:p w14:paraId="15306055">
            <w:pPr>
              <w:spacing w:line="240" w:lineRule="auto"/>
              <w:ind w:firstLine="0" w:firstLineChars="0"/>
              <w:jc w:val="center"/>
              <w:rPr>
                <w:rFonts w:hint="eastAsia"/>
                <w:color w:val="auto"/>
                <w:sz w:val="21"/>
              </w:rPr>
            </w:pPr>
            <w:r>
              <w:rPr>
                <w:rFonts w:hint="eastAsia"/>
                <w:color w:val="auto"/>
                <w:sz w:val="21"/>
              </w:rPr>
              <w:t>钢尺检查</w:t>
            </w:r>
          </w:p>
        </w:tc>
      </w:tr>
    </w:tbl>
    <w:p w14:paraId="6F043FEA">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钢筋网和钢筋成品（骨架）尺寸允许偏差（mm）</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5"/>
        <w:gridCol w:w="995"/>
        <w:gridCol w:w="1252"/>
        <w:gridCol w:w="2734"/>
        <w:gridCol w:w="2724"/>
      </w:tblGrid>
      <w:tr w14:paraId="0713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988" w:type="pct"/>
            <w:gridSpan w:val="3"/>
            <w:noWrap w:val="0"/>
            <w:vAlign w:val="center"/>
          </w:tcPr>
          <w:p w14:paraId="22F7E363">
            <w:pPr>
              <w:spacing w:line="240" w:lineRule="auto"/>
              <w:ind w:firstLine="0" w:firstLineChars="0"/>
              <w:jc w:val="center"/>
              <w:rPr>
                <w:rFonts w:hint="eastAsia"/>
                <w:color w:val="auto"/>
                <w:sz w:val="21"/>
              </w:rPr>
            </w:pPr>
            <w:r>
              <w:rPr>
                <w:rFonts w:hint="eastAsia"/>
                <w:color w:val="auto"/>
                <w:sz w:val="21"/>
              </w:rPr>
              <w:t>项目</w:t>
            </w:r>
          </w:p>
        </w:tc>
        <w:tc>
          <w:tcPr>
            <w:tcW w:w="1509" w:type="pct"/>
            <w:noWrap w:val="0"/>
            <w:vAlign w:val="center"/>
          </w:tcPr>
          <w:p w14:paraId="2E270741">
            <w:pPr>
              <w:spacing w:line="240" w:lineRule="auto"/>
              <w:ind w:firstLine="0" w:firstLineChars="0"/>
              <w:jc w:val="center"/>
              <w:rPr>
                <w:rFonts w:hint="eastAsia"/>
                <w:color w:val="auto"/>
                <w:sz w:val="21"/>
              </w:rPr>
            </w:pPr>
            <w:r>
              <w:rPr>
                <w:rFonts w:hint="eastAsia"/>
                <w:color w:val="auto"/>
                <w:sz w:val="21"/>
              </w:rPr>
              <w:t>允许偏差</w:t>
            </w:r>
          </w:p>
        </w:tc>
        <w:tc>
          <w:tcPr>
            <w:tcW w:w="1503" w:type="pct"/>
            <w:noWrap w:val="0"/>
            <w:vAlign w:val="center"/>
          </w:tcPr>
          <w:p w14:paraId="2795ACED">
            <w:pPr>
              <w:spacing w:line="240" w:lineRule="auto"/>
              <w:ind w:firstLine="0" w:firstLineChars="0"/>
              <w:jc w:val="center"/>
              <w:rPr>
                <w:rFonts w:hint="eastAsia"/>
                <w:color w:val="auto"/>
                <w:sz w:val="21"/>
              </w:rPr>
            </w:pPr>
            <w:r>
              <w:rPr>
                <w:rFonts w:hint="eastAsia"/>
                <w:color w:val="auto"/>
                <w:sz w:val="21"/>
              </w:rPr>
              <w:t>检验方法</w:t>
            </w:r>
          </w:p>
        </w:tc>
      </w:tr>
      <w:tr w14:paraId="29EAC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pct"/>
            <w:vMerge w:val="restart"/>
            <w:noWrap w:val="0"/>
            <w:vAlign w:val="center"/>
          </w:tcPr>
          <w:p w14:paraId="35BF6FCE">
            <w:pPr>
              <w:spacing w:line="240" w:lineRule="auto"/>
              <w:ind w:firstLine="0" w:firstLineChars="0"/>
              <w:jc w:val="center"/>
              <w:rPr>
                <w:rFonts w:hint="eastAsia"/>
                <w:color w:val="auto"/>
                <w:sz w:val="21"/>
              </w:rPr>
            </w:pPr>
            <w:r>
              <w:rPr>
                <w:rFonts w:hint="eastAsia"/>
                <w:color w:val="auto"/>
                <w:sz w:val="21"/>
              </w:rPr>
              <w:t>绑扎钢筋网</w:t>
            </w:r>
          </w:p>
        </w:tc>
        <w:tc>
          <w:tcPr>
            <w:tcW w:w="1239" w:type="pct"/>
            <w:gridSpan w:val="2"/>
            <w:noWrap w:val="0"/>
            <w:vAlign w:val="center"/>
          </w:tcPr>
          <w:p w14:paraId="48CA9D6B">
            <w:pPr>
              <w:spacing w:line="240" w:lineRule="auto"/>
              <w:ind w:firstLine="0" w:firstLineChars="0"/>
              <w:jc w:val="center"/>
              <w:rPr>
                <w:rFonts w:hint="eastAsia"/>
                <w:color w:val="auto"/>
                <w:sz w:val="21"/>
              </w:rPr>
            </w:pPr>
            <w:r>
              <w:rPr>
                <w:rFonts w:hint="eastAsia"/>
                <w:color w:val="auto"/>
                <w:sz w:val="21"/>
              </w:rPr>
              <w:t>长、宽</w:t>
            </w:r>
          </w:p>
        </w:tc>
        <w:tc>
          <w:tcPr>
            <w:tcW w:w="1509" w:type="pct"/>
            <w:noWrap w:val="0"/>
            <w:vAlign w:val="center"/>
          </w:tcPr>
          <w:p w14:paraId="0E715AAA">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6B3F88B6">
            <w:pPr>
              <w:spacing w:line="240" w:lineRule="auto"/>
              <w:ind w:firstLine="0" w:firstLineChars="0"/>
              <w:jc w:val="center"/>
              <w:rPr>
                <w:rFonts w:hint="eastAsia"/>
                <w:color w:val="auto"/>
                <w:sz w:val="21"/>
              </w:rPr>
            </w:pPr>
            <w:r>
              <w:rPr>
                <w:rFonts w:hint="eastAsia"/>
                <w:color w:val="auto"/>
                <w:sz w:val="21"/>
              </w:rPr>
              <w:t>钢尺检查</w:t>
            </w:r>
          </w:p>
        </w:tc>
      </w:tr>
      <w:tr w14:paraId="14B4F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48" w:type="pct"/>
            <w:vMerge w:val="continue"/>
            <w:noWrap w:val="0"/>
            <w:vAlign w:val="center"/>
          </w:tcPr>
          <w:p w14:paraId="5F5139CC">
            <w:pPr>
              <w:spacing w:line="240" w:lineRule="auto"/>
              <w:ind w:firstLine="0" w:firstLineChars="0"/>
              <w:jc w:val="center"/>
              <w:rPr>
                <w:rFonts w:hint="eastAsia"/>
                <w:color w:val="auto"/>
                <w:sz w:val="21"/>
              </w:rPr>
            </w:pPr>
          </w:p>
        </w:tc>
        <w:tc>
          <w:tcPr>
            <w:tcW w:w="1239" w:type="pct"/>
            <w:gridSpan w:val="2"/>
            <w:noWrap w:val="0"/>
            <w:vAlign w:val="center"/>
          </w:tcPr>
          <w:p w14:paraId="72327C0A">
            <w:pPr>
              <w:spacing w:line="240" w:lineRule="auto"/>
              <w:ind w:firstLine="0" w:firstLineChars="0"/>
              <w:jc w:val="center"/>
              <w:rPr>
                <w:rFonts w:hint="eastAsia"/>
                <w:color w:val="auto"/>
                <w:sz w:val="21"/>
              </w:rPr>
            </w:pPr>
            <w:r>
              <w:rPr>
                <w:rFonts w:hint="eastAsia"/>
                <w:color w:val="auto"/>
                <w:sz w:val="21"/>
              </w:rPr>
              <w:t>网眼尺寸</w:t>
            </w:r>
          </w:p>
        </w:tc>
        <w:tc>
          <w:tcPr>
            <w:tcW w:w="1509" w:type="pct"/>
            <w:noWrap w:val="0"/>
            <w:vAlign w:val="center"/>
          </w:tcPr>
          <w:p w14:paraId="746E593C">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6DAAC31E">
            <w:pPr>
              <w:spacing w:line="240" w:lineRule="auto"/>
              <w:ind w:firstLine="0" w:firstLineChars="0"/>
              <w:jc w:val="center"/>
              <w:rPr>
                <w:rFonts w:hint="eastAsia"/>
                <w:color w:val="auto"/>
                <w:sz w:val="21"/>
              </w:rPr>
            </w:pPr>
            <w:r>
              <w:rPr>
                <w:rFonts w:hint="eastAsia"/>
                <w:color w:val="auto"/>
                <w:sz w:val="21"/>
              </w:rPr>
              <w:t>钢尺量连续三档，取最大值</w:t>
            </w:r>
          </w:p>
        </w:tc>
      </w:tr>
      <w:tr w14:paraId="1395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pct"/>
            <w:vMerge w:val="restart"/>
            <w:noWrap w:val="0"/>
            <w:vAlign w:val="center"/>
          </w:tcPr>
          <w:p w14:paraId="5DBC80A6">
            <w:pPr>
              <w:spacing w:line="240" w:lineRule="auto"/>
              <w:ind w:firstLine="0" w:firstLineChars="0"/>
              <w:jc w:val="center"/>
              <w:rPr>
                <w:rFonts w:hint="eastAsia"/>
                <w:color w:val="auto"/>
                <w:sz w:val="21"/>
              </w:rPr>
            </w:pPr>
            <w:r>
              <w:rPr>
                <w:rFonts w:hint="eastAsia"/>
                <w:color w:val="auto"/>
                <w:sz w:val="21"/>
              </w:rPr>
              <w:t>绑扎钢筋骨架</w:t>
            </w:r>
          </w:p>
        </w:tc>
        <w:tc>
          <w:tcPr>
            <w:tcW w:w="1239" w:type="pct"/>
            <w:gridSpan w:val="2"/>
            <w:noWrap w:val="0"/>
            <w:vAlign w:val="center"/>
          </w:tcPr>
          <w:p w14:paraId="634030B7">
            <w:pPr>
              <w:spacing w:line="240" w:lineRule="auto"/>
              <w:ind w:firstLine="0" w:firstLineChars="0"/>
              <w:jc w:val="center"/>
              <w:rPr>
                <w:rFonts w:hint="eastAsia"/>
                <w:color w:val="auto"/>
                <w:sz w:val="21"/>
              </w:rPr>
            </w:pPr>
            <w:r>
              <w:rPr>
                <w:rFonts w:hint="eastAsia"/>
                <w:color w:val="auto"/>
                <w:sz w:val="21"/>
              </w:rPr>
              <w:t>长</w:t>
            </w:r>
          </w:p>
        </w:tc>
        <w:tc>
          <w:tcPr>
            <w:tcW w:w="1509" w:type="pct"/>
            <w:noWrap w:val="0"/>
            <w:vAlign w:val="center"/>
          </w:tcPr>
          <w:p w14:paraId="0171287E">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04522D07">
            <w:pPr>
              <w:spacing w:line="240" w:lineRule="auto"/>
              <w:ind w:firstLine="0" w:firstLineChars="0"/>
              <w:jc w:val="center"/>
              <w:rPr>
                <w:rFonts w:hint="eastAsia"/>
                <w:color w:val="auto"/>
                <w:sz w:val="21"/>
              </w:rPr>
            </w:pPr>
            <w:r>
              <w:rPr>
                <w:rFonts w:hint="eastAsia"/>
                <w:color w:val="auto"/>
                <w:sz w:val="21"/>
              </w:rPr>
              <w:t>钢尺检查</w:t>
            </w:r>
          </w:p>
        </w:tc>
      </w:tr>
      <w:tr w14:paraId="31349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pct"/>
            <w:vMerge w:val="continue"/>
            <w:noWrap w:val="0"/>
            <w:vAlign w:val="center"/>
          </w:tcPr>
          <w:p w14:paraId="096E634A">
            <w:pPr>
              <w:spacing w:line="240" w:lineRule="auto"/>
              <w:ind w:firstLine="0" w:firstLineChars="0"/>
              <w:jc w:val="center"/>
              <w:rPr>
                <w:rFonts w:hint="eastAsia"/>
                <w:color w:val="auto"/>
                <w:sz w:val="21"/>
              </w:rPr>
            </w:pPr>
          </w:p>
        </w:tc>
        <w:tc>
          <w:tcPr>
            <w:tcW w:w="1239" w:type="pct"/>
            <w:gridSpan w:val="2"/>
            <w:noWrap w:val="0"/>
            <w:vAlign w:val="center"/>
          </w:tcPr>
          <w:p w14:paraId="27877347">
            <w:pPr>
              <w:spacing w:line="240" w:lineRule="auto"/>
              <w:ind w:firstLine="0" w:firstLineChars="0"/>
              <w:jc w:val="center"/>
              <w:rPr>
                <w:rFonts w:hint="eastAsia"/>
                <w:color w:val="auto"/>
                <w:sz w:val="21"/>
              </w:rPr>
            </w:pPr>
            <w:r>
              <w:rPr>
                <w:rFonts w:hint="eastAsia"/>
                <w:color w:val="auto"/>
                <w:sz w:val="21"/>
              </w:rPr>
              <w:t>宽、高</w:t>
            </w:r>
          </w:p>
        </w:tc>
        <w:tc>
          <w:tcPr>
            <w:tcW w:w="1509" w:type="pct"/>
            <w:noWrap w:val="0"/>
            <w:vAlign w:val="center"/>
          </w:tcPr>
          <w:p w14:paraId="63F39AD8">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7F4351F8">
            <w:pPr>
              <w:spacing w:line="240" w:lineRule="auto"/>
              <w:ind w:firstLine="0" w:firstLineChars="0"/>
              <w:jc w:val="center"/>
              <w:rPr>
                <w:rFonts w:hint="eastAsia"/>
                <w:color w:val="auto"/>
                <w:sz w:val="21"/>
              </w:rPr>
            </w:pPr>
            <w:r>
              <w:rPr>
                <w:rFonts w:hint="eastAsia"/>
                <w:color w:val="auto"/>
                <w:sz w:val="21"/>
              </w:rPr>
              <w:t>钢尺检查</w:t>
            </w:r>
          </w:p>
        </w:tc>
      </w:tr>
      <w:tr w14:paraId="51F18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pct"/>
            <w:vMerge w:val="restart"/>
            <w:noWrap w:val="0"/>
            <w:vAlign w:val="center"/>
          </w:tcPr>
          <w:p w14:paraId="405B7E82">
            <w:pPr>
              <w:spacing w:line="240" w:lineRule="auto"/>
              <w:ind w:firstLine="0" w:firstLineChars="0"/>
              <w:jc w:val="center"/>
              <w:rPr>
                <w:rFonts w:hint="eastAsia"/>
                <w:color w:val="auto"/>
                <w:sz w:val="21"/>
              </w:rPr>
            </w:pPr>
            <w:r>
              <w:rPr>
                <w:rFonts w:hint="eastAsia"/>
                <w:color w:val="auto"/>
                <w:sz w:val="21"/>
              </w:rPr>
              <w:t>受力钢筋</w:t>
            </w:r>
          </w:p>
        </w:tc>
        <w:tc>
          <w:tcPr>
            <w:tcW w:w="1239" w:type="pct"/>
            <w:gridSpan w:val="2"/>
            <w:noWrap w:val="0"/>
            <w:vAlign w:val="center"/>
          </w:tcPr>
          <w:p w14:paraId="4DDF9D6C">
            <w:pPr>
              <w:spacing w:line="240" w:lineRule="auto"/>
              <w:ind w:firstLine="0" w:firstLineChars="0"/>
              <w:jc w:val="center"/>
              <w:rPr>
                <w:rFonts w:hint="eastAsia"/>
                <w:color w:val="auto"/>
                <w:sz w:val="21"/>
              </w:rPr>
            </w:pPr>
            <w:r>
              <w:rPr>
                <w:rFonts w:hint="eastAsia"/>
                <w:color w:val="auto"/>
                <w:sz w:val="21"/>
              </w:rPr>
              <w:t>间距</w:t>
            </w:r>
          </w:p>
        </w:tc>
        <w:tc>
          <w:tcPr>
            <w:tcW w:w="1509" w:type="pct"/>
            <w:noWrap w:val="0"/>
            <w:vAlign w:val="center"/>
          </w:tcPr>
          <w:p w14:paraId="29671194">
            <w:pPr>
              <w:spacing w:line="240" w:lineRule="auto"/>
              <w:ind w:firstLine="0" w:firstLineChars="0"/>
              <w:jc w:val="center"/>
              <w:rPr>
                <w:rFonts w:hint="eastAsia"/>
                <w:color w:val="auto"/>
                <w:sz w:val="21"/>
              </w:rPr>
            </w:pPr>
            <w:r>
              <w:rPr>
                <w:rFonts w:hint="eastAsia"/>
                <w:color w:val="auto"/>
                <w:sz w:val="21"/>
              </w:rPr>
              <w:t>±5</w:t>
            </w:r>
          </w:p>
        </w:tc>
        <w:tc>
          <w:tcPr>
            <w:tcW w:w="1503" w:type="pct"/>
            <w:vMerge w:val="restart"/>
            <w:noWrap w:val="0"/>
            <w:vAlign w:val="top"/>
          </w:tcPr>
          <w:p w14:paraId="0A1E611F">
            <w:pPr>
              <w:spacing w:line="240" w:lineRule="auto"/>
              <w:ind w:firstLine="0" w:firstLineChars="0"/>
              <w:jc w:val="center"/>
              <w:rPr>
                <w:rFonts w:hint="eastAsia"/>
                <w:color w:val="auto"/>
                <w:sz w:val="21"/>
              </w:rPr>
            </w:pPr>
            <w:r>
              <w:rPr>
                <w:rFonts w:hint="eastAsia"/>
                <w:color w:val="auto"/>
                <w:sz w:val="21"/>
              </w:rPr>
              <w:t>钢尺量两端、中间各一点，取最大值</w:t>
            </w:r>
          </w:p>
          <w:p w14:paraId="62E40492">
            <w:pPr>
              <w:spacing w:line="240" w:lineRule="auto"/>
              <w:ind w:firstLine="0" w:firstLineChars="0"/>
              <w:jc w:val="center"/>
              <w:rPr>
                <w:rFonts w:hint="eastAsia"/>
                <w:color w:val="auto"/>
                <w:sz w:val="21"/>
              </w:rPr>
            </w:pPr>
          </w:p>
        </w:tc>
      </w:tr>
      <w:tr w14:paraId="1120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pct"/>
            <w:vMerge w:val="continue"/>
            <w:noWrap w:val="0"/>
            <w:vAlign w:val="center"/>
          </w:tcPr>
          <w:p w14:paraId="0196014B">
            <w:pPr>
              <w:spacing w:line="240" w:lineRule="auto"/>
              <w:ind w:firstLine="0" w:firstLineChars="0"/>
              <w:jc w:val="center"/>
              <w:rPr>
                <w:rFonts w:hint="eastAsia"/>
                <w:color w:val="auto"/>
                <w:sz w:val="21"/>
              </w:rPr>
            </w:pPr>
          </w:p>
        </w:tc>
        <w:tc>
          <w:tcPr>
            <w:tcW w:w="1239" w:type="pct"/>
            <w:gridSpan w:val="2"/>
            <w:noWrap w:val="0"/>
            <w:vAlign w:val="center"/>
          </w:tcPr>
          <w:p w14:paraId="3295BC18">
            <w:pPr>
              <w:spacing w:line="240" w:lineRule="auto"/>
              <w:ind w:firstLine="0" w:firstLineChars="0"/>
              <w:jc w:val="center"/>
              <w:rPr>
                <w:rFonts w:hint="eastAsia"/>
                <w:color w:val="auto"/>
                <w:sz w:val="21"/>
              </w:rPr>
            </w:pPr>
            <w:r>
              <w:rPr>
                <w:rFonts w:hint="eastAsia"/>
                <w:color w:val="auto"/>
                <w:sz w:val="21"/>
              </w:rPr>
              <w:t>排距</w:t>
            </w:r>
          </w:p>
        </w:tc>
        <w:tc>
          <w:tcPr>
            <w:tcW w:w="1509" w:type="pct"/>
            <w:noWrap w:val="0"/>
            <w:vAlign w:val="center"/>
          </w:tcPr>
          <w:p w14:paraId="679C179B">
            <w:pPr>
              <w:spacing w:line="240" w:lineRule="auto"/>
              <w:ind w:firstLine="0" w:firstLineChars="0"/>
              <w:jc w:val="center"/>
              <w:rPr>
                <w:rFonts w:hint="eastAsia"/>
                <w:color w:val="auto"/>
                <w:sz w:val="21"/>
              </w:rPr>
            </w:pPr>
            <w:r>
              <w:rPr>
                <w:rFonts w:hint="eastAsia"/>
                <w:color w:val="auto"/>
                <w:sz w:val="21"/>
              </w:rPr>
              <w:t>±5</w:t>
            </w:r>
          </w:p>
        </w:tc>
        <w:tc>
          <w:tcPr>
            <w:tcW w:w="1503" w:type="pct"/>
            <w:vMerge w:val="continue"/>
            <w:noWrap w:val="0"/>
            <w:vAlign w:val="top"/>
          </w:tcPr>
          <w:p w14:paraId="40FA7BC3">
            <w:pPr>
              <w:spacing w:line="240" w:lineRule="auto"/>
              <w:ind w:firstLine="0" w:firstLineChars="0"/>
              <w:jc w:val="center"/>
              <w:rPr>
                <w:rFonts w:hint="eastAsia"/>
                <w:color w:val="auto"/>
                <w:sz w:val="21"/>
              </w:rPr>
            </w:pPr>
          </w:p>
        </w:tc>
      </w:tr>
      <w:tr w14:paraId="396A2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48" w:type="pct"/>
            <w:vMerge w:val="continue"/>
            <w:noWrap w:val="0"/>
            <w:vAlign w:val="center"/>
          </w:tcPr>
          <w:p w14:paraId="052B5934">
            <w:pPr>
              <w:spacing w:line="240" w:lineRule="auto"/>
              <w:ind w:firstLine="0" w:firstLineChars="0"/>
              <w:jc w:val="center"/>
              <w:rPr>
                <w:rFonts w:hint="eastAsia"/>
                <w:color w:val="auto"/>
                <w:sz w:val="21"/>
              </w:rPr>
            </w:pPr>
          </w:p>
        </w:tc>
        <w:tc>
          <w:tcPr>
            <w:tcW w:w="549" w:type="pct"/>
            <w:vMerge w:val="restart"/>
            <w:noWrap w:val="0"/>
            <w:vAlign w:val="center"/>
          </w:tcPr>
          <w:p w14:paraId="28BE4B48">
            <w:pPr>
              <w:spacing w:line="240" w:lineRule="auto"/>
              <w:ind w:firstLine="0" w:firstLineChars="0"/>
              <w:jc w:val="center"/>
              <w:rPr>
                <w:rFonts w:hint="eastAsia"/>
                <w:color w:val="auto"/>
                <w:sz w:val="21"/>
              </w:rPr>
            </w:pPr>
            <w:r>
              <w:rPr>
                <w:rFonts w:hint="eastAsia"/>
                <w:color w:val="auto"/>
                <w:sz w:val="21"/>
              </w:rPr>
              <w:t>保护层</w:t>
            </w:r>
          </w:p>
          <w:p w14:paraId="51C8C0E1">
            <w:pPr>
              <w:spacing w:line="240" w:lineRule="auto"/>
              <w:ind w:firstLine="0" w:firstLineChars="0"/>
              <w:jc w:val="center"/>
              <w:rPr>
                <w:rFonts w:hint="eastAsia"/>
                <w:color w:val="auto"/>
                <w:sz w:val="21"/>
              </w:rPr>
            </w:pPr>
          </w:p>
        </w:tc>
        <w:tc>
          <w:tcPr>
            <w:tcW w:w="690" w:type="pct"/>
            <w:noWrap w:val="0"/>
            <w:vAlign w:val="center"/>
          </w:tcPr>
          <w:p w14:paraId="477D6DC1">
            <w:pPr>
              <w:spacing w:line="240" w:lineRule="auto"/>
              <w:ind w:firstLine="0" w:firstLineChars="0"/>
              <w:jc w:val="center"/>
              <w:rPr>
                <w:rFonts w:hint="eastAsia"/>
                <w:color w:val="auto"/>
                <w:sz w:val="21"/>
              </w:rPr>
            </w:pPr>
            <w:r>
              <w:rPr>
                <w:rFonts w:hint="eastAsia"/>
                <w:color w:val="auto"/>
                <w:sz w:val="21"/>
              </w:rPr>
              <w:t>基础</w:t>
            </w:r>
          </w:p>
        </w:tc>
        <w:tc>
          <w:tcPr>
            <w:tcW w:w="1509" w:type="pct"/>
            <w:noWrap w:val="0"/>
            <w:vAlign w:val="center"/>
          </w:tcPr>
          <w:p w14:paraId="392C3F32">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41824163">
            <w:pPr>
              <w:spacing w:line="240" w:lineRule="auto"/>
              <w:ind w:firstLine="0" w:firstLineChars="0"/>
              <w:jc w:val="center"/>
              <w:rPr>
                <w:rFonts w:hint="eastAsia"/>
                <w:color w:val="auto"/>
                <w:sz w:val="21"/>
              </w:rPr>
            </w:pPr>
            <w:r>
              <w:rPr>
                <w:rFonts w:hint="eastAsia"/>
                <w:color w:val="auto"/>
                <w:sz w:val="21"/>
              </w:rPr>
              <w:t>钢尺检查</w:t>
            </w:r>
          </w:p>
        </w:tc>
      </w:tr>
      <w:tr w14:paraId="2B17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48" w:type="pct"/>
            <w:vMerge w:val="continue"/>
            <w:noWrap w:val="0"/>
            <w:vAlign w:val="center"/>
          </w:tcPr>
          <w:p w14:paraId="230482FF">
            <w:pPr>
              <w:spacing w:line="240" w:lineRule="auto"/>
              <w:ind w:firstLine="0" w:firstLineChars="0"/>
              <w:jc w:val="center"/>
              <w:rPr>
                <w:rFonts w:hint="eastAsia"/>
                <w:color w:val="auto"/>
                <w:sz w:val="21"/>
              </w:rPr>
            </w:pPr>
          </w:p>
        </w:tc>
        <w:tc>
          <w:tcPr>
            <w:tcW w:w="549" w:type="pct"/>
            <w:vMerge w:val="continue"/>
            <w:noWrap w:val="0"/>
            <w:vAlign w:val="center"/>
          </w:tcPr>
          <w:p w14:paraId="6F40A12C">
            <w:pPr>
              <w:spacing w:line="240" w:lineRule="auto"/>
              <w:ind w:firstLine="0" w:firstLineChars="0"/>
              <w:jc w:val="center"/>
              <w:rPr>
                <w:rFonts w:hint="eastAsia"/>
                <w:color w:val="auto"/>
                <w:sz w:val="21"/>
              </w:rPr>
            </w:pPr>
          </w:p>
        </w:tc>
        <w:tc>
          <w:tcPr>
            <w:tcW w:w="690" w:type="pct"/>
            <w:noWrap w:val="0"/>
            <w:vAlign w:val="center"/>
          </w:tcPr>
          <w:p w14:paraId="36D9E751">
            <w:pPr>
              <w:spacing w:line="240" w:lineRule="auto"/>
              <w:ind w:firstLine="0" w:firstLineChars="0"/>
              <w:jc w:val="center"/>
              <w:rPr>
                <w:rFonts w:hint="eastAsia"/>
                <w:color w:val="auto"/>
                <w:sz w:val="21"/>
              </w:rPr>
            </w:pPr>
            <w:r>
              <w:rPr>
                <w:rFonts w:hint="eastAsia"/>
                <w:color w:val="auto"/>
                <w:sz w:val="21"/>
              </w:rPr>
              <w:t>柱、梁</w:t>
            </w:r>
          </w:p>
        </w:tc>
        <w:tc>
          <w:tcPr>
            <w:tcW w:w="1509" w:type="pct"/>
            <w:noWrap w:val="0"/>
            <w:vAlign w:val="center"/>
          </w:tcPr>
          <w:p w14:paraId="45B326CA">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358BA018">
            <w:pPr>
              <w:spacing w:line="240" w:lineRule="auto"/>
              <w:ind w:firstLine="0" w:firstLineChars="0"/>
              <w:jc w:val="center"/>
              <w:rPr>
                <w:rFonts w:hint="eastAsia"/>
                <w:color w:val="auto"/>
                <w:sz w:val="21"/>
              </w:rPr>
            </w:pPr>
            <w:r>
              <w:rPr>
                <w:rFonts w:hint="eastAsia"/>
                <w:color w:val="auto"/>
                <w:sz w:val="21"/>
              </w:rPr>
              <w:t>钢尺检查</w:t>
            </w:r>
          </w:p>
        </w:tc>
      </w:tr>
      <w:tr w14:paraId="3B5B0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48" w:type="pct"/>
            <w:vMerge w:val="continue"/>
            <w:noWrap w:val="0"/>
            <w:vAlign w:val="center"/>
          </w:tcPr>
          <w:p w14:paraId="2D559A6E">
            <w:pPr>
              <w:spacing w:line="240" w:lineRule="auto"/>
              <w:ind w:firstLine="0" w:firstLineChars="0"/>
              <w:jc w:val="center"/>
              <w:rPr>
                <w:rFonts w:hint="eastAsia"/>
                <w:color w:val="auto"/>
                <w:sz w:val="21"/>
              </w:rPr>
            </w:pPr>
          </w:p>
        </w:tc>
        <w:tc>
          <w:tcPr>
            <w:tcW w:w="549" w:type="pct"/>
            <w:vMerge w:val="continue"/>
            <w:noWrap w:val="0"/>
            <w:vAlign w:val="center"/>
          </w:tcPr>
          <w:p w14:paraId="382E63B6">
            <w:pPr>
              <w:spacing w:line="240" w:lineRule="auto"/>
              <w:ind w:firstLine="0" w:firstLineChars="0"/>
              <w:jc w:val="center"/>
              <w:rPr>
                <w:rFonts w:hint="eastAsia"/>
                <w:color w:val="auto"/>
                <w:sz w:val="21"/>
              </w:rPr>
            </w:pPr>
          </w:p>
        </w:tc>
        <w:tc>
          <w:tcPr>
            <w:tcW w:w="690" w:type="pct"/>
            <w:noWrap w:val="0"/>
            <w:vAlign w:val="center"/>
          </w:tcPr>
          <w:p w14:paraId="197C9331">
            <w:pPr>
              <w:spacing w:line="240" w:lineRule="auto"/>
              <w:ind w:firstLine="0" w:firstLineChars="0"/>
              <w:jc w:val="center"/>
              <w:rPr>
                <w:rFonts w:hint="eastAsia"/>
                <w:color w:val="auto"/>
                <w:sz w:val="21"/>
              </w:rPr>
            </w:pPr>
            <w:r>
              <w:rPr>
                <w:rFonts w:hint="eastAsia"/>
                <w:color w:val="auto"/>
                <w:sz w:val="21"/>
              </w:rPr>
              <w:t>板、墙、壳</w:t>
            </w:r>
          </w:p>
        </w:tc>
        <w:tc>
          <w:tcPr>
            <w:tcW w:w="1509" w:type="pct"/>
            <w:noWrap w:val="0"/>
            <w:vAlign w:val="center"/>
          </w:tcPr>
          <w:p w14:paraId="391F70E5">
            <w:pPr>
              <w:spacing w:line="240" w:lineRule="auto"/>
              <w:ind w:firstLine="0" w:firstLineChars="0"/>
              <w:jc w:val="center"/>
              <w:rPr>
                <w:rFonts w:hint="eastAsia"/>
                <w:color w:val="auto"/>
                <w:sz w:val="21"/>
              </w:rPr>
            </w:pPr>
            <w:r>
              <w:rPr>
                <w:rFonts w:hint="eastAsia"/>
                <w:color w:val="auto"/>
                <w:sz w:val="21"/>
              </w:rPr>
              <w:t>±3</w:t>
            </w:r>
          </w:p>
        </w:tc>
        <w:tc>
          <w:tcPr>
            <w:tcW w:w="1503" w:type="pct"/>
            <w:noWrap w:val="0"/>
            <w:vAlign w:val="top"/>
          </w:tcPr>
          <w:p w14:paraId="1F03A0E0">
            <w:pPr>
              <w:spacing w:line="240" w:lineRule="auto"/>
              <w:ind w:firstLine="0" w:firstLineChars="0"/>
              <w:jc w:val="center"/>
              <w:rPr>
                <w:rFonts w:hint="eastAsia"/>
                <w:color w:val="auto"/>
                <w:sz w:val="21"/>
              </w:rPr>
            </w:pPr>
            <w:r>
              <w:rPr>
                <w:rFonts w:hint="eastAsia"/>
                <w:color w:val="auto"/>
                <w:sz w:val="21"/>
              </w:rPr>
              <w:t>钢尺检查</w:t>
            </w:r>
          </w:p>
        </w:tc>
      </w:tr>
      <w:tr w14:paraId="2EC1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88" w:type="pct"/>
            <w:gridSpan w:val="3"/>
            <w:noWrap w:val="0"/>
            <w:vAlign w:val="center"/>
          </w:tcPr>
          <w:p w14:paraId="3EBC6556">
            <w:pPr>
              <w:spacing w:line="240" w:lineRule="auto"/>
              <w:ind w:firstLine="0" w:firstLineChars="0"/>
              <w:jc w:val="center"/>
              <w:rPr>
                <w:rFonts w:hint="eastAsia"/>
                <w:color w:val="auto"/>
                <w:sz w:val="21"/>
              </w:rPr>
            </w:pPr>
            <w:r>
              <w:rPr>
                <w:rFonts w:hint="eastAsia"/>
                <w:color w:val="auto"/>
                <w:sz w:val="21"/>
              </w:rPr>
              <w:t>绑扎钢筋、横向钢筋间距</w:t>
            </w:r>
          </w:p>
        </w:tc>
        <w:tc>
          <w:tcPr>
            <w:tcW w:w="1509" w:type="pct"/>
            <w:noWrap w:val="0"/>
            <w:vAlign w:val="center"/>
          </w:tcPr>
          <w:p w14:paraId="6B7EE4F4">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45033271">
            <w:pPr>
              <w:spacing w:line="240" w:lineRule="auto"/>
              <w:ind w:firstLine="0" w:firstLineChars="0"/>
              <w:jc w:val="center"/>
              <w:rPr>
                <w:rFonts w:hint="eastAsia"/>
                <w:color w:val="auto"/>
                <w:sz w:val="21"/>
              </w:rPr>
            </w:pPr>
            <w:r>
              <w:rPr>
                <w:rFonts w:hint="eastAsia"/>
                <w:color w:val="auto"/>
                <w:sz w:val="21"/>
              </w:rPr>
              <w:t>钢尺量连续三档，取最大值</w:t>
            </w:r>
          </w:p>
        </w:tc>
      </w:tr>
      <w:tr w14:paraId="2E2C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88" w:type="pct"/>
            <w:gridSpan w:val="3"/>
            <w:noWrap w:val="0"/>
            <w:vAlign w:val="center"/>
          </w:tcPr>
          <w:p w14:paraId="20895260">
            <w:pPr>
              <w:spacing w:line="240" w:lineRule="auto"/>
              <w:ind w:firstLine="0" w:firstLineChars="0"/>
              <w:jc w:val="center"/>
              <w:rPr>
                <w:rFonts w:hint="eastAsia"/>
                <w:color w:val="auto"/>
                <w:sz w:val="21"/>
              </w:rPr>
            </w:pPr>
            <w:r>
              <w:rPr>
                <w:rFonts w:hint="eastAsia"/>
                <w:color w:val="auto"/>
                <w:sz w:val="21"/>
              </w:rPr>
              <w:t>钢筋弯起点位置</w:t>
            </w:r>
          </w:p>
        </w:tc>
        <w:tc>
          <w:tcPr>
            <w:tcW w:w="1509" w:type="pct"/>
            <w:noWrap w:val="0"/>
            <w:vAlign w:val="center"/>
          </w:tcPr>
          <w:p w14:paraId="0BE37C4B">
            <w:pPr>
              <w:spacing w:line="240" w:lineRule="auto"/>
              <w:ind w:firstLine="0" w:firstLineChars="0"/>
              <w:jc w:val="center"/>
              <w:rPr>
                <w:rFonts w:hint="eastAsia"/>
                <w:color w:val="auto"/>
                <w:sz w:val="21"/>
              </w:rPr>
            </w:pPr>
            <w:r>
              <w:rPr>
                <w:rFonts w:hint="eastAsia"/>
                <w:color w:val="auto"/>
                <w:sz w:val="21"/>
              </w:rPr>
              <w:t>20</w:t>
            </w:r>
          </w:p>
        </w:tc>
        <w:tc>
          <w:tcPr>
            <w:tcW w:w="1503" w:type="pct"/>
            <w:noWrap w:val="0"/>
            <w:vAlign w:val="top"/>
          </w:tcPr>
          <w:p w14:paraId="05A8C9AE">
            <w:pPr>
              <w:spacing w:line="240" w:lineRule="auto"/>
              <w:ind w:firstLine="0" w:firstLineChars="0"/>
              <w:jc w:val="center"/>
              <w:rPr>
                <w:rFonts w:hint="eastAsia"/>
                <w:color w:val="auto"/>
                <w:sz w:val="21"/>
              </w:rPr>
            </w:pPr>
            <w:r>
              <w:rPr>
                <w:rFonts w:hint="eastAsia"/>
                <w:color w:val="auto"/>
                <w:sz w:val="21"/>
              </w:rPr>
              <w:t>钢尺检查</w:t>
            </w:r>
          </w:p>
        </w:tc>
      </w:tr>
      <w:tr w14:paraId="65FD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48" w:type="pct"/>
            <w:vMerge w:val="restart"/>
            <w:noWrap w:val="0"/>
            <w:vAlign w:val="center"/>
          </w:tcPr>
          <w:p w14:paraId="5FE8F512">
            <w:pPr>
              <w:spacing w:line="240" w:lineRule="auto"/>
              <w:ind w:firstLine="0" w:firstLineChars="0"/>
              <w:jc w:val="center"/>
              <w:rPr>
                <w:rFonts w:hint="eastAsia"/>
                <w:color w:val="auto"/>
                <w:sz w:val="21"/>
              </w:rPr>
            </w:pPr>
            <w:r>
              <w:rPr>
                <w:rFonts w:hint="eastAsia"/>
                <w:color w:val="auto"/>
                <w:sz w:val="21"/>
              </w:rPr>
              <w:t>预埋件</w:t>
            </w:r>
          </w:p>
          <w:p w14:paraId="2BA7A4C8">
            <w:pPr>
              <w:spacing w:line="240" w:lineRule="auto"/>
              <w:ind w:firstLine="0" w:firstLineChars="0"/>
              <w:jc w:val="center"/>
              <w:rPr>
                <w:rFonts w:hint="eastAsia"/>
                <w:color w:val="auto"/>
                <w:sz w:val="21"/>
              </w:rPr>
            </w:pPr>
          </w:p>
        </w:tc>
        <w:tc>
          <w:tcPr>
            <w:tcW w:w="1239" w:type="pct"/>
            <w:gridSpan w:val="2"/>
            <w:noWrap w:val="0"/>
            <w:vAlign w:val="center"/>
          </w:tcPr>
          <w:p w14:paraId="7E9E75F6">
            <w:pPr>
              <w:spacing w:line="240" w:lineRule="auto"/>
              <w:ind w:firstLine="0" w:firstLineChars="0"/>
              <w:jc w:val="center"/>
              <w:rPr>
                <w:rFonts w:hint="eastAsia"/>
                <w:color w:val="auto"/>
                <w:sz w:val="21"/>
              </w:rPr>
            </w:pPr>
            <w:r>
              <w:rPr>
                <w:rFonts w:hint="eastAsia"/>
                <w:color w:val="auto"/>
                <w:sz w:val="21"/>
              </w:rPr>
              <w:t>中心线位置</w:t>
            </w:r>
          </w:p>
        </w:tc>
        <w:tc>
          <w:tcPr>
            <w:tcW w:w="1509" w:type="pct"/>
            <w:noWrap w:val="0"/>
            <w:vAlign w:val="center"/>
          </w:tcPr>
          <w:p w14:paraId="11954C2B">
            <w:pPr>
              <w:spacing w:line="240" w:lineRule="auto"/>
              <w:ind w:firstLine="0" w:firstLineChars="0"/>
              <w:jc w:val="center"/>
              <w:rPr>
                <w:rFonts w:hint="eastAsia"/>
                <w:color w:val="auto"/>
                <w:sz w:val="21"/>
              </w:rPr>
            </w:pPr>
            <w:r>
              <w:rPr>
                <w:rFonts w:hint="eastAsia"/>
                <w:color w:val="auto"/>
                <w:sz w:val="21"/>
              </w:rPr>
              <w:t>5</w:t>
            </w:r>
          </w:p>
        </w:tc>
        <w:tc>
          <w:tcPr>
            <w:tcW w:w="1503" w:type="pct"/>
            <w:noWrap w:val="0"/>
            <w:vAlign w:val="top"/>
          </w:tcPr>
          <w:p w14:paraId="2118AE81">
            <w:pPr>
              <w:spacing w:line="240" w:lineRule="auto"/>
              <w:ind w:firstLine="0" w:firstLineChars="0"/>
              <w:jc w:val="center"/>
              <w:rPr>
                <w:rFonts w:hint="eastAsia"/>
                <w:color w:val="auto"/>
                <w:sz w:val="21"/>
              </w:rPr>
            </w:pPr>
            <w:r>
              <w:rPr>
                <w:rFonts w:hint="eastAsia"/>
                <w:color w:val="auto"/>
                <w:sz w:val="21"/>
              </w:rPr>
              <w:t>钢尺检查</w:t>
            </w:r>
          </w:p>
        </w:tc>
      </w:tr>
      <w:tr w14:paraId="2AF9C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748" w:type="pct"/>
            <w:vMerge w:val="continue"/>
            <w:noWrap w:val="0"/>
            <w:vAlign w:val="center"/>
          </w:tcPr>
          <w:p w14:paraId="27881C29">
            <w:pPr>
              <w:spacing w:line="240" w:lineRule="auto"/>
              <w:ind w:firstLine="0" w:firstLineChars="0"/>
              <w:jc w:val="center"/>
              <w:rPr>
                <w:rFonts w:hint="eastAsia"/>
                <w:color w:val="auto"/>
                <w:sz w:val="21"/>
              </w:rPr>
            </w:pPr>
          </w:p>
        </w:tc>
        <w:tc>
          <w:tcPr>
            <w:tcW w:w="1239" w:type="pct"/>
            <w:gridSpan w:val="2"/>
            <w:noWrap w:val="0"/>
            <w:vAlign w:val="center"/>
          </w:tcPr>
          <w:p w14:paraId="33B57108">
            <w:pPr>
              <w:spacing w:line="240" w:lineRule="auto"/>
              <w:ind w:firstLine="0" w:firstLineChars="0"/>
              <w:jc w:val="center"/>
              <w:rPr>
                <w:rFonts w:hint="eastAsia"/>
                <w:color w:val="auto"/>
                <w:sz w:val="21"/>
              </w:rPr>
            </w:pPr>
            <w:r>
              <w:rPr>
                <w:rFonts w:hint="eastAsia"/>
                <w:color w:val="auto"/>
                <w:sz w:val="21"/>
              </w:rPr>
              <w:t>水平高差</w:t>
            </w:r>
          </w:p>
        </w:tc>
        <w:tc>
          <w:tcPr>
            <w:tcW w:w="1509" w:type="pct"/>
            <w:noWrap w:val="0"/>
            <w:vAlign w:val="top"/>
          </w:tcPr>
          <w:p w14:paraId="19846A54">
            <w:pPr>
              <w:spacing w:line="240" w:lineRule="auto"/>
              <w:ind w:firstLine="0" w:firstLineChars="0"/>
              <w:jc w:val="center"/>
              <w:rPr>
                <w:rFonts w:hint="eastAsia"/>
                <w:color w:val="auto"/>
                <w:sz w:val="21"/>
              </w:rPr>
            </w:pPr>
            <w:r>
              <w:rPr>
                <w:rFonts w:hint="eastAsia"/>
                <w:color w:val="auto"/>
                <w:sz w:val="21"/>
              </w:rPr>
              <w:t>+3，0</w:t>
            </w:r>
          </w:p>
        </w:tc>
        <w:tc>
          <w:tcPr>
            <w:tcW w:w="1503" w:type="pct"/>
            <w:noWrap w:val="0"/>
            <w:vAlign w:val="top"/>
          </w:tcPr>
          <w:p w14:paraId="5B1F3E3C">
            <w:pPr>
              <w:spacing w:line="240" w:lineRule="auto"/>
              <w:ind w:firstLine="0" w:firstLineChars="0"/>
              <w:jc w:val="center"/>
              <w:rPr>
                <w:rFonts w:hint="eastAsia"/>
                <w:color w:val="auto"/>
                <w:sz w:val="21"/>
              </w:rPr>
            </w:pPr>
            <w:r>
              <w:rPr>
                <w:rFonts w:hint="eastAsia"/>
                <w:color w:val="auto"/>
                <w:sz w:val="21"/>
              </w:rPr>
              <w:t>钢尺和塞尺检查</w:t>
            </w:r>
          </w:p>
        </w:tc>
      </w:tr>
    </w:tbl>
    <w:p w14:paraId="782F2208">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构件外观质量</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4289"/>
        <w:gridCol w:w="3044"/>
        <w:gridCol w:w="1067"/>
      </w:tblGrid>
      <w:tr w14:paraId="0F10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64" w:type="pct"/>
            <w:noWrap w:val="0"/>
            <w:vAlign w:val="center"/>
          </w:tcPr>
          <w:p w14:paraId="090CAD67">
            <w:pPr>
              <w:spacing w:line="240" w:lineRule="auto"/>
              <w:ind w:firstLine="0" w:firstLineChars="0"/>
              <w:jc w:val="center"/>
              <w:rPr>
                <w:rFonts w:hint="eastAsia"/>
                <w:color w:val="auto"/>
                <w:sz w:val="21"/>
              </w:rPr>
            </w:pPr>
            <w:r>
              <w:rPr>
                <w:rFonts w:hint="eastAsia"/>
                <w:color w:val="auto"/>
                <w:sz w:val="21"/>
              </w:rPr>
              <w:t>名称</w:t>
            </w:r>
          </w:p>
        </w:tc>
        <w:tc>
          <w:tcPr>
            <w:tcW w:w="2367" w:type="pct"/>
            <w:noWrap w:val="0"/>
            <w:vAlign w:val="center"/>
          </w:tcPr>
          <w:p w14:paraId="1003AF58">
            <w:pPr>
              <w:spacing w:line="240" w:lineRule="auto"/>
              <w:ind w:firstLine="0" w:firstLineChars="0"/>
              <w:jc w:val="center"/>
              <w:rPr>
                <w:rFonts w:hint="eastAsia"/>
                <w:color w:val="auto"/>
                <w:sz w:val="21"/>
              </w:rPr>
            </w:pPr>
            <w:r>
              <w:rPr>
                <w:rFonts w:hint="eastAsia"/>
                <w:color w:val="auto"/>
                <w:sz w:val="21"/>
              </w:rPr>
              <w:t>现   象</w:t>
            </w:r>
          </w:p>
        </w:tc>
        <w:tc>
          <w:tcPr>
            <w:tcW w:w="1680" w:type="pct"/>
            <w:noWrap w:val="0"/>
            <w:vAlign w:val="center"/>
          </w:tcPr>
          <w:p w14:paraId="258EC940">
            <w:pPr>
              <w:spacing w:line="240" w:lineRule="auto"/>
              <w:ind w:firstLine="0" w:firstLineChars="0"/>
              <w:jc w:val="center"/>
              <w:rPr>
                <w:rFonts w:hint="eastAsia"/>
                <w:color w:val="auto"/>
                <w:sz w:val="21"/>
              </w:rPr>
            </w:pPr>
            <w:r>
              <w:rPr>
                <w:rFonts w:hint="eastAsia"/>
                <w:color w:val="auto"/>
                <w:sz w:val="21"/>
              </w:rPr>
              <w:t>质量要求</w:t>
            </w:r>
          </w:p>
        </w:tc>
        <w:tc>
          <w:tcPr>
            <w:tcW w:w="589" w:type="pct"/>
            <w:noWrap w:val="0"/>
            <w:vAlign w:val="center"/>
          </w:tcPr>
          <w:p w14:paraId="27FB97AC">
            <w:pPr>
              <w:spacing w:line="240" w:lineRule="auto"/>
              <w:ind w:firstLine="0" w:firstLineChars="0"/>
              <w:jc w:val="center"/>
              <w:rPr>
                <w:rFonts w:hint="eastAsia"/>
                <w:color w:val="auto"/>
                <w:sz w:val="21"/>
              </w:rPr>
            </w:pPr>
            <w:r>
              <w:rPr>
                <w:rFonts w:hint="eastAsia"/>
                <w:color w:val="auto"/>
                <w:sz w:val="21"/>
              </w:rPr>
              <w:t>检验方法</w:t>
            </w:r>
          </w:p>
        </w:tc>
      </w:tr>
      <w:tr w14:paraId="3465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32E2734D">
            <w:pPr>
              <w:spacing w:line="240" w:lineRule="auto"/>
              <w:ind w:firstLine="0" w:firstLineChars="0"/>
              <w:jc w:val="center"/>
              <w:rPr>
                <w:rFonts w:hint="eastAsia"/>
                <w:color w:val="auto"/>
                <w:sz w:val="21"/>
              </w:rPr>
            </w:pPr>
            <w:r>
              <w:rPr>
                <w:rFonts w:hint="eastAsia"/>
                <w:color w:val="auto"/>
                <w:sz w:val="21"/>
              </w:rPr>
              <w:t>露筋</w:t>
            </w:r>
          </w:p>
        </w:tc>
        <w:tc>
          <w:tcPr>
            <w:tcW w:w="2367" w:type="pct"/>
            <w:noWrap w:val="0"/>
            <w:vAlign w:val="center"/>
          </w:tcPr>
          <w:p w14:paraId="6D02BBF6">
            <w:pPr>
              <w:spacing w:line="240" w:lineRule="auto"/>
              <w:ind w:firstLine="0" w:firstLineChars="0"/>
              <w:jc w:val="center"/>
              <w:rPr>
                <w:rFonts w:hint="eastAsia"/>
                <w:color w:val="auto"/>
                <w:sz w:val="21"/>
              </w:rPr>
            </w:pPr>
            <w:r>
              <w:rPr>
                <w:rFonts w:hint="eastAsia"/>
                <w:color w:val="auto"/>
                <w:sz w:val="21"/>
              </w:rPr>
              <w:t>构件内钢筋未被混凝土包裹而外露</w:t>
            </w:r>
          </w:p>
        </w:tc>
        <w:tc>
          <w:tcPr>
            <w:tcW w:w="1680" w:type="pct"/>
            <w:noWrap w:val="0"/>
            <w:vAlign w:val="center"/>
          </w:tcPr>
          <w:p w14:paraId="0AB069DD">
            <w:pPr>
              <w:spacing w:line="240" w:lineRule="auto"/>
              <w:ind w:firstLine="0" w:firstLineChars="0"/>
              <w:jc w:val="center"/>
              <w:rPr>
                <w:rFonts w:hint="eastAsia"/>
                <w:color w:val="auto"/>
                <w:sz w:val="21"/>
              </w:rPr>
            </w:pPr>
            <w:r>
              <w:rPr>
                <w:rFonts w:hint="eastAsia"/>
                <w:color w:val="auto"/>
                <w:sz w:val="21"/>
              </w:rPr>
              <w:t>主筋不应有，其他允许有少量</w:t>
            </w:r>
          </w:p>
        </w:tc>
        <w:tc>
          <w:tcPr>
            <w:tcW w:w="589" w:type="pct"/>
            <w:noWrap w:val="0"/>
            <w:vAlign w:val="center"/>
          </w:tcPr>
          <w:p w14:paraId="7EF02B0F">
            <w:pPr>
              <w:spacing w:line="240" w:lineRule="auto"/>
              <w:ind w:firstLine="0" w:firstLineChars="0"/>
              <w:jc w:val="center"/>
              <w:rPr>
                <w:rFonts w:hint="eastAsia"/>
                <w:color w:val="auto"/>
                <w:sz w:val="21"/>
              </w:rPr>
            </w:pPr>
            <w:r>
              <w:rPr>
                <w:rFonts w:hint="eastAsia"/>
                <w:color w:val="auto"/>
                <w:sz w:val="21"/>
              </w:rPr>
              <w:t>观察</w:t>
            </w:r>
          </w:p>
        </w:tc>
      </w:tr>
      <w:tr w14:paraId="5E42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64733E9B">
            <w:pPr>
              <w:spacing w:line="240" w:lineRule="auto"/>
              <w:ind w:firstLine="0" w:firstLineChars="0"/>
              <w:jc w:val="center"/>
              <w:rPr>
                <w:rFonts w:hint="eastAsia"/>
                <w:color w:val="auto"/>
                <w:sz w:val="21"/>
              </w:rPr>
            </w:pPr>
            <w:r>
              <w:rPr>
                <w:rFonts w:hint="eastAsia"/>
                <w:color w:val="auto"/>
                <w:sz w:val="21"/>
              </w:rPr>
              <w:t>蜂窝</w:t>
            </w:r>
          </w:p>
        </w:tc>
        <w:tc>
          <w:tcPr>
            <w:tcW w:w="2367" w:type="pct"/>
            <w:noWrap w:val="0"/>
            <w:vAlign w:val="center"/>
          </w:tcPr>
          <w:p w14:paraId="6D4BC5C7">
            <w:pPr>
              <w:spacing w:line="240" w:lineRule="auto"/>
              <w:ind w:firstLine="0" w:firstLineChars="0"/>
              <w:jc w:val="center"/>
              <w:rPr>
                <w:rFonts w:hint="eastAsia"/>
                <w:color w:val="auto"/>
                <w:sz w:val="21"/>
              </w:rPr>
            </w:pPr>
            <w:r>
              <w:rPr>
                <w:rFonts w:hint="eastAsia"/>
                <w:color w:val="auto"/>
                <w:sz w:val="21"/>
              </w:rPr>
              <w:t>混凝土表面缺少水泥砂浆而形成石子外露</w:t>
            </w:r>
          </w:p>
        </w:tc>
        <w:tc>
          <w:tcPr>
            <w:tcW w:w="1680" w:type="pct"/>
            <w:noWrap w:val="0"/>
            <w:vAlign w:val="center"/>
          </w:tcPr>
          <w:p w14:paraId="7FC92A0D">
            <w:pPr>
              <w:spacing w:line="240" w:lineRule="auto"/>
              <w:ind w:firstLine="0" w:firstLineChars="0"/>
              <w:jc w:val="center"/>
              <w:rPr>
                <w:rFonts w:hint="eastAsia"/>
                <w:color w:val="auto"/>
                <w:sz w:val="21"/>
              </w:rPr>
            </w:pPr>
            <w:r>
              <w:rPr>
                <w:rFonts w:hint="eastAsia"/>
                <w:color w:val="auto"/>
                <w:sz w:val="21"/>
              </w:rPr>
              <w:t>主筋部位和搁置点位置不应有，其他允许有少量</w:t>
            </w:r>
          </w:p>
        </w:tc>
        <w:tc>
          <w:tcPr>
            <w:tcW w:w="589" w:type="pct"/>
            <w:noWrap w:val="0"/>
            <w:vAlign w:val="center"/>
          </w:tcPr>
          <w:p w14:paraId="63A5C3CF">
            <w:pPr>
              <w:spacing w:line="240" w:lineRule="auto"/>
              <w:ind w:firstLine="0" w:firstLineChars="0"/>
              <w:jc w:val="center"/>
              <w:rPr>
                <w:rFonts w:hint="eastAsia"/>
                <w:color w:val="auto"/>
                <w:sz w:val="21"/>
              </w:rPr>
            </w:pPr>
            <w:r>
              <w:rPr>
                <w:rFonts w:hint="eastAsia"/>
                <w:color w:val="auto"/>
                <w:sz w:val="21"/>
              </w:rPr>
              <w:t>观察</w:t>
            </w:r>
          </w:p>
        </w:tc>
      </w:tr>
      <w:tr w14:paraId="7BD22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1ABC95D8">
            <w:pPr>
              <w:spacing w:line="240" w:lineRule="auto"/>
              <w:ind w:firstLine="0" w:firstLineChars="0"/>
              <w:jc w:val="center"/>
              <w:rPr>
                <w:rFonts w:hint="eastAsia"/>
                <w:color w:val="auto"/>
                <w:sz w:val="21"/>
              </w:rPr>
            </w:pPr>
            <w:r>
              <w:rPr>
                <w:rFonts w:hint="eastAsia"/>
                <w:color w:val="auto"/>
                <w:sz w:val="21"/>
              </w:rPr>
              <w:t>孔洞</w:t>
            </w:r>
          </w:p>
        </w:tc>
        <w:tc>
          <w:tcPr>
            <w:tcW w:w="2367" w:type="pct"/>
            <w:noWrap w:val="0"/>
            <w:vAlign w:val="center"/>
          </w:tcPr>
          <w:p w14:paraId="2CE27697">
            <w:pPr>
              <w:spacing w:line="240" w:lineRule="auto"/>
              <w:ind w:firstLine="0" w:firstLineChars="0"/>
              <w:jc w:val="center"/>
              <w:rPr>
                <w:rFonts w:hint="eastAsia"/>
                <w:color w:val="auto"/>
                <w:sz w:val="21"/>
              </w:rPr>
            </w:pPr>
            <w:r>
              <w:rPr>
                <w:rFonts w:hint="eastAsia"/>
                <w:color w:val="auto"/>
                <w:sz w:val="21"/>
              </w:rPr>
              <w:t>混凝土中孔穴深度和长度均超过保护层厚度</w:t>
            </w:r>
          </w:p>
        </w:tc>
        <w:tc>
          <w:tcPr>
            <w:tcW w:w="1680" w:type="pct"/>
            <w:noWrap w:val="0"/>
            <w:vAlign w:val="center"/>
          </w:tcPr>
          <w:p w14:paraId="1F2FA859">
            <w:pPr>
              <w:spacing w:line="240" w:lineRule="auto"/>
              <w:ind w:firstLine="0" w:firstLineChars="0"/>
              <w:jc w:val="center"/>
              <w:rPr>
                <w:rFonts w:hint="eastAsia"/>
                <w:color w:val="auto"/>
                <w:sz w:val="21"/>
              </w:rPr>
            </w:pPr>
            <w:r>
              <w:rPr>
                <w:rFonts w:hint="eastAsia"/>
                <w:color w:val="auto"/>
                <w:sz w:val="21"/>
              </w:rPr>
              <w:t>不应有</w:t>
            </w:r>
          </w:p>
        </w:tc>
        <w:tc>
          <w:tcPr>
            <w:tcW w:w="589" w:type="pct"/>
            <w:noWrap w:val="0"/>
            <w:vAlign w:val="center"/>
          </w:tcPr>
          <w:p w14:paraId="1CC6D7B7">
            <w:pPr>
              <w:spacing w:line="240" w:lineRule="auto"/>
              <w:ind w:firstLine="0" w:firstLineChars="0"/>
              <w:jc w:val="center"/>
              <w:rPr>
                <w:rFonts w:hint="eastAsia"/>
                <w:color w:val="auto"/>
                <w:sz w:val="21"/>
              </w:rPr>
            </w:pPr>
            <w:r>
              <w:rPr>
                <w:rFonts w:hint="eastAsia"/>
                <w:color w:val="auto"/>
                <w:sz w:val="21"/>
              </w:rPr>
              <w:t>观察</w:t>
            </w:r>
          </w:p>
        </w:tc>
      </w:tr>
      <w:tr w14:paraId="3262C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7AB2485E">
            <w:pPr>
              <w:spacing w:line="240" w:lineRule="auto"/>
              <w:ind w:firstLine="0" w:firstLineChars="0"/>
              <w:jc w:val="center"/>
              <w:rPr>
                <w:rFonts w:hint="eastAsia"/>
                <w:color w:val="auto"/>
                <w:sz w:val="21"/>
              </w:rPr>
            </w:pPr>
            <w:r>
              <w:rPr>
                <w:rFonts w:hint="eastAsia"/>
                <w:color w:val="auto"/>
                <w:sz w:val="21"/>
              </w:rPr>
              <w:t>裂缝</w:t>
            </w:r>
          </w:p>
        </w:tc>
        <w:tc>
          <w:tcPr>
            <w:tcW w:w="2367" w:type="pct"/>
            <w:noWrap w:val="0"/>
            <w:vAlign w:val="center"/>
          </w:tcPr>
          <w:p w14:paraId="56D7F726">
            <w:pPr>
              <w:spacing w:line="240" w:lineRule="auto"/>
              <w:ind w:firstLine="0" w:firstLineChars="0"/>
              <w:jc w:val="center"/>
              <w:rPr>
                <w:rFonts w:hint="eastAsia"/>
                <w:color w:val="auto"/>
                <w:sz w:val="21"/>
              </w:rPr>
            </w:pPr>
            <w:r>
              <w:rPr>
                <w:rFonts w:hint="eastAsia"/>
                <w:color w:val="auto"/>
                <w:sz w:val="21"/>
              </w:rPr>
              <w:t>缝隙从混凝土表面延伸至混凝土内部</w:t>
            </w:r>
          </w:p>
        </w:tc>
        <w:tc>
          <w:tcPr>
            <w:tcW w:w="1680" w:type="pct"/>
            <w:noWrap w:val="0"/>
            <w:vAlign w:val="center"/>
          </w:tcPr>
          <w:p w14:paraId="50B9BCCC">
            <w:pPr>
              <w:spacing w:line="240" w:lineRule="auto"/>
              <w:ind w:firstLine="0" w:firstLineChars="0"/>
              <w:jc w:val="center"/>
              <w:rPr>
                <w:rFonts w:hint="eastAsia"/>
                <w:color w:val="auto"/>
                <w:sz w:val="21"/>
              </w:rPr>
            </w:pPr>
            <w:r>
              <w:rPr>
                <w:rFonts w:hint="eastAsia"/>
                <w:color w:val="auto"/>
                <w:sz w:val="21"/>
              </w:rPr>
              <w:t>影响结构性能的裂缝不应有，不影响结构性能或使用功能的裂缝不宜有</w:t>
            </w:r>
          </w:p>
        </w:tc>
        <w:tc>
          <w:tcPr>
            <w:tcW w:w="589" w:type="pct"/>
            <w:noWrap w:val="0"/>
            <w:vAlign w:val="center"/>
          </w:tcPr>
          <w:p w14:paraId="2505F252">
            <w:pPr>
              <w:spacing w:line="240" w:lineRule="auto"/>
              <w:ind w:firstLine="0" w:firstLineChars="0"/>
              <w:jc w:val="center"/>
              <w:rPr>
                <w:rFonts w:hint="eastAsia"/>
                <w:color w:val="auto"/>
                <w:sz w:val="21"/>
              </w:rPr>
            </w:pPr>
            <w:r>
              <w:rPr>
                <w:rFonts w:hint="eastAsia"/>
                <w:color w:val="auto"/>
                <w:sz w:val="21"/>
              </w:rPr>
              <w:t>观察</w:t>
            </w:r>
          </w:p>
        </w:tc>
      </w:tr>
      <w:tr w14:paraId="30B8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4A15B3A4">
            <w:pPr>
              <w:spacing w:line="240" w:lineRule="auto"/>
              <w:ind w:firstLine="0" w:firstLineChars="0"/>
              <w:jc w:val="center"/>
              <w:rPr>
                <w:rFonts w:hint="eastAsia"/>
                <w:color w:val="auto"/>
                <w:sz w:val="21"/>
              </w:rPr>
            </w:pPr>
            <w:r>
              <w:rPr>
                <w:rFonts w:hint="eastAsia"/>
                <w:color w:val="auto"/>
                <w:sz w:val="21"/>
              </w:rPr>
              <w:t>连接部位缺陷</w:t>
            </w:r>
          </w:p>
        </w:tc>
        <w:tc>
          <w:tcPr>
            <w:tcW w:w="2367" w:type="pct"/>
            <w:noWrap w:val="0"/>
            <w:vAlign w:val="center"/>
          </w:tcPr>
          <w:p w14:paraId="1005FD82">
            <w:pPr>
              <w:spacing w:line="240" w:lineRule="auto"/>
              <w:ind w:firstLine="0" w:firstLineChars="0"/>
              <w:jc w:val="center"/>
              <w:rPr>
                <w:rFonts w:hint="eastAsia"/>
                <w:color w:val="auto"/>
                <w:sz w:val="21"/>
              </w:rPr>
            </w:pPr>
            <w:r>
              <w:rPr>
                <w:rFonts w:hint="eastAsia"/>
                <w:color w:val="auto"/>
                <w:sz w:val="21"/>
              </w:rPr>
              <w:t>构件连接处混凝土缺陷及连接钢筋、连接件松动</w:t>
            </w:r>
          </w:p>
        </w:tc>
        <w:tc>
          <w:tcPr>
            <w:tcW w:w="1680" w:type="pct"/>
            <w:noWrap w:val="0"/>
            <w:vAlign w:val="center"/>
          </w:tcPr>
          <w:p w14:paraId="6F2A1724">
            <w:pPr>
              <w:spacing w:line="240" w:lineRule="auto"/>
              <w:ind w:firstLine="0" w:firstLineChars="0"/>
              <w:jc w:val="center"/>
              <w:rPr>
                <w:rFonts w:hint="eastAsia"/>
                <w:color w:val="auto"/>
                <w:sz w:val="21"/>
              </w:rPr>
            </w:pPr>
            <w:r>
              <w:rPr>
                <w:rFonts w:hint="eastAsia"/>
                <w:color w:val="auto"/>
                <w:sz w:val="21"/>
              </w:rPr>
              <w:t>不应有</w:t>
            </w:r>
          </w:p>
        </w:tc>
        <w:tc>
          <w:tcPr>
            <w:tcW w:w="589" w:type="pct"/>
            <w:noWrap w:val="0"/>
            <w:vAlign w:val="center"/>
          </w:tcPr>
          <w:p w14:paraId="6CFD59E6">
            <w:pPr>
              <w:spacing w:line="240" w:lineRule="auto"/>
              <w:ind w:firstLine="0" w:firstLineChars="0"/>
              <w:jc w:val="center"/>
              <w:rPr>
                <w:rFonts w:hint="eastAsia"/>
                <w:color w:val="auto"/>
                <w:sz w:val="21"/>
              </w:rPr>
            </w:pPr>
            <w:r>
              <w:rPr>
                <w:rFonts w:hint="eastAsia"/>
                <w:color w:val="auto"/>
                <w:sz w:val="21"/>
              </w:rPr>
              <w:t>观察</w:t>
            </w:r>
          </w:p>
        </w:tc>
      </w:tr>
      <w:tr w14:paraId="20620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2B17E1F6">
            <w:pPr>
              <w:spacing w:line="240" w:lineRule="auto"/>
              <w:ind w:firstLine="0" w:firstLineChars="0"/>
              <w:jc w:val="center"/>
              <w:rPr>
                <w:rFonts w:hint="eastAsia"/>
                <w:color w:val="auto"/>
                <w:sz w:val="21"/>
              </w:rPr>
            </w:pPr>
            <w:r>
              <w:rPr>
                <w:rFonts w:hint="eastAsia"/>
                <w:color w:val="auto"/>
                <w:sz w:val="21"/>
              </w:rPr>
              <w:t>外形缺陷</w:t>
            </w:r>
          </w:p>
        </w:tc>
        <w:tc>
          <w:tcPr>
            <w:tcW w:w="2367" w:type="pct"/>
            <w:noWrap w:val="0"/>
            <w:vAlign w:val="center"/>
          </w:tcPr>
          <w:p w14:paraId="31266842">
            <w:pPr>
              <w:spacing w:line="240" w:lineRule="auto"/>
              <w:ind w:firstLine="0" w:firstLineChars="0"/>
              <w:jc w:val="center"/>
              <w:rPr>
                <w:rFonts w:hint="eastAsia"/>
                <w:color w:val="auto"/>
                <w:sz w:val="21"/>
              </w:rPr>
            </w:pPr>
            <w:r>
              <w:rPr>
                <w:rFonts w:hint="eastAsia"/>
                <w:color w:val="auto"/>
                <w:sz w:val="21"/>
              </w:rPr>
              <w:t>内表面缺棱掉角、棱角不直、翘曲不平等</w:t>
            </w:r>
          </w:p>
          <w:p w14:paraId="7ED067FA">
            <w:pPr>
              <w:spacing w:line="240" w:lineRule="auto"/>
              <w:ind w:firstLine="0" w:firstLineChars="0"/>
              <w:jc w:val="center"/>
              <w:rPr>
                <w:rFonts w:hint="eastAsia"/>
                <w:color w:val="auto"/>
                <w:sz w:val="21"/>
              </w:rPr>
            </w:pPr>
            <w:r>
              <w:rPr>
                <w:rFonts w:hint="eastAsia"/>
                <w:color w:val="auto"/>
                <w:sz w:val="21"/>
              </w:rPr>
              <w:t>外表面面砖粘结不牢、位置偏差、面砖嵌缝没有达到横平竖直，转角面砖棱角不直、面砖表面翘曲不平等</w:t>
            </w:r>
          </w:p>
        </w:tc>
        <w:tc>
          <w:tcPr>
            <w:tcW w:w="1680" w:type="pct"/>
            <w:noWrap w:val="0"/>
            <w:vAlign w:val="center"/>
          </w:tcPr>
          <w:p w14:paraId="6E6ED502">
            <w:pPr>
              <w:spacing w:line="240" w:lineRule="auto"/>
              <w:ind w:firstLine="0" w:firstLineChars="0"/>
              <w:jc w:val="center"/>
              <w:rPr>
                <w:rFonts w:hint="eastAsia"/>
                <w:color w:val="auto"/>
                <w:sz w:val="21"/>
              </w:rPr>
            </w:pPr>
            <w:r>
              <w:rPr>
                <w:rFonts w:hint="eastAsia"/>
                <w:color w:val="auto"/>
                <w:sz w:val="21"/>
              </w:rPr>
              <w:t>清水表面不应有，混水表面不宜有。</w:t>
            </w:r>
          </w:p>
        </w:tc>
        <w:tc>
          <w:tcPr>
            <w:tcW w:w="589" w:type="pct"/>
            <w:noWrap w:val="0"/>
            <w:vAlign w:val="center"/>
          </w:tcPr>
          <w:p w14:paraId="0996FCC4">
            <w:pPr>
              <w:spacing w:line="240" w:lineRule="auto"/>
              <w:ind w:firstLine="0" w:firstLineChars="0"/>
              <w:jc w:val="center"/>
              <w:rPr>
                <w:rFonts w:hint="eastAsia"/>
                <w:color w:val="auto"/>
                <w:sz w:val="21"/>
              </w:rPr>
            </w:pPr>
            <w:r>
              <w:rPr>
                <w:rFonts w:hint="eastAsia"/>
                <w:color w:val="auto"/>
                <w:sz w:val="21"/>
              </w:rPr>
              <w:t>观察</w:t>
            </w:r>
          </w:p>
        </w:tc>
      </w:tr>
      <w:tr w14:paraId="07BC0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1E707C98">
            <w:pPr>
              <w:spacing w:line="240" w:lineRule="auto"/>
              <w:ind w:firstLine="0" w:firstLineChars="0"/>
              <w:jc w:val="center"/>
              <w:rPr>
                <w:rFonts w:hint="eastAsia"/>
                <w:color w:val="auto"/>
                <w:sz w:val="21"/>
              </w:rPr>
            </w:pPr>
            <w:r>
              <w:rPr>
                <w:rFonts w:hint="eastAsia"/>
                <w:color w:val="auto"/>
                <w:sz w:val="21"/>
              </w:rPr>
              <w:t>外表缺陷</w:t>
            </w:r>
          </w:p>
        </w:tc>
        <w:tc>
          <w:tcPr>
            <w:tcW w:w="2367" w:type="pct"/>
            <w:noWrap w:val="0"/>
            <w:vAlign w:val="center"/>
          </w:tcPr>
          <w:p w14:paraId="511F4A77">
            <w:pPr>
              <w:spacing w:line="240" w:lineRule="auto"/>
              <w:ind w:firstLine="0" w:firstLineChars="0"/>
              <w:jc w:val="center"/>
              <w:rPr>
                <w:rFonts w:hint="eastAsia"/>
                <w:color w:val="auto"/>
                <w:sz w:val="21"/>
              </w:rPr>
            </w:pPr>
            <w:r>
              <w:rPr>
                <w:rFonts w:hint="eastAsia"/>
                <w:color w:val="auto"/>
                <w:sz w:val="21"/>
              </w:rPr>
              <w:t>构件内表面麻面、掉皮、起砂、沾污等</w:t>
            </w:r>
          </w:p>
          <w:p w14:paraId="68639B4A">
            <w:pPr>
              <w:spacing w:line="240" w:lineRule="auto"/>
              <w:ind w:firstLine="0" w:firstLineChars="0"/>
              <w:jc w:val="center"/>
              <w:rPr>
                <w:rFonts w:hint="eastAsia"/>
                <w:color w:val="auto"/>
                <w:sz w:val="21"/>
              </w:rPr>
            </w:pPr>
            <w:r>
              <w:rPr>
                <w:rFonts w:hint="eastAsia"/>
                <w:color w:val="auto"/>
                <w:sz w:val="21"/>
              </w:rPr>
              <w:t>外表面面砖污染、铝窗框保护纸破坏</w:t>
            </w:r>
          </w:p>
        </w:tc>
        <w:tc>
          <w:tcPr>
            <w:tcW w:w="1680" w:type="pct"/>
            <w:noWrap w:val="0"/>
            <w:vAlign w:val="center"/>
          </w:tcPr>
          <w:p w14:paraId="74DDD1D6">
            <w:pPr>
              <w:spacing w:line="240" w:lineRule="auto"/>
              <w:ind w:firstLine="0" w:firstLineChars="0"/>
              <w:jc w:val="center"/>
              <w:rPr>
                <w:rFonts w:hint="eastAsia"/>
                <w:color w:val="auto"/>
                <w:sz w:val="21"/>
              </w:rPr>
            </w:pPr>
            <w:r>
              <w:rPr>
                <w:rFonts w:hint="eastAsia"/>
                <w:color w:val="auto"/>
                <w:sz w:val="21"/>
              </w:rPr>
              <w:t>清水表面不应有，混水表面不宜有</w:t>
            </w:r>
          </w:p>
        </w:tc>
        <w:tc>
          <w:tcPr>
            <w:tcW w:w="589" w:type="pct"/>
            <w:noWrap w:val="0"/>
            <w:vAlign w:val="center"/>
          </w:tcPr>
          <w:p w14:paraId="237A77BC">
            <w:pPr>
              <w:spacing w:line="240" w:lineRule="auto"/>
              <w:ind w:firstLine="0" w:firstLineChars="0"/>
              <w:jc w:val="center"/>
              <w:rPr>
                <w:rFonts w:hint="eastAsia"/>
                <w:color w:val="auto"/>
                <w:sz w:val="21"/>
              </w:rPr>
            </w:pPr>
            <w:r>
              <w:rPr>
                <w:rFonts w:hint="eastAsia"/>
                <w:color w:val="auto"/>
                <w:sz w:val="21"/>
              </w:rPr>
              <w:t>观察</w:t>
            </w:r>
          </w:p>
        </w:tc>
      </w:tr>
    </w:tbl>
    <w:p w14:paraId="6A046204">
      <w:pPr>
        <w:pStyle w:val="97"/>
        <w:spacing w:before="24" w:beforeLines="10" w:after="24" w:afterLines="10" w:line="432" w:lineRule="auto"/>
        <w:ind w:firstLine="0" w:firstLineChars="0"/>
        <w:jc w:val="center"/>
        <w:rPr>
          <w:rFonts w:hint="eastAsia"/>
          <w:b/>
          <w:bCs/>
          <w:color w:val="auto"/>
          <w:sz w:val="24"/>
          <w:szCs w:val="24"/>
        </w:rPr>
      </w:pPr>
      <w:r>
        <w:rPr>
          <w:rFonts w:hint="eastAsia"/>
          <w:b/>
          <w:bCs/>
          <w:color w:val="auto"/>
          <w:sz w:val="24"/>
          <w:szCs w:val="24"/>
        </w:rPr>
        <w:t>插表 构件尺寸允许偏差（mm）</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4"/>
        <w:gridCol w:w="1720"/>
        <w:gridCol w:w="2843"/>
        <w:gridCol w:w="2843"/>
      </w:tblGrid>
      <w:tr w14:paraId="112A7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62" w:type="pct"/>
            <w:gridSpan w:val="2"/>
            <w:noWrap w:val="0"/>
            <w:vAlign w:val="center"/>
          </w:tcPr>
          <w:p w14:paraId="536DE091">
            <w:pPr>
              <w:spacing w:line="240" w:lineRule="auto"/>
              <w:ind w:firstLine="0" w:firstLineChars="0"/>
              <w:jc w:val="center"/>
              <w:rPr>
                <w:rFonts w:hint="eastAsia"/>
                <w:color w:val="auto"/>
                <w:sz w:val="21"/>
              </w:rPr>
            </w:pPr>
            <w:r>
              <w:rPr>
                <w:rFonts w:hint="eastAsia" w:ascii="宋体" w:hAnsi="宋体" w:eastAsia="宋体" w:cs="宋体"/>
                <w:b/>
                <w:bCs/>
                <w:color w:val="auto"/>
                <w:kern w:val="2"/>
                <w:sz w:val="24"/>
                <w:szCs w:val="24"/>
                <w:lang w:val="en-US" w:eastAsia="zh-CN" w:bidi="ar-SA"/>
              </w:rPr>
              <w:t>项</w:t>
            </w:r>
            <w:r>
              <w:rPr>
                <w:rFonts w:hint="eastAsia"/>
                <w:color w:val="auto"/>
                <w:sz w:val="21"/>
              </w:rPr>
              <w:t>目</w:t>
            </w:r>
          </w:p>
        </w:tc>
        <w:tc>
          <w:tcPr>
            <w:tcW w:w="1569" w:type="pct"/>
            <w:noWrap w:val="0"/>
            <w:vAlign w:val="center"/>
          </w:tcPr>
          <w:p w14:paraId="05F7A77E">
            <w:pPr>
              <w:spacing w:line="240" w:lineRule="auto"/>
              <w:ind w:firstLine="0" w:firstLineChars="0"/>
              <w:jc w:val="center"/>
              <w:rPr>
                <w:rFonts w:hint="eastAsia"/>
                <w:color w:val="auto"/>
                <w:sz w:val="21"/>
              </w:rPr>
            </w:pPr>
            <w:r>
              <w:rPr>
                <w:rFonts w:hint="eastAsia"/>
                <w:color w:val="auto"/>
                <w:sz w:val="21"/>
              </w:rPr>
              <w:t>允许偏差</w:t>
            </w:r>
          </w:p>
        </w:tc>
        <w:tc>
          <w:tcPr>
            <w:tcW w:w="1569" w:type="pct"/>
            <w:noWrap w:val="0"/>
            <w:vAlign w:val="center"/>
          </w:tcPr>
          <w:p w14:paraId="198E7EA4">
            <w:pPr>
              <w:spacing w:line="240" w:lineRule="auto"/>
              <w:ind w:firstLine="0" w:firstLineChars="0"/>
              <w:jc w:val="center"/>
              <w:rPr>
                <w:rFonts w:hint="eastAsia"/>
                <w:color w:val="auto"/>
                <w:sz w:val="21"/>
              </w:rPr>
            </w:pPr>
            <w:r>
              <w:rPr>
                <w:rFonts w:hint="eastAsia"/>
                <w:color w:val="auto"/>
                <w:sz w:val="21"/>
              </w:rPr>
              <w:t>检验方法</w:t>
            </w:r>
          </w:p>
        </w:tc>
      </w:tr>
      <w:tr w14:paraId="5364E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0D619C64">
            <w:pPr>
              <w:spacing w:line="240" w:lineRule="auto"/>
              <w:ind w:firstLine="0" w:firstLineChars="0"/>
              <w:jc w:val="center"/>
              <w:rPr>
                <w:rFonts w:hint="eastAsia"/>
                <w:color w:val="auto"/>
                <w:sz w:val="21"/>
              </w:rPr>
            </w:pPr>
            <w:r>
              <w:rPr>
                <w:rFonts w:hint="eastAsia"/>
                <w:color w:val="auto"/>
                <w:sz w:val="21"/>
              </w:rPr>
              <w:t>长度</w:t>
            </w:r>
          </w:p>
        </w:tc>
        <w:tc>
          <w:tcPr>
            <w:tcW w:w="949" w:type="pct"/>
            <w:noWrap w:val="0"/>
            <w:vAlign w:val="center"/>
          </w:tcPr>
          <w:p w14:paraId="6D859355">
            <w:pPr>
              <w:spacing w:line="240" w:lineRule="auto"/>
              <w:ind w:firstLine="0" w:firstLineChars="0"/>
              <w:jc w:val="center"/>
              <w:rPr>
                <w:rFonts w:hint="eastAsia"/>
                <w:color w:val="auto"/>
                <w:sz w:val="21"/>
              </w:rPr>
            </w:pPr>
            <w:r>
              <w:rPr>
                <w:rFonts w:hint="eastAsia"/>
                <w:color w:val="auto"/>
                <w:sz w:val="21"/>
              </w:rPr>
              <w:t>板</w:t>
            </w:r>
          </w:p>
        </w:tc>
        <w:tc>
          <w:tcPr>
            <w:tcW w:w="1569" w:type="pct"/>
            <w:noWrap w:val="0"/>
            <w:vAlign w:val="center"/>
          </w:tcPr>
          <w:p w14:paraId="0A87F4DA">
            <w:pPr>
              <w:spacing w:line="240" w:lineRule="auto"/>
              <w:ind w:firstLine="0" w:firstLineChars="0"/>
              <w:jc w:val="center"/>
              <w:rPr>
                <w:rFonts w:hint="eastAsia"/>
                <w:color w:val="auto"/>
                <w:sz w:val="21"/>
              </w:rPr>
            </w:pPr>
            <w:r>
              <w:rPr>
                <w:rFonts w:hint="eastAsia"/>
                <w:color w:val="auto"/>
                <w:sz w:val="21"/>
              </w:rPr>
              <w:t>±4</w:t>
            </w:r>
          </w:p>
        </w:tc>
        <w:tc>
          <w:tcPr>
            <w:tcW w:w="1569" w:type="pct"/>
            <w:vMerge w:val="restart"/>
            <w:noWrap w:val="0"/>
            <w:vAlign w:val="center"/>
          </w:tcPr>
          <w:p w14:paraId="09B07CDF">
            <w:pPr>
              <w:spacing w:line="240" w:lineRule="auto"/>
              <w:ind w:firstLine="0" w:firstLineChars="0"/>
              <w:jc w:val="center"/>
              <w:rPr>
                <w:rFonts w:hint="eastAsia"/>
                <w:color w:val="auto"/>
                <w:sz w:val="21"/>
              </w:rPr>
            </w:pPr>
            <w:r>
              <w:rPr>
                <w:rFonts w:hint="eastAsia"/>
                <w:color w:val="auto"/>
                <w:sz w:val="21"/>
              </w:rPr>
              <w:t>钢尺检查</w:t>
            </w:r>
          </w:p>
        </w:tc>
      </w:tr>
      <w:tr w14:paraId="0BDD1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4FB11FA6">
            <w:pPr>
              <w:spacing w:line="240" w:lineRule="auto"/>
              <w:ind w:firstLine="0" w:firstLineChars="0"/>
              <w:jc w:val="center"/>
              <w:rPr>
                <w:rFonts w:hint="eastAsia"/>
                <w:color w:val="auto"/>
                <w:sz w:val="21"/>
              </w:rPr>
            </w:pPr>
          </w:p>
        </w:tc>
        <w:tc>
          <w:tcPr>
            <w:tcW w:w="949" w:type="pct"/>
            <w:noWrap w:val="0"/>
            <w:vAlign w:val="center"/>
          </w:tcPr>
          <w:p w14:paraId="16863767">
            <w:pPr>
              <w:spacing w:line="240" w:lineRule="auto"/>
              <w:ind w:firstLine="0" w:firstLineChars="0"/>
              <w:jc w:val="center"/>
              <w:rPr>
                <w:rFonts w:hint="eastAsia"/>
                <w:color w:val="auto"/>
                <w:sz w:val="21"/>
              </w:rPr>
            </w:pPr>
            <w:r>
              <w:rPr>
                <w:rFonts w:hint="eastAsia"/>
                <w:color w:val="auto"/>
                <w:sz w:val="21"/>
              </w:rPr>
              <w:t>墙板</w:t>
            </w:r>
          </w:p>
        </w:tc>
        <w:tc>
          <w:tcPr>
            <w:tcW w:w="1569" w:type="pct"/>
            <w:noWrap w:val="0"/>
            <w:vAlign w:val="center"/>
          </w:tcPr>
          <w:p w14:paraId="798D198F">
            <w:pPr>
              <w:spacing w:line="240" w:lineRule="auto"/>
              <w:ind w:firstLine="0" w:firstLineChars="0"/>
              <w:jc w:val="center"/>
              <w:rPr>
                <w:rFonts w:hint="eastAsia"/>
                <w:color w:val="auto"/>
                <w:sz w:val="21"/>
              </w:rPr>
            </w:pPr>
            <w:r>
              <w:rPr>
                <w:rFonts w:hint="eastAsia"/>
                <w:color w:val="auto"/>
                <w:sz w:val="21"/>
              </w:rPr>
              <w:t>±4</w:t>
            </w:r>
          </w:p>
        </w:tc>
        <w:tc>
          <w:tcPr>
            <w:tcW w:w="1569" w:type="pct"/>
            <w:vMerge w:val="continue"/>
            <w:noWrap w:val="0"/>
            <w:vAlign w:val="center"/>
          </w:tcPr>
          <w:p w14:paraId="64D89366">
            <w:pPr>
              <w:spacing w:line="240" w:lineRule="auto"/>
              <w:ind w:firstLine="0" w:firstLineChars="0"/>
              <w:jc w:val="center"/>
              <w:rPr>
                <w:rFonts w:hint="eastAsia"/>
                <w:color w:val="auto"/>
                <w:sz w:val="21"/>
              </w:rPr>
            </w:pPr>
          </w:p>
        </w:tc>
      </w:tr>
      <w:tr w14:paraId="6132A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noWrap w:val="0"/>
            <w:vAlign w:val="center"/>
          </w:tcPr>
          <w:p w14:paraId="67F5D549">
            <w:pPr>
              <w:spacing w:line="240" w:lineRule="auto"/>
              <w:ind w:firstLine="0" w:firstLineChars="0"/>
              <w:jc w:val="center"/>
              <w:rPr>
                <w:rFonts w:hint="eastAsia"/>
                <w:color w:val="auto"/>
                <w:sz w:val="21"/>
              </w:rPr>
            </w:pPr>
            <w:r>
              <w:rPr>
                <w:rFonts w:hint="eastAsia"/>
                <w:color w:val="auto"/>
                <w:sz w:val="21"/>
              </w:rPr>
              <w:t>宽度</w:t>
            </w:r>
          </w:p>
        </w:tc>
        <w:tc>
          <w:tcPr>
            <w:tcW w:w="949" w:type="pct"/>
            <w:noWrap w:val="0"/>
            <w:vAlign w:val="center"/>
          </w:tcPr>
          <w:p w14:paraId="3C2A762E">
            <w:pPr>
              <w:spacing w:line="240" w:lineRule="auto"/>
              <w:ind w:firstLine="0" w:firstLineChars="0"/>
              <w:jc w:val="center"/>
              <w:rPr>
                <w:rFonts w:hint="eastAsia"/>
                <w:color w:val="auto"/>
                <w:sz w:val="21"/>
              </w:rPr>
            </w:pPr>
            <w:r>
              <w:rPr>
                <w:rFonts w:hint="eastAsia"/>
                <w:color w:val="auto"/>
                <w:sz w:val="21"/>
              </w:rPr>
              <w:t>板、墙板</w:t>
            </w:r>
          </w:p>
        </w:tc>
        <w:tc>
          <w:tcPr>
            <w:tcW w:w="1569" w:type="pct"/>
            <w:noWrap w:val="0"/>
            <w:vAlign w:val="center"/>
          </w:tcPr>
          <w:p w14:paraId="1C4B6A48">
            <w:pPr>
              <w:spacing w:line="240" w:lineRule="auto"/>
              <w:ind w:firstLine="0" w:firstLineChars="0"/>
              <w:jc w:val="center"/>
              <w:rPr>
                <w:rFonts w:hint="eastAsia"/>
                <w:color w:val="auto"/>
                <w:sz w:val="21"/>
              </w:rPr>
            </w:pPr>
            <w:r>
              <w:rPr>
                <w:rFonts w:hint="eastAsia"/>
                <w:color w:val="auto"/>
                <w:sz w:val="21"/>
              </w:rPr>
              <w:t>0，-4</w:t>
            </w:r>
          </w:p>
        </w:tc>
        <w:tc>
          <w:tcPr>
            <w:tcW w:w="1569" w:type="pct"/>
            <w:noWrap w:val="0"/>
            <w:vAlign w:val="center"/>
          </w:tcPr>
          <w:p w14:paraId="4B61B0FB">
            <w:pPr>
              <w:spacing w:line="240" w:lineRule="auto"/>
              <w:ind w:firstLine="0" w:firstLineChars="0"/>
              <w:jc w:val="center"/>
              <w:rPr>
                <w:rFonts w:hint="eastAsia"/>
                <w:color w:val="auto"/>
                <w:sz w:val="21"/>
              </w:rPr>
            </w:pPr>
            <w:r>
              <w:rPr>
                <w:rFonts w:hint="eastAsia"/>
                <w:color w:val="auto"/>
                <w:sz w:val="21"/>
              </w:rPr>
              <w:t>钢尺量一端及中部，取其中较大值</w:t>
            </w:r>
          </w:p>
        </w:tc>
      </w:tr>
      <w:tr w14:paraId="40FEF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644BCA99">
            <w:pPr>
              <w:spacing w:line="240" w:lineRule="auto"/>
              <w:ind w:firstLine="0" w:firstLineChars="0"/>
              <w:jc w:val="center"/>
              <w:rPr>
                <w:rFonts w:hint="eastAsia"/>
                <w:color w:val="auto"/>
                <w:sz w:val="21"/>
              </w:rPr>
            </w:pPr>
            <w:r>
              <w:rPr>
                <w:rFonts w:hint="eastAsia"/>
                <w:color w:val="auto"/>
                <w:sz w:val="21"/>
              </w:rPr>
              <w:t>高（厚）度</w:t>
            </w:r>
          </w:p>
        </w:tc>
        <w:tc>
          <w:tcPr>
            <w:tcW w:w="949" w:type="pct"/>
            <w:noWrap w:val="0"/>
            <w:vAlign w:val="center"/>
          </w:tcPr>
          <w:p w14:paraId="6F9C79EF">
            <w:pPr>
              <w:spacing w:line="240" w:lineRule="auto"/>
              <w:ind w:firstLine="0" w:firstLineChars="0"/>
              <w:jc w:val="center"/>
              <w:rPr>
                <w:rFonts w:hint="eastAsia"/>
                <w:color w:val="auto"/>
                <w:sz w:val="21"/>
              </w:rPr>
            </w:pPr>
            <w:r>
              <w:rPr>
                <w:rFonts w:hint="eastAsia"/>
                <w:color w:val="auto"/>
                <w:sz w:val="21"/>
              </w:rPr>
              <w:t>板</w:t>
            </w:r>
          </w:p>
        </w:tc>
        <w:tc>
          <w:tcPr>
            <w:tcW w:w="1569" w:type="pct"/>
            <w:noWrap w:val="0"/>
            <w:vAlign w:val="center"/>
          </w:tcPr>
          <w:p w14:paraId="184F8ABB">
            <w:pPr>
              <w:spacing w:line="240" w:lineRule="auto"/>
              <w:ind w:firstLine="0" w:firstLineChars="0"/>
              <w:jc w:val="center"/>
              <w:rPr>
                <w:rFonts w:hint="eastAsia"/>
                <w:color w:val="auto"/>
                <w:sz w:val="21"/>
              </w:rPr>
            </w:pPr>
            <w:r>
              <w:rPr>
                <w:rFonts w:hint="eastAsia"/>
                <w:color w:val="auto"/>
                <w:sz w:val="21"/>
              </w:rPr>
              <w:t>+2，-3</w:t>
            </w:r>
          </w:p>
        </w:tc>
        <w:tc>
          <w:tcPr>
            <w:tcW w:w="1569" w:type="pct"/>
            <w:vMerge w:val="restart"/>
            <w:noWrap w:val="0"/>
            <w:vAlign w:val="center"/>
          </w:tcPr>
          <w:p w14:paraId="0F4F70CF">
            <w:pPr>
              <w:spacing w:line="240" w:lineRule="auto"/>
              <w:ind w:firstLine="0" w:firstLineChars="0"/>
              <w:jc w:val="center"/>
              <w:rPr>
                <w:rFonts w:hint="eastAsia"/>
                <w:color w:val="auto"/>
                <w:sz w:val="21"/>
              </w:rPr>
            </w:pPr>
            <w:r>
              <w:rPr>
                <w:rFonts w:hint="eastAsia"/>
                <w:color w:val="auto"/>
                <w:sz w:val="21"/>
              </w:rPr>
              <w:t>钢尺量一端及中部，取其中较大值</w:t>
            </w:r>
          </w:p>
        </w:tc>
      </w:tr>
      <w:tr w14:paraId="316B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3ECF9148">
            <w:pPr>
              <w:spacing w:line="240" w:lineRule="auto"/>
              <w:ind w:firstLine="0" w:firstLineChars="0"/>
              <w:jc w:val="center"/>
              <w:rPr>
                <w:rFonts w:hint="eastAsia"/>
                <w:color w:val="auto"/>
                <w:sz w:val="21"/>
              </w:rPr>
            </w:pPr>
          </w:p>
        </w:tc>
        <w:tc>
          <w:tcPr>
            <w:tcW w:w="949" w:type="pct"/>
            <w:noWrap w:val="0"/>
            <w:vAlign w:val="center"/>
          </w:tcPr>
          <w:p w14:paraId="518284DC">
            <w:pPr>
              <w:spacing w:line="240" w:lineRule="auto"/>
              <w:ind w:firstLine="0" w:firstLineChars="0"/>
              <w:jc w:val="center"/>
              <w:rPr>
                <w:rFonts w:hint="eastAsia"/>
                <w:color w:val="auto"/>
                <w:sz w:val="21"/>
              </w:rPr>
            </w:pPr>
            <w:r>
              <w:rPr>
                <w:rFonts w:hint="eastAsia"/>
                <w:color w:val="auto"/>
                <w:sz w:val="21"/>
              </w:rPr>
              <w:t>墙板</w:t>
            </w:r>
          </w:p>
        </w:tc>
        <w:tc>
          <w:tcPr>
            <w:tcW w:w="1569" w:type="pct"/>
            <w:noWrap w:val="0"/>
            <w:vAlign w:val="center"/>
          </w:tcPr>
          <w:p w14:paraId="0E6D1B65">
            <w:pPr>
              <w:spacing w:line="240" w:lineRule="auto"/>
              <w:ind w:firstLine="0" w:firstLineChars="0"/>
              <w:jc w:val="center"/>
              <w:rPr>
                <w:rFonts w:hint="eastAsia"/>
                <w:color w:val="auto"/>
                <w:sz w:val="21"/>
              </w:rPr>
            </w:pPr>
            <w:r>
              <w:rPr>
                <w:rFonts w:hint="eastAsia"/>
                <w:color w:val="auto"/>
                <w:sz w:val="21"/>
              </w:rPr>
              <w:t>0，-4</w:t>
            </w:r>
          </w:p>
        </w:tc>
        <w:tc>
          <w:tcPr>
            <w:tcW w:w="1569" w:type="pct"/>
            <w:vMerge w:val="continue"/>
            <w:noWrap w:val="0"/>
            <w:vAlign w:val="center"/>
          </w:tcPr>
          <w:p w14:paraId="6A3856BB">
            <w:pPr>
              <w:spacing w:line="240" w:lineRule="auto"/>
              <w:ind w:firstLine="0" w:firstLineChars="0"/>
              <w:jc w:val="center"/>
              <w:rPr>
                <w:rFonts w:hint="eastAsia"/>
                <w:color w:val="auto"/>
                <w:sz w:val="21"/>
              </w:rPr>
            </w:pPr>
          </w:p>
        </w:tc>
      </w:tr>
      <w:tr w14:paraId="4988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1B4B1C93">
            <w:pPr>
              <w:spacing w:line="240" w:lineRule="auto"/>
              <w:ind w:firstLine="0" w:firstLineChars="0"/>
              <w:jc w:val="center"/>
              <w:rPr>
                <w:rFonts w:hint="eastAsia"/>
                <w:color w:val="auto"/>
                <w:sz w:val="21"/>
              </w:rPr>
            </w:pPr>
            <w:r>
              <w:rPr>
                <w:rFonts w:hint="eastAsia"/>
                <w:color w:val="auto"/>
                <w:sz w:val="21"/>
              </w:rPr>
              <w:t>侧向弯曲</w:t>
            </w:r>
          </w:p>
        </w:tc>
        <w:tc>
          <w:tcPr>
            <w:tcW w:w="949" w:type="pct"/>
            <w:noWrap w:val="0"/>
            <w:vAlign w:val="center"/>
          </w:tcPr>
          <w:p w14:paraId="15C21D4D">
            <w:pPr>
              <w:spacing w:line="240" w:lineRule="auto"/>
              <w:ind w:firstLine="0" w:firstLineChars="0"/>
              <w:jc w:val="center"/>
              <w:rPr>
                <w:rFonts w:hint="eastAsia"/>
                <w:color w:val="auto"/>
                <w:sz w:val="21"/>
              </w:rPr>
            </w:pPr>
            <w:r>
              <w:rPr>
                <w:rFonts w:hint="eastAsia"/>
                <w:color w:val="auto"/>
                <w:sz w:val="21"/>
              </w:rPr>
              <w:t>板</w:t>
            </w:r>
          </w:p>
        </w:tc>
        <w:tc>
          <w:tcPr>
            <w:tcW w:w="1569" w:type="pct"/>
            <w:noWrap w:val="0"/>
            <w:vAlign w:val="center"/>
          </w:tcPr>
          <w:p w14:paraId="2E1CA687">
            <w:pPr>
              <w:spacing w:line="240" w:lineRule="auto"/>
              <w:ind w:firstLine="0" w:firstLineChars="0"/>
              <w:jc w:val="center"/>
              <w:rPr>
                <w:rFonts w:hint="eastAsia"/>
                <w:color w:val="auto"/>
                <w:sz w:val="21"/>
              </w:rPr>
            </w:pPr>
            <w:r>
              <w:rPr>
                <w:rFonts w:hint="eastAsia"/>
                <w:color w:val="auto"/>
                <w:sz w:val="21"/>
              </w:rPr>
              <w:t>L/1000且≤15</w:t>
            </w:r>
          </w:p>
        </w:tc>
        <w:tc>
          <w:tcPr>
            <w:tcW w:w="1569" w:type="pct"/>
            <w:vMerge w:val="restart"/>
            <w:noWrap w:val="0"/>
            <w:vAlign w:val="center"/>
          </w:tcPr>
          <w:p w14:paraId="2F5F0304">
            <w:pPr>
              <w:spacing w:line="240" w:lineRule="auto"/>
              <w:ind w:firstLine="0" w:firstLineChars="0"/>
              <w:jc w:val="center"/>
              <w:rPr>
                <w:rFonts w:hint="eastAsia"/>
                <w:color w:val="auto"/>
                <w:sz w:val="21"/>
              </w:rPr>
            </w:pPr>
            <w:r>
              <w:rPr>
                <w:rFonts w:hint="eastAsia"/>
                <w:color w:val="auto"/>
                <w:sz w:val="21"/>
              </w:rPr>
              <w:t>拉线、钢尺量最大侧向弯曲处</w:t>
            </w:r>
          </w:p>
        </w:tc>
      </w:tr>
      <w:tr w14:paraId="6F98B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731F37D4">
            <w:pPr>
              <w:spacing w:line="240" w:lineRule="auto"/>
              <w:ind w:firstLine="0" w:firstLineChars="0"/>
              <w:jc w:val="center"/>
              <w:rPr>
                <w:rFonts w:hint="eastAsia"/>
                <w:color w:val="auto"/>
                <w:sz w:val="21"/>
              </w:rPr>
            </w:pPr>
          </w:p>
        </w:tc>
        <w:tc>
          <w:tcPr>
            <w:tcW w:w="949" w:type="pct"/>
            <w:noWrap w:val="0"/>
            <w:vAlign w:val="center"/>
          </w:tcPr>
          <w:p w14:paraId="5A2F7C4A">
            <w:pPr>
              <w:spacing w:line="240" w:lineRule="auto"/>
              <w:ind w:firstLine="0" w:firstLineChars="0"/>
              <w:jc w:val="center"/>
              <w:rPr>
                <w:rFonts w:hint="eastAsia"/>
                <w:color w:val="auto"/>
                <w:sz w:val="21"/>
              </w:rPr>
            </w:pPr>
            <w:r>
              <w:rPr>
                <w:rFonts w:hint="eastAsia"/>
                <w:color w:val="auto"/>
                <w:sz w:val="21"/>
              </w:rPr>
              <w:t>墙板</w:t>
            </w:r>
          </w:p>
        </w:tc>
        <w:tc>
          <w:tcPr>
            <w:tcW w:w="1569" w:type="pct"/>
            <w:noWrap w:val="0"/>
            <w:vAlign w:val="center"/>
          </w:tcPr>
          <w:p w14:paraId="50EB6CB3">
            <w:pPr>
              <w:spacing w:line="240" w:lineRule="auto"/>
              <w:ind w:firstLine="0" w:firstLineChars="0"/>
              <w:jc w:val="center"/>
              <w:rPr>
                <w:rFonts w:hint="eastAsia"/>
                <w:color w:val="auto"/>
                <w:sz w:val="21"/>
              </w:rPr>
            </w:pPr>
            <w:r>
              <w:rPr>
                <w:rFonts w:hint="eastAsia"/>
                <w:color w:val="auto"/>
                <w:sz w:val="21"/>
              </w:rPr>
              <w:t>L/1500且≤15</w:t>
            </w:r>
          </w:p>
        </w:tc>
        <w:tc>
          <w:tcPr>
            <w:tcW w:w="1569" w:type="pct"/>
            <w:vMerge w:val="continue"/>
            <w:noWrap w:val="0"/>
            <w:vAlign w:val="center"/>
          </w:tcPr>
          <w:p w14:paraId="360D9B5F">
            <w:pPr>
              <w:spacing w:line="240" w:lineRule="auto"/>
              <w:ind w:firstLine="0" w:firstLineChars="0"/>
              <w:jc w:val="center"/>
              <w:rPr>
                <w:rFonts w:hint="eastAsia"/>
                <w:color w:val="auto"/>
                <w:sz w:val="21"/>
              </w:rPr>
            </w:pPr>
          </w:p>
        </w:tc>
      </w:tr>
      <w:tr w14:paraId="7360A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913" w:type="pct"/>
            <w:vMerge w:val="restart"/>
            <w:noWrap w:val="0"/>
            <w:vAlign w:val="center"/>
          </w:tcPr>
          <w:p w14:paraId="1C69B1A5">
            <w:pPr>
              <w:spacing w:line="240" w:lineRule="auto"/>
              <w:ind w:firstLine="0" w:firstLineChars="0"/>
              <w:jc w:val="center"/>
              <w:rPr>
                <w:rFonts w:hint="eastAsia"/>
                <w:color w:val="auto"/>
                <w:sz w:val="21"/>
              </w:rPr>
            </w:pPr>
            <w:r>
              <w:rPr>
                <w:rFonts w:hint="eastAsia"/>
                <w:color w:val="auto"/>
                <w:sz w:val="21"/>
              </w:rPr>
              <w:t>对角线差</w:t>
            </w:r>
          </w:p>
        </w:tc>
        <w:tc>
          <w:tcPr>
            <w:tcW w:w="949" w:type="pct"/>
            <w:noWrap w:val="0"/>
            <w:vAlign w:val="center"/>
          </w:tcPr>
          <w:p w14:paraId="287B4262">
            <w:pPr>
              <w:spacing w:line="240" w:lineRule="auto"/>
              <w:ind w:firstLine="0" w:firstLineChars="0"/>
              <w:jc w:val="center"/>
              <w:rPr>
                <w:rFonts w:hint="eastAsia"/>
                <w:color w:val="auto"/>
                <w:sz w:val="21"/>
              </w:rPr>
            </w:pPr>
            <w:r>
              <w:rPr>
                <w:rFonts w:hint="eastAsia"/>
                <w:color w:val="auto"/>
                <w:sz w:val="21"/>
              </w:rPr>
              <w:t>板</w:t>
            </w:r>
          </w:p>
        </w:tc>
        <w:tc>
          <w:tcPr>
            <w:tcW w:w="1569" w:type="pct"/>
            <w:noWrap w:val="0"/>
            <w:vAlign w:val="center"/>
          </w:tcPr>
          <w:p w14:paraId="56C1C34D">
            <w:pPr>
              <w:spacing w:line="240" w:lineRule="auto"/>
              <w:ind w:firstLine="0" w:firstLineChars="0"/>
              <w:jc w:val="center"/>
              <w:rPr>
                <w:rFonts w:hint="eastAsia"/>
                <w:color w:val="auto"/>
                <w:sz w:val="21"/>
              </w:rPr>
            </w:pPr>
            <w:r>
              <w:rPr>
                <w:rFonts w:hint="eastAsia"/>
                <w:color w:val="auto"/>
                <w:sz w:val="21"/>
              </w:rPr>
              <w:t>6</w:t>
            </w:r>
          </w:p>
        </w:tc>
        <w:tc>
          <w:tcPr>
            <w:tcW w:w="1569" w:type="pct"/>
            <w:vMerge w:val="restart"/>
            <w:noWrap w:val="0"/>
            <w:vAlign w:val="center"/>
          </w:tcPr>
          <w:p w14:paraId="260E64DC">
            <w:pPr>
              <w:spacing w:line="240" w:lineRule="auto"/>
              <w:ind w:firstLine="0" w:firstLineChars="0"/>
              <w:jc w:val="center"/>
              <w:rPr>
                <w:rFonts w:hint="eastAsia"/>
                <w:color w:val="auto"/>
                <w:sz w:val="21"/>
              </w:rPr>
            </w:pPr>
            <w:r>
              <w:rPr>
                <w:rFonts w:hint="eastAsia"/>
                <w:color w:val="auto"/>
                <w:sz w:val="21"/>
              </w:rPr>
              <w:t>钢尺量两个对角线</w:t>
            </w:r>
          </w:p>
        </w:tc>
      </w:tr>
      <w:tr w14:paraId="4DA73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63DBCE3C">
            <w:pPr>
              <w:spacing w:line="240" w:lineRule="auto"/>
              <w:ind w:firstLine="0" w:firstLineChars="0"/>
              <w:jc w:val="center"/>
              <w:rPr>
                <w:rFonts w:hint="eastAsia"/>
                <w:color w:val="auto"/>
                <w:sz w:val="21"/>
              </w:rPr>
            </w:pPr>
          </w:p>
        </w:tc>
        <w:tc>
          <w:tcPr>
            <w:tcW w:w="949" w:type="pct"/>
            <w:noWrap w:val="0"/>
            <w:vAlign w:val="center"/>
          </w:tcPr>
          <w:p w14:paraId="2832F2B5">
            <w:pPr>
              <w:spacing w:line="240" w:lineRule="auto"/>
              <w:ind w:firstLine="0" w:firstLineChars="0"/>
              <w:jc w:val="center"/>
              <w:rPr>
                <w:rFonts w:hint="eastAsia"/>
                <w:color w:val="auto"/>
                <w:sz w:val="21"/>
              </w:rPr>
            </w:pPr>
            <w:r>
              <w:rPr>
                <w:rFonts w:hint="eastAsia"/>
                <w:color w:val="auto"/>
                <w:sz w:val="21"/>
              </w:rPr>
              <w:t>墙板</w:t>
            </w:r>
          </w:p>
        </w:tc>
        <w:tc>
          <w:tcPr>
            <w:tcW w:w="1569" w:type="pct"/>
            <w:noWrap w:val="0"/>
            <w:vAlign w:val="center"/>
          </w:tcPr>
          <w:p w14:paraId="28FA697C">
            <w:pPr>
              <w:spacing w:line="240" w:lineRule="auto"/>
              <w:ind w:firstLine="0" w:firstLineChars="0"/>
              <w:jc w:val="center"/>
              <w:rPr>
                <w:rFonts w:hint="eastAsia"/>
                <w:color w:val="auto"/>
                <w:sz w:val="21"/>
              </w:rPr>
            </w:pPr>
            <w:r>
              <w:rPr>
                <w:rFonts w:hint="eastAsia"/>
                <w:color w:val="auto"/>
                <w:sz w:val="21"/>
              </w:rPr>
              <w:t>4</w:t>
            </w:r>
          </w:p>
        </w:tc>
        <w:tc>
          <w:tcPr>
            <w:tcW w:w="1569" w:type="pct"/>
            <w:vMerge w:val="continue"/>
            <w:noWrap w:val="0"/>
            <w:vAlign w:val="center"/>
          </w:tcPr>
          <w:p w14:paraId="1BDF8969">
            <w:pPr>
              <w:spacing w:line="240" w:lineRule="auto"/>
              <w:ind w:firstLine="0" w:firstLineChars="0"/>
              <w:jc w:val="center"/>
              <w:rPr>
                <w:rFonts w:hint="eastAsia"/>
                <w:color w:val="auto"/>
                <w:sz w:val="21"/>
              </w:rPr>
            </w:pPr>
          </w:p>
        </w:tc>
      </w:tr>
      <w:tr w14:paraId="2F721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noWrap w:val="0"/>
            <w:vAlign w:val="center"/>
          </w:tcPr>
          <w:p w14:paraId="61791230">
            <w:pPr>
              <w:spacing w:line="240" w:lineRule="auto"/>
              <w:ind w:firstLine="0" w:firstLineChars="0"/>
              <w:jc w:val="center"/>
              <w:rPr>
                <w:rFonts w:hint="eastAsia"/>
                <w:color w:val="auto"/>
                <w:sz w:val="21"/>
              </w:rPr>
            </w:pPr>
            <w:r>
              <w:rPr>
                <w:rFonts w:hint="eastAsia"/>
                <w:color w:val="auto"/>
                <w:sz w:val="21"/>
              </w:rPr>
              <w:t>表面平整度</w:t>
            </w:r>
          </w:p>
        </w:tc>
        <w:tc>
          <w:tcPr>
            <w:tcW w:w="949" w:type="pct"/>
            <w:noWrap w:val="0"/>
            <w:vAlign w:val="center"/>
          </w:tcPr>
          <w:p w14:paraId="2DB7C429">
            <w:pPr>
              <w:spacing w:line="240" w:lineRule="auto"/>
              <w:ind w:firstLine="0" w:firstLineChars="0"/>
              <w:jc w:val="center"/>
              <w:rPr>
                <w:rFonts w:hint="eastAsia"/>
                <w:color w:val="auto"/>
                <w:sz w:val="21"/>
              </w:rPr>
            </w:pPr>
            <w:r>
              <w:rPr>
                <w:rFonts w:hint="eastAsia"/>
                <w:color w:val="auto"/>
                <w:sz w:val="21"/>
              </w:rPr>
              <w:t>板、墙板</w:t>
            </w:r>
          </w:p>
        </w:tc>
        <w:tc>
          <w:tcPr>
            <w:tcW w:w="1569" w:type="pct"/>
            <w:noWrap w:val="0"/>
            <w:vAlign w:val="center"/>
          </w:tcPr>
          <w:p w14:paraId="381E326D">
            <w:pPr>
              <w:spacing w:line="240" w:lineRule="auto"/>
              <w:ind w:firstLine="0" w:firstLineChars="0"/>
              <w:jc w:val="center"/>
              <w:rPr>
                <w:rFonts w:hint="eastAsia"/>
                <w:color w:val="auto"/>
                <w:sz w:val="21"/>
              </w:rPr>
            </w:pPr>
            <w:r>
              <w:rPr>
                <w:rFonts w:hint="eastAsia"/>
                <w:color w:val="auto"/>
                <w:sz w:val="21"/>
              </w:rPr>
              <w:t>3</w:t>
            </w:r>
          </w:p>
        </w:tc>
        <w:tc>
          <w:tcPr>
            <w:tcW w:w="1569" w:type="pct"/>
            <w:noWrap w:val="0"/>
            <w:vAlign w:val="center"/>
          </w:tcPr>
          <w:p w14:paraId="4C3BDAEC">
            <w:pPr>
              <w:spacing w:line="240" w:lineRule="auto"/>
              <w:ind w:firstLine="0" w:firstLineChars="0"/>
              <w:jc w:val="center"/>
              <w:rPr>
                <w:rFonts w:hint="eastAsia"/>
                <w:color w:val="auto"/>
                <w:sz w:val="21"/>
              </w:rPr>
            </w:pPr>
            <w:r>
              <w:rPr>
                <w:rFonts w:hint="eastAsia"/>
                <w:color w:val="auto"/>
                <w:sz w:val="21"/>
              </w:rPr>
              <w:t>2m靠尺和塞尺检查</w:t>
            </w:r>
          </w:p>
        </w:tc>
      </w:tr>
      <w:tr w14:paraId="46442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noWrap w:val="0"/>
            <w:vAlign w:val="center"/>
          </w:tcPr>
          <w:p w14:paraId="0CADB1D5">
            <w:pPr>
              <w:spacing w:line="240" w:lineRule="auto"/>
              <w:ind w:firstLine="0" w:firstLineChars="0"/>
              <w:jc w:val="center"/>
              <w:rPr>
                <w:rFonts w:hint="eastAsia"/>
                <w:color w:val="auto"/>
                <w:sz w:val="21"/>
              </w:rPr>
            </w:pPr>
            <w:r>
              <w:rPr>
                <w:rFonts w:hint="eastAsia"/>
                <w:color w:val="auto"/>
                <w:sz w:val="21"/>
              </w:rPr>
              <w:t>翘曲</w:t>
            </w:r>
          </w:p>
        </w:tc>
        <w:tc>
          <w:tcPr>
            <w:tcW w:w="949" w:type="pct"/>
            <w:noWrap w:val="0"/>
            <w:vAlign w:val="center"/>
          </w:tcPr>
          <w:p w14:paraId="14B96303">
            <w:pPr>
              <w:spacing w:line="240" w:lineRule="auto"/>
              <w:ind w:firstLine="0" w:firstLineChars="0"/>
              <w:jc w:val="center"/>
              <w:rPr>
                <w:rFonts w:hint="eastAsia"/>
                <w:color w:val="auto"/>
                <w:sz w:val="21"/>
              </w:rPr>
            </w:pPr>
            <w:r>
              <w:rPr>
                <w:rFonts w:hint="eastAsia"/>
                <w:color w:val="auto"/>
                <w:sz w:val="21"/>
              </w:rPr>
              <w:t>板、墙板</w:t>
            </w:r>
          </w:p>
        </w:tc>
        <w:tc>
          <w:tcPr>
            <w:tcW w:w="1569" w:type="pct"/>
            <w:noWrap w:val="0"/>
            <w:vAlign w:val="center"/>
          </w:tcPr>
          <w:p w14:paraId="754985FF">
            <w:pPr>
              <w:spacing w:line="240" w:lineRule="auto"/>
              <w:ind w:firstLine="0" w:firstLineChars="0"/>
              <w:jc w:val="center"/>
              <w:rPr>
                <w:rFonts w:hint="eastAsia"/>
                <w:color w:val="auto"/>
                <w:sz w:val="21"/>
              </w:rPr>
            </w:pPr>
            <w:r>
              <w:rPr>
                <w:rFonts w:hint="eastAsia"/>
                <w:color w:val="auto"/>
                <w:sz w:val="21"/>
              </w:rPr>
              <w:t>L/1500</w:t>
            </w:r>
          </w:p>
        </w:tc>
        <w:tc>
          <w:tcPr>
            <w:tcW w:w="1569" w:type="pct"/>
            <w:noWrap w:val="0"/>
            <w:vAlign w:val="center"/>
          </w:tcPr>
          <w:p w14:paraId="2B68B3FD">
            <w:pPr>
              <w:spacing w:line="240" w:lineRule="auto"/>
              <w:ind w:firstLine="0" w:firstLineChars="0"/>
              <w:jc w:val="center"/>
              <w:rPr>
                <w:rFonts w:hint="eastAsia"/>
                <w:color w:val="auto"/>
                <w:sz w:val="21"/>
              </w:rPr>
            </w:pPr>
            <w:r>
              <w:rPr>
                <w:rFonts w:hint="eastAsia"/>
                <w:color w:val="auto"/>
                <w:sz w:val="21"/>
              </w:rPr>
              <w:t>调平尺在两端量测</w:t>
            </w:r>
          </w:p>
        </w:tc>
      </w:tr>
      <w:tr w14:paraId="7537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223D7B63">
            <w:pPr>
              <w:spacing w:line="240" w:lineRule="auto"/>
              <w:ind w:firstLine="0" w:firstLineChars="0"/>
              <w:jc w:val="center"/>
              <w:rPr>
                <w:rFonts w:hint="eastAsia"/>
                <w:color w:val="auto"/>
                <w:sz w:val="21"/>
              </w:rPr>
            </w:pPr>
            <w:r>
              <w:rPr>
                <w:rFonts w:hint="eastAsia"/>
                <w:color w:val="auto"/>
                <w:sz w:val="21"/>
              </w:rPr>
              <w:t>预埋钢板</w:t>
            </w:r>
          </w:p>
        </w:tc>
        <w:tc>
          <w:tcPr>
            <w:tcW w:w="949" w:type="pct"/>
            <w:noWrap w:val="0"/>
            <w:vAlign w:val="center"/>
          </w:tcPr>
          <w:p w14:paraId="41AD72D6">
            <w:pPr>
              <w:spacing w:line="240" w:lineRule="auto"/>
              <w:ind w:firstLine="0" w:firstLineChars="0"/>
              <w:jc w:val="center"/>
              <w:rPr>
                <w:rFonts w:hint="eastAsia"/>
                <w:color w:val="auto"/>
                <w:sz w:val="21"/>
              </w:rPr>
            </w:pPr>
            <w:r>
              <w:rPr>
                <w:rFonts w:hint="eastAsia"/>
                <w:color w:val="auto"/>
                <w:sz w:val="21"/>
              </w:rPr>
              <w:t>中心线位置</w:t>
            </w:r>
          </w:p>
        </w:tc>
        <w:tc>
          <w:tcPr>
            <w:tcW w:w="1569" w:type="pct"/>
            <w:noWrap w:val="0"/>
            <w:vAlign w:val="center"/>
          </w:tcPr>
          <w:p w14:paraId="5E23A9F9">
            <w:pPr>
              <w:spacing w:line="240" w:lineRule="auto"/>
              <w:ind w:firstLine="0" w:firstLineChars="0"/>
              <w:jc w:val="center"/>
              <w:rPr>
                <w:rFonts w:hint="eastAsia"/>
                <w:color w:val="auto"/>
                <w:sz w:val="21"/>
              </w:rPr>
            </w:pPr>
            <w:r>
              <w:rPr>
                <w:rFonts w:hint="eastAsia"/>
                <w:color w:val="auto"/>
                <w:sz w:val="21"/>
              </w:rPr>
              <w:t>4</w:t>
            </w:r>
          </w:p>
        </w:tc>
        <w:tc>
          <w:tcPr>
            <w:tcW w:w="1569" w:type="pct"/>
            <w:vMerge w:val="restart"/>
            <w:noWrap w:val="0"/>
            <w:vAlign w:val="center"/>
          </w:tcPr>
          <w:p w14:paraId="702AD28E">
            <w:pPr>
              <w:spacing w:line="240" w:lineRule="auto"/>
              <w:ind w:firstLine="0" w:firstLineChars="0"/>
              <w:jc w:val="center"/>
              <w:rPr>
                <w:rFonts w:hint="eastAsia"/>
                <w:color w:val="auto"/>
                <w:sz w:val="21"/>
              </w:rPr>
            </w:pPr>
            <w:r>
              <w:rPr>
                <w:rFonts w:hint="eastAsia"/>
                <w:color w:val="auto"/>
                <w:sz w:val="21"/>
              </w:rPr>
              <w:t>靠尺和塞尺检查</w:t>
            </w:r>
          </w:p>
        </w:tc>
      </w:tr>
      <w:tr w14:paraId="464A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69BA8328">
            <w:pPr>
              <w:spacing w:line="240" w:lineRule="auto"/>
              <w:ind w:firstLine="0" w:firstLineChars="0"/>
              <w:jc w:val="center"/>
              <w:rPr>
                <w:rFonts w:hint="eastAsia"/>
                <w:color w:val="auto"/>
                <w:sz w:val="21"/>
              </w:rPr>
            </w:pPr>
          </w:p>
        </w:tc>
        <w:tc>
          <w:tcPr>
            <w:tcW w:w="949" w:type="pct"/>
            <w:noWrap w:val="0"/>
            <w:vAlign w:val="center"/>
          </w:tcPr>
          <w:p w14:paraId="2AD06B87">
            <w:pPr>
              <w:spacing w:line="240" w:lineRule="auto"/>
              <w:ind w:firstLine="0" w:firstLineChars="0"/>
              <w:jc w:val="center"/>
              <w:rPr>
                <w:rFonts w:hint="eastAsia"/>
                <w:color w:val="auto"/>
                <w:sz w:val="21"/>
              </w:rPr>
            </w:pPr>
            <w:r>
              <w:rPr>
                <w:rFonts w:hint="eastAsia"/>
                <w:color w:val="auto"/>
                <w:sz w:val="21"/>
              </w:rPr>
              <w:t>安装平整度</w:t>
            </w:r>
          </w:p>
        </w:tc>
        <w:tc>
          <w:tcPr>
            <w:tcW w:w="1569" w:type="pct"/>
            <w:noWrap w:val="0"/>
            <w:vAlign w:val="center"/>
          </w:tcPr>
          <w:p w14:paraId="69FFCFB5">
            <w:pPr>
              <w:spacing w:line="240" w:lineRule="auto"/>
              <w:ind w:firstLine="0" w:firstLineChars="0"/>
              <w:jc w:val="center"/>
              <w:rPr>
                <w:rFonts w:hint="eastAsia"/>
                <w:color w:val="auto"/>
                <w:sz w:val="21"/>
              </w:rPr>
            </w:pPr>
            <w:r>
              <w:rPr>
                <w:rFonts w:hint="eastAsia"/>
                <w:color w:val="auto"/>
                <w:sz w:val="21"/>
              </w:rPr>
              <w:t>5</w:t>
            </w:r>
          </w:p>
        </w:tc>
        <w:tc>
          <w:tcPr>
            <w:tcW w:w="1569" w:type="pct"/>
            <w:vMerge w:val="continue"/>
            <w:noWrap w:val="0"/>
            <w:vAlign w:val="center"/>
          </w:tcPr>
          <w:p w14:paraId="6DD34538">
            <w:pPr>
              <w:spacing w:line="240" w:lineRule="auto"/>
              <w:ind w:firstLine="0" w:firstLineChars="0"/>
              <w:jc w:val="center"/>
              <w:rPr>
                <w:rFonts w:hint="eastAsia"/>
                <w:color w:val="auto"/>
                <w:sz w:val="21"/>
              </w:rPr>
            </w:pPr>
          </w:p>
        </w:tc>
      </w:tr>
      <w:tr w14:paraId="3D3BC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239ED0FD">
            <w:pPr>
              <w:spacing w:line="240" w:lineRule="auto"/>
              <w:ind w:firstLine="0" w:firstLineChars="0"/>
              <w:jc w:val="center"/>
              <w:rPr>
                <w:rFonts w:hint="eastAsia"/>
                <w:color w:val="auto"/>
                <w:sz w:val="21"/>
              </w:rPr>
            </w:pPr>
            <w:r>
              <w:rPr>
                <w:rFonts w:hint="eastAsia"/>
                <w:color w:val="auto"/>
                <w:sz w:val="21"/>
              </w:rPr>
              <w:t>插  筋</w:t>
            </w:r>
          </w:p>
        </w:tc>
        <w:tc>
          <w:tcPr>
            <w:tcW w:w="949" w:type="pct"/>
            <w:noWrap w:val="0"/>
            <w:vAlign w:val="center"/>
          </w:tcPr>
          <w:p w14:paraId="4ADD7977">
            <w:pPr>
              <w:spacing w:line="240" w:lineRule="auto"/>
              <w:ind w:firstLine="0" w:firstLineChars="0"/>
              <w:jc w:val="center"/>
              <w:rPr>
                <w:rFonts w:hint="eastAsia"/>
                <w:color w:val="auto"/>
                <w:sz w:val="21"/>
              </w:rPr>
            </w:pPr>
            <w:r>
              <w:rPr>
                <w:rFonts w:hint="eastAsia"/>
                <w:color w:val="auto"/>
                <w:sz w:val="21"/>
              </w:rPr>
              <w:t>中心线位置</w:t>
            </w:r>
          </w:p>
        </w:tc>
        <w:tc>
          <w:tcPr>
            <w:tcW w:w="1569" w:type="pct"/>
            <w:noWrap w:val="0"/>
            <w:vAlign w:val="center"/>
          </w:tcPr>
          <w:p w14:paraId="6721F91C">
            <w:pPr>
              <w:spacing w:line="240" w:lineRule="auto"/>
              <w:ind w:firstLine="0" w:firstLineChars="0"/>
              <w:jc w:val="center"/>
              <w:rPr>
                <w:rFonts w:hint="eastAsia"/>
                <w:color w:val="auto"/>
                <w:sz w:val="21"/>
              </w:rPr>
            </w:pPr>
            <w:r>
              <w:rPr>
                <w:rFonts w:hint="eastAsia"/>
                <w:color w:val="auto"/>
                <w:sz w:val="21"/>
              </w:rPr>
              <w:t>5</w:t>
            </w:r>
          </w:p>
        </w:tc>
        <w:tc>
          <w:tcPr>
            <w:tcW w:w="1569" w:type="pct"/>
            <w:vMerge w:val="restart"/>
            <w:noWrap w:val="0"/>
            <w:vAlign w:val="center"/>
          </w:tcPr>
          <w:p w14:paraId="303B97A0">
            <w:pPr>
              <w:spacing w:line="240" w:lineRule="auto"/>
              <w:ind w:firstLine="0" w:firstLineChars="0"/>
              <w:jc w:val="center"/>
              <w:rPr>
                <w:rFonts w:hint="eastAsia"/>
                <w:color w:val="auto"/>
                <w:sz w:val="21"/>
              </w:rPr>
            </w:pPr>
            <w:r>
              <w:rPr>
                <w:rFonts w:hint="eastAsia"/>
                <w:color w:val="auto"/>
                <w:sz w:val="21"/>
              </w:rPr>
              <w:t>钢尺检查</w:t>
            </w:r>
          </w:p>
        </w:tc>
      </w:tr>
      <w:tr w14:paraId="5C6A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159C6E10">
            <w:pPr>
              <w:spacing w:line="240" w:lineRule="auto"/>
              <w:ind w:firstLine="0" w:firstLineChars="0"/>
              <w:jc w:val="center"/>
              <w:rPr>
                <w:rFonts w:hint="eastAsia"/>
                <w:color w:val="auto"/>
                <w:sz w:val="21"/>
              </w:rPr>
            </w:pPr>
          </w:p>
        </w:tc>
        <w:tc>
          <w:tcPr>
            <w:tcW w:w="949" w:type="pct"/>
            <w:noWrap w:val="0"/>
            <w:vAlign w:val="center"/>
          </w:tcPr>
          <w:p w14:paraId="4C4DEFF9">
            <w:pPr>
              <w:spacing w:line="240" w:lineRule="auto"/>
              <w:ind w:firstLine="0" w:firstLineChars="0"/>
              <w:jc w:val="center"/>
              <w:rPr>
                <w:rFonts w:hint="eastAsia"/>
                <w:color w:val="auto"/>
                <w:sz w:val="21"/>
              </w:rPr>
            </w:pPr>
            <w:r>
              <w:rPr>
                <w:rFonts w:hint="eastAsia"/>
                <w:color w:val="auto"/>
                <w:sz w:val="21"/>
              </w:rPr>
              <w:t>外露长度</w:t>
            </w:r>
          </w:p>
        </w:tc>
        <w:tc>
          <w:tcPr>
            <w:tcW w:w="1569" w:type="pct"/>
            <w:noWrap w:val="0"/>
            <w:vAlign w:val="center"/>
          </w:tcPr>
          <w:p w14:paraId="16E2AD39">
            <w:pPr>
              <w:spacing w:line="240" w:lineRule="auto"/>
              <w:ind w:firstLine="0" w:firstLineChars="0"/>
              <w:jc w:val="center"/>
              <w:rPr>
                <w:rFonts w:hint="eastAsia"/>
                <w:color w:val="auto"/>
                <w:sz w:val="21"/>
              </w:rPr>
            </w:pPr>
            <w:r>
              <w:rPr>
                <w:rFonts w:hint="eastAsia"/>
                <w:color w:val="auto"/>
                <w:sz w:val="21"/>
              </w:rPr>
              <w:t>+8，0</w:t>
            </w:r>
          </w:p>
        </w:tc>
        <w:tc>
          <w:tcPr>
            <w:tcW w:w="1569" w:type="pct"/>
            <w:vMerge w:val="continue"/>
            <w:noWrap w:val="0"/>
            <w:vAlign w:val="center"/>
          </w:tcPr>
          <w:p w14:paraId="10583B2A">
            <w:pPr>
              <w:spacing w:line="240" w:lineRule="auto"/>
              <w:ind w:firstLine="0" w:firstLineChars="0"/>
              <w:jc w:val="center"/>
              <w:rPr>
                <w:rFonts w:hint="eastAsia"/>
                <w:color w:val="auto"/>
                <w:sz w:val="21"/>
              </w:rPr>
            </w:pPr>
          </w:p>
        </w:tc>
      </w:tr>
      <w:tr w14:paraId="03478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7C8B6243">
            <w:pPr>
              <w:spacing w:line="240" w:lineRule="auto"/>
              <w:ind w:firstLine="0" w:firstLineChars="0"/>
              <w:jc w:val="center"/>
              <w:rPr>
                <w:rFonts w:hint="eastAsia"/>
                <w:color w:val="auto"/>
                <w:sz w:val="21"/>
              </w:rPr>
            </w:pPr>
            <w:r>
              <w:rPr>
                <w:rFonts w:hint="eastAsia"/>
                <w:color w:val="auto"/>
                <w:sz w:val="21"/>
              </w:rPr>
              <w:t>预埋吊环</w:t>
            </w:r>
          </w:p>
        </w:tc>
        <w:tc>
          <w:tcPr>
            <w:tcW w:w="949" w:type="pct"/>
            <w:noWrap w:val="0"/>
            <w:vAlign w:val="center"/>
          </w:tcPr>
          <w:p w14:paraId="0C614922">
            <w:pPr>
              <w:spacing w:line="240" w:lineRule="auto"/>
              <w:ind w:firstLine="0" w:firstLineChars="0"/>
              <w:jc w:val="center"/>
              <w:rPr>
                <w:rFonts w:hint="eastAsia"/>
                <w:color w:val="auto"/>
                <w:sz w:val="21"/>
              </w:rPr>
            </w:pPr>
            <w:r>
              <w:rPr>
                <w:rFonts w:hint="eastAsia"/>
                <w:color w:val="auto"/>
                <w:sz w:val="21"/>
              </w:rPr>
              <w:t>中心线位置</w:t>
            </w:r>
          </w:p>
        </w:tc>
        <w:tc>
          <w:tcPr>
            <w:tcW w:w="1569" w:type="pct"/>
            <w:noWrap w:val="0"/>
            <w:vAlign w:val="center"/>
          </w:tcPr>
          <w:p w14:paraId="159DB9F2">
            <w:pPr>
              <w:spacing w:line="240" w:lineRule="auto"/>
              <w:ind w:firstLine="0" w:firstLineChars="0"/>
              <w:jc w:val="center"/>
              <w:rPr>
                <w:rFonts w:hint="eastAsia"/>
                <w:color w:val="auto"/>
                <w:sz w:val="21"/>
              </w:rPr>
            </w:pPr>
            <w:r>
              <w:rPr>
                <w:rFonts w:hint="eastAsia"/>
                <w:color w:val="auto"/>
                <w:sz w:val="21"/>
              </w:rPr>
              <w:t>5</w:t>
            </w:r>
          </w:p>
        </w:tc>
        <w:tc>
          <w:tcPr>
            <w:tcW w:w="1569" w:type="pct"/>
            <w:vMerge w:val="restart"/>
            <w:noWrap w:val="0"/>
            <w:vAlign w:val="center"/>
          </w:tcPr>
          <w:p w14:paraId="48A30CFB">
            <w:pPr>
              <w:spacing w:line="240" w:lineRule="auto"/>
              <w:ind w:firstLine="0" w:firstLineChars="0"/>
              <w:jc w:val="center"/>
              <w:rPr>
                <w:rFonts w:hint="eastAsia"/>
                <w:color w:val="auto"/>
                <w:sz w:val="21"/>
              </w:rPr>
            </w:pPr>
            <w:r>
              <w:rPr>
                <w:rFonts w:hint="eastAsia"/>
                <w:color w:val="auto"/>
                <w:sz w:val="21"/>
              </w:rPr>
              <w:t>钢尺检查</w:t>
            </w:r>
          </w:p>
        </w:tc>
      </w:tr>
      <w:tr w14:paraId="29D7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792BEA89">
            <w:pPr>
              <w:spacing w:line="240" w:lineRule="auto"/>
              <w:ind w:firstLine="0" w:firstLineChars="0"/>
              <w:jc w:val="center"/>
              <w:rPr>
                <w:rFonts w:hint="eastAsia"/>
                <w:color w:val="auto"/>
                <w:sz w:val="21"/>
              </w:rPr>
            </w:pPr>
          </w:p>
        </w:tc>
        <w:tc>
          <w:tcPr>
            <w:tcW w:w="949" w:type="pct"/>
            <w:noWrap w:val="0"/>
            <w:vAlign w:val="center"/>
          </w:tcPr>
          <w:p w14:paraId="050D29A2">
            <w:pPr>
              <w:spacing w:line="240" w:lineRule="auto"/>
              <w:ind w:firstLine="0" w:firstLineChars="0"/>
              <w:jc w:val="center"/>
              <w:rPr>
                <w:rFonts w:hint="eastAsia"/>
                <w:color w:val="auto"/>
                <w:sz w:val="21"/>
              </w:rPr>
            </w:pPr>
            <w:r>
              <w:rPr>
                <w:rFonts w:hint="eastAsia"/>
                <w:color w:val="auto"/>
                <w:sz w:val="21"/>
              </w:rPr>
              <w:t>外露长度</w:t>
            </w:r>
          </w:p>
        </w:tc>
        <w:tc>
          <w:tcPr>
            <w:tcW w:w="1569" w:type="pct"/>
            <w:noWrap w:val="0"/>
            <w:vAlign w:val="center"/>
          </w:tcPr>
          <w:p w14:paraId="29218164">
            <w:pPr>
              <w:spacing w:line="240" w:lineRule="auto"/>
              <w:ind w:firstLine="0" w:firstLineChars="0"/>
              <w:jc w:val="center"/>
              <w:rPr>
                <w:rFonts w:hint="eastAsia"/>
                <w:color w:val="auto"/>
                <w:sz w:val="21"/>
              </w:rPr>
            </w:pPr>
            <w:r>
              <w:rPr>
                <w:rFonts w:hint="eastAsia"/>
                <w:color w:val="auto"/>
                <w:sz w:val="21"/>
              </w:rPr>
              <w:t>+8，0</w:t>
            </w:r>
          </w:p>
        </w:tc>
        <w:tc>
          <w:tcPr>
            <w:tcW w:w="1569" w:type="pct"/>
            <w:vMerge w:val="continue"/>
            <w:noWrap w:val="0"/>
            <w:vAlign w:val="center"/>
          </w:tcPr>
          <w:p w14:paraId="2441CE79">
            <w:pPr>
              <w:spacing w:line="240" w:lineRule="auto"/>
              <w:ind w:firstLine="0" w:firstLineChars="0"/>
              <w:jc w:val="center"/>
              <w:rPr>
                <w:rFonts w:hint="eastAsia"/>
                <w:color w:val="auto"/>
                <w:sz w:val="21"/>
              </w:rPr>
            </w:pPr>
          </w:p>
        </w:tc>
      </w:tr>
      <w:tr w14:paraId="59FD0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restart"/>
            <w:noWrap w:val="0"/>
            <w:vAlign w:val="center"/>
          </w:tcPr>
          <w:p w14:paraId="7D2A7095">
            <w:pPr>
              <w:spacing w:line="240" w:lineRule="auto"/>
              <w:ind w:firstLine="0" w:firstLineChars="0"/>
              <w:jc w:val="center"/>
              <w:rPr>
                <w:rFonts w:hint="eastAsia"/>
                <w:color w:val="auto"/>
                <w:sz w:val="21"/>
              </w:rPr>
            </w:pPr>
            <w:r>
              <w:rPr>
                <w:rFonts w:hint="eastAsia"/>
                <w:color w:val="auto"/>
                <w:sz w:val="21"/>
              </w:rPr>
              <w:t>预留洞</w:t>
            </w:r>
          </w:p>
        </w:tc>
        <w:tc>
          <w:tcPr>
            <w:tcW w:w="949" w:type="pct"/>
            <w:noWrap w:val="0"/>
            <w:vAlign w:val="center"/>
          </w:tcPr>
          <w:p w14:paraId="189AF851">
            <w:pPr>
              <w:spacing w:line="240" w:lineRule="auto"/>
              <w:ind w:firstLine="0" w:firstLineChars="0"/>
              <w:jc w:val="center"/>
              <w:rPr>
                <w:rFonts w:hint="eastAsia"/>
                <w:color w:val="auto"/>
                <w:sz w:val="21"/>
              </w:rPr>
            </w:pPr>
            <w:r>
              <w:rPr>
                <w:rFonts w:hint="eastAsia"/>
                <w:color w:val="auto"/>
                <w:sz w:val="21"/>
              </w:rPr>
              <w:t>中心线位置</w:t>
            </w:r>
          </w:p>
        </w:tc>
        <w:tc>
          <w:tcPr>
            <w:tcW w:w="1569" w:type="pct"/>
            <w:noWrap w:val="0"/>
            <w:vAlign w:val="center"/>
          </w:tcPr>
          <w:p w14:paraId="373E8287">
            <w:pPr>
              <w:spacing w:line="240" w:lineRule="auto"/>
              <w:ind w:firstLine="0" w:firstLineChars="0"/>
              <w:jc w:val="center"/>
              <w:rPr>
                <w:rFonts w:hint="eastAsia"/>
                <w:color w:val="auto"/>
                <w:sz w:val="21"/>
              </w:rPr>
            </w:pPr>
            <w:r>
              <w:rPr>
                <w:rFonts w:hint="eastAsia"/>
                <w:color w:val="auto"/>
                <w:sz w:val="21"/>
              </w:rPr>
              <w:t>5</w:t>
            </w:r>
          </w:p>
        </w:tc>
        <w:tc>
          <w:tcPr>
            <w:tcW w:w="1569" w:type="pct"/>
            <w:vMerge w:val="restart"/>
            <w:noWrap w:val="0"/>
            <w:vAlign w:val="center"/>
          </w:tcPr>
          <w:p w14:paraId="642DC75A">
            <w:pPr>
              <w:spacing w:line="240" w:lineRule="auto"/>
              <w:ind w:firstLine="0" w:firstLineChars="0"/>
              <w:jc w:val="center"/>
              <w:rPr>
                <w:rFonts w:hint="eastAsia"/>
                <w:color w:val="auto"/>
                <w:sz w:val="21"/>
              </w:rPr>
            </w:pPr>
            <w:r>
              <w:rPr>
                <w:rFonts w:hint="eastAsia"/>
                <w:color w:val="auto"/>
                <w:sz w:val="21"/>
              </w:rPr>
              <w:t>钢尺检查</w:t>
            </w:r>
          </w:p>
        </w:tc>
      </w:tr>
      <w:tr w14:paraId="47125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3" w:type="pct"/>
            <w:vMerge w:val="continue"/>
            <w:noWrap w:val="0"/>
            <w:vAlign w:val="center"/>
          </w:tcPr>
          <w:p w14:paraId="7C4C6E57">
            <w:pPr>
              <w:spacing w:line="240" w:lineRule="auto"/>
              <w:ind w:firstLine="0" w:firstLineChars="0"/>
              <w:jc w:val="center"/>
              <w:rPr>
                <w:rFonts w:hint="eastAsia"/>
                <w:color w:val="auto"/>
                <w:sz w:val="21"/>
              </w:rPr>
            </w:pPr>
          </w:p>
        </w:tc>
        <w:tc>
          <w:tcPr>
            <w:tcW w:w="949" w:type="pct"/>
            <w:noWrap w:val="0"/>
            <w:vAlign w:val="center"/>
          </w:tcPr>
          <w:p w14:paraId="6B33CEF6">
            <w:pPr>
              <w:spacing w:line="240" w:lineRule="auto"/>
              <w:ind w:firstLine="0" w:firstLineChars="0"/>
              <w:jc w:val="center"/>
              <w:rPr>
                <w:rFonts w:hint="eastAsia"/>
                <w:color w:val="auto"/>
                <w:sz w:val="21"/>
              </w:rPr>
            </w:pPr>
            <w:r>
              <w:rPr>
                <w:rFonts w:hint="eastAsia"/>
                <w:color w:val="auto"/>
                <w:sz w:val="21"/>
              </w:rPr>
              <w:t>尺 寸</w:t>
            </w:r>
          </w:p>
        </w:tc>
        <w:tc>
          <w:tcPr>
            <w:tcW w:w="1569" w:type="pct"/>
            <w:noWrap w:val="0"/>
            <w:vAlign w:val="center"/>
          </w:tcPr>
          <w:p w14:paraId="0E0CF0E6">
            <w:pPr>
              <w:spacing w:line="240" w:lineRule="auto"/>
              <w:ind w:firstLine="0" w:firstLineChars="0"/>
              <w:jc w:val="center"/>
              <w:rPr>
                <w:rFonts w:hint="eastAsia"/>
                <w:color w:val="auto"/>
                <w:sz w:val="21"/>
              </w:rPr>
            </w:pPr>
            <w:r>
              <w:rPr>
                <w:rFonts w:hint="eastAsia"/>
                <w:color w:val="auto"/>
                <w:sz w:val="21"/>
              </w:rPr>
              <w:t>+8，0</w:t>
            </w:r>
          </w:p>
        </w:tc>
        <w:tc>
          <w:tcPr>
            <w:tcW w:w="1569" w:type="pct"/>
            <w:vMerge w:val="continue"/>
            <w:noWrap w:val="0"/>
            <w:vAlign w:val="center"/>
          </w:tcPr>
          <w:p w14:paraId="7E74FCCF">
            <w:pPr>
              <w:spacing w:line="240" w:lineRule="auto"/>
              <w:ind w:firstLine="0" w:firstLineChars="0"/>
              <w:jc w:val="center"/>
              <w:rPr>
                <w:rFonts w:hint="eastAsia"/>
                <w:color w:val="auto"/>
                <w:sz w:val="21"/>
              </w:rPr>
            </w:pPr>
          </w:p>
        </w:tc>
      </w:tr>
      <w:tr w14:paraId="6578E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pct"/>
            <w:gridSpan w:val="2"/>
            <w:noWrap w:val="0"/>
            <w:vAlign w:val="center"/>
          </w:tcPr>
          <w:p w14:paraId="29B57545">
            <w:pPr>
              <w:spacing w:line="240" w:lineRule="auto"/>
              <w:ind w:firstLine="0" w:firstLineChars="0"/>
              <w:jc w:val="center"/>
              <w:rPr>
                <w:rFonts w:hint="eastAsia"/>
                <w:color w:val="auto"/>
                <w:sz w:val="21"/>
              </w:rPr>
            </w:pPr>
            <w:r>
              <w:rPr>
                <w:rFonts w:hint="eastAsia"/>
                <w:color w:val="auto"/>
                <w:sz w:val="21"/>
              </w:rPr>
              <w:t>预埋管、预留孔中心线位置</w:t>
            </w:r>
          </w:p>
        </w:tc>
        <w:tc>
          <w:tcPr>
            <w:tcW w:w="1569" w:type="pct"/>
            <w:noWrap w:val="0"/>
            <w:vAlign w:val="center"/>
          </w:tcPr>
          <w:p w14:paraId="13402482">
            <w:pPr>
              <w:spacing w:line="240" w:lineRule="auto"/>
              <w:ind w:firstLine="0" w:firstLineChars="0"/>
              <w:jc w:val="center"/>
              <w:rPr>
                <w:rFonts w:hint="eastAsia"/>
                <w:color w:val="auto"/>
                <w:sz w:val="21"/>
              </w:rPr>
            </w:pPr>
            <w:r>
              <w:rPr>
                <w:rFonts w:hint="eastAsia"/>
                <w:color w:val="auto"/>
                <w:sz w:val="21"/>
              </w:rPr>
              <w:t>3</w:t>
            </w:r>
          </w:p>
        </w:tc>
        <w:tc>
          <w:tcPr>
            <w:tcW w:w="1569" w:type="pct"/>
            <w:noWrap w:val="0"/>
            <w:vAlign w:val="center"/>
          </w:tcPr>
          <w:p w14:paraId="2AEAA8A7">
            <w:pPr>
              <w:spacing w:line="240" w:lineRule="auto"/>
              <w:ind w:firstLine="0" w:firstLineChars="0"/>
              <w:jc w:val="center"/>
              <w:rPr>
                <w:rFonts w:hint="eastAsia"/>
                <w:color w:val="auto"/>
                <w:sz w:val="21"/>
              </w:rPr>
            </w:pPr>
            <w:r>
              <w:rPr>
                <w:rFonts w:hint="eastAsia"/>
                <w:color w:val="auto"/>
                <w:sz w:val="21"/>
              </w:rPr>
              <w:t>钢尺检查</w:t>
            </w:r>
          </w:p>
        </w:tc>
      </w:tr>
      <w:tr w14:paraId="0DB3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62" w:type="pct"/>
            <w:gridSpan w:val="2"/>
            <w:noWrap w:val="0"/>
            <w:vAlign w:val="center"/>
          </w:tcPr>
          <w:p w14:paraId="5A670044">
            <w:pPr>
              <w:spacing w:line="240" w:lineRule="auto"/>
              <w:ind w:firstLine="0" w:firstLineChars="0"/>
              <w:jc w:val="center"/>
              <w:rPr>
                <w:rFonts w:hint="eastAsia"/>
                <w:color w:val="auto"/>
                <w:sz w:val="21"/>
              </w:rPr>
            </w:pPr>
            <w:r>
              <w:rPr>
                <w:rFonts w:hint="eastAsia"/>
                <w:color w:val="auto"/>
                <w:sz w:val="21"/>
              </w:rPr>
              <w:t>预埋接驳器中心线位置</w:t>
            </w:r>
          </w:p>
        </w:tc>
        <w:tc>
          <w:tcPr>
            <w:tcW w:w="1569" w:type="pct"/>
            <w:noWrap w:val="0"/>
            <w:vAlign w:val="center"/>
          </w:tcPr>
          <w:p w14:paraId="5DA30AE7">
            <w:pPr>
              <w:spacing w:line="240" w:lineRule="auto"/>
              <w:ind w:firstLine="0" w:firstLineChars="0"/>
              <w:jc w:val="center"/>
              <w:rPr>
                <w:rFonts w:hint="eastAsia"/>
                <w:color w:val="auto"/>
                <w:sz w:val="21"/>
              </w:rPr>
            </w:pPr>
            <w:r>
              <w:rPr>
                <w:rFonts w:hint="eastAsia"/>
                <w:color w:val="auto"/>
                <w:sz w:val="21"/>
              </w:rPr>
              <w:t>5</w:t>
            </w:r>
          </w:p>
        </w:tc>
        <w:tc>
          <w:tcPr>
            <w:tcW w:w="1569" w:type="pct"/>
            <w:noWrap w:val="0"/>
            <w:vAlign w:val="center"/>
          </w:tcPr>
          <w:p w14:paraId="6C32D3C8">
            <w:pPr>
              <w:spacing w:line="240" w:lineRule="auto"/>
              <w:ind w:firstLine="0" w:firstLineChars="0"/>
              <w:jc w:val="center"/>
              <w:rPr>
                <w:rFonts w:hint="eastAsia"/>
                <w:color w:val="auto"/>
                <w:sz w:val="21"/>
              </w:rPr>
            </w:pPr>
            <w:r>
              <w:rPr>
                <w:rFonts w:hint="eastAsia"/>
                <w:color w:val="auto"/>
                <w:sz w:val="21"/>
              </w:rPr>
              <w:t>钢尺检查</w:t>
            </w:r>
          </w:p>
        </w:tc>
      </w:tr>
    </w:tbl>
    <w:p w14:paraId="74434AAB">
      <w:pPr>
        <w:pStyle w:val="97"/>
        <w:spacing w:before="24" w:beforeLines="10" w:after="24" w:afterLines="10" w:line="432" w:lineRule="auto"/>
        <w:ind w:firstLine="560"/>
        <w:rPr>
          <w:color w:val="auto"/>
          <w:sz w:val="24"/>
          <w:szCs w:val="24"/>
        </w:rPr>
      </w:pPr>
      <w:r>
        <w:rPr>
          <w:rFonts w:hint="eastAsia"/>
          <w:color w:val="auto"/>
          <w:sz w:val="24"/>
          <w:szCs w:val="24"/>
        </w:rPr>
        <w:t>装配式构件安装质量控制措施如下：</w:t>
      </w:r>
    </w:p>
    <w:p w14:paraId="67D50A91">
      <w:pPr>
        <w:pStyle w:val="97"/>
        <w:spacing w:before="24" w:beforeLines="10" w:after="24" w:afterLines="10" w:line="432" w:lineRule="auto"/>
        <w:ind w:firstLine="560"/>
        <w:rPr>
          <w:color w:val="auto"/>
          <w:sz w:val="24"/>
          <w:szCs w:val="24"/>
        </w:rPr>
      </w:pPr>
      <w:r>
        <w:rPr>
          <w:rFonts w:hint="eastAsia"/>
          <w:color w:val="auto"/>
          <w:sz w:val="24"/>
          <w:szCs w:val="24"/>
        </w:rPr>
        <w:t>1、严格执行</w:t>
      </w:r>
      <w:r>
        <w:rPr>
          <w:rFonts w:hint="eastAsia"/>
          <w:color w:val="auto"/>
          <w:sz w:val="24"/>
          <w:szCs w:val="24"/>
          <w:lang w:eastAsia="zh-CN"/>
        </w:rPr>
        <w:t>海南</w:t>
      </w:r>
      <w:r>
        <w:rPr>
          <w:rFonts w:hint="eastAsia"/>
          <w:color w:val="auto"/>
          <w:sz w:val="24"/>
          <w:szCs w:val="24"/>
        </w:rPr>
        <w:t>省装配式混凝土结构施工质量验收标准</w:t>
      </w:r>
      <w:r>
        <w:rPr>
          <w:color w:val="auto"/>
          <w:sz w:val="24"/>
          <w:szCs w:val="24"/>
        </w:rPr>
        <w:t>DBJ/T 15-171-2019</w:t>
      </w:r>
      <w:r>
        <w:rPr>
          <w:rFonts w:hint="eastAsia"/>
          <w:color w:val="auto"/>
          <w:sz w:val="24"/>
          <w:szCs w:val="24"/>
        </w:rPr>
        <w:t>关于原材料进场检验的若干要求，控制材料进场的质量，对不符合规范要求的材料做到零容忍。</w:t>
      </w:r>
    </w:p>
    <w:p w14:paraId="049547F2">
      <w:pPr>
        <w:pStyle w:val="97"/>
        <w:spacing w:before="24" w:beforeLines="10" w:after="24" w:afterLines="10" w:line="432" w:lineRule="auto"/>
        <w:ind w:firstLine="560"/>
        <w:rPr>
          <w:color w:val="auto"/>
          <w:sz w:val="24"/>
          <w:szCs w:val="24"/>
        </w:rPr>
      </w:pPr>
      <w:r>
        <w:rPr>
          <w:rFonts w:hint="eastAsia"/>
          <w:color w:val="auto"/>
          <w:sz w:val="24"/>
          <w:szCs w:val="24"/>
        </w:rPr>
        <w:t>2、合理安排钢框架、预制钢梁、预制钢柱、钢筋桁架楼承板的存放场地，设置不少于3段的水平支撑，降低现场存放过程中产生裂缝的风险。</w:t>
      </w:r>
    </w:p>
    <w:p w14:paraId="385B1629">
      <w:pPr>
        <w:pStyle w:val="97"/>
        <w:spacing w:before="24" w:beforeLines="10" w:after="24" w:afterLines="10" w:line="432" w:lineRule="auto"/>
        <w:ind w:firstLine="560"/>
        <w:rPr>
          <w:color w:val="auto"/>
          <w:sz w:val="24"/>
          <w:szCs w:val="24"/>
        </w:rPr>
      </w:pPr>
      <w:r>
        <w:rPr>
          <w:rFonts w:hint="eastAsia"/>
          <w:color w:val="auto"/>
          <w:sz w:val="24"/>
          <w:szCs w:val="24"/>
        </w:rPr>
        <w:t>3、采用经计算可靠的支架系统，严格按照支架设计说明搭设钢筋桁架楼承板支架系统并派专人检查验收。</w:t>
      </w:r>
    </w:p>
    <w:p w14:paraId="3E864DE1">
      <w:pPr>
        <w:pStyle w:val="97"/>
        <w:spacing w:before="24" w:beforeLines="10" w:after="24" w:afterLines="10" w:line="432" w:lineRule="auto"/>
        <w:ind w:firstLine="560"/>
        <w:rPr>
          <w:color w:val="auto"/>
          <w:sz w:val="24"/>
          <w:szCs w:val="24"/>
        </w:rPr>
      </w:pPr>
      <w:r>
        <w:rPr>
          <w:rFonts w:hint="eastAsia"/>
          <w:color w:val="auto"/>
          <w:sz w:val="24"/>
          <w:szCs w:val="24"/>
        </w:rPr>
        <w:t>4、预制构件吊装时，起吊、回转、就位与调整各阶段应有可靠的操作与防护措施，以防预制构件发生碰撞扭转与变形。</w:t>
      </w:r>
    </w:p>
    <w:p w14:paraId="0A568235">
      <w:pPr>
        <w:pStyle w:val="97"/>
        <w:spacing w:before="24" w:beforeLines="10" w:after="24" w:afterLines="10" w:line="432" w:lineRule="auto"/>
        <w:ind w:firstLine="560"/>
        <w:rPr>
          <w:color w:val="auto"/>
          <w:sz w:val="24"/>
          <w:szCs w:val="24"/>
        </w:rPr>
      </w:pPr>
      <w:r>
        <w:rPr>
          <w:rFonts w:hint="eastAsia"/>
          <w:color w:val="auto"/>
          <w:sz w:val="24"/>
          <w:szCs w:val="24"/>
        </w:rPr>
        <w:t>5、严格执行设计说明中关于楼板施工荷载堆放的规定。</w:t>
      </w:r>
    </w:p>
    <w:p w14:paraId="253FD619">
      <w:pPr>
        <w:pStyle w:val="97"/>
        <w:spacing w:before="24" w:beforeLines="10" w:after="24" w:afterLines="10" w:line="432" w:lineRule="auto"/>
        <w:ind w:firstLine="560"/>
        <w:rPr>
          <w:rFonts w:hint="eastAsia"/>
          <w:color w:val="auto"/>
          <w:sz w:val="24"/>
          <w:szCs w:val="24"/>
        </w:rPr>
      </w:pPr>
      <w:r>
        <w:rPr>
          <w:rFonts w:hint="eastAsia"/>
          <w:color w:val="auto"/>
          <w:sz w:val="24"/>
          <w:szCs w:val="24"/>
        </w:rPr>
        <w:t xml:space="preserve">6、钢筋桁架楼承板部位按照如下程序施工。 </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D242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6" w:type="dxa"/>
            <w:noWrap w:val="0"/>
            <w:vAlign w:val="center"/>
          </w:tcPr>
          <w:p w14:paraId="47DEE73C">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4022090" cy="1505585"/>
                  <wp:effectExtent l="0" t="0" r="0" b="0"/>
                  <wp:docPr id="97"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2"/>
                          <pic:cNvPicPr>
                            <a:picLocks noChangeAspect="1"/>
                          </pic:cNvPicPr>
                        </pic:nvPicPr>
                        <pic:blipFill>
                          <a:blip r:embed="rId225">
                            <a:clrChange>
                              <a:clrFrom>
                                <a:srgbClr val="FFFFFF"/>
                              </a:clrFrom>
                              <a:clrTo>
                                <a:srgbClr val="FFFFFF">
                                  <a:alpha val="0"/>
                                </a:srgbClr>
                              </a:clrTo>
                            </a:clrChange>
                          </a:blip>
                          <a:stretch>
                            <a:fillRect/>
                          </a:stretch>
                        </pic:blipFill>
                        <pic:spPr>
                          <a:xfrm>
                            <a:off x="0" y="0"/>
                            <a:ext cx="4022090" cy="1505585"/>
                          </a:xfrm>
                          <a:prstGeom prst="rect">
                            <a:avLst/>
                          </a:prstGeom>
                          <a:noFill/>
                          <a:ln>
                            <a:noFill/>
                          </a:ln>
                        </pic:spPr>
                      </pic:pic>
                    </a:graphicData>
                  </a:graphic>
                </wp:inline>
              </w:drawing>
            </w:r>
          </w:p>
        </w:tc>
      </w:tr>
      <w:tr w14:paraId="11AB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6" w:type="dxa"/>
            <w:noWrap w:val="0"/>
            <w:vAlign w:val="center"/>
          </w:tcPr>
          <w:p w14:paraId="1B7F9806">
            <w:pPr>
              <w:spacing w:line="240" w:lineRule="auto"/>
              <w:ind w:firstLine="0" w:firstLineChars="0"/>
              <w:jc w:val="center"/>
              <w:rPr>
                <w:rFonts w:hint="eastAsia"/>
                <w:color w:val="auto"/>
                <w:sz w:val="21"/>
              </w:rPr>
            </w:pPr>
            <w:r>
              <w:rPr>
                <w:rFonts w:hint="eastAsia"/>
                <w:color w:val="auto"/>
                <w:sz w:val="21"/>
              </w:rPr>
              <w:t>钢筋桁架楼承板剖面图</w:t>
            </w:r>
          </w:p>
        </w:tc>
      </w:tr>
      <w:tr w14:paraId="556F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6" w:type="dxa"/>
            <w:noWrap w:val="0"/>
            <w:vAlign w:val="center"/>
          </w:tcPr>
          <w:p w14:paraId="35A3FC02">
            <w:pPr>
              <w:spacing w:line="240" w:lineRule="auto"/>
              <w:ind w:firstLine="0" w:firstLineChars="0"/>
              <w:jc w:val="center"/>
              <w:rPr>
                <w:rFonts w:hint="eastAsia"/>
                <w:color w:val="auto"/>
                <w:sz w:val="21"/>
              </w:rPr>
            </w:pPr>
            <w:r>
              <w:rPr>
                <w:rFonts w:hint="eastAsia"/>
                <w:color w:val="auto"/>
                <w:sz w:val="21"/>
              </w:rPr>
              <w:object>
                <v:shape id="_x0000_i1039" o:spt="75" type="#_x0000_t75" style="height:671.6pt;width:348.75pt;" o:ole="t" filled="f" o:preferrelative="t" stroked="f" coordsize="21600,21600">
                  <v:path/>
                  <v:fill on="f" focussize="0,0"/>
                  <v:stroke on="f"/>
                  <v:imagedata r:id="rId227" o:title=""/>
                  <o:lock v:ext="edit" aspectratio="t"/>
                  <w10:wrap type="none"/>
                  <w10:anchorlock/>
                </v:shape>
                <o:OLEObject Type="Embed" ProgID="Visio.Drawing.11" ShapeID="_x0000_i1039" DrawAspect="Content" ObjectID="_1468075739" r:id="rId226">
                  <o:LockedField>false</o:LockedField>
                </o:OLEObject>
              </w:object>
            </w:r>
          </w:p>
        </w:tc>
      </w:tr>
      <w:tr w14:paraId="4C43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6" w:type="dxa"/>
            <w:noWrap w:val="0"/>
            <w:vAlign w:val="center"/>
          </w:tcPr>
          <w:p w14:paraId="388C5CA1">
            <w:pPr>
              <w:spacing w:line="240" w:lineRule="auto"/>
              <w:ind w:firstLine="0" w:firstLineChars="0"/>
              <w:jc w:val="center"/>
              <w:rPr>
                <w:rFonts w:hint="eastAsia"/>
                <w:color w:val="auto"/>
                <w:sz w:val="21"/>
              </w:rPr>
            </w:pPr>
            <w:r>
              <w:rPr>
                <w:rFonts w:hint="eastAsia"/>
                <w:color w:val="auto"/>
                <w:sz w:val="21"/>
              </w:rPr>
              <w:t>钢筋桁架楼承板安装流程</w:t>
            </w:r>
          </w:p>
        </w:tc>
      </w:tr>
    </w:tbl>
    <w:p w14:paraId="27E8BA3D">
      <w:pPr>
        <w:pStyle w:val="97"/>
        <w:spacing w:before="24" w:beforeLines="10" w:after="24" w:afterLines="10" w:line="432" w:lineRule="auto"/>
        <w:ind w:firstLine="560"/>
        <w:rPr>
          <w:color w:val="auto"/>
          <w:sz w:val="24"/>
          <w:szCs w:val="24"/>
        </w:rPr>
      </w:pPr>
      <w:r>
        <w:rPr>
          <w:rFonts w:hint="eastAsia"/>
          <w:color w:val="auto"/>
          <w:sz w:val="24"/>
          <w:szCs w:val="24"/>
        </w:rPr>
        <w:t>预制构件运输及存放过程控制：</w:t>
      </w:r>
    </w:p>
    <w:p w14:paraId="58CEC96D">
      <w:pPr>
        <w:pStyle w:val="97"/>
        <w:spacing w:before="24" w:beforeLines="10" w:after="24" w:afterLines="10" w:line="432" w:lineRule="auto"/>
        <w:ind w:firstLine="560"/>
        <w:rPr>
          <w:color w:val="auto"/>
          <w:sz w:val="24"/>
          <w:szCs w:val="24"/>
        </w:rPr>
      </w:pPr>
      <w:r>
        <w:rPr>
          <w:rFonts w:hint="eastAsia"/>
          <w:color w:val="auto"/>
          <w:sz w:val="24"/>
          <w:szCs w:val="24"/>
        </w:rPr>
        <w:t>1、应对预制构件吊装的作业及相关人员进行安全培训与交底，明确预制构件进场、卸车、存放、吊装、就位各环节的作业风险，并制订防止危险情况的处理措施。</w:t>
      </w:r>
    </w:p>
    <w:p w14:paraId="3F03C568">
      <w:pPr>
        <w:pStyle w:val="97"/>
        <w:spacing w:before="24" w:beforeLines="10" w:after="24" w:afterLines="10" w:line="432" w:lineRule="auto"/>
        <w:ind w:firstLine="560"/>
        <w:rPr>
          <w:color w:val="auto"/>
          <w:sz w:val="24"/>
          <w:szCs w:val="24"/>
        </w:rPr>
      </w:pPr>
      <w:r>
        <w:rPr>
          <w:rFonts w:hint="eastAsia"/>
          <w:color w:val="auto"/>
          <w:sz w:val="24"/>
          <w:szCs w:val="24"/>
        </w:rPr>
        <w:t>2、预制构件卸车时，应按照规定的装卸顺序进行卸车，确保车辆平衡，避免由于卸车顺序不合理导致车辆倾覆。</w:t>
      </w:r>
    </w:p>
    <w:p w14:paraId="2DA7C9AB">
      <w:pPr>
        <w:pStyle w:val="97"/>
        <w:spacing w:before="24" w:beforeLines="10" w:after="24" w:afterLines="10" w:line="432" w:lineRule="auto"/>
        <w:ind w:firstLine="560"/>
        <w:rPr>
          <w:color w:val="auto"/>
          <w:sz w:val="24"/>
          <w:szCs w:val="24"/>
        </w:rPr>
      </w:pPr>
      <w:r>
        <w:rPr>
          <w:rFonts w:hint="eastAsia"/>
          <w:color w:val="auto"/>
          <w:sz w:val="24"/>
          <w:szCs w:val="24"/>
        </w:rPr>
        <w:t>3、预制构件卸车后，应将构件按编号或按使用顺序，依次存放于构件堆放场地，并应设置临时固定措施或采用专用存放工具，避免构件失稳造成构件倾覆。</w:t>
      </w:r>
    </w:p>
    <w:p w14:paraId="23C8CA04">
      <w:pPr>
        <w:pStyle w:val="97"/>
        <w:spacing w:before="24" w:beforeLines="10" w:after="24" w:afterLines="10" w:line="432" w:lineRule="auto"/>
        <w:ind w:firstLine="560"/>
        <w:rPr>
          <w:color w:val="auto"/>
          <w:sz w:val="24"/>
          <w:szCs w:val="24"/>
        </w:rPr>
      </w:pPr>
      <w:r>
        <w:rPr>
          <w:rFonts w:hint="eastAsia"/>
          <w:color w:val="auto"/>
          <w:sz w:val="24"/>
          <w:szCs w:val="24"/>
        </w:rPr>
        <w:t>4、构件堆放场地需硬化，表面平整，无积水。</w:t>
      </w:r>
    </w:p>
    <w:p w14:paraId="7179AEB1">
      <w:pPr>
        <w:pStyle w:val="97"/>
        <w:spacing w:before="24" w:beforeLines="10" w:after="24" w:afterLines="10" w:line="432" w:lineRule="auto"/>
        <w:ind w:firstLine="560"/>
        <w:rPr>
          <w:color w:val="auto"/>
          <w:sz w:val="24"/>
          <w:szCs w:val="24"/>
        </w:rPr>
      </w:pPr>
      <w:r>
        <w:rPr>
          <w:rFonts w:hint="eastAsia"/>
          <w:color w:val="auto"/>
          <w:sz w:val="24"/>
          <w:szCs w:val="24"/>
        </w:rPr>
        <w:t>5、构件堆放应使用垫木，垫木必须上下对齐，楼板构件沿长向垫木间距不得大于 1.6m，防止构件变形。</w:t>
      </w:r>
    </w:p>
    <w:p w14:paraId="46C6AADE">
      <w:pPr>
        <w:pStyle w:val="97"/>
        <w:spacing w:before="24" w:beforeLines="10" w:after="24" w:afterLines="10" w:line="432" w:lineRule="auto"/>
        <w:ind w:firstLine="560"/>
        <w:rPr>
          <w:color w:val="auto"/>
          <w:sz w:val="24"/>
          <w:szCs w:val="24"/>
        </w:rPr>
      </w:pPr>
      <w:r>
        <w:rPr>
          <w:rFonts w:hint="eastAsia"/>
          <w:color w:val="auto"/>
          <w:sz w:val="24"/>
          <w:szCs w:val="24"/>
        </w:rPr>
        <w:t xml:space="preserve">6、每堆构件与构件之间，应留出一定的距离，应考虑运输吊运等位置，放置车辆进出碰坏构件。 </w:t>
      </w:r>
    </w:p>
    <w:p w14:paraId="71C29B31">
      <w:pPr>
        <w:pStyle w:val="97"/>
        <w:spacing w:before="24" w:beforeLines="10" w:after="24" w:afterLines="10" w:line="432" w:lineRule="auto"/>
        <w:ind w:firstLine="560"/>
        <w:rPr>
          <w:color w:val="auto"/>
          <w:sz w:val="24"/>
          <w:szCs w:val="24"/>
        </w:rPr>
      </w:pPr>
      <w:r>
        <w:rPr>
          <w:rFonts w:hint="eastAsia"/>
          <w:color w:val="auto"/>
          <w:sz w:val="24"/>
          <w:szCs w:val="24"/>
        </w:rPr>
        <w:t>7、构件起吊及放下，必须“轻起轻放”，防止猛烈冲击导致构件损坏、裂缝等。</w:t>
      </w:r>
    </w:p>
    <w:p w14:paraId="08BEC783">
      <w:pPr>
        <w:pStyle w:val="97"/>
        <w:spacing w:before="24" w:beforeLines="10" w:after="24" w:afterLines="10" w:line="432" w:lineRule="auto"/>
        <w:ind w:firstLine="560"/>
        <w:rPr>
          <w:rFonts w:hint="eastAsia"/>
          <w:color w:val="auto"/>
          <w:sz w:val="24"/>
          <w:szCs w:val="24"/>
        </w:rPr>
      </w:pPr>
      <w:r>
        <w:rPr>
          <w:rFonts w:hint="eastAsia"/>
          <w:color w:val="auto"/>
          <w:sz w:val="24"/>
          <w:szCs w:val="24"/>
        </w:rPr>
        <w:t>8、装运时多层构件之间应设置垫木，垫木设置原则同构件堆放原则，板两端（至板端200mn）及中跨均应设置垫木且间距不大于1.6m，堆放高度不宜大于6层。</w:t>
      </w:r>
    </w:p>
    <w:p w14:paraId="1B8AB412">
      <w:pPr>
        <w:pStyle w:val="97"/>
        <w:spacing w:before="24" w:beforeLines="10" w:after="24" w:afterLines="10" w:line="432" w:lineRule="auto"/>
        <w:ind w:firstLine="560"/>
        <w:rPr>
          <w:color w:val="auto"/>
          <w:sz w:val="24"/>
          <w:szCs w:val="24"/>
        </w:rPr>
      </w:pPr>
      <w:r>
        <w:rPr>
          <w:rFonts w:hint="eastAsia"/>
          <w:color w:val="auto"/>
          <w:sz w:val="24"/>
          <w:szCs w:val="24"/>
        </w:rPr>
        <w:t>9、构件运输时应用绳索将构件绑扎牢固，防止运输过程中构件晃动导致损伤。</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6BF4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6" w:type="dxa"/>
            <w:noWrap w:val="0"/>
            <w:vAlign w:val="center"/>
          </w:tcPr>
          <w:p w14:paraId="1E3A49C1">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3860800" cy="2121535"/>
                  <wp:effectExtent l="0" t="0" r="0" b="12065"/>
                  <wp:docPr id="87"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44"/>
                          <pic:cNvPicPr>
                            <a:picLocks noChangeAspect="1"/>
                          </pic:cNvPicPr>
                        </pic:nvPicPr>
                        <pic:blipFill>
                          <a:blip r:embed="rId228"/>
                          <a:stretch>
                            <a:fillRect/>
                          </a:stretch>
                        </pic:blipFill>
                        <pic:spPr>
                          <a:xfrm>
                            <a:off x="0" y="0"/>
                            <a:ext cx="3860800" cy="2121535"/>
                          </a:xfrm>
                          <a:prstGeom prst="rect">
                            <a:avLst/>
                          </a:prstGeom>
                          <a:noFill/>
                          <a:ln>
                            <a:noFill/>
                          </a:ln>
                        </pic:spPr>
                      </pic:pic>
                    </a:graphicData>
                  </a:graphic>
                </wp:inline>
              </w:drawing>
            </w:r>
          </w:p>
        </w:tc>
      </w:tr>
      <w:tr w14:paraId="22AC9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86" w:type="dxa"/>
            <w:noWrap w:val="0"/>
            <w:vAlign w:val="center"/>
          </w:tcPr>
          <w:p w14:paraId="41E8B94C">
            <w:pPr>
              <w:spacing w:line="240" w:lineRule="auto"/>
              <w:ind w:firstLine="0" w:firstLineChars="0"/>
              <w:jc w:val="center"/>
              <w:rPr>
                <w:rFonts w:hint="eastAsia"/>
                <w:color w:val="auto"/>
                <w:sz w:val="21"/>
              </w:rPr>
            </w:pPr>
            <w:r>
              <w:rPr>
                <w:rFonts w:hint="eastAsia"/>
                <w:color w:val="auto"/>
                <w:sz w:val="21"/>
              </w:rPr>
              <w:t>垫木摆放示意图</w:t>
            </w:r>
          </w:p>
        </w:tc>
      </w:tr>
    </w:tbl>
    <w:p w14:paraId="2E11F420">
      <w:pPr>
        <w:pStyle w:val="6"/>
        <w:ind w:firstLine="480"/>
        <w:rPr>
          <w:rFonts w:ascii="宋体" w:hAnsi="宋体"/>
          <w:b w:val="0"/>
          <w:bCs w:val="0"/>
          <w:color w:val="auto"/>
        </w:rPr>
      </w:pPr>
      <w:bookmarkStart w:id="335" w:name="_Toc75894989"/>
      <w:bookmarkStart w:id="336" w:name="_Toc29296"/>
      <w:bookmarkStart w:id="337" w:name="_Toc76234095"/>
      <w:bookmarkStart w:id="338" w:name="_Toc126528427"/>
      <w:r>
        <w:rPr>
          <w:rFonts w:hint="eastAsia" w:ascii="宋体" w:hAnsi="宋体"/>
          <w:color w:val="auto"/>
        </w:rPr>
        <w:t>防水工程质量保证措施</w:t>
      </w:r>
      <w:bookmarkEnd w:id="335"/>
      <w:bookmarkEnd w:id="336"/>
      <w:bookmarkEnd w:id="337"/>
      <w:bookmarkEnd w:id="338"/>
    </w:p>
    <w:p w14:paraId="74B7DF7E">
      <w:pPr>
        <w:pStyle w:val="97"/>
        <w:spacing w:before="24" w:beforeLines="10" w:after="24" w:afterLines="10" w:line="432" w:lineRule="auto"/>
        <w:ind w:firstLine="560"/>
        <w:rPr>
          <w:color w:val="auto"/>
          <w:sz w:val="24"/>
          <w:szCs w:val="24"/>
        </w:rPr>
      </w:pPr>
      <w:r>
        <w:rPr>
          <w:rFonts w:hint="eastAsia"/>
          <w:color w:val="auto"/>
          <w:sz w:val="24"/>
          <w:szCs w:val="24"/>
        </w:rPr>
        <w:t>建筑防水施工符合《建筑防水技术规范》要求，防水材料应有明确标志、产品执行标准、说明书、合格证等，工程质量高于招标文件的质量要求。本工程防水主要包括：地下防水工程，包括地下室底板、地下室外墙的防水，其中底板防水是施工质量控制的重点；室内防水工程，重点控制卫生间等管道根部的防水处理的施工质量；屋面防水工程。</w:t>
      </w:r>
    </w:p>
    <w:p w14:paraId="591A5AF3">
      <w:pPr>
        <w:pStyle w:val="97"/>
        <w:spacing w:before="24" w:beforeLines="10" w:after="24" w:afterLines="10" w:line="432" w:lineRule="auto"/>
        <w:ind w:firstLine="560"/>
        <w:rPr>
          <w:color w:val="auto"/>
          <w:sz w:val="24"/>
          <w:szCs w:val="24"/>
        </w:rPr>
      </w:pPr>
      <w:r>
        <w:rPr>
          <w:rFonts w:hint="eastAsia"/>
          <w:color w:val="auto"/>
          <w:sz w:val="24"/>
          <w:szCs w:val="24"/>
        </w:rPr>
        <w:t>1、涂料防水</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3872"/>
        <w:gridCol w:w="4528"/>
      </w:tblGrid>
      <w:tr w14:paraId="080C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450B654C">
            <w:pPr>
              <w:spacing w:line="240" w:lineRule="auto"/>
              <w:ind w:firstLine="0" w:firstLineChars="0"/>
              <w:jc w:val="center"/>
              <w:rPr>
                <w:rFonts w:hint="eastAsia"/>
                <w:color w:val="auto"/>
                <w:sz w:val="21"/>
              </w:rPr>
            </w:pPr>
            <w:r>
              <w:rPr>
                <w:rFonts w:hint="eastAsia"/>
                <w:color w:val="auto"/>
                <w:sz w:val="21"/>
              </w:rPr>
              <w:t>序号</w:t>
            </w:r>
          </w:p>
        </w:tc>
        <w:tc>
          <w:tcPr>
            <w:tcW w:w="4636" w:type="pct"/>
            <w:gridSpan w:val="2"/>
            <w:noWrap w:val="0"/>
            <w:vAlign w:val="center"/>
          </w:tcPr>
          <w:p w14:paraId="257C9CE5">
            <w:pPr>
              <w:spacing w:line="240" w:lineRule="auto"/>
              <w:ind w:firstLine="0" w:firstLineChars="0"/>
              <w:jc w:val="center"/>
              <w:rPr>
                <w:rFonts w:hint="eastAsia"/>
                <w:color w:val="auto"/>
                <w:sz w:val="21"/>
              </w:rPr>
            </w:pPr>
            <w:r>
              <w:rPr>
                <w:rFonts w:hint="eastAsia"/>
                <w:color w:val="auto"/>
                <w:sz w:val="21"/>
              </w:rPr>
              <w:t>保证措施</w:t>
            </w:r>
          </w:p>
        </w:tc>
      </w:tr>
      <w:tr w14:paraId="75C73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2D28352D">
            <w:pPr>
              <w:spacing w:line="240" w:lineRule="auto"/>
              <w:ind w:firstLine="0" w:firstLineChars="0"/>
              <w:jc w:val="center"/>
              <w:rPr>
                <w:rFonts w:hint="eastAsia"/>
                <w:color w:val="auto"/>
                <w:sz w:val="21"/>
              </w:rPr>
            </w:pPr>
            <w:r>
              <w:rPr>
                <w:rFonts w:hint="eastAsia"/>
                <w:color w:val="auto"/>
                <w:sz w:val="21"/>
              </w:rPr>
              <w:t>1</w:t>
            </w:r>
          </w:p>
        </w:tc>
        <w:tc>
          <w:tcPr>
            <w:tcW w:w="4636" w:type="pct"/>
            <w:gridSpan w:val="2"/>
            <w:noWrap w:val="0"/>
            <w:vAlign w:val="center"/>
          </w:tcPr>
          <w:p w14:paraId="5D38CB91">
            <w:pPr>
              <w:spacing w:line="240" w:lineRule="auto"/>
              <w:ind w:firstLine="0" w:firstLineChars="0"/>
              <w:jc w:val="center"/>
              <w:rPr>
                <w:rFonts w:hint="eastAsia"/>
                <w:color w:val="auto"/>
                <w:sz w:val="21"/>
              </w:rPr>
            </w:pPr>
            <w:r>
              <w:rPr>
                <w:rFonts w:hint="eastAsia"/>
                <w:color w:val="auto"/>
                <w:sz w:val="21"/>
              </w:rPr>
              <w:t>涂料防水层所用材料有明确标志、产品执行标准、说明书、出厂合格证、质量检验报告、复检实验报告合格，且材料及配合比必须符合设计要求。</w:t>
            </w:r>
          </w:p>
        </w:tc>
      </w:tr>
      <w:tr w14:paraId="12B46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691B83B4">
            <w:pPr>
              <w:spacing w:line="240" w:lineRule="auto"/>
              <w:ind w:firstLine="0" w:firstLineChars="0"/>
              <w:jc w:val="center"/>
              <w:rPr>
                <w:rFonts w:hint="eastAsia"/>
                <w:color w:val="auto"/>
                <w:sz w:val="21"/>
              </w:rPr>
            </w:pPr>
            <w:r>
              <w:rPr>
                <w:rFonts w:hint="eastAsia"/>
                <w:color w:val="auto"/>
                <w:sz w:val="21"/>
              </w:rPr>
              <w:t>2</w:t>
            </w:r>
          </w:p>
        </w:tc>
        <w:tc>
          <w:tcPr>
            <w:tcW w:w="4636" w:type="pct"/>
            <w:gridSpan w:val="2"/>
            <w:noWrap w:val="0"/>
            <w:vAlign w:val="center"/>
          </w:tcPr>
          <w:p w14:paraId="2B18CEF8">
            <w:pPr>
              <w:spacing w:line="240" w:lineRule="auto"/>
              <w:ind w:firstLine="0" w:firstLineChars="0"/>
              <w:jc w:val="center"/>
              <w:rPr>
                <w:rFonts w:hint="eastAsia"/>
                <w:color w:val="auto"/>
                <w:sz w:val="21"/>
              </w:rPr>
            </w:pPr>
            <w:r>
              <w:rPr>
                <w:rFonts w:hint="eastAsia"/>
                <w:color w:val="auto"/>
                <w:sz w:val="21"/>
              </w:rPr>
              <w:t>涂料防水层的基层应牢固，基面应洁净、平整、不得有空鼓、松动、起砂和脱皮现象；基层阴阳角应做成圆弧形。</w:t>
            </w:r>
          </w:p>
        </w:tc>
      </w:tr>
      <w:tr w14:paraId="4E2D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6D359036">
            <w:pPr>
              <w:spacing w:line="240" w:lineRule="auto"/>
              <w:ind w:firstLine="0" w:firstLineChars="0"/>
              <w:jc w:val="center"/>
              <w:rPr>
                <w:rFonts w:hint="eastAsia"/>
                <w:color w:val="auto"/>
                <w:sz w:val="21"/>
              </w:rPr>
            </w:pPr>
            <w:r>
              <w:rPr>
                <w:rFonts w:hint="eastAsia"/>
                <w:color w:val="auto"/>
                <w:sz w:val="21"/>
              </w:rPr>
              <w:t>3</w:t>
            </w:r>
          </w:p>
        </w:tc>
        <w:tc>
          <w:tcPr>
            <w:tcW w:w="4636" w:type="pct"/>
            <w:gridSpan w:val="2"/>
            <w:noWrap w:val="0"/>
            <w:vAlign w:val="center"/>
          </w:tcPr>
          <w:p w14:paraId="0F510F36">
            <w:pPr>
              <w:spacing w:line="240" w:lineRule="auto"/>
              <w:ind w:firstLine="0" w:firstLineChars="0"/>
              <w:jc w:val="center"/>
              <w:rPr>
                <w:rFonts w:hint="eastAsia"/>
                <w:color w:val="auto"/>
                <w:sz w:val="21"/>
              </w:rPr>
            </w:pPr>
            <w:r>
              <w:rPr>
                <w:rFonts w:hint="eastAsia"/>
                <w:color w:val="auto"/>
                <w:sz w:val="21"/>
              </w:rPr>
              <w:t>涂料防水层应与基层粘结牢固，表面平整、涂刷均匀，不得有流淌、皱折、鼓泡、露胎体和翘边等缺陷。</w:t>
            </w:r>
          </w:p>
        </w:tc>
      </w:tr>
      <w:tr w14:paraId="071AA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4FB2AA32">
            <w:pPr>
              <w:spacing w:line="240" w:lineRule="auto"/>
              <w:ind w:firstLine="0" w:firstLineChars="0"/>
              <w:jc w:val="center"/>
              <w:rPr>
                <w:rFonts w:hint="eastAsia"/>
                <w:color w:val="auto"/>
                <w:sz w:val="21"/>
              </w:rPr>
            </w:pPr>
            <w:r>
              <w:rPr>
                <w:rFonts w:hint="eastAsia"/>
                <w:color w:val="auto"/>
                <w:sz w:val="21"/>
              </w:rPr>
              <w:t>4</w:t>
            </w:r>
          </w:p>
        </w:tc>
        <w:tc>
          <w:tcPr>
            <w:tcW w:w="4636" w:type="pct"/>
            <w:gridSpan w:val="2"/>
            <w:noWrap w:val="0"/>
            <w:vAlign w:val="center"/>
          </w:tcPr>
          <w:p w14:paraId="71E17C38">
            <w:pPr>
              <w:spacing w:line="240" w:lineRule="auto"/>
              <w:ind w:firstLine="0" w:firstLineChars="0"/>
              <w:jc w:val="center"/>
              <w:rPr>
                <w:rFonts w:hint="eastAsia"/>
                <w:color w:val="auto"/>
                <w:sz w:val="21"/>
              </w:rPr>
            </w:pPr>
            <w:r>
              <w:rPr>
                <w:rFonts w:hint="eastAsia"/>
                <w:color w:val="auto"/>
                <w:sz w:val="21"/>
              </w:rPr>
              <w:t>防水层的平均厚度应符合实际要求，最小厚度不得小于设计厚度的80％。</w:t>
            </w:r>
          </w:p>
        </w:tc>
      </w:tr>
      <w:tr w14:paraId="13D01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1E897365">
            <w:pPr>
              <w:spacing w:line="240" w:lineRule="auto"/>
              <w:ind w:firstLine="0" w:firstLineChars="0"/>
              <w:jc w:val="center"/>
              <w:rPr>
                <w:rFonts w:hint="eastAsia"/>
                <w:color w:val="auto"/>
                <w:sz w:val="21"/>
              </w:rPr>
            </w:pPr>
            <w:r>
              <w:rPr>
                <w:rFonts w:hint="eastAsia"/>
                <w:color w:val="auto"/>
                <w:sz w:val="21"/>
              </w:rPr>
              <w:t>5</w:t>
            </w:r>
          </w:p>
        </w:tc>
        <w:tc>
          <w:tcPr>
            <w:tcW w:w="4636" w:type="pct"/>
            <w:gridSpan w:val="2"/>
            <w:noWrap w:val="0"/>
            <w:vAlign w:val="center"/>
          </w:tcPr>
          <w:p w14:paraId="247805D5">
            <w:pPr>
              <w:spacing w:line="240" w:lineRule="auto"/>
              <w:ind w:firstLine="0" w:firstLineChars="0"/>
              <w:jc w:val="center"/>
              <w:rPr>
                <w:rFonts w:hint="eastAsia"/>
                <w:color w:val="auto"/>
                <w:sz w:val="21"/>
              </w:rPr>
            </w:pPr>
            <w:r>
              <w:rPr>
                <w:rFonts w:hint="eastAsia"/>
                <w:color w:val="auto"/>
                <w:sz w:val="21"/>
              </w:rPr>
              <w:t>侧墙涂料防水层的保护层和防水层粘结牢固，结合紧密，厚度均匀一致。</w:t>
            </w:r>
          </w:p>
        </w:tc>
      </w:tr>
      <w:tr w14:paraId="3ABBE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noWrap w:val="0"/>
            <w:vAlign w:val="center"/>
          </w:tcPr>
          <w:p w14:paraId="285D4B66">
            <w:pPr>
              <w:spacing w:line="240" w:lineRule="auto"/>
              <w:ind w:firstLine="0" w:firstLineChars="0"/>
              <w:jc w:val="center"/>
              <w:rPr>
                <w:rFonts w:hint="eastAsia"/>
                <w:color w:val="auto"/>
                <w:sz w:val="21"/>
              </w:rPr>
            </w:pPr>
            <w:r>
              <w:rPr>
                <w:rFonts w:hint="eastAsia"/>
                <w:color w:val="auto"/>
                <w:sz w:val="21"/>
              </w:rPr>
              <w:t>6</w:t>
            </w:r>
          </w:p>
        </w:tc>
        <w:tc>
          <w:tcPr>
            <w:tcW w:w="4636" w:type="pct"/>
            <w:gridSpan w:val="2"/>
            <w:noWrap w:val="0"/>
            <w:vAlign w:val="center"/>
          </w:tcPr>
          <w:p w14:paraId="7267A28D">
            <w:pPr>
              <w:spacing w:line="240" w:lineRule="auto"/>
              <w:ind w:firstLine="0" w:firstLineChars="0"/>
              <w:jc w:val="center"/>
              <w:rPr>
                <w:rFonts w:hint="eastAsia"/>
                <w:color w:val="auto"/>
                <w:sz w:val="21"/>
              </w:rPr>
            </w:pPr>
            <w:r>
              <w:rPr>
                <w:rFonts w:hint="eastAsia"/>
                <w:color w:val="auto"/>
                <w:sz w:val="21"/>
              </w:rPr>
              <w:t>涂料防水层的施工质量检验数量，应按涂层面积每100m2抽查一处，每处10m2，且不得少于3处。</w:t>
            </w:r>
          </w:p>
        </w:tc>
      </w:tr>
      <w:tr w14:paraId="5E832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01" w:type="pct"/>
            <w:gridSpan w:val="2"/>
            <w:noWrap w:val="0"/>
            <w:vAlign w:val="center"/>
          </w:tcPr>
          <w:p w14:paraId="377D375D">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371600" cy="1091565"/>
                  <wp:effectExtent l="0" t="0" r="0" b="635"/>
                  <wp:docPr id="96"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5"/>
                          <pic:cNvPicPr>
                            <a:picLocks noChangeAspect="1"/>
                          </pic:cNvPicPr>
                        </pic:nvPicPr>
                        <pic:blipFill>
                          <a:blip r:embed="rId229"/>
                          <a:stretch>
                            <a:fillRect/>
                          </a:stretch>
                        </pic:blipFill>
                        <pic:spPr>
                          <a:xfrm>
                            <a:off x="0" y="0"/>
                            <a:ext cx="1371600" cy="1091565"/>
                          </a:xfrm>
                          <a:prstGeom prst="rect">
                            <a:avLst/>
                          </a:prstGeom>
                          <a:noFill/>
                          <a:ln>
                            <a:noFill/>
                          </a:ln>
                        </pic:spPr>
                      </pic:pic>
                    </a:graphicData>
                  </a:graphic>
                </wp:inline>
              </w:drawing>
            </w:r>
          </w:p>
        </w:tc>
        <w:tc>
          <w:tcPr>
            <w:tcW w:w="2499" w:type="pct"/>
            <w:noWrap w:val="0"/>
            <w:vAlign w:val="center"/>
          </w:tcPr>
          <w:p w14:paraId="5B82B3E8">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562735" cy="1181735"/>
                  <wp:effectExtent l="0" t="0" r="12065" b="12065"/>
                  <wp:docPr id="10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46"/>
                          <pic:cNvPicPr>
                            <a:picLocks noChangeAspect="1"/>
                          </pic:cNvPicPr>
                        </pic:nvPicPr>
                        <pic:blipFill>
                          <a:blip r:embed="rId230"/>
                          <a:stretch>
                            <a:fillRect/>
                          </a:stretch>
                        </pic:blipFill>
                        <pic:spPr>
                          <a:xfrm>
                            <a:off x="0" y="0"/>
                            <a:ext cx="1562735" cy="1181735"/>
                          </a:xfrm>
                          <a:prstGeom prst="rect">
                            <a:avLst/>
                          </a:prstGeom>
                          <a:noFill/>
                          <a:ln>
                            <a:noFill/>
                          </a:ln>
                        </pic:spPr>
                      </pic:pic>
                    </a:graphicData>
                  </a:graphic>
                </wp:inline>
              </w:drawing>
            </w:r>
          </w:p>
        </w:tc>
      </w:tr>
      <w:tr w14:paraId="58C2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01" w:type="pct"/>
            <w:gridSpan w:val="2"/>
            <w:noWrap w:val="0"/>
            <w:vAlign w:val="center"/>
          </w:tcPr>
          <w:p w14:paraId="65F9FACB">
            <w:pPr>
              <w:spacing w:line="240" w:lineRule="auto"/>
              <w:ind w:firstLine="0" w:firstLineChars="0"/>
              <w:jc w:val="center"/>
              <w:rPr>
                <w:rFonts w:hint="eastAsia"/>
                <w:color w:val="auto"/>
                <w:sz w:val="21"/>
              </w:rPr>
            </w:pPr>
            <w:r>
              <w:rPr>
                <w:rFonts w:hint="eastAsia"/>
                <w:color w:val="auto"/>
                <w:sz w:val="21"/>
              </w:rPr>
              <w:t>防水涂料施工</w:t>
            </w:r>
          </w:p>
        </w:tc>
        <w:tc>
          <w:tcPr>
            <w:tcW w:w="2499" w:type="pct"/>
            <w:noWrap w:val="0"/>
            <w:vAlign w:val="center"/>
          </w:tcPr>
          <w:p w14:paraId="7170713D">
            <w:pPr>
              <w:spacing w:line="240" w:lineRule="auto"/>
              <w:ind w:firstLine="0" w:firstLineChars="0"/>
              <w:jc w:val="center"/>
              <w:rPr>
                <w:rFonts w:hint="eastAsia"/>
                <w:color w:val="auto"/>
                <w:sz w:val="21"/>
              </w:rPr>
            </w:pPr>
            <w:r>
              <w:rPr>
                <w:rFonts w:hint="eastAsia"/>
                <w:color w:val="auto"/>
                <w:sz w:val="21"/>
              </w:rPr>
              <w:t>防水涂料出厂合格证</w:t>
            </w:r>
          </w:p>
        </w:tc>
      </w:tr>
    </w:tbl>
    <w:p w14:paraId="258BDE9E">
      <w:pPr>
        <w:pStyle w:val="97"/>
        <w:spacing w:before="24" w:beforeLines="10" w:after="24" w:afterLines="10" w:line="432" w:lineRule="auto"/>
        <w:ind w:firstLine="560"/>
        <w:rPr>
          <w:color w:val="auto"/>
          <w:sz w:val="24"/>
          <w:szCs w:val="24"/>
        </w:rPr>
      </w:pPr>
      <w:r>
        <w:rPr>
          <w:rFonts w:hint="eastAsia"/>
          <w:color w:val="auto"/>
          <w:sz w:val="24"/>
          <w:szCs w:val="24"/>
        </w:rPr>
        <w:t>2、卷材防水</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3733"/>
        <w:gridCol w:w="4530"/>
      </w:tblGrid>
      <w:tr w14:paraId="42CA2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0" w:type="pct"/>
            <w:noWrap w:val="0"/>
            <w:vAlign w:val="center"/>
          </w:tcPr>
          <w:p w14:paraId="69E5D395">
            <w:pPr>
              <w:spacing w:line="240" w:lineRule="auto"/>
              <w:ind w:firstLine="0" w:firstLineChars="0"/>
              <w:jc w:val="center"/>
              <w:rPr>
                <w:rFonts w:hint="eastAsia"/>
                <w:color w:val="auto"/>
                <w:sz w:val="21"/>
              </w:rPr>
            </w:pPr>
            <w:r>
              <w:rPr>
                <w:rFonts w:hint="eastAsia"/>
                <w:color w:val="auto"/>
                <w:sz w:val="21"/>
              </w:rPr>
              <w:t>序号</w:t>
            </w:r>
          </w:p>
        </w:tc>
        <w:tc>
          <w:tcPr>
            <w:tcW w:w="4560" w:type="pct"/>
            <w:gridSpan w:val="2"/>
            <w:noWrap w:val="0"/>
            <w:vAlign w:val="center"/>
          </w:tcPr>
          <w:p w14:paraId="6D0567D5">
            <w:pPr>
              <w:spacing w:line="240" w:lineRule="auto"/>
              <w:ind w:firstLine="0" w:firstLineChars="0"/>
              <w:jc w:val="center"/>
              <w:rPr>
                <w:rFonts w:hint="eastAsia"/>
                <w:color w:val="auto"/>
                <w:sz w:val="21"/>
              </w:rPr>
            </w:pPr>
            <w:r>
              <w:rPr>
                <w:rFonts w:hint="eastAsia"/>
                <w:color w:val="auto"/>
                <w:sz w:val="21"/>
              </w:rPr>
              <w:t>保证措施</w:t>
            </w:r>
          </w:p>
        </w:tc>
      </w:tr>
      <w:tr w14:paraId="3A091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2FECFD01">
            <w:pPr>
              <w:spacing w:line="240" w:lineRule="auto"/>
              <w:ind w:firstLine="0" w:firstLineChars="0"/>
              <w:jc w:val="center"/>
              <w:rPr>
                <w:rFonts w:hint="eastAsia"/>
                <w:color w:val="auto"/>
                <w:sz w:val="21"/>
              </w:rPr>
            </w:pPr>
            <w:r>
              <w:rPr>
                <w:rFonts w:hint="eastAsia"/>
                <w:color w:val="auto"/>
                <w:sz w:val="21"/>
              </w:rPr>
              <w:t>1</w:t>
            </w:r>
          </w:p>
        </w:tc>
        <w:tc>
          <w:tcPr>
            <w:tcW w:w="4560" w:type="pct"/>
            <w:gridSpan w:val="2"/>
            <w:noWrap w:val="0"/>
            <w:vAlign w:val="center"/>
          </w:tcPr>
          <w:p w14:paraId="430D377D">
            <w:pPr>
              <w:spacing w:line="240" w:lineRule="auto"/>
              <w:ind w:firstLine="0" w:firstLineChars="0"/>
              <w:jc w:val="center"/>
              <w:rPr>
                <w:rFonts w:hint="eastAsia"/>
                <w:color w:val="auto"/>
                <w:sz w:val="21"/>
              </w:rPr>
            </w:pPr>
            <w:r>
              <w:rPr>
                <w:rFonts w:hint="eastAsia"/>
                <w:color w:val="auto"/>
                <w:sz w:val="21"/>
              </w:rPr>
              <w:t>防水卷材所用材料有明确标志、产品执行标准、说明书、出厂合格证、质量检验报告、复检实验报告合格，且材料及配合比必须符合设计要求。</w:t>
            </w:r>
          </w:p>
        </w:tc>
      </w:tr>
      <w:tr w14:paraId="4B8B9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0E72FFCB">
            <w:pPr>
              <w:spacing w:line="240" w:lineRule="auto"/>
              <w:ind w:firstLine="0" w:firstLineChars="0"/>
              <w:jc w:val="center"/>
              <w:rPr>
                <w:rFonts w:hint="eastAsia"/>
                <w:color w:val="auto"/>
                <w:sz w:val="21"/>
              </w:rPr>
            </w:pPr>
            <w:r>
              <w:rPr>
                <w:rFonts w:hint="eastAsia"/>
                <w:color w:val="auto"/>
                <w:sz w:val="21"/>
              </w:rPr>
              <w:t>2</w:t>
            </w:r>
          </w:p>
        </w:tc>
        <w:tc>
          <w:tcPr>
            <w:tcW w:w="4560" w:type="pct"/>
            <w:gridSpan w:val="2"/>
            <w:noWrap w:val="0"/>
            <w:vAlign w:val="center"/>
          </w:tcPr>
          <w:p w14:paraId="1053EC2B">
            <w:pPr>
              <w:spacing w:line="240" w:lineRule="auto"/>
              <w:ind w:firstLine="0" w:firstLineChars="0"/>
              <w:jc w:val="center"/>
              <w:rPr>
                <w:rFonts w:hint="eastAsia"/>
                <w:color w:val="auto"/>
                <w:sz w:val="21"/>
              </w:rPr>
            </w:pPr>
            <w:r>
              <w:rPr>
                <w:rFonts w:hint="eastAsia"/>
                <w:color w:val="auto"/>
                <w:sz w:val="21"/>
              </w:rPr>
              <w:t>卷材防水层的搭接缝应粘结牢固，密封严密，不得有皱折、翘边和鼓泡等缺陷。</w:t>
            </w:r>
          </w:p>
        </w:tc>
      </w:tr>
      <w:tr w14:paraId="5E075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6FCA8662">
            <w:pPr>
              <w:spacing w:line="240" w:lineRule="auto"/>
              <w:ind w:firstLine="0" w:firstLineChars="0"/>
              <w:jc w:val="center"/>
              <w:rPr>
                <w:rFonts w:hint="eastAsia"/>
                <w:color w:val="auto"/>
                <w:sz w:val="21"/>
              </w:rPr>
            </w:pPr>
            <w:r>
              <w:rPr>
                <w:rFonts w:hint="eastAsia"/>
                <w:color w:val="auto"/>
                <w:sz w:val="21"/>
              </w:rPr>
              <w:t>3</w:t>
            </w:r>
          </w:p>
        </w:tc>
        <w:tc>
          <w:tcPr>
            <w:tcW w:w="4560" w:type="pct"/>
            <w:gridSpan w:val="2"/>
            <w:noWrap w:val="0"/>
            <w:vAlign w:val="center"/>
          </w:tcPr>
          <w:p w14:paraId="1DF743E8">
            <w:pPr>
              <w:spacing w:line="240" w:lineRule="auto"/>
              <w:ind w:firstLine="0" w:firstLineChars="0"/>
              <w:jc w:val="center"/>
              <w:rPr>
                <w:rFonts w:hint="eastAsia"/>
                <w:color w:val="auto"/>
                <w:sz w:val="21"/>
              </w:rPr>
            </w:pPr>
            <w:r>
              <w:rPr>
                <w:rFonts w:hint="eastAsia"/>
                <w:color w:val="auto"/>
                <w:sz w:val="21"/>
              </w:rPr>
              <w:t>卷材的搭接宽度的允许偏差为-10mm。</w:t>
            </w:r>
          </w:p>
        </w:tc>
      </w:tr>
      <w:tr w14:paraId="4DB0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0B70274D">
            <w:pPr>
              <w:spacing w:line="240" w:lineRule="auto"/>
              <w:ind w:firstLine="0" w:firstLineChars="0"/>
              <w:jc w:val="center"/>
              <w:rPr>
                <w:rFonts w:hint="eastAsia"/>
                <w:color w:val="auto"/>
                <w:sz w:val="21"/>
              </w:rPr>
            </w:pPr>
            <w:r>
              <w:rPr>
                <w:rFonts w:hint="eastAsia"/>
                <w:color w:val="auto"/>
                <w:sz w:val="21"/>
              </w:rPr>
              <w:t>4</w:t>
            </w:r>
          </w:p>
        </w:tc>
        <w:tc>
          <w:tcPr>
            <w:tcW w:w="4560" w:type="pct"/>
            <w:gridSpan w:val="2"/>
            <w:noWrap w:val="0"/>
            <w:vAlign w:val="center"/>
          </w:tcPr>
          <w:p w14:paraId="6454A345">
            <w:pPr>
              <w:spacing w:line="240" w:lineRule="auto"/>
              <w:ind w:firstLine="0" w:firstLineChars="0"/>
              <w:jc w:val="center"/>
              <w:rPr>
                <w:rFonts w:hint="eastAsia"/>
                <w:color w:val="auto"/>
                <w:sz w:val="21"/>
              </w:rPr>
            </w:pPr>
            <w:r>
              <w:rPr>
                <w:rFonts w:hint="eastAsia"/>
                <w:color w:val="auto"/>
                <w:sz w:val="21"/>
              </w:rPr>
              <w:t>两幅卷材短边和长边的搭接宽度均不应小于100mm，接缝口应采用宽度不小于10mm的密封材料封严。</w:t>
            </w:r>
          </w:p>
        </w:tc>
      </w:tr>
      <w:tr w14:paraId="4739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28BCED62">
            <w:pPr>
              <w:spacing w:line="240" w:lineRule="auto"/>
              <w:ind w:firstLine="0" w:firstLineChars="0"/>
              <w:jc w:val="center"/>
              <w:rPr>
                <w:rFonts w:hint="eastAsia"/>
                <w:color w:val="auto"/>
                <w:sz w:val="21"/>
              </w:rPr>
            </w:pPr>
            <w:r>
              <w:rPr>
                <w:rFonts w:hint="eastAsia"/>
                <w:color w:val="auto"/>
                <w:sz w:val="21"/>
              </w:rPr>
              <w:t>5</w:t>
            </w:r>
          </w:p>
        </w:tc>
        <w:tc>
          <w:tcPr>
            <w:tcW w:w="4560" w:type="pct"/>
            <w:gridSpan w:val="2"/>
            <w:noWrap w:val="0"/>
            <w:vAlign w:val="center"/>
          </w:tcPr>
          <w:p w14:paraId="4EB3992D">
            <w:pPr>
              <w:spacing w:line="240" w:lineRule="auto"/>
              <w:ind w:firstLine="0" w:firstLineChars="0"/>
              <w:jc w:val="center"/>
              <w:rPr>
                <w:rFonts w:hint="eastAsia"/>
                <w:color w:val="auto"/>
                <w:sz w:val="21"/>
              </w:rPr>
            </w:pPr>
            <w:r>
              <w:rPr>
                <w:rFonts w:hint="eastAsia"/>
                <w:color w:val="auto"/>
                <w:sz w:val="21"/>
              </w:rPr>
              <w:t>卷材搭接缝结合面应清洗干净，均匀涂刷胶粘剂后，要控制好胶粘剂涂刷与粘合间隔时间，粘合时要排净接缝间的空气，辊压粘牢。</w:t>
            </w:r>
          </w:p>
        </w:tc>
      </w:tr>
      <w:tr w14:paraId="5E4F9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6E548C4E">
            <w:pPr>
              <w:spacing w:line="240" w:lineRule="auto"/>
              <w:ind w:firstLine="0" w:firstLineChars="0"/>
              <w:jc w:val="center"/>
              <w:rPr>
                <w:rFonts w:hint="eastAsia"/>
                <w:color w:val="auto"/>
                <w:sz w:val="21"/>
              </w:rPr>
            </w:pPr>
            <w:r>
              <w:rPr>
                <w:rFonts w:hint="eastAsia"/>
                <w:color w:val="auto"/>
                <w:sz w:val="21"/>
              </w:rPr>
              <w:t>6</w:t>
            </w:r>
          </w:p>
        </w:tc>
        <w:tc>
          <w:tcPr>
            <w:tcW w:w="4560" w:type="pct"/>
            <w:gridSpan w:val="2"/>
            <w:noWrap w:val="0"/>
            <w:vAlign w:val="center"/>
          </w:tcPr>
          <w:p w14:paraId="3BD8F5EF">
            <w:pPr>
              <w:spacing w:line="240" w:lineRule="auto"/>
              <w:ind w:firstLine="0" w:firstLineChars="0"/>
              <w:jc w:val="center"/>
              <w:rPr>
                <w:rFonts w:hint="eastAsia"/>
                <w:color w:val="auto"/>
                <w:sz w:val="21"/>
              </w:rPr>
            </w:pPr>
            <w:r>
              <w:rPr>
                <w:rFonts w:hint="eastAsia"/>
                <w:color w:val="auto"/>
                <w:sz w:val="21"/>
              </w:rPr>
              <w:t>滚铺卷材时接缝部位应溢出沥青热熔胶，并随即刮封接口使接缝粘结严密。</w:t>
            </w:r>
          </w:p>
        </w:tc>
      </w:tr>
      <w:tr w14:paraId="14735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5863A761">
            <w:pPr>
              <w:spacing w:line="240" w:lineRule="auto"/>
              <w:ind w:firstLine="0" w:firstLineChars="0"/>
              <w:jc w:val="center"/>
              <w:rPr>
                <w:rFonts w:hint="eastAsia"/>
                <w:color w:val="auto"/>
                <w:sz w:val="21"/>
              </w:rPr>
            </w:pPr>
            <w:r>
              <w:rPr>
                <w:rFonts w:hint="eastAsia"/>
                <w:color w:val="auto"/>
                <w:sz w:val="21"/>
              </w:rPr>
              <w:t>7</w:t>
            </w:r>
          </w:p>
        </w:tc>
        <w:tc>
          <w:tcPr>
            <w:tcW w:w="4560" w:type="pct"/>
            <w:gridSpan w:val="2"/>
            <w:noWrap w:val="0"/>
            <w:vAlign w:val="center"/>
          </w:tcPr>
          <w:p w14:paraId="2C00049E">
            <w:pPr>
              <w:spacing w:line="240" w:lineRule="auto"/>
              <w:ind w:firstLine="0" w:firstLineChars="0"/>
              <w:jc w:val="center"/>
              <w:rPr>
                <w:rFonts w:hint="eastAsia"/>
                <w:color w:val="auto"/>
                <w:sz w:val="21"/>
              </w:rPr>
            </w:pPr>
            <w:r>
              <w:rPr>
                <w:rFonts w:hint="eastAsia"/>
                <w:color w:val="auto"/>
                <w:sz w:val="21"/>
              </w:rPr>
              <w:t>卷铺后的卷材应平整、顺直、搭接尺寸正确，不得有扭曲。</w:t>
            </w:r>
          </w:p>
        </w:tc>
      </w:tr>
      <w:tr w14:paraId="7AEC6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16A45476">
            <w:pPr>
              <w:spacing w:line="240" w:lineRule="auto"/>
              <w:ind w:firstLine="0" w:firstLineChars="0"/>
              <w:jc w:val="center"/>
              <w:rPr>
                <w:rFonts w:hint="eastAsia"/>
                <w:color w:val="auto"/>
                <w:sz w:val="21"/>
              </w:rPr>
            </w:pPr>
            <w:r>
              <w:rPr>
                <w:rFonts w:hint="eastAsia"/>
                <w:color w:val="auto"/>
                <w:sz w:val="21"/>
              </w:rPr>
              <w:t>8</w:t>
            </w:r>
          </w:p>
        </w:tc>
        <w:tc>
          <w:tcPr>
            <w:tcW w:w="4560" w:type="pct"/>
            <w:gridSpan w:val="2"/>
            <w:noWrap w:val="0"/>
            <w:vAlign w:val="center"/>
          </w:tcPr>
          <w:p w14:paraId="27CDCC1F">
            <w:pPr>
              <w:spacing w:line="240" w:lineRule="auto"/>
              <w:ind w:firstLine="0" w:firstLineChars="0"/>
              <w:jc w:val="center"/>
              <w:rPr>
                <w:rFonts w:hint="eastAsia"/>
                <w:color w:val="auto"/>
                <w:sz w:val="21"/>
              </w:rPr>
            </w:pPr>
            <w:r>
              <w:rPr>
                <w:rFonts w:hint="eastAsia"/>
                <w:color w:val="auto"/>
                <w:sz w:val="21"/>
              </w:rPr>
              <w:t>卷材防水层的施工质量检验数量，应按铺贴面积每100m2抽查一处，每处10m2，且不得少于3处。</w:t>
            </w:r>
          </w:p>
        </w:tc>
      </w:tr>
      <w:tr w14:paraId="31C00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00" w:type="pct"/>
            <w:gridSpan w:val="2"/>
            <w:noWrap w:val="0"/>
            <w:vAlign w:val="center"/>
          </w:tcPr>
          <w:p w14:paraId="6BEF292C">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358900" cy="1079500"/>
                  <wp:effectExtent l="0" t="0" r="0" b="0"/>
                  <wp:docPr id="88"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47"/>
                          <pic:cNvPicPr>
                            <a:picLocks noChangeAspect="1"/>
                          </pic:cNvPicPr>
                        </pic:nvPicPr>
                        <pic:blipFill>
                          <a:blip r:embed="rId231"/>
                          <a:stretch>
                            <a:fillRect/>
                          </a:stretch>
                        </pic:blipFill>
                        <pic:spPr>
                          <a:xfrm>
                            <a:off x="0" y="0"/>
                            <a:ext cx="1358900" cy="1079500"/>
                          </a:xfrm>
                          <a:prstGeom prst="rect">
                            <a:avLst/>
                          </a:prstGeom>
                          <a:noFill/>
                          <a:ln>
                            <a:noFill/>
                          </a:ln>
                        </pic:spPr>
                      </pic:pic>
                    </a:graphicData>
                  </a:graphic>
                </wp:inline>
              </w:drawing>
            </w:r>
          </w:p>
        </w:tc>
        <w:tc>
          <w:tcPr>
            <w:tcW w:w="2500" w:type="pct"/>
            <w:noWrap w:val="0"/>
            <w:vAlign w:val="center"/>
          </w:tcPr>
          <w:p w14:paraId="447A1EEB">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079500"/>
                  <wp:effectExtent l="0" t="0" r="0" b="0"/>
                  <wp:docPr id="89"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48"/>
                          <pic:cNvPicPr>
                            <a:picLocks noChangeAspect="1"/>
                          </pic:cNvPicPr>
                        </pic:nvPicPr>
                        <pic:blipFill>
                          <a:blip r:embed="rId232"/>
                          <a:stretch>
                            <a:fillRect/>
                          </a:stretch>
                        </pic:blipFill>
                        <pic:spPr>
                          <a:xfrm>
                            <a:off x="0" y="0"/>
                            <a:ext cx="1435100" cy="1079500"/>
                          </a:xfrm>
                          <a:prstGeom prst="rect">
                            <a:avLst/>
                          </a:prstGeom>
                          <a:noFill/>
                          <a:ln>
                            <a:noFill/>
                          </a:ln>
                        </pic:spPr>
                      </pic:pic>
                    </a:graphicData>
                  </a:graphic>
                </wp:inline>
              </w:drawing>
            </w:r>
          </w:p>
        </w:tc>
      </w:tr>
      <w:tr w14:paraId="0C51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00" w:type="pct"/>
            <w:gridSpan w:val="2"/>
            <w:noWrap w:val="0"/>
            <w:vAlign w:val="center"/>
          </w:tcPr>
          <w:p w14:paraId="607150BE">
            <w:pPr>
              <w:spacing w:line="240" w:lineRule="auto"/>
              <w:ind w:firstLine="0" w:firstLineChars="0"/>
              <w:jc w:val="center"/>
              <w:rPr>
                <w:rFonts w:hint="eastAsia"/>
                <w:color w:val="auto"/>
                <w:sz w:val="21"/>
              </w:rPr>
            </w:pPr>
            <w:r>
              <w:rPr>
                <w:rFonts w:hint="eastAsia"/>
                <w:color w:val="auto"/>
                <w:sz w:val="21"/>
              </w:rPr>
              <w:t>防水卷材</w:t>
            </w:r>
          </w:p>
        </w:tc>
        <w:tc>
          <w:tcPr>
            <w:tcW w:w="2500" w:type="pct"/>
            <w:noWrap w:val="0"/>
            <w:vAlign w:val="center"/>
          </w:tcPr>
          <w:p w14:paraId="74E5A180">
            <w:pPr>
              <w:spacing w:line="240" w:lineRule="auto"/>
              <w:ind w:firstLine="0" w:firstLineChars="0"/>
              <w:jc w:val="center"/>
              <w:rPr>
                <w:rFonts w:hint="eastAsia"/>
                <w:color w:val="auto"/>
                <w:sz w:val="21"/>
              </w:rPr>
            </w:pPr>
            <w:r>
              <w:rPr>
                <w:rFonts w:hint="eastAsia"/>
                <w:color w:val="auto"/>
                <w:sz w:val="21"/>
              </w:rPr>
              <w:t>防水卷材</w:t>
            </w:r>
          </w:p>
        </w:tc>
      </w:tr>
      <w:tr w14:paraId="57DBF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00" w:type="pct"/>
            <w:gridSpan w:val="2"/>
            <w:noWrap w:val="0"/>
            <w:vAlign w:val="center"/>
          </w:tcPr>
          <w:p w14:paraId="773EE6D0">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435100" cy="1066800"/>
                  <wp:effectExtent l="0" t="0" r="0" b="0"/>
                  <wp:docPr id="90"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49"/>
                          <pic:cNvPicPr>
                            <a:picLocks noChangeAspect="1"/>
                          </pic:cNvPicPr>
                        </pic:nvPicPr>
                        <pic:blipFill>
                          <a:blip r:embed="rId233"/>
                          <a:stretch>
                            <a:fillRect/>
                          </a:stretch>
                        </pic:blipFill>
                        <pic:spPr>
                          <a:xfrm>
                            <a:off x="0" y="0"/>
                            <a:ext cx="1435100" cy="1066800"/>
                          </a:xfrm>
                          <a:prstGeom prst="rect">
                            <a:avLst/>
                          </a:prstGeom>
                          <a:noFill/>
                          <a:ln>
                            <a:noFill/>
                          </a:ln>
                        </pic:spPr>
                      </pic:pic>
                    </a:graphicData>
                  </a:graphic>
                </wp:inline>
              </w:drawing>
            </w:r>
          </w:p>
        </w:tc>
        <w:tc>
          <w:tcPr>
            <w:tcW w:w="2500" w:type="pct"/>
            <w:noWrap w:val="0"/>
            <w:vAlign w:val="center"/>
          </w:tcPr>
          <w:p w14:paraId="137484A5">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1524000" cy="1155700"/>
                  <wp:effectExtent l="0" t="0" r="0" b="0"/>
                  <wp:docPr id="94"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50"/>
                          <pic:cNvPicPr>
                            <a:picLocks noChangeAspect="1"/>
                          </pic:cNvPicPr>
                        </pic:nvPicPr>
                        <pic:blipFill>
                          <a:blip r:embed="rId234"/>
                          <a:stretch>
                            <a:fillRect/>
                          </a:stretch>
                        </pic:blipFill>
                        <pic:spPr>
                          <a:xfrm>
                            <a:off x="0" y="0"/>
                            <a:ext cx="1524000" cy="1155700"/>
                          </a:xfrm>
                          <a:prstGeom prst="rect">
                            <a:avLst/>
                          </a:prstGeom>
                          <a:noFill/>
                          <a:ln>
                            <a:noFill/>
                          </a:ln>
                        </pic:spPr>
                      </pic:pic>
                    </a:graphicData>
                  </a:graphic>
                </wp:inline>
              </w:drawing>
            </w:r>
          </w:p>
        </w:tc>
      </w:tr>
      <w:tr w14:paraId="672C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00" w:type="pct"/>
            <w:gridSpan w:val="2"/>
            <w:noWrap w:val="0"/>
            <w:vAlign w:val="center"/>
          </w:tcPr>
          <w:p w14:paraId="2788F3DA">
            <w:pPr>
              <w:spacing w:line="240" w:lineRule="auto"/>
              <w:ind w:firstLine="0" w:firstLineChars="0"/>
              <w:jc w:val="center"/>
              <w:rPr>
                <w:rFonts w:hint="eastAsia"/>
                <w:color w:val="auto"/>
                <w:sz w:val="21"/>
              </w:rPr>
            </w:pPr>
            <w:r>
              <w:rPr>
                <w:rFonts w:hint="eastAsia"/>
                <w:color w:val="auto"/>
                <w:sz w:val="21"/>
              </w:rPr>
              <w:t>防水卷材</w:t>
            </w:r>
          </w:p>
        </w:tc>
        <w:tc>
          <w:tcPr>
            <w:tcW w:w="2500" w:type="pct"/>
            <w:noWrap w:val="0"/>
            <w:vAlign w:val="center"/>
          </w:tcPr>
          <w:p w14:paraId="61889AB5">
            <w:pPr>
              <w:spacing w:line="240" w:lineRule="auto"/>
              <w:ind w:firstLine="0" w:firstLineChars="0"/>
              <w:jc w:val="center"/>
              <w:rPr>
                <w:rFonts w:hint="eastAsia"/>
                <w:color w:val="auto"/>
                <w:sz w:val="21"/>
              </w:rPr>
            </w:pPr>
            <w:r>
              <w:rPr>
                <w:rFonts w:hint="eastAsia"/>
                <w:color w:val="auto"/>
                <w:sz w:val="21"/>
              </w:rPr>
              <w:t>防水卷材合格证</w:t>
            </w:r>
          </w:p>
        </w:tc>
      </w:tr>
    </w:tbl>
    <w:p w14:paraId="2AA06CA6">
      <w:pPr>
        <w:pStyle w:val="97"/>
        <w:spacing w:before="24" w:beforeLines="10" w:after="24" w:afterLines="10" w:line="432" w:lineRule="auto"/>
        <w:ind w:firstLine="560"/>
        <w:rPr>
          <w:color w:val="auto"/>
          <w:sz w:val="24"/>
          <w:szCs w:val="24"/>
        </w:rPr>
      </w:pPr>
      <w:r>
        <w:rPr>
          <w:color w:val="auto"/>
          <w:sz w:val="24"/>
          <w:szCs w:val="24"/>
        </w:rPr>
        <w:t>3</w:t>
      </w:r>
      <w:r>
        <w:rPr>
          <w:rFonts w:hint="eastAsia"/>
          <w:color w:val="auto"/>
          <w:sz w:val="24"/>
          <w:szCs w:val="24"/>
        </w:rPr>
        <w:t>.结构渗漏风险控制</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1107"/>
        <w:gridCol w:w="1383"/>
        <w:gridCol w:w="1381"/>
        <w:gridCol w:w="4530"/>
      </w:tblGrid>
      <w:tr w14:paraId="5184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364" w:type="pct"/>
            <w:noWrap w:val="0"/>
            <w:vAlign w:val="center"/>
          </w:tcPr>
          <w:p w14:paraId="1DDB3B42">
            <w:pPr>
              <w:spacing w:line="240" w:lineRule="auto"/>
              <w:ind w:firstLine="0" w:firstLineChars="0"/>
              <w:jc w:val="center"/>
              <w:rPr>
                <w:rFonts w:hint="eastAsia"/>
                <w:color w:val="auto"/>
                <w:sz w:val="21"/>
              </w:rPr>
            </w:pPr>
            <w:r>
              <w:rPr>
                <w:rFonts w:hint="eastAsia"/>
                <w:color w:val="auto"/>
                <w:sz w:val="21"/>
              </w:rPr>
              <w:t>序号</w:t>
            </w:r>
          </w:p>
        </w:tc>
        <w:tc>
          <w:tcPr>
            <w:tcW w:w="611" w:type="pct"/>
            <w:noWrap w:val="0"/>
            <w:vAlign w:val="center"/>
          </w:tcPr>
          <w:p w14:paraId="771FC837">
            <w:pPr>
              <w:spacing w:line="240" w:lineRule="auto"/>
              <w:ind w:firstLine="0" w:firstLineChars="0"/>
              <w:jc w:val="center"/>
              <w:rPr>
                <w:rFonts w:hint="eastAsia"/>
                <w:color w:val="auto"/>
                <w:sz w:val="21"/>
              </w:rPr>
            </w:pPr>
            <w:r>
              <w:rPr>
                <w:rFonts w:hint="eastAsia"/>
                <w:color w:val="auto"/>
                <w:sz w:val="21"/>
              </w:rPr>
              <w:t>控制项</w:t>
            </w:r>
          </w:p>
        </w:tc>
        <w:tc>
          <w:tcPr>
            <w:tcW w:w="763" w:type="pct"/>
            <w:noWrap w:val="0"/>
            <w:vAlign w:val="center"/>
          </w:tcPr>
          <w:p w14:paraId="78FFB2DD">
            <w:pPr>
              <w:spacing w:line="240" w:lineRule="auto"/>
              <w:ind w:firstLine="0" w:firstLineChars="0"/>
              <w:jc w:val="center"/>
              <w:rPr>
                <w:rFonts w:hint="eastAsia"/>
                <w:color w:val="auto"/>
                <w:sz w:val="21"/>
              </w:rPr>
            </w:pPr>
            <w:r>
              <w:rPr>
                <w:rFonts w:hint="eastAsia"/>
                <w:color w:val="auto"/>
                <w:sz w:val="21"/>
              </w:rPr>
              <w:t>控制内容</w:t>
            </w:r>
          </w:p>
        </w:tc>
        <w:tc>
          <w:tcPr>
            <w:tcW w:w="3263" w:type="pct"/>
            <w:gridSpan w:val="2"/>
            <w:noWrap w:val="0"/>
            <w:vAlign w:val="center"/>
          </w:tcPr>
          <w:p w14:paraId="6B50FD2A">
            <w:pPr>
              <w:spacing w:line="240" w:lineRule="auto"/>
              <w:ind w:firstLine="0" w:firstLineChars="0"/>
              <w:jc w:val="center"/>
              <w:rPr>
                <w:rFonts w:hint="eastAsia"/>
                <w:color w:val="auto"/>
                <w:sz w:val="21"/>
              </w:rPr>
            </w:pPr>
            <w:r>
              <w:rPr>
                <w:rFonts w:hint="eastAsia"/>
                <w:color w:val="auto"/>
                <w:sz w:val="21"/>
              </w:rPr>
              <w:t>检查要点</w:t>
            </w:r>
          </w:p>
        </w:tc>
      </w:tr>
      <w:tr w14:paraId="24B0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17E6A160">
            <w:pPr>
              <w:spacing w:line="240" w:lineRule="auto"/>
              <w:ind w:firstLine="0" w:firstLineChars="0"/>
              <w:jc w:val="center"/>
              <w:rPr>
                <w:rFonts w:hint="eastAsia"/>
                <w:color w:val="auto"/>
                <w:sz w:val="21"/>
              </w:rPr>
            </w:pPr>
            <w:r>
              <w:rPr>
                <w:rFonts w:hint="eastAsia"/>
                <w:color w:val="auto"/>
                <w:sz w:val="21"/>
              </w:rPr>
              <w:t>1</w:t>
            </w:r>
          </w:p>
        </w:tc>
        <w:tc>
          <w:tcPr>
            <w:tcW w:w="611" w:type="pct"/>
            <w:noWrap w:val="0"/>
            <w:vAlign w:val="center"/>
          </w:tcPr>
          <w:p w14:paraId="33DB4AFC">
            <w:pPr>
              <w:spacing w:line="240" w:lineRule="auto"/>
              <w:ind w:firstLine="0" w:firstLineChars="0"/>
              <w:jc w:val="center"/>
              <w:rPr>
                <w:rFonts w:hint="eastAsia"/>
                <w:color w:val="auto"/>
                <w:sz w:val="21"/>
              </w:rPr>
            </w:pPr>
            <w:r>
              <w:rPr>
                <w:rFonts w:hint="eastAsia"/>
                <w:color w:val="auto"/>
                <w:sz w:val="21"/>
              </w:rPr>
              <w:t>混凝土表面缺陷</w:t>
            </w:r>
          </w:p>
        </w:tc>
        <w:tc>
          <w:tcPr>
            <w:tcW w:w="763" w:type="pct"/>
            <w:noWrap w:val="0"/>
            <w:vAlign w:val="center"/>
          </w:tcPr>
          <w:p w14:paraId="1BFF8BE0">
            <w:pPr>
              <w:spacing w:line="240" w:lineRule="auto"/>
              <w:ind w:firstLine="0" w:firstLineChars="0"/>
              <w:jc w:val="center"/>
              <w:rPr>
                <w:rFonts w:hint="eastAsia"/>
                <w:color w:val="auto"/>
                <w:sz w:val="21"/>
              </w:rPr>
            </w:pPr>
            <w:r>
              <w:rPr>
                <w:rFonts w:hint="eastAsia"/>
                <w:color w:val="auto"/>
                <w:sz w:val="21"/>
              </w:rPr>
              <w:t>混凝土表面缺陷</w:t>
            </w:r>
          </w:p>
        </w:tc>
        <w:tc>
          <w:tcPr>
            <w:tcW w:w="3263" w:type="pct"/>
            <w:gridSpan w:val="2"/>
            <w:noWrap w:val="0"/>
            <w:vAlign w:val="top"/>
          </w:tcPr>
          <w:p w14:paraId="47F6E295">
            <w:pPr>
              <w:spacing w:line="240" w:lineRule="auto"/>
              <w:ind w:firstLine="0" w:firstLineChars="0"/>
              <w:jc w:val="center"/>
              <w:rPr>
                <w:rFonts w:hint="eastAsia"/>
                <w:color w:val="auto"/>
                <w:sz w:val="21"/>
              </w:rPr>
            </w:pPr>
            <w:r>
              <w:rPr>
                <w:rFonts w:hint="eastAsia"/>
                <w:color w:val="auto"/>
                <w:sz w:val="21"/>
              </w:rPr>
              <w:t>地下室底板、侧墙、顶板不应出现开裂、渗漏现象，地下室主体不得出现蜂窝、麻面、露筋、孔洞、大面积修补等缺陷（露筋、烂根（长 30 公分）、狗洞、夹渣(长10 公分）等质量缺陷。</w:t>
            </w:r>
          </w:p>
        </w:tc>
      </w:tr>
      <w:tr w14:paraId="3F2E2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restart"/>
            <w:noWrap w:val="0"/>
            <w:vAlign w:val="center"/>
          </w:tcPr>
          <w:p w14:paraId="5664B8D7">
            <w:pPr>
              <w:spacing w:line="240" w:lineRule="auto"/>
              <w:ind w:firstLine="0" w:firstLineChars="0"/>
              <w:jc w:val="center"/>
              <w:rPr>
                <w:rFonts w:hint="eastAsia"/>
                <w:color w:val="auto"/>
                <w:sz w:val="21"/>
              </w:rPr>
            </w:pPr>
            <w:r>
              <w:rPr>
                <w:rFonts w:hint="eastAsia"/>
                <w:color w:val="auto"/>
                <w:sz w:val="21"/>
              </w:rPr>
              <w:t>2</w:t>
            </w:r>
          </w:p>
        </w:tc>
        <w:tc>
          <w:tcPr>
            <w:tcW w:w="611" w:type="pct"/>
            <w:vMerge w:val="restart"/>
            <w:noWrap w:val="0"/>
            <w:vAlign w:val="center"/>
          </w:tcPr>
          <w:p w14:paraId="36441251">
            <w:pPr>
              <w:spacing w:line="240" w:lineRule="auto"/>
              <w:ind w:firstLine="0" w:firstLineChars="0"/>
              <w:jc w:val="center"/>
              <w:rPr>
                <w:rFonts w:hint="eastAsia"/>
                <w:color w:val="auto"/>
                <w:sz w:val="21"/>
              </w:rPr>
            </w:pPr>
            <w:r>
              <w:rPr>
                <w:rFonts w:hint="eastAsia"/>
                <w:color w:val="auto"/>
                <w:sz w:val="21"/>
              </w:rPr>
              <w:t>止水螺杆</w:t>
            </w:r>
          </w:p>
          <w:p w14:paraId="0723234D">
            <w:pPr>
              <w:spacing w:line="240" w:lineRule="auto"/>
              <w:ind w:firstLine="0" w:firstLineChars="0"/>
              <w:jc w:val="center"/>
              <w:rPr>
                <w:rFonts w:hint="eastAsia"/>
                <w:color w:val="auto"/>
                <w:sz w:val="21"/>
              </w:rPr>
            </w:pPr>
          </w:p>
        </w:tc>
        <w:tc>
          <w:tcPr>
            <w:tcW w:w="763" w:type="pct"/>
            <w:noWrap w:val="0"/>
            <w:vAlign w:val="center"/>
          </w:tcPr>
          <w:p w14:paraId="55174D1F">
            <w:pPr>
              <w:spacing w:line="240" w:lineRule="auto"/>
              <w:ind w:firstLine="0" w:firstLineChars="0"/>
              <w:jc w:val="center"/>
              <w:rPr>
                <w:rFonts w:hint="eastAsia"/>
                <w:color w:val="auto"/>
                <w:sz w:val="21"/>
              </w:rPr>
            </w:pPr>
            <w:r>
              <w:rPr>
                <w:rFonts w:hint="eastAsia"/>
                <w:color w:val="auto"/>
                <w:sz w:val="21"/>
              </w:rPr>
              <w:t>止水螺杆设置</w:t>
            </w:r>
          </w:p>
        </w:tc>
        <w:tc>
          <w:tcPr>
            <w:tcW w:w="3263" w:type="pct"/>
            <w:gridSpan w:val="2"/>
            <w:noWrap w:val="0"/>
            <w:vAlign w:val="top"/>
          </w:tcPr>
          <w:p w14:paraId="2B08E708">
            <w:pPr>
              <w:spacing w:line="240" w:lineRule="auto"/>
              <w:ind w:firstLine="0" w:firstLineChars="0"/>
              <w:jc w:val="center"/>
              <w:rPr>
                <w:rFonts w:hint="eastAsia"/>
                <w:color w:val="auto"/>
                <w:sz w:val="21"/>
              </w:rPr>
            </w:pPr>
            <w:r>
              <w:rPr>
                <w:rFonts w:hint="eastAsia"/>
                <w:color w:val="auto"/>
                <w:sz w:val="21"/>
              </w:rPr>
              <w:t>地下室防水区域外墙应采用止水螺杆，止水螺杆应设置止水片，</w:t>
            </w:r>
          </w:p>
          <w:p w14:paraId="3B66B340">
            <w:pPr>
              <w:spacing w:line="240" w:lineRule="auto"/>
              <w:ind w:firstLine="0" w:firstLineChars="0"/>
              <w:jc w:val="center"/>
              <w:rPr>
                <w:rFonts w:hint="eastAsia"/>
                <w:color w:val="auto"/>
                <w:sz w:val="21"/>
              </w:rPr>
            </w:pPr>
            <w:r>
              <w:rPr>
                <w:rFonts w:hint="eastAsia"/>
                <w:color w:val="auto"/>
                <w:sz w:val="21"/>
              </w:rPr>
              <w:t>止水片应满焊到位，规格不低于 3cmX3cm，厚度不低于设计要求。</w:t>
            </w:r>
          </w:p>
        </w:tc>
      </w:tr>
      <w:tr w14:paraId="6739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continue"/>
            <w:noWrap w:val="0"/>
            <w:vAlign w:val="center"/>
          </w:tcPr>
          <w:p w14:paraId="66EA6137">
            <w:pPr>
              <w:spacing w:line="240" w:lineRule="auto"/>
              <w:ind w:firstLine="0" w:firstLineChars="0"/>
              <w:jc w:val="center"/>
              <w:rPr>
                <w:rFonts w:hint="eastAsia"/>
                <w:color w:val="auto"/>
                <w:sz w:val="21"/>
              </w:rPr>
            </w:pPr>
          </w:p>
        </w:tc>
        <w:tc>
          <w:tcPr>
            <w:tcW w:w="611" w:type="pct"/>
            <w:vMerge w:val="continue"/>
            <w:noWrap w:val="0"/>
            <w:vAlign w:val="center"/>
          </w:tcPr>
          <w:p w14:paraId="55E027EC">
            <w:pPr>
              <w:spacing w:line="240" w:lineRule="auto"/>
              <w:ind w:firstLine="0" w:firstLineChars="0"/>
              <w:jc w:val="center"/>
              <w:rPr>
                <w:rFonts w:hint="eastAsia"/>
                <w:color w:val="auto"/>
                <w:sz w:val="21"/>
              </w:rPr>
            </w:pPr>
          </w:p>
        </w:tc>
        <w:tc>
          <w:tcPr>
            <w:tcW w:w="763" w:type="pct"/>
            <w:noWrap w:val="0"/>
            <w:vAlign w:val="center"/>
          </w:tcPr>
          <w:p w14:paraId="62B4998A">
            <w:pPr>
              <w:spacing w:line="240" w:lineRule="auto"/>
              <w:ind w:firstLine="0" w:firstLineChars="0"/>
              <w:jc w:val="center"/>
              <w:rPr>
                <w:rFonts w:hint="eastAsia"/>
                <w:color w:val="auto"/>
                <w:sz w:val="21"/>
              </w:rPr>
            </w:pPr>
            <w:r>
              <w:rPr>
                <w:rFonts w:hint="eastAsia"/>
                <w:color w:val="auto"/>
                <w:sz w:val="21"/>
              </w:rPr>
              <w:t>止水螺杆封堵质量</w:t>
            </w:r>
          </w:p>
        </w:tc>
        <w:tc>
          <w:tcPr>
            <w:tcW w:w="3263" w:type="pct"/>
            <w:gridSpan w:val="2"/>
            <w:noWrap w:val="0"/>
            <w:vAlign w:val="top"/>
          </w:tcPr>
          <w:p w14:paraId="6A13257C">
            <w:pPr>
              <w:spacing w:line="240" w:lineRule="auto"/>
              <w:ind w:firstLine="0" w:firstLineChars="0"/>
              <w:jc w:val="center"/>
              <w:rPr>
                <w:rFonts w:hint="eastAsia"/>
                <w:color w:val="auto"/>
                <w:sz w:val="21"/>
              </w:rPr>
            </w:pPr>
            <w:r>
              <w:rPr>
                <w:rFonts w:hint="eastAsia"/>
                <w:color w:val="auto"/>
                <w:sz w:val="21"/>
              </w:rPr>
              <w:t>防水施工前止水螺杆应封堵到位，封堵方式应符合规范及方案要求，有垫块的需取出垫块，无垫块的需外侧扩孔，要求止水螺杆从根部切除，外侧使用 1.2mm 厚 JS或聚氨酯防水涂料，涂刷直径不低于 100mm。</w:t>
            </w:r>
          </w:p>
        </w:tc>
      </w:tr>
      <w:tr w14:paraId="7792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7C05BA75">
            <w:pPr>
              <w:spacing w:line="240" w:lineRule="auto"/>
              <w:ind w:firstLine="0" w:firstLineChars="0"/>
              <w:jc w:val="center"/>
              <w:rPr>
                <w:rFonts w:hint="eastAsia"/>
                <w:color w:val="auto"/>
                <w:sz w:val="21"/>
              </w:rPr>
            </w:pPr>
            <w:r>
              <w:rPr>
                <w:rFonts w:hint="eastAsia"/>
                <w:color w:val="auto"/>
                <w:sz w:val="21"/>
              </w:rPr>
              <w:t>3</w:t>
            </w:r>
          </w:p>
        </w:tc>
        <w:tc>
          <w:tcPr>
            <w:tcW w:w="611" w:type="pct"/>
            <w:noWrap w:val="0"/>
            <w:vAlign w:val="center"/>
          </w:tcPr>
          <w:p w14:paraId="76D43300">
            <w:pPr>
              <w:spacing w:line="240" w:lineRule="auto"/>
              <w:ind w:firstLine="0" w:firstLineChars="0"/>
              <w:jc w:val="center"/>
              <w:rPr>
                <w:rFonts w:hint="eastAsia"/>
                <w:color w:val="auto"/>
                <w:sz w:val="21"/>
              </w:rPr>
            </w:pPr>
            <w:r>
              <w:rPr>
                <w:rFonts w:hint="eastAsia"/>
                <w:color w:val="auto"/>
                <w:sz w:val="21"/>
              </w:rPr>
              <w:t>止水钢板</w:t>
            </w:r>
          </w:p>
        </w:tc>
        <w:tc>
          <w:tcPr>
            <w:tcW w:w="763" w:type="pct"/>
            <w:noWrap w:val="0"/>
            <w:vAlign w:val="center"/>
          </w:tcPr>
          <w:p w14:paraId="18684169">
            <w:pPr>
              <w:spacing w:line="240" w:lineRule="auto"/>
              <w:ind w:firstLine="0" w:firstLineChars="0"/>
              <w:jc w:val="center"/>
              <w:rPr>
                <w:rFonts w:hint="eastAsia"/>
                <w:color w:val="auto"/>
                <w:sz w:val="21"/>
              </w:rPr>
            </w:pPr>
            <w:r>
              <w:rPr>
                <w:rFonts w:hint="eastAsia"/>
                <w:color w:val="auto"/>
                <w:sz w:val="21"/>
              </w:rPr>
              <w:t>止水钢板</w:t>
            </w:r>
          </w:p>
        </w:tc>
        <w:tc>
          <w:tcPr>
            <w:tcW w:w="3263" w:type="pct"/>
            <w:gridSpan w:val="2"/>
            <w:noWrap w:val="0"/>
            <w:vAlign w:val="top"/>
          </w:tcPr>
          <w:p w14:paraId="262F18D4">
            <w:pPr>
              <w:spacing w:line="240" w:lineRule="auto"/>
              <w:ind w:firstLine="0" w:firstLineChars="0"/>
              <w:jc w:val="center"/>
              <w:rPr>
                <w:rFonts w:hint="eastAsia"/>
                <w:color w:val="auto"/>
                <w:sz w:val="21"/>
              </w:rPr>
            </w:pPr>
            <w:r>
              <w:rPr>
                <w:rFonts w:hint="eastAsia"/>
                <w:color w:val="auto"/>
                <w:sz w:val="21"/>
              </w:rPr>
              <w:t>止水钢板应交圈、应双面满焊到位，止水钢板不得出现破损、焊伤，钢板搭接长度、露出宽度需符合施工规范要求，钢板 U 型口朝向迎水面一侧，止水钢板规格应符合规范及设计要求。</w:t>
            </w:r>
          </w:p>
        </w:tc>
      </w:tr>
      <w:tr w14:paraId="0CA7E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2E1EFDAF">
            <w:pPr>
              <w:spacing w:line="240" w:lineRule="auto"/>
              <w:ind w:firstLine="0" w:firstLineChars="0"/>
              <w:jc w:val="center"/>
              <w:rPr>
                <w:rFonts w:hint="eastAsia"/>
                <w:color w:val="auto"/>
                <w:sz w:val="21"/>
              </w:rPr>
            </w:pPr>
            <w:r>
              <w:rPr>
                <w:rFonts w:hint="eastAsia"/>
                <w:color w:val="auto"/>
                <w:sz w:val="21"/>
              </w:rPr>
              <w:t>4</w:t>
            </w:r>
          </w:p>
        </w:tc>
        <w:tc>
          <w:tcPr>
            <w:tcW w:w="611" w:type="pct"/>
            <w:vMerge w:val="restart"/>
            <w:noWrap w:val="0"/>
            <w:vAlign w:val="center"/>
          </w:tcPr>
          <w:p w14:paraId="60657C80">
            <w:pPr>
              <w:spacing w:line="240" w:lineRule="auto"/>
              <w:ind w:firstLine="0" w:firstLineChars="0"/>
              <w:jc w:val="center"/>
              <w:rPr>
                <w:rFonts w:hint="eastAsia"/>
                <w:color w:val="auto"/>
                <w:sz w:val="21"/>
              </w:rPr>
            </w:pPr>
            <w:r>
              <w:rPr>
                <w:rFonts w:hint="eastAsia"/>
                <w:color w:val="auto"/>
                <w:sz w:val="21"/>
              </w:rPr>
              <w:t>防水构造</w:t>
            </w:r>
          </w:p>
          <w:p w14:paraId="18559C18">
            <w:pPr>
              <w:spacing w:line="240" w:lineRule="auto"/>
              <w:ind w:firstLine="0" w:firstLineChars="0"/>
              <w:jc w:val="center"/>
              <w:rPr>
                <w:rFonts w:hint="eastAsia"/>
                <w:color w:val="auto"/>
                <w:sz w:val="21"/>
              </w:rPr>
            </w:pPr>
          </w:p>
        </w:tc>
        <w:tc>
          <w:tcPr>
            <w:tcW w:w="763" w:type="pct"/>
            <w:noWrap w:val="0"/>
            <w:vAlign w:val="center"/>
          </w:tcPr>
          <w:p w14:paraId="056F1B25">
            <w:pPr>
              <w:spacing w:line="240" w:lineRule="auto"/>
              <w:ind w:firstLine="0" w:firstLineChars="0"/>
              <w:jc w:val="center"/>
              <w:rPr>
                <w:rFonts w:hint="eastAsia"/>
                <w:color w:val="auto"/>
                <w:sz w:val="21"/>
              </w:rPr>
            </w:pPr>
            <w:r>
              <w:rPr>
                <w:rFonts w:hint="eastAsia"/>
                <w:color w:val="auto"/>
                <w:sz w:val="21"/>
              </w:rPr>
              <w:t>±0 以下挡土墙及烟风道、厨卫反坎</w:t>
            </w:r>
          </w:p>
        </w:tc>
        <w:tc>
          <w:tcPr>
            <w:tcW w:w="3263" w:type="pct"/>
            <w:gridSpan w:val="2"/>
            <w:noWrap w:val="0"/>
            <w:vAlign w:val="top"/>
          </w:tcPr>
          <w:p w14:paraId="697EDB84">
            <w:pPr>
              <w:spacing w:line="240" w:lineRule="auto"/>
              <w:ind w:firstLine="0" w:firstLineChars="0"/>
              <w:jc w:val="center"/>
              <w:rPr>
                <w:rFonts w:hint="eastAsia"/>
                <w:color w:val="auto"/>
                <w:sz w:val="21"/>
              </w:rPr>
            </w:pPr>
            <w:r>
              <w:rPr>
                <w:rFonts w:hint="eastAsia"/>
                <w:color w:val="auto"/>
                <w:sz w:val="21"/>
              </w:rPr>
              <w:t>填土完成面以下部位不应存在砌体挡土情况，且砼应随主体一次浇筑，未一次浇筑时应留设止水钢板。出地下车库烟风道、厨卫泛水高度范围内不应存在砖砌体；烟风道、厨卫泛水浇筑高度比建筑完成面高出不少于 250mm。</w:t>
            </w:r>
          </w:p>
        </w:tc>
      </w:tr>
      <w:tr w14:paraId="47A5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noWrap w:val="0"/>
            <w:vAlign w:val="center"/>
          </w:tcPr>
          <w:p w14:paraId="0EAAF3F7">
            <w:pPr>
              <w:spacing w:line="240" w:lineRule="auto"/>
              <w:ind w:firstLine="0" w:firstLineChars="0"/>
              <w:jc w:val="center"/>
              <w:rPr>
                <w:rFonts w:hint="eastAsia"/>
                <w:color w:val="auto"/>
                <w:sz w:val="21"/>
              </w:rPr>
            </w:pPr>
            <w:r>
              <w:rPr>
                <w:rFonts w:hint="eastAsia"/>
                <w:color w:val="auto"/>
                <w:sz w:val="21"/>
              </w:rPr>
              <w:t>5</w:t>
            </w:r>
          </w:p>
        </w:tc>
        <w:tc>
          <w:tcPr>
            <w:tcW w:w="611" w:type="pct"/>
            <w:vMerge w:val="continue"/>
            <w:noWrap w:val="0"/>
            <w:vAlign w:val="center"/>
          </w:tcPr>
          <w:p w14:paraId="57AC5CEB">
            <w:pPr>
              <w:spacing w:line="240" w:lineRule="auto"/>
              <w:ind w:firstLine="0" w:firstLineChars="0"/>
              <w:jc w:val="center"/>
              <w:rPr>
                <w:rFonts w:hint="eastAsia"/>
                <w:color w:val="auto"/>
                <w:sz w:val="21"/>
              </w:rPr>
            </w:pPr>
          </w:p>
        </w:tc>
        <w:tc>
          <w:tcPr>
            <w:tcW w:w="763" w:type="pct"/>
            <w:noWrap w:val="0"/>
            <w:vAlign w:val="center"/>
          </w:tcPr>
          <w:p w14:paraId="47BDC0A1">
            <w:pPr>
              <w:spacing w:line="240" w:lineRule="auto"/>
              <w:ind w:firstLine="0" w:firstLineChars="0"/>
              <w:jc w:val="center"/>
              <w:rPr>
                <w:rFonts w:hint="eastAsia"/>
                <w:color w:val="auto"/>
                <w:sz w:val="21"/>
              </w:rPr>
            </w:pPr>
            <w:r>
              <w:rPr>
                <w:rFonts w:hint="eastAsia"/>
                <w:color w:val="auto"/>
                <w:sz w:val="21"/>
              </w:rPr>
              <w:t>钢套管、预埋件</w:t>
            </w:r>
          </w:p>
        </w:tc>
        <w:tc>
          <w:tcPr>
            <w:tcW w:w="3263" w:type="pct"/>
            <w:gridSpan w:val="2"/>
            <w:noWrap w:val="0"/>
            <w:vAlign w:val="top"/>
          </w:tcPr>
          <w:p w14:paraId="4B01E0EE">
            <w:pPr>
              <w:spacing w:line="240" w:lineRule="auto"/>
              <w:ind w:firstLine="0" w:firstLineChars="0"/>
              <w:jc w:val="center"/>
              <w:rPr>
                <w:rFonts w:hint="eastAsia"/>
                <w:color w:val="auto"/>
                <w:sz w:val="21"/>
              </w:rPr>
            </w:pPr>
            <w:r>
              <w:rPr>
                <w:rFonts w:hint="eastAsia"/>
                <w:color w:val="auto"/>
                <w:sz w:val="21"/>
              </w:rPr>
              <w:t>刚性防水预埋件不应过密，埋件周围混凝土振捣应密实； 预埋件不应松动；预埋件固定钢筋不应穿透混凝土层， 止水环不应松动、未满焊；预埋管道不应自身有裂缝、砂眼、水渍等问题，禁止地下水通过管壁渗漏。</w:t>
            </w:r>
          </w:p>
        </w:tc>
      </w:tr>
      <w:tr w14:paraId="3B84C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restart"/>
            <w:noWrap w:val="0"/>
            <w:vAlign w:val="center"/>
          </w:tcPr>
          <w:p w14:paraId="0E986220">
            <w:pPr>
              <w:spacing w:line="240" w:lineRule="auto"/>
              <w:ind w:firstLine="0" w:firstLineChars="0"/>
              <w:jc w:val="center"/>
              <w:rPr>
                <w:rFonts w:hint="eastAsia"/>
                <w:color w:val="auto"/>
                <w:sz w:val="21"/>
              </w:rPr>
            </w:pPr>
            <w:r>
              <w:rPr>
                <w:rFonts w:hint="eastAsia"/>
                <w:color w:val="auto"/>
                <w:sz w:val="21"/>
              </w:rPr>
              <w:t>6</w:t>
            </w:r>
          </w:p>
        </w:tc>
        <w:tc>
          <w:tcPr>
            <w:tcW w:w="611" w:type="pct"/>
            <w:vMerge w:val="restart"/>
            <w:noWrap w:val="0"/>
            <w:vAlign w:val="center"/>
          </w:tcPr>
          <w:p w14:paraId="1A744B52">
            <w:pPr>
              <w:spacing w:line="240" w:lineRule="auto"/>
              <w:ind w:firstLine="0" w:firstLineChars="0"/>
              <w:jc w:val="center"/>
              <w:rPr>
                <w:rFonts w:hint="eastAsia"/>
                <w:color w:val="auto"/>
                <w:sz w:val="21"/>
              </w:rPr>
            </w:pPr>
            <w:r>
              <w:rPr>
                <w:rFonts w:hint="eastAsia"/>
                <w:color w:val="auto"/>
                <w:sz w:val="21"/>
              </w:rPr>
              <w:t>防水基层</w:t>
            </w:r>
          </w:p>
          <w:p w14:paraId="1618FA4D">
            <w:pPr>
              <w:spacing w:line="240" w:lineRule="auto"/>
              <w:ind w:firstLine="0" w:firstLineChars="0"/>
              <w:jc w:val="center"/>
              <w:rPr>
                <w:rFonts w:hint="eastAsia"/>
                <w:color w:val="auto"/>
                <w:sz w:val="21"/>
              </w:rPr>
            </w:pPr>
          </w:p>
        </w:tc>
        <w:tc>
          <w:tcPr>
            <w:tcW w:w="763" w:type="pct"/>
            <w:noWrap w:val="0"/>
            <w:vAlign w:val="center"/>
          </w:tcPr>
          <w:p w14:paraId="7899B1C3">
            <w:pPr>
              <w:spacing w:line="240" w:lineRule="auto"/>
              <w:ind w:firstLine="0" w:firstLineChars="0"/>
              <w:jc w:val="center"/>
              <w:rPr>
                <w:rFonts w:hint="eastAsia"/>
                <w:color w:val="auto"/>
                <w:sz w:val="21"/>
              </w:rPr>
            </w:pPr>
            <w:r>
              <w:rPr>
                <w:rFonts w:hint="eastAsia"/>
                <w:color w:val="auto"/>
                <w:sz w:val="21"/>
              </w:rPr>
              <w:t>基层处理质量</w:t>
            </w:r>
          </w:p>
        </w:tc>
        <w:tc>
          <w:tcPr>
            <w:tcW w:w="3263" w:type="pct"/>
            <w:gridSpan w:val="2"/>
            <w:noWrap w:val="0"/>
            <w:vAlign w:val="top"/>
          </w:tcPr>
          <w:p w14:paraId="5C37A980">
            <w:pPr>
              <w:spacing w:line="240" w:lineRule="auto"/>
              <w:ind w:firstLine="0" w:firstLineChars="0"/>
              <w:jc w:val="center"/>
              <w:rPr>
                <w:rFonts w:hint="eastAsia"/>
                <w:color w:val="auto"/>
                <w:sz w:val="21"/>
              </w:rPr>
            </w:pPr>
            <w:r>
              <w:rPr>
                <w:rFonts w:hint="eastAsia"/>
                <w:color w:val="auto"/>
                <w:sz w:val="21"/>
              </w:rPr>
              <w:t>防水施工前基层应处理平整、砼表面缺陷应提前处理、基层应清理干净，钢筋头外露、孔洞、模板拼缝错台等应提前处理；基层冷底油应涂刷均匀，涂刷前基层应处理到位。</w:t>
            </w:r>
          </w:p>
        </w:tc>
      </w:tr>
      <w:tr w14:paraId="0A099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continue"/>
            <w:noWrap w:val="0"/>
            <w:vAlign w:val="center"/>
          </w:tcPr>
          <w:p w14:paraId="71A83C3F">
            <w:pPr>
              <w:spacing w:line="240" w:lineRule="auto"/>
              <w:ind w:firstLine="0" w:firstLineChars="0"/>
              <w:jc w:val="center"/>
              <w:rPr>
                <w:rFonts w:hint="eastAsia"/>
                <w:color w:val="auto"/>
                <w:sz w:val="21"/>
              </w:rPr>
            </w:pPr>
          </w:p>
        </w:tc>
        <w:tc>
          <w:tcPr>
            <w:tcW w:w="611" w:type="pct"/>
            <w:vMerge w:val="continue"/>
            <w:noWrap w:val="0"/>
            <w:vAlign w:val="center"/>
          </w:tcPr>
          <w:p w14:paraId="1C29545E">
            <w:pPr>
              <w:spacing w:line="240" w:lineRule="auto"/>
              <w:ind w:firstLine="0" w:firstLineChars="0"/>
              <w:jc w:val="center"/>
              <w:rPr>
                <w:rFonts w:hint="eastAsia"/>
                <w:color w:val="auto"/>
                <w:sz w:val="21"/>
              </w:rPr>
            </w:pPr>
          </w:p>
        </w:tc>
        <w:tc>
          <w:tcPr>
            <w:tcW w:w="763" w:type="pct"/>
            <w:noWrap w:val="0"/>
            <w:vAlign w:val="center"/>
          </w:tcPr>
          <w:p w14:paraId="38E1E4D1">
            <w:pPr>
              <w:spacing w:line="240" w:lineRule="auto"/>
              <w:ind w:firstLine="0" w:firstLineChars="0"/>
              <w:jc w:val="center"/>
              <w:rPr>
                <w:rFonts w:hint="eastAsia"/>
                <w:color w:val="auto"/>
                <w:sz w:val="21"/>
              </w:rPr>
            </w:pPr>
            <w:r>
              <w:rPr>
                <w:rFonts w:hint="eastAsia"/>
                <w:color w:val="auto"/>
                <w:sz w:val="21"/>
              </w:rPr>
              <w:t>阴阳角R角</w:t>
            </w:r>
          </w:p>
        </w:tc>
        <w:tc>
          <w:tcPr>
            <w:tcW w:w="3263" w:type="pct"/>
            <w:gridSpan w:val="2"/>
            <w:noWrap w:val="0"/>
            <w:vAlign w:val="center"/>
          </w:tcPr>
          <w:p w14:paraId="37712C74">
            <w:pPr>
              <w:spacing w:line="240" w:lineRule="auto"/>
              <w:ind w:firstLine="0" w:firstLineChars="0"/>
              <w:jc w:val="center"/>
              <w:rPr>
                <w:rFonts w:hint="eastAsia"/>
                <w:color w:val="auto"/>
                <w:sz w:val="21"/>
              </w:rPr>
            </w:pPr>
            <w:r>
              <w:rPr>
                <w:rFonts w:hint="eastAsia"/>
                <w:color w:val="auto"/>
                <w:sz w:val="21"/>
              </w:rPr>
              <w:t>基层阴阳角部位应施工 R 角。</w:t>
            </w:r>
          </w:p>
        </w:tc>
      </w:tr>
      <w:tr w14:paraId="2003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4" w:type="pct"/>
            <w:vMerge w:val="continue"/>
            <w:noWrap w:val="0"/>
            <w:vAlign w:val="center"/>
          </w:tcPr>
          <w:p w14:paraId="5D46EF6D">
            <w:pPr>
              <w:spacing w:line="240" w:lineRule="auto"/>
              <w:ind w:firstLine="0" w:firstLineChars="0"/>
              <w:jc w:val="center"/>
              <w:rPr>
                <w:rFonts w:hint="eastAsia"/>
                <w:color w:val="auto"/>
                <w:sz w:val="21"/>
              </w:rPr>
            </w:pPr>
          </w:p>
        </w:tc>
        <w:tc>
          <w:tcPr>
            <w:tcW w:w="611" w:type="pct"/>
            <w:vMerge w:val="continue"/>
            <w:noWrap w:val="0"/>
            <w:vAlign w:val="center"/>
          </w:tcPr>
          <w:p w14:paraId="6131EF0C">
            <w:pPr>
              <w:spacing w:line="240" w:lineRule="auto"/>
              <w:ind w:firstLine="0" w:firstLineChars="0"/>
              <w:jc w:val="center"/>
              <w:rPr>
                <w:rFonts w:hint="eastAsia"/>
                <w:color w:val="auto"/>
                <w:sz w:val="21"/>
              </w:rPr>
            </w:pPr>
          </w:p>
        </w:tc>
        <w:tc>
          <w:tcPr>
            <w:tcW w:w="763" w:type="pct"/>
            <w:noWrap w:val="0"/>
            <w:vAlign w:val="center"/>
          </w:tcPr>
          <w:p w14:paraId="71781245">
            <w:pPr>
              <w:spacing w:line="240" w:lineRule="auto"/>
              <w:ind w:firstLine="0" w:firstLineChars="0"/>
              <w:jc w:val="center"/>
              <w:rPr>
                <w:rFonts w:hint="eastAsia"/>
                <w:color w:val="auto"/>
                <w:sz w:val="21"/>
              </w:rPr>
            </w:pPr>
            <w:r>
              <w:rPr>
                <w:rFonts w:hint="eastAsia"/>
                <w:color w:val="auto"/>
                <w:sz w:val="21"/>
              </w:rPr>
              <w:t>砼基层</w:t>
            </w:r>
          </w:p>
        </w:tc>
        <w:tc>
          <w:tcPr>
            <w:tcW w:w="3263" w:type="pct"/>
            <w:gridSpan w:val="2"/>
            <w:noWrap w:val="0"/>
            <w:vAlign w:val="top"/>
          </w:tcPr>
          <w:p w14:paraId="74551CC9">
            <w:pPr>
              <w:spacing w:line="240" w:lineRule="auto"/>
              <w:ind w:firstLine="0" w:firstLineChars="0"/>
              <w:jc w:val="center"/>
              <w:rPr>
                <w:rFonts w:hint="eastAsia"/>
                <w:color w:val="auto"/>
                <w:sz w:val="21"/>
              </w:rPr>
            </w:pPr>
            <w:r>
              <w:rPr>
                <w:rFonts w:hint="eastAsia"/>
                <w:color w:val="auto"/>
                <w:sz w:val="21"/>
              </w:rPr>
              <w:t>除设计或施工方案中明确要求外，防水材料应直接涂敷在砼基层上，防水材料与砼基层之间严禁施工找平层（砼局部缺陷修补找平除外）。</w:t>
            </w:r>
          </w:p>
        </w:tc>
      </w:tr>
      <w:tr w14:paraId="1219C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gridSpan w:val="4"/>
            <w:noWrap w:val="0"/>
            <w:vAlign w:val="center"/>
          </w:tcPr>
          <w:p w14:paraId="5EE7E899">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37435" cy="1650365"/>
                  <wp:effectExtent l="0" t="0" r="12065" b="635"/>
                  <wp:docPr id="98" name="图片 51" descr="7201b30b194382f3ace0937f1485bc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51" descr="7201b30b194382f3ace0937f1485bcd"/>
                          <pic:cNvPicPr>
                            <a:picLocks noChangeAspect="1"/>
                          </pic:cNvPicPr>
                        </pic:nvPicPr>
                        <pic:blipFill>
                          <a:blip r:embed="rId235"/>
                          <a:stretch>
                            <a:fillRect/>
                          </a:stretch>
                        </pic:blipFill>
                        <pic:spPr>
                          <a:xfrm>
                            <a:off x="0" y="0"/>
                            <a:ext cx="2337435" cy="1650365"/>
                          </a:xfrm>
                          <a:prstGeom prst="rect">
                            <a:avLst/>
                          </a:prstGeom>
                          <a:noFill/>
                          <a:ln>
                            <a:noFill/>
                          </a:ln>
                        </pic:spPr>
                      </pic:pic>
                    </a:graphicData>
                  </a:graphic>
                </wp:inline>
              </w:drawing>
            </w:r>
          </w:p>
        </w:tc>
        <w:tc>
          <w:tcPr>
            <w:tcW w:w="2500" w:type="pct"/>
            <w:noWrap w:val="0"/>
            <w:vAlign w:val="center"/>
          </w:tcPr>
          <w:p w14:paraId="7B7F0330">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36165" cy="1625600"/>
                  <wp:effectExtent l="0" t="0" r="635" b="0"/>
                  <wp:docPr id="92" name="图片 52" descr="b76407a8f25cd53dd34c6d278db7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52" descr="b76407a8f25cd53dd34c6d278db7253"/>
                          <pic:cNvPicPr>
                            <a:picLocks noChangeAspect="1"/>
                          </pic:cNvPicPr>
                        </pic:nvPicPr>
                        <pic:blipFill>
                          <a:blip r:embed="rId236"/>
                          <a:stretch>
                            <a:fillRect/>
                          </a:stretch>
                        </pic:blipFill>
                        <pic:spPr>
                          <a:xfrm>
                            <a:off x="0" y="0"/>
                            <a:ext cx="2336165" cy="1625600"/>
                          </a:xfrm>
                          <a:prstGeom prst="rect">
                            <a:avLst/>
                          </a:prstGeom>
                          <a:noFill/>
                          <a:ln>
                            <a:noFill/>
                          </a:ln>
                        </pic:spPr>
                      </pic:pic>
                    </a:graphicData>
                  </a:graphic>
                </wp:inline>
              </w:drawing>
            </w:r>
            <w:r>
              <w:rPr>
                <w:rFonts w:hint="eastAsia"/>
                <w:color w:val="auto"/>
                <w:sz w:val="21"/>
              </w:rPr>
              <w:drawing>
                <wp:anchor distT="0" distB="0" distL="114300" distR="114300" simplePos="0" relativeHeight="251661312" behindDoc="0" locked="0" layoutInCell="1" allowOverlap="1">
                  <wp:simplePos x="0" y="0"/>
                  <wp:positionH relativeFrom="column">
                    <wp:posOffset>6449695</wp:posOffset>
                  </wp:positionH>
                  <wp:positionV relativeFrom="paragraph">
                    <wp:posOffset>-2790190</wp:posOffset>
                  </wp:positionV>
                  <wp:extent cx="2073275" cy="1440180"/>
                  <wp:effectExtent l="0" t="0" r="9525" b="7620"/>
                  <wp:wrapNone/>
                  <wp:docPr id="99"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3"/>
                          <pic:cNvPicPr>
                            <a:picLocks noChangeAspect="1"/>
                          </pic:cNvPicPr>
                        </pic:nvPicPr>
                        <pic:blipFill>
                          <a:blip r:embed="rId237"/>
                          <a:stretch>
                            <a:fillRect/>
                          </a:stretch>
                        </pic:blipFill>
                        <pic:spPr>
                          <a:xfrm>
                            <a:off x="0" y="0"/>
                            <a:ext cx="2073275" cy="1440180"/>
                          </a:xfrm>
                          <a:prstGeom prst="rect">
                            <a:avLst/>
                          </a:prstGeom>
                          <a:noFill/>
                          <a:ln>
                            <a:noFill/>
                          </a:ln>
                        </pic:spPr>
                      </pic:pic>
                    </a:graphicData>
                  </a:graphic>
                </wp:anchor>
              </w:drawing>
            </w:r>
          </w:p>
        </w:tc>
      </w:tr>
      <w:tr w14:paraId="42B22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gridSpan w:val="4"/>
            <w:noWrap w:val="0"/>
            <w:vAlign w:val="center"/>
          </w:tcPr>
          <w:p w14:paraId="5A5BC932">
            <w:pPr>
              <w:spacing w:line="240" w:lineRule="auto"/>
              <w:ind w:firstLine="0" w:firstLineChars="0"/>
              <w:jc w:val="center"/>
              <w:rPr>
                <w:rFonts w:hint="eastAsia"/>
                <w:color w:val="auto"/>
                <w:sz w:val="21"/>
              </w:rPr>
            </w:pPr>
            <w:r>
              <w:rPr>
                <w:rFonts w:hint="eastAsia"/>
                <w:color w:val="auto"/>
                <w:sz w:val="21"/>
              </w:rPr>
              <w:t>外墙施工缝凿毛</w:t>
            </w:r>
          </w:p>
        </w:tc>
        <w:tc>
          <w:tcPr>
            <w:tcW w:w="2500" w:type="pct"/>
            <w:noWrap w:val="0"/>
            <w:vAlign w:val="center"/>
          </w:tcPr>
          <w:p w14:paraId="319999ED">
            <w:pPr>
              <w:spacing w:line="240" w:lineRule="auto"/>
              <w:ind w:firstLine="0" w:firstLineChars="0"/>
              <w:jc w:val="center"/>
              <w:rPr>
                <w:rFonts w:hint="eastAsia"/>
                <w:color w:val="auto"/>
                <w:sz w:val="21"/>
              </w:rPr>
            </w:pPr>
            <w:r>
              <w:rPr>
                <w:rFonts w:hint="eastAsia"/>
                <w:color w:val="auto"/>
                <w:sz w:val="21"/>
              </w:rPr>
              <w:t>工具式止水螺杆</w:t>
            </w:r>
          </w:p>
        </w:tc>
      </w:tr>
      <w:tr w14:paraId="004B2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gridSpan w:val="4"/>
            <w:noWrap w:val="0"/>
            <w:vAlign w:val="center"/>
          </w:tcPr>
          <w:p w14:paraId="07EA049F">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37435" cy="1740535"/>
                  <wp:effectExtent l="0" t="0" r="12065" b="12065"/>
                  <wp:docPr id="100" name="图片 53" descr="22ecc527da3d0ad528db6545f2c56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3" descr="22ecc527da3d0ad528db6545f2c56d5"/>
                          <pic:cNvPicPr>
                            <a:picLocks noChangeAspect="1"/>
                          </pic:cNvPicPr>
                        </pic:nvPicPr>
                        <pic:blipFill>
                          <a:blip r:embed="rId238"/>
                          <a:srcRect b="22223"/>
                          <a:stretch>
                            <a:fillRect/>
                          </a:stretch>
                        </pic:blipFill>
                        <pic:spPr>
                          <a:xfrm>
                            <a:off x="0" y="0"/>
                            <a:ext cx="2337435" cy="1740535"/>
                          </a:xfrm>
                          <a:prstGeom prst="rect">
                            <a:avLst/>
                          </a:prstGeom>
                          <a:noFill/>
                          <a:ln>
                            <a:noFill/>
                          </a:ln>
                        </pic:spPr>
                      </pic:pic>
                    </a:graphicData>
                  </a:graphic>
                </wp:inline>
              </w:drawing>
            </w:r>
          </w:p>
        </w:tc>
        <w:tc>
          <w:tcPr>
            <w:tcW w:w="2500" w:type="pct"/>
            <w:noWrap w:val="0"/>
            <w:vAlign w:val="center"/>
          </w:tcPr>
          <w:p w14:paraId="3D1B0D44">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37435" cy="1753235"/>
                  <wp:effectExtent l="0" t="0" r="12065" b="12065"/>
                  <wp:docPr id="110" name="图片 54" descr="479a2c2465c131b5959218cabe214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54" descr="479a2c2465c131b5959218cabe214c8"/>
                          <pic:cNvPicPr>
                            <a:picLocks noChangeAspect="1"/>
                          </pic:cNvPicPr>
                        </pic:nvPicPr>
                        <pic:blipFill>
                          <a:blip r:embed="rId239"/>
                          <a:stretch>
                            <a:fillRect/>
                          </a:stretch>
                        </pic:blipFill>
                        <pic:spPr>
                          <a:xfrm>
                            <a:off x="0" y="0"/>
                            <a:ext cx="2337435" cy="1753235"/>
                          </a:xfrm>
                          <a:prstGeom prst="rect">
                            <a:avLst/>
                          </a:prstGeom>
                          <a:noFill/>
                          <a:ln>
                            <a:noFill/>
                          </a:ln>
                        </pic:spPr>
                      </pic:pic>
                    </a:graphicData>
                  </a:graphic>
                </wp:inline>
              </w:drawing>
            </w:r>
          </w:p>
        </w:tc>
      </w:tr>
      <w:tr w14:paraId="40EA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00" w:type="pct"/>
            <w:gridSpan w:val="4"/>
            <w:noWrap w:val="0"/>
            <w:vAlign w:val="center"/>
          </w:tcPr>
          <w:p w14:paraId="14DFB5D7">
            <w:pPr>
              <w:spacing w:line="240" w:lineRule="auto"/>
              <w:ind w:firstLine="0" w:firstLineChars="0"/>
              <w:jc w:val="center"/>
              <w:rPr>
                <w:rFonts w:hint="eastAsia"/>
                <w:color w:val="auto"/>
                <w:sz w:val="21"/>
              </w:rPr>
            </w:pPr>
            <w:r>
              <w:rPr>
                <w:rFonts w:hint="eastAsia"/>
                <w:color w:val="auto"/>
                <w:sz w:val="21"/>
              </w:rPr>
              <w:t>止水钢板转角双面满焊</w:t>
            </w:r>
          </w:p>
        </w:tc>
        <w:tc>
          <w:tcPr>
            <w:tcW w:w="2500" w:type="pct"/>
            <w:noWrap w:val="0"/>
            <w:vAlign w:val="center"/>
          </w:tcPr>
          <w:p w14:paraId="7B41E668">
            <w:pPr>
              <w:spacing w:line="240" w:lineRule="auto"/>
              <w:ind w:firstLine="0" w:firstLineChars="0"/>
              <w:jc w:val="center"/>
              <w:rPr>
                <w:rFonts w:hint="eastAsia"/>
                <w:color w:val="auto"/>
                <w:sz w:val="21"/>
              </w:rPr>
            </w:pPr>
            <w:r>
              <w:rPr>
                <w:rFonts w:hint="eastAsia"/>
                <w:color w:val="auto"/>
                <w:sz w:val="21"/>
              </w:rPr>
              <w:t>外墙螺杆眼封堵</w:t>
            </w:r>
          </w:p>
        </w:tc>
      </w:tr>
    </w:tbl>
    <w:p w14:paraId="0AA2C490">
      <w:pPr>
        <w:pStyle w:val="6"/>
        <w:ind w:firstLine="480"/>
        <w:rPr>
          <w:rFonts w:ascii="宋体" w:hAnsi="宋体"/>
          <w:b w:val="0"/>
          <w:bCs w:val="0"/>
          <w:color w:val="auto"/>
          <w:sz w:val="24"/>
          <w:szCs w:val="24"/>
        </w:rPr>
      </w:pPr>
      <w:bookmarkStart w:id="339" w:name="_Toc126528429"/>
      <w:bookmarkStart w:id="340" w:name="_Toc3434"/>
      <w:bookmarkStart w:id="341" w:name="_Toc75894991"/>
      <w:bookmarkStart w:id="342" w:name="_Toc76234097"/>
      <w:r>
        <w:rPr>
          <w:rFonts w:hint="eastAsia" w:ascii="宋体" w:hAnsi="宋体"/>
          <w:b w:val="0"/>
          <w:bCs w:val="0"/>
          <w:color w:val="auto"/>
          <w:sz w:val="24"/>
          <w:szCs w:val="24"/>
        </w:rPr>
        <w:t>砌体工程质量保证措施</w:t>
      </w:r>
      <w:bookmarkEnd w:id="339"/>
      <w:bookmarkEnd w:id="340"/>
      <w:bookmarkEnd w:id="341"/>
      <w:bookmarkEnd w:id="342"/>
    </w:p>
    <w:p w14:paraId="693DB3E8">
      <w:pPr>
        <w:pStyle w:val="54"/>
        <w:numPr>
          <w:ilvl w:val="7"/>
          <w:numId w:val="0"/>
        </w:numPr>
        <w:spacing w:before="24" w:beforeLines="10" w:after="24" w:afterLines="10" w:line="432" w:lineRule="auto"/>
        <w:ind w:left="420"/>
        <w:rPr>
          <w:rFonts w:ascii="宋体" w:hAnsi="宋体"/>
          <w:color w:val="auto"/>
          <w:szCs w:val="28"/>
        </w:rPr>
      </w:pPr>
      <w:r>
        <w:rPr>
          <w:rFonts w:hint="eastAsia" w:ascii="宋体" w:hAnsi="宋体"/>
          <w:color w:val="auto"/>
          <w:szCs w:val="28"/>
        </w:rPr>
        <w:t>插表 砌筑工程质量保证措施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3294"/>
        <w:gridCol w:w="4652"/>
      </w:tblGrid>
      <w:tr w14:paraId="7B3E0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242" w:type="dxa"/>
            <w:noWrap w:val="0"/>
            <w:vAlign w:val="center"/>
          </w:tcPr>
          <w:p w14:paraId="7CF46FC5">
            <w:pPr>
              <w:spacing w:line="240" w:lineRule="auto"/>
              <w:ind w:firstLine="0" w:firstLineChars="0"/>
              <w:jc w:val="center"/>
              <w:rPr>
                <w:rFonts w:hint="eastAsia"/>
                <w:color w:val="auto"/>
                <w:sz w:val="21"/>
              </w:rPr>
            </w:pPr>
            <w:r>
              <w:rPr>
                <w:rFonts w:hint="eastAsia"/>
                <w:color w:val="auto"/>
                <w:sz w:val="21"/>
              </w:rPr>
              <w:t>项目</w:t>
            </w:r>
          </w:p>
        </w:tc>
        <w:tc>
          <w:tcPr>
            <w:tcW w:w="8037" w:type="dxa"/>
            <w:gridSpan w:val="2"/>
            <w:noWrap w:val="0"/>
            <w:vAlign w:val="center"/>
          </w:tcPr>
          <w:p w14:paraId="0FB77EC7">
            <w:pPr>
              <w:spacing w:line="240" w:lineRule="auto"/>
              <w:ind w:firstLine="0" w:firstLineChars="0"/>
              <w:jc w:val="center"/>
              <w:rPr>
                <w:rFonts w:hint="eastAsia"/>
                <w:color w:val="auto"/>
                <w:sz w:val="21"/>
              </w:rPr>
            </w:pPr>
            <w:r>
              <w:rPr>
                <w:rFonts w:hint="eastAsia"/>
                <w:color w:val="auto"/>
                <w:sz w:val="21"/>
              </w:rPr>
              <w:t>具体内容</w:t>
            </w:r>
          </w:p>
        </w:tc>
      </w:tr>
      <w:tr w14:paraId="32B55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14:paraId="237800FA">
            <w:pPr>
              <w:spacing w:line="240" w:lineRule="auto"/>
              <w:ind w:firstLine="0" w:firstLineChars="0"/>
              <w:jc w:val="center"/>
              <w:rPr>
                <w:rFonts w:hint="eastAsia"/>
                <w:color w:val="auto"/>
                <w:sz w:val="21"/>
              </w:rPr>
            </w:pPr>
            <w:r>
              <w:rPr>
                <w:rFonts w:hint="eastAsia"/>
                <w:color w:val="auto"/>
                <w:sz w:val="21"/>
              </w:rPr>
              <w:t>保证砌筑</w:t>
            </w:r>
          </w:p>
          <w:p w14:paraId="2ABA7ED0">
            <w:pPr>
              <w:spacing w:line="240" w:lineRule="auto"/>
              <w:ind w:firstLine="0" w:firstLineChars="0"/>
              <w:jc w:val="center"/>
              <w:rPr>
                <w:rFonts w:hint="eastAsia"/>
                <w:color w:val="auto"/>
                <w:sz w:val="21"/>
              </w:rPr>
            </w:pPr>
            <w:r>
              <w:rPr>
                <w:rFonts w:hint="eastAsia"/>
                <w:color w:val="auto"/>
                <w:sz w:val="21"/>
              </w:rPr>
              <w:t>材料质量</w:t>
            </w:r>
          </w:p>
        </w:tc>
        <w:tc>
          <w:tcPr>
            <w:tcW w:w="8037" w:type="dxa"/>
            <w:gridSpan w:val="2"/>
            <w:noWrap w:val="0"/>
            <w:vAlign w:val="center"/>
          </w:tcPr>
          <w:p w14:paraId="0C9D5100">
            <w:pPr>
              <w:spacing w:line="240" w:lineRule="auto"/>
              <w:ind w:firstLine="0" w:firstLineChars="0"/>
              <w:jc w:val="left"/>
              <w:rPr>
                <w:rFonts w:hint="eastAsia"/>
                <w:color w:val="auto"/>
                <w:sz w:val="21"/>
              </w:rPr>
            </w:pPr>
            <w:r>
              <w:rPr>
                <w:rFonts w:hint="eastAsia"/>
                <w:color w:val="auto"/>
                <w:sz w:val="21"/>
              </w:rPr>
              <w:t>1、所用砌块、砖的品种、规格、强度等级应符合设计要求。砌块、砖块必须有出厂合格证，复试合格后方可使用。水泥必须有出厂合格证且复试合格后方可使用。</w:t>
            </w:r>
          </w:p>
          <w:p w14:paraId="68908702">
            <w:pPr>
              <w:spacing w:line="240" w:lineRule="auto"/>
              <w:ind w:firstLine="0" w:firstLineChars="0"/>
              <w:jc w:val="left"/>
              <w:rPr>
                <w:rFonts w:hint="eastAsia"/>
                <w:color w:val="auto"/>
                <w:sz w:val="21"/>
              </w:rPr>
            </w:pPr>
            <w:r>
              <w:rPr>
                <w:rFonts w:hint="eastAsia"/>
                <w:color w:val="auto"/>
                <w:sz w:val="21"/>
              </w:rPr>
              <w:t>2、砌体材料运输、装卸过程中严禁抛掷和倾倒。进场后，要按品种、规格分别堆放整齐，做好标识，堆放高度不能超过2m。</w:t>
            </w:r>
          </w:p>
          <w:p w14:paraId="6ACACDF7">
            <w:pPr>
              <w:spacing w:line="240" w:lineRule="auto"/>
              <w:ind w:firstLine="0" w:firstLineChars="0"/>
              <w:jc w:val="left"/>
              <w:rPr>
                <w:rFonts w:hint="eastAsia"/>
                <w:color w:val="auto"/>
                <w:sz w:val="21"/>
              </w:rPr>
            </w:pPr>
            <w:r>
              <w:rPr>
                <w:rFonts w:hint="eastAsia"/>
                <w:color w:val="auto"/>
                <w:sz w:val="21"/>
              </w:rPr>
              <w:t>3、砌筑时按试验室提供的砂浆配合比配料，现场严格计量，随机制作砂浆试块。</w:t>
            </w:r>
          </w:p>
        </w:tc>
      </w:tr>
      <w:tr w14:paraId="1CB5A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42" w:type="dxa"/>
            <w:noWrap w:val="0"/>
            <w:vAlign w:val="center"/>
          </w:tcPr>
          <w:p w14:paraId="42D7B5F8">
            <w:pPr>
              <w:spacing w:line="240" w:lineRule="auto"/>
              <w:ind w:firstLine="0" w:firstLineChars="0"/>
              <w:jc w:val="center"/>
              <w:rPr>
                <w:rFonts w:hint="eastAsia"/>
                <w:color w:val="auto"/>
                <w:sz w:val="21"/>
              </w:rPr>
            </w:pPr>
            <w:r>
              <w:rPr>
                <w:rFonts w:hint="eastAsia"/>
                <w:color w:val="auto"/>
                <w:sz w:val="21"/>
              </w:rPr>
              <w:t>保证砌筑</w:t>
            </w:r>
          </w:p>
          <w:p w14:paraId="16F2F2C7">
            <w:pPr>
              <w:spacing w:line="240" w:lineRule="auto"/>
              <w:ind w:firstLine="0" w:firstLineChars="0"/>
              <w:jc w:val="center"/>
              <w:rPr>
                <w:rFonts w:hint="eastAsia"/>
                <w:color w:val="auto"/>
                <w:sz w:val="21"/>
              </w:rPr>
            </w:pPr>
            <w:r>
              <w:rPr>
                <w:rFonts w:hint="eastAsia"/>
                <w:color w:val="auto"/>
                <w:sz w:val="21"/>
              </w:rPr>
              <w:t>过程质量</w:t>
            </w:r>
          </w:p>
        </w:tc>
        <w:tc>
          <w:tcPr>
            <w:tcW w:w="8037" w:type="dxa"/>
            <w:gridSpan w:val="2"/>
            <w:noWrap w:val="0"/>
            <w:vAlign w:val="center"/>
          </w:tcPr>
          <w:p w14:paraId="2C89EF9E">
            <w:pPr>
              <w:spacing w:line="240" w:lineRule="auto"/>
              <w:ind w:firstLine="0" w:firstLineChars="0"/>
              <w:jc w:val="left"/>
              <w:rPr>
                <w:rFonts w:hint="eastAsia"/>
                <w:color w:val="auto"/>
                <w:sz w:val="21"/>
              </w:rPr>
            </w:pPr>
            <w:r>
              <w:rPr>
                <w:rFonts w:hint="eastAsia"/>
                <w:color w:val="auto"/>
                <w:sz w:val="21"/>
              </w:rPr>
              <w:t>1、砌筑前应隔夜将砖浇水湿润，在高温季节或空气干燥时，在砌筑前喷水湿润即可。不得使用湿的砌块，以免砌筑时原浆流失，砌体滑移，砌块一般不宜浇水，严禁使用隔夜或已凝结的砂浆。</w:t>
            </w:r>
          </w:p>
          <w:p w14:paraId="384CC69E">
            <w:pPr>
              <w:spacing w:line="240" w:lineRule="auto"/>
              <w:ind w:firstLine="0" w:firstLineChars="0"/>
              <w:jc w:val="left"/>
              <w:rPr>
                <w:rFonts w:hint="eastAsia"/>
                <w:color w:val="auto"/>
                <w:sz w:val="21"/>
              </w:rPr>
            </w:pPr>
            <w:r>
              <w:rPr>
                <w:rFonts w:hint="eastAsia"/>
                <w:color w:val="auto"/>
                <w:sz w:val="21"/>
              </w:rPr>
              <w:t>2、砌筑砖墙应在基础表面或楼面上，用黑线弹出，墙身控制线、轴线，门窗洞口位置线，并必须用钢卷尺校核放线尺寸，同时按设计标高用水准仪对各外墙转角处和纵横交接处进行抄平。</w:t>
            </w:r>
          </w:p>
          <w:p w14:paraId="2DBBAF81">
            <w:pPr>
              <w:spacing w:line="240" w:lineRule="auto"/>
              <w:ind w:firstLine="0" w:firstLineChars="0"/>
              <w:jc w:val="left"/>
              <w:rPr>
                <w:rFonts w:hint="eastAsia"/>
                <w:color w:val="auto"/>
                <w:sz w:val="21"/>
              </w:rPr>
            </w:pPr>
            <w:r>
              <w:rPr>
                <w:rFonts w:hint="eastAsia"/>
                <w:color w:val="auto"/>
                <w:sz w:val="21"/>
              </w:rPr>
              <w:t>3、砌筑时必须立皮数杆，挂线砌筑，砖砌体应上下错缝，内外搭砌，不准出现通缝，以保证砌体整体性及稳定性。</w:t>
            </w:r>
          </w:p>
          <w:p w14:paraId="5A5D6EA0">
            <w:pPr>
              <w:spacing w:line="240" w:lineRule="auto"/>
              <w:ind w:firstLine="0" w:firstLineChars="0"/>
              <w:jc w:val="left"/>
              <w:rPr>
                <w:rFonts w:hint="eastAsia"/>
                <w:color w:val="auto"/>
                <w:sz w:val="21"/>
              </w:rPr>
            </w:pPr>
            <w:r>
              <w:rPr>
                <w:rFonts w:hint="eastAsia"/>
                <w:color w:val="auto"/>
                <w:sz w:val="21"/>
              </w:rPr>
              <w:t>4、砌体应横平竖直，表面清洁，砌筑时转角处和交接处应同时砌筑，如确有少量内墙不能同时砌筑时，应留斜槎。且须按规定加设拉结筋。</w:t>
            </w:r>
          </w:p>
          <w:p w14:paraId="09B25845">
            <w:pPr>
              <w:spacing w:line="240" w:lineRule="auto"/>
              <w:ind w:firstLine="0" w:firstLineChars="0"/>
              <w:jc w:val="left"/>
              <w:rPr>
                <w:rFonts w:hint="eastAsia"/>
                <w:color w:val="auto"/>
                <w:sz w:val="21"/>
              </w:rPr>
            </w:pPr>
            <w:r>
              <w:rPr>
                <w:rFonts w:hint="eastAsia"/>
                <w:color w:val="auto"/>
                <w:sz w:val="21"/>
              </w:rPr>
              <w:t>5、在每层的每块墙身上，均用水准仪引测标高，用木斗弹引500mm高水准线，以控制各层标高，设计规定的洞口、沟槽、管道和预埋件等，应于砌筑时预留或预埋，砌块墙体不得打凿通长沟槽。</w:t>
            </w:r>
          </w:p>
        </w:tc>
      </w:tr>
      <w:tr w14:paraId="76F72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13" w:type="dxa"/>
            <w:gridSpan w:val="2"/>
            <w:noWrap w:val="0"/>
            <w:vAlign w:val="center"/>
          </w:tcPr>
          <w:p w14:paraId="078040E8">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36165" cy="1739265"/>
                  <wp:effectExtent l="0" t="0" r="635" b="635"/>
                  <wp:docPr id="111"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55"/>
                          <pic:cNvPicPr>
                            <a:picLocks noChangeAspect="1"/>
                          </pic:cNvPicPr>
                        </pic:nvPicPr>
                        <pic:blipFill>
                          <a:blip r:embed="rId240"/>
                          <a:stretch>
                            <a:fillRect/>
                          </a:stretch>
                        </pic:blipFill>
                        <pic:spPr>
                          <a:xfrm>
                            <a:off x="0" y="0"/>
                            <a:ext cx="2336165" cy="1739265"/>
                          </a:xfrm>
                          <a:prstGeom prst="rect">
                            <a:avLst/>
                          </a:prstGeom>
                          <a:noFill/>
                          <a:ln>
                            <a:noFill/>
                          </a:ln>
                        </pic:spPr>
                      </pic:pic>
                    </a:graphicData>
                  </a:graphic>
                </wp:inline>
              </w:drawing>
            </w:r>
          </w:p>
        </w:tc>
        <w:tc>
          <w:tcPr>
            <w:tcW w:w="4766" w:type="dxa"/>
            <w:noWrap w:val="0"/>
            <w:vAlign w:val="center"/>
          </w:tcPr>
          <w:p w14:paraId="52E26739">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49500" cy="1740535"/>
                  <wp:effectExtent l="0" t="0" r="0" b="12065"/>
                  <wp:docPr id="107" name="图片 56" descr="f01dfd15c4d375e92a33db50f649b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56" descr="f01dfd15c4d375e92a33db50f649b72"/>
                          <pic:cNvPicPr>
                            <a:picLocks noChangeAspect="1"/>
                          </pic:cNvPicPr>
                        </pic:nvPicPr>
                        <pic:blipFill>
                          <a:blip r:embed="rId241"/>
                          <a:srcRect t="4688"/>
                          <a:stretch>
                            <a:fillRect/>
                          </a:stretch>
                        </pic:blipFill>
                        <pic:spPr>
                          <a:xfrm>
                            <a:off x="0" y="0"/>
                            <a:ext cx="2349500" cy="1740535"/>
                          </a:xfrm>
                          <a:prstGeom prst="rect">
                            <a:avLst/>
                          </a:prstGeom>
                          <a:noFill/>
                          <a:ln>
                            <a:noFill/>
                          </a:ln>
                        </pic:spPr>
                      </pic:pic>
                    </a:graphicData>
                  </a:graphic>
                </wp:inline>
              </w:drawing>
            </w:r>
          </w:p>
        </w:tc>
      </w:tr>
      <w:tr w14:paraId="1265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13" w:type="dxa"/>
            <w:gridSpan w:val="2"/>
            <w:noWrap w:val="0"/>
            <w:vAlign w:val="center"/>
          </w:tcPr>
          <w:p w14:paraId="0DE9EA8A">
            <w:pPr>
              <w:spacing w:line="240" w:lineRule="auto"/>
              <w:ind w:firstLine="0" w:firstLineChars="0"/>
              <w:jc w:val="center"/>
              <w:rPr>
                <w:rFonts w:hint="eastAsia"/>
                <w:color w:val="auto"/>
                <w:sz w:val="21"/>
              </w:rPr>
            </w:pPr>
            <w:r>
              <w:rPr>
                <w:rFonts w:hint="eastAsia"/>
                <w:color w:val="auto"/>
                <w:sz w:val="21"/>
              </w:rPr>
              <w:t>皮数线效果图</w:t>
            </w:r>
          </w:p>
        </w:tc>
        <w:tc>
          <w:tcPr>
            <w:tcW w:w="4766" w:type="dxa"/>
            <w:noWrap w:val="0"/>
            <w:vAlign w:val="center"/>
          </w:tcPr>
          <w:p w14:paraId="276F0273">
            <w:pPr>
              <w:spacing w:line="240" w:lineRule="auto"/>
              <w:ind w:firstLine="0" w:firstLineChars="0"/>
              <w:jc w:val="center"/>
              <w:rPr>
                <w:rFonts w:hint="eastAsia"/>
                <w:color w:val="auto"/>
                <w:sz w:val="21"/>
              </w:rPr>
            </w:pPr>
            <w:r>
              <w:rPr>
                <w:rFonts w:hint="eastAsia"/>
                <w:color w:val="auto"/>
                <w:sz w:val="21"/>
              </w:rPr>
              <w:t>双线控制</w:t>
            </w:r>
          </w:p>
        </w:tc>
      </w:tr>
      <w:tr w14:paraId="03FCF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13" w:type="dxa"/>
            <w:gridSpan w:val="2"/>
            <w:noWrap w:val="0"/>
            <w:vAlign w:val="center"/>
          </w:tcPr>
          <w:p w14:paraId="3AB898F9">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36165" cy="1765300"/>
                  <wp:effectExtent l="0" t="0" r="635" b="0"/>
                  <wp:docPr id="108" name="图片 57" descr="图片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57" descr="图片92"/>
                          <pic:cNvPicPr>
                            <a:picLocks noChangeAspect="1"/>
                          </pic:cNvPicPr>
                        </pic:nvPicPr>
                        <pic:blipFill>
                          <a:blip r:embed="rId242"/>
                          <a:stretch>
                            <a:fillRect/>
                          </a:stretch>
                        </pic:blipFill>
                        <pic:spPr>
                          <a:xfrm>
                            <a:off x="0" y="0"/>
                            <a:ext cx="2336165" cy="1765300"/>
                          </a:xfrm>
                          <a:prstGeom prst="rect">
                            <a:avLst/>
                          </a:prstGeom>
                          <a:noFill/>
                          <a:ln>
                            <a:noFill/>
                          </a:ln>
                        </pic:spPr>
                      </pic:pic>
                    </a:graphicData>
                  </a:graphic>
                </wp:inline>
              </w:drawing>
            </w:r>
          </w:p>
        </w:tc>
        <w:tc>
          <w:tcPr>
            <w:tcW w:w="4766" w:type="dxa"/>
            <w:noWrap w:val="0"/>
            <w:vAlign w:val="center"/>
          </w:tcPr>
          <w:p w14:paraId="7CD1A49D">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349500" cy="1728470"/>
                  <wp:effectExtent l="0" t="0" r="0" b="11430"/>
                  <wp:docPr id="106" name="图片 58" descr="图片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58" descr="图片93"/>
                          <pic:cNvPicPr>
                            <a:picLocks noChangeAspect="1"/>
                          </pic:cNvPicPr>
                        </pic:nvPicPr>
                        <pic:blipFill>
                          <a:blip r:embed="rId243"/>
                          <a:srcRect t="11441" b="11864"/>
                          <a:stretch>
                            <a:fillRect/>
                          </a:stretch>
                        </pic:blipFill>
                        <pic:spPr>
                          <a:xfrm>
                            <a:off x="0" y="0"/>
                            <a:ext cx="2349500" cy="1728470"/>
                          </a:xfrm>
                          <a:prstGeom prst="rect">
                            <a:avLst/>
                          </a:prstGeom>
                          <a:noFill/>
                          <a:ln>
                            <a:noFill/>
                          </a:ln>
                        </pic:spPr>
                      </pic:pic>
                    </a:graphicData>
                  </a:graphic>
                </wp:inline>
              </w:drawing>
            </w:r>
          </w:p>
        </w:tc>
      </w:tr>
      <w:tr w14:paraId="32C5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13" w:type="dxa"/>
            <w:gridSpan w:val="2"/>
            <w:noWrap w:val="0"/>
            <w:vAlign w:val="center"/>
          </w:tcPr>
          <w:p w14:paraId="7A21DFA2">
            <w:pPr>
              <w:spacing w:line="240" w:lineRule="auto"/>
              <w:ind w:firstLine="0" w:firstLineChars="0"/>
              <w:jc w:val="center"/>
              <w:rPr>
                <w:rFonts w:hint="eastAsia"/>
                <w:color w:val="auto"/>
                <w:sz w:val="21"/>
              </w:rPr>
            </w:pPr>
            <w:r>
              <w:rPr>
                <w:rFonts w:hint="eastAsia"/>
                <w:color w:val="auto"/>
                <w:sz w:val="21"/>
              </w:rPr>
              <w:t>灰缝横平竖直</w:t>
            </w:r>
          </w:p>
        </w:tc>
        <w:tc>
          <w:tcPr>
            <w:tcW w:w="4766" w:type="dxa"/>
            <w:noWrap w:val="0"/>
            <w:vAlign w:val="center"/>
          </w:tcPr>
          <w:p w14:paraId="3D2FA595">
            <w:pPr>
              <w:spacing w:line="240" w:lineRule="auto"/>
              <w:ind w:firstLine="0" w:firstLineChars="0"/>
              <w:jc w:val="center"/>
              <w:rPr>
                <w:rFonts w:hint="eastAsia"/>
                <w:color w:val="auto"/>
                <w:sz w:val="21"/>
              </w:rPr>
            </w:pPr>
            <w:r>
              <w:rPr>
                <w:rFonts w:hint="eastAsia"/>
                <w:color w:val="auto"/>
                <w:sz w:val="21"/>
              </w:rPr>
              <w:t>开槽、洞口规则整齐</w:t>
            </w:r>
          </w:p>
        </w:tc>
      </w:tr>
      <w:tr w14:paraId="18D71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13" w:type="dxa"/>
            <w:gridSpan w:val="2"/>
            <w:noWrap w:val="0"/>
            <w:vAlign w:val="center"/>
          </w:tcPr>
          <w:p w14:paraId="133BF1A4">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159000" cy="1435100"/>
                  <wp:effectExtent l="0" t="0" r="0" b="0"/>
                  <wp:docPr id="105" name="图片 59" descr="构造柱模板支设效果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59" descr="构造柱模板支设效果示意图"/>
                          <pic:cNvPicPr>
                            <a:picLocks noChangeAspect="1"/>
                          </pic:cNvPicPr>
                        </pic:nvPicPr>
                        <pic:blipFill>
                          <a:blip r:embed="rId244"/>
                          <a:stretch>
                            <a:fillRect/>
                          </a:stretch>
                        </pic:blipFill>
                        <pic:spPr>
                          <a:xfrm>
                            <a:off x="0" y="0"/>
                            <a:ext cx="2159000" cy="1435100"/>
                          </a:xfrm>
                          <a:prstGeom prst="rect">
                            <a:avLst/>
                          </a:prstGeom>
                          <a:noFill/>
                          <a:ln>
                            <a:noFill/>
                          </a:ln>
                        </pic:spPr>
                      </pic:pic>
                    </a:graphicData>
                  </a:graphic>
                </wp:inline>
              </w:drawing>
            </w:r>
          </w:p>
        </w:tc>
        <w:tc>
          <w:tcPr>
            <w:tcW w:w="4766" w:type="dxa"/>
            <w:noWrap w:val="0"/>
            <w:vAlign w:val="center"/>
          </w:tcPr>
          <w:p w14:paraId="7A80B300">
            <w:pPr>
              <w:spacing w:line="240" w:lineRule="auto"/>
              <w:ind w:firstLine="0" w:firstLineChars="0"/>
              <w:jc w:val="center"/>
              <w:rPr>
                <w:rFonts w:hint="eastAsia"/>
                <w:color w:val="auto"/>
                <w:sz w:val="21"/>
              </w:rPr>
            </w:pPr>
            <w:r>
              <w:rPr>
                <w:rFonts w:hint="eastAsia"/>
                <w:color w:val="auto"/>
                <w:sz w:val="21"/>
              </w:rPr>
              <w:drawing>
                <wp:inline distT="0" distB="0" distL="114300" distR="114300">
                  <wp:extent cx="2019300" cy="1513205"/>
                  <wp:effectExtent l="0" t="0" r="0" b="10795"/>
                  <wp:docPr id="109" name="图片 60" descr="抱框柱及过梁浇筑效果及防漏浆节点示意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60" descr="抱框柱及过梁浇筑效果及防漏浆节点示意图"/>
                          <pic:cNvPicPr>
                            <a:picLocks noChangeAspect="1"/>
                          </pic:cNvPicPr>
                        </pic:nvPicPr>
                        <pic:blipFill>
                          <a:blip r:embed="rId245"/>
                          <a:srcRect b="46667"/>
                          <a:stretch>
                            <a:fillRect/>
                          </a:stretch>
                        </pic:blipFill>
                        <pic:spPr>
                          <a:xfrm>
                            <a:off x="0" y="0"/>
                            <a:ext cx="2019300" cy="1513205"/>
                          </a:xfrm>
                          <a:prstGeom prst="rect">
                            <a:avLst/>
                          </a:prstGeom>
                          <a:noFill/>
                          <a:ln>
                            <a:noFill/>
                          </a:ln>
                        </pic:spPr>
                      </pic:pic>
                    </a:graphicData>
                  </a:graphic>
                </wp:inline>
              </w:drawing>
            </w:r>
          </w:p>
        </w:tc>
      </w:tr>
      <w:tr w14:paraId="71BB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513" w:type="dxa"/>
            <w:gridSpan w:val="2"/>
            <w:noWrap w:val="0"/>
            <w:vAlign w:val="center"/>
          </w:tcPr>
          <w:p w14:paraId="126579E2">
            <w:pPr>
              <w:spacing w:line="240" w:lineRule="auto"/>
              <w:ind w:firstLine="0" w:firstLineChars="0"/>
              <w:jc w:val="center"/>
              <w:rPr>
                <w:rFonts w:hint="eastAsia"/>
                <w:color w:val="auto"/>
                <w:sz w:val="21"/>
              </w:rPr>
            </w:pPr>
            <w:r>
              <w:rPr>
                <w:rFonts w:hint="eastAsia"/>
                <w:color w:val="auto"/>
                <w:sz w:val="21"/>
              </w:rPr>
              <w:t>构造柱支模效果</w:t>
            </w:r>
          </w:p>
        </w:tc>
        <w:tc>
          <w:tcPr>
            <w:tcW w:w="4766" w:type="dxa"/>
            <w:noWrap w:val="0"/>
            <w:vAlign w:val="center"/>
          </w:tcPr>
          <w:p w14:paraId="45EE62CD">
            <w:pPr>
              <w:spacing w:line="240" w:lineRule="auto"/>
              <w:ind w:firstLine="0" w:firstLineChars="0"/>
              <w:jc w:val="center"/>
              <w:rPr>
                <w:rFonts w:hint="eastAsia"/>
                <w:color w:val="auto"/>
                <w:sz w:val="21"/>
              </w:rPr>
            </w:pPr>
            <w:r>
              <w:rPr>
                <w:rFonts w:hint="eastAsia"/>
                <w:color w:val="auto"/>
                <w:sz w:val="21"/>
              </w:rPr>
              <w:t>抱框柱、过梁浇筑美观</w:t>
            </w:r>
          </w:p>
        </w:tc>
      </w:tr>
    </w:tbl>
    <w:p w14:paraId="3D002E57">
      <w:pPr>
        <w:pStyle w:val="6"/>
        <w:ind w:firstLine="480"/>
        <w:rPr>
          <w:color w:val="auto"/>
        </w:rPr>
      </w:pPr>
      <w:r>
        <w:rPr>
          <w:rFonts w:hint="eastAsia"/>
          <w:color w:val="auto"/>
        </w:rPr>
        <w:t>装饰装修工程质量保证措施</w:t>
      </w:r>
    </w:p>
    <w:p w14:paraId="4AFE8C68">
      <w:pPr>
        <w:rPr>
          <w:rFonts w:hint="eastAsia"/>
          <w:color w:val="auto"/>
        </w:rPr>
      </w:pPr>
      <w:r>
        <w:rPr>
          <w:rFonts w:hint="eastAsia"/>
          <w:color w:val="auto"/>
        </w:rPr>
        <w:t>项目将提出先进、可行、具体的保证措施，室内装饰装修符合《住宅室内装饰装修管理办法》等规定，按照工程建设强制性标准和其他技术标准施工，不得偷工减料。</w:t>
      </w:r>
    </w:p>
    <w:p w14:paraId="225D5297">
      <w:pPr>
        <w:pStyle w:val="54"/>
        <w:rPr>
          <w:rFonts w:hint="eastAsia"/>
          <w:color w:val="auto"/>
        </w:rPr>
      </w:pPr>
      <w:r>
        <w:rPr>
          <w:rFonts w:hint="eastAsia"/>
          <w:color w:val="auto"/>
        </w:rPr>
        <w:t>抹灰工程质量保证措施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1968"/>
        <w:gridCol w:w="3000"/>
        <w:gridCol w:w="3000"/>
      </w:tblGrid>
      <w:tr w14:paraId="5FDA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tcBorders>
              <w:top w:val="single" w:color="auto" w:sz="4" w:space="0"/>
              <w:left w:val="single" w:color="auto" w:sz="4" w:space="0"/>
              <w:bottom w:val="single" w:color="auto" w:sz="4" w:space="0"/>
              <w:right w:val="single" w:color="auto" w:sz="4" w:space="0"/>
            </w:tcBorders>
            <w:vAlign w:val="center"/>
          </w:tcPr>
          <w:p w14:paraId="71363867">
            <w:pPr>
              <w:spacing w:line="240" w:lineRule="auto"/>
              <w:ind w:firstLine="0" w:firstLineChars="0"/>
              <w:jc w:val="center"/>
              <w:rPr>
                <w:rFonts w:hint="eastAsia"/>
                <w:color w:val="auto"/>
                <w:sz w:val="21"/>
              </w:rPr>
            </w:pPr>
            <w:r>
              <w:rPr>
                <w:rFonts w:hint="eastAsia"/>
                <w:color w:val="auto"/>
                <w:sz w:val="21"/>
              </w:rPr>
              <w:t>项目</w:t>
            </w:r>
          </w:p>
        </w:tc>
        <w:tc>
          <w:tcPr>
            <w:tcW w:w="4406" w:type="pct"/>
            <w:gridSpan w:val="3"/>
            <w:tcBorders>
              <w:top w:val="single" w:color="auto" w:sz="4" w:space="0"/>
              <w:left w:val="single" w:color="auto" w:sz="4" w:space="0"/>
              <w:bottom w:val="single" w:color="auto" w:sz="4" w:space="0"/>
              <w:right w:val="single" w:color="auto" w:sz="4" w:space="0"/>
            </w:tcBorders>
            <w:vAlign w:val="center"/>
          </w:tcPr>
          <w:p w14:paraId="481EC78C">
            <w:pPr>
              <w:spacing w:line="240" w:lineRule="auto"/>
              <w:ind w:firstLine="0" w:firstLineChars="0"/>
              <w:jc w:val="center"/>
              <w:rPr>
                <w:rFonts w:hint="eastAsia"/>
                <w:color w:val="auto"/>
                <w:sz w:val="21"/>
              </w:rPr>
            </w:pPr>
            <w:r>
              <w:rPr>
                <w:rFonts w:hint="eastAsia"/>
                <w:color w:val="auto"/>
                <w:sz w:val="21"/>
              </w:rPr>
              <w:t>具体内容</w:t>
            </w:r>
          </w:p>
        </w:tc>
      </w:tr>
      <w:tr w14:paraId="35AA7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tcBorders>
              <w:top w:val="single" w:color="auto" w:sz="4" w:space="0"/>
              <w:left w:val="single" w:color="auto" w:sz="4" w:space="0"/>
              <w:bottom w:val="single" w:color="auto" w:sz="4" w:space="0"/>
              <w:right w:val="single" w:color="auto" w:sz="4" w:space="0"/>
            </w:tcBorders>
            <w:vAlign w:val="center"/>
          </w:tcPr>
          <w:p w14:paraId="4BC00190">
            <w:pPr>
              <w:spacing w:line="240" w:lineRule="auto"/>
              <w:ind w:firstLine="0" w:firstLineChars="0"/>
              <w:jc w:val="center"/>
              <w:rPr>
                <w:rFonts w:hint="eastAsia"/>
                <w:color w:val="auto"/>
                <w:sz w:val="21"/>
              </w:rPr>
            </w:pPr>
            <w:r>
              <w:rPr>
                <w:rFonts w:hint="eastAsia"/>
                <w:color w:val="auto"/>
                <w:sz w:val="21"/>
              </w:rPr>
              <w:t>保证抹灰</w:t>
            </w:r>
          </w:p>
          <w:p w14:paraId="2008DD49">
            <w:pPr>
              <w:spacing w:line="240" w:lineRule="auto"/>
              <w:ind w:firstLine="0" w:firstLineChars="0"/>
              <w:jc w:val="center"/>
              <w:rPr>
                <w:rFonts w:hint="eastAsia"/>
                <w:color w:val="auto"/>
                <w:sz w:val="21"/>
              </w:rPr>
            </w:pPr>
            <w:r>
              <w:rPr>
                <w:rFonts w:hint="eastAsia"/>
                <w:color w:val="auto"/>
                <w:sz w:val="21"/>
              </w:rPr>
              <w:t>材料质量</w:t>
            </w:r>
          </w:p>
        </w:tc>
        <w:tc>
          <w:tcPr>
            <w:tcW w:w="4406" w:type="pct"/>
            <w:gridSpan w:val="3"/>
            <w:tcBorders>
              <w:top w:val="single" w:color="auto" w:sz="4" w:space="0"/>
              <w:left w:val="single" w:color="auto" w:sz="4" w:space="0"/>
              <w:bottom w:val="single" w:color="auto" w:sz="4" w:space="0"/>
              <w:right w:val="single" w:color="auto" w:sz="4" w:space="0"/>
            </w:tcBorders>
            <w:vAlign w:val="center"/>
          </w:tcPr>
          <w:p w14:paraId="0F1E098C">
            <w:pPr>
              <w:spacing w:line="240" w:lineRule="auto"/>
              <w:ind w:firstLine="420"/>
              <w:jc w:val="left"/>
              <w:rPr>
                <w:rFonts w:hint="eastAsia"/>
                <w:color w:val="auto"/>
                <w:sz w:val="21"/>
              </w:rPr>
            </w:pPr>
            <w:r>
              <w:rPr>
                <w:rFonts w:hint="eastAsia"/>
                <w:color w:val="auto"/>
                <w:sz w:val="21"/>
              </w:rPr>
              <w:t>1、进场材料及时报验，合格证、材质报告书必须齐全，水泥取样送检 ;</w:t>
            </w:r>
          </w:p>
          <w:p w14:paraId="0E60F30A">
            <w:pPr>
              <w:spacing w:line="240" w:lineRule="auto"/>
              <w:ind w:firstLine="420"/>
              <w:jc w:val="left"/>
              <w:rPr>
                <w:rFonts w:hint="eastAsia"/>
                <w:color w:val="auto"/>
                <w:sz w:val="21"/>
              </w:rPr>
            </w:pPr>
            <w:r>
              <w:rPr>
                <w:rFonts w:hint="eastAsia"/>
                <w:color w:val="auto"/>
                <w:sz w:val="21"/>
              </w:rPr>
              <w:t>2、干混砂浆资料：原材料分析报告、砂浆配合比报告、配料比例应符合设计要求;</w:t>
            </w:r>
          </w:p>
          <w:p w14:paraId="38587C6F">
            <w:pPr>
              <w:spacing w:line="240" w:lineRule="auto"/>
              <w:ind w:firstLine="420"/>
              <w:jc w:val="left"/>
              <w:rPr>
                <w:rFonts w:hint="eastAsia"/>
                <w:color w:val="auto"/>
                <w:sz w:val="21"/>
              </w:rPr>
            </w:pPr>
            <w:r>
              <w:rPr>
                <w:rFonts w:hint="eastAsia"/>
                <w:color w:val="auto"/>
                <w:sz w:val="21"/>
              </w:rPr>
              <w:t>3、已拌砂浆应在规定时间用完，超出时间者不得使用，禁止过期砂浆加水再次使用。</w:t>
            </w:r>
          </w:p>
        </w:tc>
      </w:tr>
      <w:tr w14:paraId="1FFDB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4" w:type="pct"/>
            <w:tcBorders>
              <w:top w:val="single" w:color="auto" w:sz="4" w:space="0"/>
              <w:left w:val="single" w:color="auto" w:sz="4" w:space="0"/>
              <w:bottom w:val="single" w:color="auto" w:sz="4" w:space="0"/>
              <w:right w:val="single" w:color="auto" w:sz="4" w:space="0"/>
            </w:tcBorders>
            <w:vAlign w:val="center"/>
          </w:tcPr>
          <w:p w14:paraId="66DDEB77">
            <w:pPr>
              <w:spacing w:line="240" w:lineRule="auto"/>
              <w:ind w:firstLine="0" w:firstLineChars="0"/>
              <w:jc w:val="center"/>
              <w:rPr>
                <w:rFonts w:hint="eastAsia"/>
                <w:color w:val="auto"/>
                <w:sz w:val="21"/>
              </w:rPr>
            </w:pPr>
            <w:r>
              <w:rPr>
                <w:rFonts w:hint="eastAsia"/>
                <w:color w:val="auto"/>
                <w:sz w:val="21"/>
              </w:rPr>
              <w:t>保证抹灰</w:t>
            </w:r>
          </w:p>
          <w:p w14:paraId="6A9F346E">
            <w:pPr>
              <w:spacing w:line="240" w:lineRule="auto"/>
              <w:ind w:firstLine="0" w:firstLineChars="0"/>
              <w:jc w:val="center"/>
              <w:rPr>
                <w:rFonts w:hint="eastAsia"/>
                <w:color w:val="auto"/>
                <w:sz w:val="21"/>
              </w:rPr>
            </w:pPr>
            <w:r>
              <w:rPr>
                <w:rFonts w:hint="eastAsia"/>
                <w:color w:val="auto"/>
                <w:sz w:val="21"/>
              </w:rPr>
              <w:t>过程质量</w:t>
            </w:r>
          </w:p>
        </w:tc>
        <w:tc>
          <w:tcPr>
            <w:tcW w:w="4406" w:type="pct"/>
            <w:gridSpan w:val="3"/>
            <w:tcBorders>
              <w:top w:val="single" w:color="auto" w:sz="4" w:space="0"/>
              <w:left w:val="single" w:color="auto" w:sz="4" w:space="0"/>
              <w:bottom w:val="single" w:color="auto" w:sz="4" w:space="0"/>
              <w:right w:val="single" w:color="auto" w:sz="4" w:space="0"/>
            </w:tcBorders>
            <w:vAlign w:val="center"/>
          </w:tcPr>
          <w:p w14:paraId="78AB57FE">
            <w:pPr>
              <w:spacing w:line="240" w:lineRule="auto"/>
              <w:ind w:firstLine="420"/>
              <w:jc w:val="left"/>
              <w:rPr>
                <w:rFonts w:hint="eastAsia"/>
                <w:color w:val="auto"/>
                <w:sz w:val="21"/>
              </w:rPr>
            </w:pPr>
            <w:r>
              <w:rPr>
                <w:rFonts w:hint="eastAsia"/>
                <w:color w:val="auto"/>
                <w:sz w:val="21"/>
              </w:rPr>
              <w:t>1、抹灰前应提前将墙体淋水润湿，基层墙面，应将灰尘、油渍、突出墙面物体清理干净;</w:t>
            </w:r>
          </w:p>
          <w:p w14:paraId="605BAB06">
            <w:pPr>
              <w:spacing w:line="240" w:lineRule="auto"/>
              <w:ind w:firstLine="420"/>
              <w:jc w:val="left"/>
              <w:rPr>
                <w:rFonts w:hint="eastAsia"/>
                <w:color w:val="auto"/>
                <w:sz w:val="21"/>
              </w:rPr>
            </w:pPr>
            <w:r>
              <w:rPr>
                <w:rFonts w:hint="eastAsia"/>
                <w:color w:val="auto"/>
                <w:sz w:val="21"/>
              </w:rPr>
              <w:t>2、两种不同材料交接处或抹灰总厚度≥35，应采取加强措施，并进行隐蔽验收，未验收的不得进入下道工序；</w:t>
            </w:r>
          </w:p>
          <w:p w14:paraId="37BCF9D8">
            <w:pPr>
              <w:spacing w:line="240" w:lineRule="auto"/>
              <w:ind w:firstLine="420"/>
              <w:jc w:val="left"/>
              <w:rPr>
                <w:rFonts w:hint="eastAsia"/>
                <w:color w:val="auto"/>
                <w:sz w:val="21"/>
              </w:rPr>
            </w:pPr>
            <w:r>
              <w:rPr>
                <w:rFonts w:hint="eastAsia"/>
                <w:color w:val="auto"/>
                <w:sz w:val="21"/>
              </w:rPr>
              <w:t>3、有防水要求部位，必须做滴水线（槽），排水坡度，板、墙交接处做R角（女儿墙、栏板墙、凸窗板、窗楣、空洞板、雨篷）；</w:t>
            </w:r>
          </w:p>
          <w:p w14:paraId="67C9A630">
            <w:pPr>
              <w:spacing w:line="240" w:lineRule="auto"/>
              <w:ind w:firstLine="420"/>
              <w:jc w:val="left"/>
              <w:rPr>
                <w:rFonts w:hint="eastAsia"/>
                <w:color w:val="auto"/>
                <w:sz w:val="21"/>
              </w:rPr>
            </w:pPr>
            <w:r>
              <w:rPr>
                <w:rFonts w:hint="eastAsia"/>
                <w:color w:val="auto"/>
                <w:sz w:val="21"/>
              </w:rPr>
              <w:t>4、室内柱面、门洞、墙面阳角，应做护角；</w:t>
            </w:r>
          </w:p>
          <w:p w14:paraId="3DF96DA8">
            <w:pPr>
              <w:spacing w:line="240" w:lineRule="auto"/>
              <w:ind w:firstLine="420"/>
              <w:jc w:val="left"/>
              <w:rPr>
                <w:rFonts w:hint="eastAsia"/>
                <w:color w:val="auto"/>
                <w:sz w:val="21"/>
              </w:rPr>
            </w:pPr>
            <w:r>
              <w:rPr>
                <w:rFonts w:hint="eastAsia"/>
                <w:color w:val="auto"/>
                <w:sz w:val="21"/>
              </w:rPr>
              <w:t>5、气温过高，抹灰墙面应在润湿条件下养护；</w:t>
            </w:r>
          </w:p>
          <w:p w14:paraId="24F0A74A">
            <w:pPr>
              <w:spacing w:line="240" w:lineRule="auto"/>
              <w:ind w:firstLine="420"/>
              <w:jc w:val="left"/>
              <w:rPr>
                <w:rFonts w:hint="eastAsia"/>
                <w:color w:val="auto"/>
                <w:sz w:val="21"/>
              </w:rPr>
            </w:pPr>
            <w:r>
              <w:rPr>
                <w:rFonts w:hint="eastAsia"/>
                <w:color w:val="auto"/>
                <w:sz w:val="21"/>
              </w:rPr>
              <w:t>6、窗洞、门洞处保温预留的加强网布应翻至室内侧并抹灰压实，不得任意切割，否则予以处罚；</w:t>
            </w:r>
          </w:p>
          <w:p w14:paraId="3F4E92E1">
            <w:pPr>
              <w:spacing w:line="240" w:lineRule="auto"/>
              <w:ind w:firstLine="420"/>
              <w:jc w:val="left"/>
              <w:rPr>
                <w:rFonts w:hint="eastAsia"/>
                <w:color w:val="auto"/>
                <w:sz w:val="21"/>
              </w:rPr>
            </w:pPr>
            <w:r>
              <w:rPr>
                <w:rFonts w:hint="eastAsia"/>
                <w:color w:val="auto"/>
                <w:sz w:val="21"/>
              </w:rPr>
              <w:t>7、墙面平整度、垂直度必须符合要求，否则应予返工; 12、阴阳角 应方正，线条应顺直，否则应予返工；</w:t>
            </w:r>
          </w:p>
          <w:p w14:paraId="4465A924">
            <w:pPr>
              <w:spacing w:line="240" w:lineRule="auto"/>
              <w:ind w:firstLine="420"/>
              <w:jc w:val="left"/>
              <w:rPr>
                <w:rFonts w:hint="eastAsia"/>
                <w:color w:val="auto"/>
                <w:sz w:val="21"/>
              </w:rPr>
            </w:pPr>
            <w:r>
              <w:rPr>
                <w:rFonts w:hint="eastAsia"/>
                <w:color w:val="auto"/>
                <w:sz w:val="21"/>
              </w:rPr>
              <w:t>8、抹灰墙面不得空鼓、开裂、脱层、爆灰、起砂，抹灰层与基之间及各抹灰层之间必须粘接牢固，否则应予返工;护角、孔洞、槽、盒周围抹灰表面应整齐、光滑，管道后面抹灰应平整；</w:t>
            </w:r>
          </w:p>
          <w:p w14:paraId="0B169708">
            <w:pPr>
              <w:spacing w:line="240" w:lineRule="auto"/>
              <w:ind w:firstLine="420"/>
              <w:jc w:val="left"/>
              <w:rPr>
                <w:rFonts w:hint="eastAsia"/>
                <w:color w:val="auto"/>
                <w:sz w:val="21"/>
              </w:rPr>
            </w:pPr>
            <w:r>
              <w:rPr>
                <w:rFonts w:hint="eastAsia"/>
                <w:color w:val="auto"/>
                <w:sz w:val="21"/>
              </w:rPr>
              <w:t>9、滴水线（槽）应整齐顺直，滴水线内高外低，滴水槽宽、深度不应小于10mm；</w:t>
            </w:r>
          </w:p>
          <w:p w14:paraId="7CACD649">
            <w:pPr>
              <w:spacing w:line="240" w:lineRule="auto"/>
              <w:ind w:firstLine="420"/>
              <w:jc w:val="left"/>
              <w:rPr>
                <w:rFonts w:hint="eastAsia"/>
                <w:color w:val="auto"/>
                <w:sz w:val="21"/>
              </w:rPr>
            </w:pPr>
            <w:r>
              <w:rPr>
                <w:rFonts w:hint="eastAsia"/>
                <w:color w:val="auto"/>
                <w:sz w:val="21"/>
              </w:rPr>
              <w:t>10、抹灰面应光滑、洁净、接槎平整、分格缝应清晰；</w:t>
            </w:r>
          </w:p>
          <w:p w14:paraId="0DA59A32">
            <w:pPr>
              <w:spacing w:line="240" w:lineRule="auto"/>
              <w:ind w:firstLine="420"/>
              <w:jc w:val="left"/>
              <w:rPr>
                <w:rFonts w:hint="eastAsia"/>
                <w:color w:val="auto"/>
                <w:sz w:val="21"/>
              </w:rPr>
            </w:pPr>
            <w:r>
              <w:rPr>
                <w:rFonts w:hint="eastAsia"/>
                <w:color w:val="auto"/>
                <w:sz w:val="21"/>
              </w:rPr>
              <w:t>11、分格缝设置应符合设计要求，宽、深度均匀，表面应光滑，棱角整齐；</w:t>
            </w:r>
          </w:p>
          <w:p w14:paraId="25192464">
            <w:pPr>
              <w:spacing w:line="240" w:lineRule="auto"/>
              <w:ind w:firstLine="420"/>
              <w:jc w:val="left"/>
              <w:rPr>
                <w:rFonts w:hint="eastAsia"/>
                <w:color w:val="auto"/>
                <w:sz w:val="21"/>
              </w:rPr>
            </w:pPr>
            <w:r>
              <w:rPr>
                <w:rFonts w:hint="eastAsia"/>
                <w:color w:val="auto"/>
                <w:sz w:val="21"/>
              </w:rPr>
              <w:t>12、墙体上施工孔洞应堵塞密实；</w:t>
            </w:r>
          </w:p>
          <w:p w14:paraId="5095DAF5">
            <w:pPr>
              <w:spacing w:line="240" w:lineRule="auto"/>
              <w:ind w:firstLine="420"/>
              <w:jc w:val="left"/>
              <w:rPr>
                <w:rFonts w:hint="eastAsia"/>
                <w:color w:val="auto"/>
                <w:sz w:val="21"/>
              </w:rPr>
            </w:pPr>
            <w:r>
              <w:rPr>
                <w:rFonts w:hint="eastAsia"/>
                <w:color w:val="auto"/>
                <w:sz w:val="21"/>
              </w:rPr>
              <w:t>13、两种不同材料交接处加强网（或钢网）搭接宽度应满足要求。</w:t>
            </w:r>
          </w:p>
        </w:tc>
      </w:tr>
      <w:tr w14:paraId="3B404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gridSpan w:val="2"/>
            <w:tcBorders>
              <w:top w:val="single" w:color="auto" w:sz="4" w:space="0"/>
              <w:left w:val="single" w:color="auto" w:sz="4" w:space="0"/>
              <w:bottom w:val="single" w:color="auto" w:sz="4" w:space="0"/>
              <w:right w:val="single" w:color="auto" w:sz="4" w:space="0"/>
            </w:tcBorders>
            <w:vAlign w:val="center"/>
          </w:tcPr>
          <w:p w14:paraId="64AA2FD4">
            <w:pPr>
              <w:spacing w:line="240" w:lineRule="auto"/>
              <w:ind w:firstLine="0" w:firstLineChars="0"/>
              <w:jc w:val="center"/>
              <w:rPr>
                <w:rFonts w:hint="eastAsia"/>
                <w:color w:val="auto"/>
                <w:sz w:val="21"/>
              </w:rPr>
            </w:pPr>
            <w:r>
              <w:rPr>
                <w:rFonts w:hint="eastAsia"/>
                <w:color w:val="auto"/>
                <w:sz w:val="21"/>
              </w:rPr>
              <w:drawing>
                <wp:inline distT="0" distB="0" distL="0" distR="0">
                  <wp:extent cx="1828800" cy="1341120"/>
                  <wp:effectExtent l="0" t="0" r="0" b="0"/>
                  <wp:docPr id="71786608"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86608" name="图片 67"/>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1828800" cy="1341120"/>
                          </a:xfrm>
                          <a:prstGeom prst="rect">
                            <a:avLst/>
                          </a:prstGeom>
                          <a:noFill/>
                          <a:ln>
                            <a:noFill/>
                          </a:ln>
                        </pic:spPr>
                      </pic:pic>
                    </a:graphicData>
                  </a:graphic>
                </wp:inline>
              </w:drawing>
            </w:r>
          </w:p>
        </w:tc>
        <w:tc>
          <w:tcPr>
            <w:tcW w:w="1667" w:type="pct"/>
            <w:tcBorders>
              <w:top w:val="single" w:color="auto" w:sz="4" w:space="0"/>
              <w:left w:val="single" w:color="auto" w:sz="4" w:space="0"/>
              <w:bottom w:val="single" w:color="auto" w:sz="4" w:space="0"/>
              <w:right w:val="single" w:color="auto" w:sz="4" w:space="0"/>
            </w:tcBorders>
            <w:vAlign w:val="center"/>
          </w:tcPr>
          <w:p w14:paraId="6FF9CD47">
            <w:pPr>
              <w:spacing w:line="240" w:lineRule="auto"/>
              <w:ind w:firstLine="0" w:firstLineChars="0"/>
              <w:jc w:val="center"/>
              <w:rPr>
                <w:rFonts w:hint="eastAsia"/>
                <w:color w:val="auto"/>
                <w:sz w:val="21"/>
              </w:rPr>
            </w:pPr>
            <w:r>
              <w:rPr>
                <w:rFonts w:hint="eastAsia"/>
                <w:color w:val="auto"/>
                <w:sz w:val="21"/>
              </w:rPr>
              <w:drawing>
                <wp:inline distT="0" distB="0" distL="0" distR="0">
                  <wp:extent cx="1790700" cy="1303020"/>
                  <wp:effectExtent l="0" t="0" r="0" b="0"/>
                  <wp:docPr id="630115984"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15984" name="图片 66"/>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a:xfrm>
                            <a:off x="0" y="0"/>
                            <a:ext cx="1790700" cy="1303020"/>
                          </a:xfrm>
                          <a:prstGeom prst="rect">
                            <a:avLst/>
                          </a:prstGeom>
                          <a:noFill/>
                          <a:ln>
                            <a:noFill/>
                          </a:ln>
                        </pic:spPr>
                      </pic:pic>
                    </a:graphicData>
                  </a:graphic>
                </wp:inline>
              </w:drawing>
            </w:r>
          </w:p>
        </w:tc>
        <w:tc>
          <w:tcPr>
            <w:tcW w:w="1667" w:type="pct"/>
            <w:tcBorders>
              <w:top w:val="single" w:color="auto" w:sz="4" w:space="0"/>
              <w:left w:val="single" w:color="auto" w:sz="4" w:space="0"/>
              <w:bottom w:val="single" w:color="auto" w:sz="4" w:space="0"/>
              <w:right w:val="single" w:color="auto" w:sz="4" w:space="0"/>
            </w:tcBorders>
            <w:vAlign w:val="center"/>
          </w:tcPr>
          <w:p w14:paraId="5D4500E5">
            <w:pPr>
              <w:spacing w:line="240" w:lineRule="auto"/>
              <w:ind w:firstLine="0" w:firstLineChars="0"/>
              <w:jc w:val="center"/>
              <w:rPr>
                <w:rFonts w:hint="eastAsia"/>
                <w:color w:val="auto"/>
                <w:sz w:val="21"/>
              </w:rPr>
            </w:pPr>
            <w:r>
              <w:rPr>
                <w:rFonts w:hint="eastAsia"/>
                <w:color w:val="auto"/>
                <w:sz w:val="21"/>
              </w:rPr>
              <w:drawing>
                <wp:inline distT="0" distB="0" distL="0" distR="0">
                  <wp:extent cx="1783080" cy="1325880"/>
                  <wp:effectExtent l="0" t="0" r="7620" b="7620"/>
                  <wp:docPr id="77880172"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80172" name="图片 65"/>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a:xfrm>
                            <a:off x="0" y="0"/>
                            <a:ext cx="1783080" cy="1325880"/>
                          </a:xfrm>
                          <a:prstGeom prst="rect">
                            <a:avLst/>
                          </a:prstGeom>
                          <a:noFill/>
                          <a:ln>
                            <a:noFill/>
                          </a:ln>
                        </pic:spPr>
                      </pic:pic>
                    </a:graphicData>
                  </a:graphic>
                </wp:inline>
              </w:drawing>
            </w:r>
          </w:p>
        </w:tc>
      </w:tr>
      <w:tr w14:paraId="5E290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66" w:type="pct"/>
            <w:gridSpan w:val="2"/>
            <w:tcBorders>
              <w:top w:val="single" w:color="auto" w:sz="4" w:space="0"/>
              <w:left w:val="single" w:color="auto" w:sz="4" w:space="0"/>
              <w:bottom w:val="single" w:color="auto" w:sz="4" w:space="0"/>
              <w:right w:val="single" w:color="auto" w:sz="4" w:space="0"/>
            </w:tcBorders>
            <w:vAlign w:val="center"/>
          </w:tcPr>
          <w:p w14:paraId="2B9C7717">
            <w:pPr>
              <w:spacing w:line="240" w:lineRule="auto"/>
              <w:ind w:firstLine="0" w:firstLineChars="0"/>
              <w:jc w:val="center"/>
              <w:rPr>
                <w:rFonts w:hint="eastAsia"/>
                <w:color w:val="auto"/>
                <w:sz w:val="21"/>
              </w:rPr>
            </w:pPr>
            <w:r>
              <w:rPr>
                <w:rFonts w:hint="eastAsia"/>
                <w:color w:val="auto"/>
                <w:sz w:val="21"/>
              </w:rPr>
              <w:t>基层处理</w:t>
            </w:r>
          </w:p>
        </w:tc>
        <w:tc>
          <w:tcPr>
            <w:tcW w:w="1667" w:type="pct"/>
            <w:tcBorders>
              <w:top w:val="single" w:color="auto" w:sz="4" w:space="0"/>
              <w:left w:val="single" w:color="auto" w:sz="4" w:space="0"/>
              <w:bottom w:val="single" w:color="auto" w:sz="4" w:space="0"/>
              <w:right w:val="single" w:color="auto" w:sz="4" w:space="0"/>
            </w:tcBorders>
            <w:vAlign w:val="center"/>
          </w:tcPr>
          <w:p w14:paraId="2C91888B">
            <w:pPr>
              <w:spacing w:line="240" w:lineRule="auto"/>
              <w:ind w:firstLine="0" w:firstLineChars="0"/>
              <w:jc w:val="center"/>
              <w:rPr>
                <w:rFonts w:hint="eastAsia"/>
                <w:color w:val="auto"/>
                <w:sz w:val="21"/>
              </w:rPr>
            </w:pPr>
            <w:r>
              <w:rPr>
                <w:rFonts w:hint="eastAsia"/>
                <w:color w:val="auto"/>
                <w:sz w:val="21"/>
              </w:rPr>
              <w:t>刮腻子</w:t>
            </w:r>
          </w:p>
        </w:tc>
        <w:tc>
          <w:tcPr>
            <w:tcW w:w="1667" w:type="pct"/>
            <w:tcBorders>
              <w:top w:val="single" w:color="auto" w:sz="4" w:space="0"/>
              <w:left w:val="single" w:color="auto" w:sz="4" w:space="0"/>
              <w:bottom w:val="single" w:color="auto" w:sz="4" w:space="0"/>
              <w:right w:val="single" w:color="auto" w:sz="4" w:space="0"/>
            </w:tcBorders>
            <w:vAlign w:val="center"/>
          </w:tcPr>
          <w:p w14:paraId="66301882">
            <w:pPr>
              <w:spacing w:line="240" w:lineRule="auto"/>
              <w:ind w:firstLine="0" w:firstLineChars="0"/>
              <w:jc w:val="center"/>
              <w:rPr>
                <w:rFonts w:hint="eastAsia"/>
                <w:color w:val="auto"/>
                <w:sz w:val="21"/>
              </w:rPr>
            </w:pPr>
            <w:r>
              <w:rPr>
                <w:rFonts w:hint="eastAsia"/>
                <w:color w:val="auto"/>
                <w:sz w:val="21"/>
              </w:rPr>
              <w:t>抹灰处理</w:t>
            </w:r>
          </w:p>
        </w:tc>
      </w:tr>
    </w:tbl>
    <w:p w14:paraId="68379339">
      <w:pPr>
        <w:pStyle w:val="54"/>
        <w:rPr>
          <w:rFonts w:hint="eastAsia"/>
          <w:color w:val="auto"/>
        </w:rPr>
      </w:pPr>
      <w:r>
        <w:rPr>
          <w:rFonts w:hint="eastAsia"/>
          <w:color w:val="auto"/>
        </w:rPr>
        <w:t xml:space="preserve"> 装饰装修工程质量保障措施表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4014"/>
        <w:gridCol w:w="138"/>
        <w:gridCol w:w="4249"/>
      </w:tblGrid>
      <w:tr w14:paraId="00515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717F129">
            <w:pPr>
              <w:spacing w:line="240" w:lineRule="auto"/>
              <w:ind w:firstLine="0" w:firstLineChars="0"/>
              <w:jc w:val="center"/>
              <w:rPr>
                <w:rFonts w:hint="eastAsia"/>
                <w:color w:val="auto"/>
                <w:sz w:val="21"/>
              </w:rPr>
            </w:pPr>
            <w:r>
              <w:rPr>
                <w:rFonts w:hint="eastAsia"/>
                <w:color w:val="auto"/>
                <w:sz w:val="21"/>
              </w:rPr>
              <w:t>项目</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2C8B8A9C">
            <w:pPr>
              <w:spacing w:line="240" w:lineRule="auto"/>
              <w:ind w:firstLine="0" w:firstLineChars="0"/>
              <w:jc w:val="center"/>
              <w:rPr>
                <w:rFonts w:hint="eastAsia"/>
                <w:color w:val="auto"/>
                <w:sz w:val="21"/>
              </w:rPr>
            </w:pPr>
            <w:r>
              <w:rPr>
                <w:rFonts w:hint="eastAsia"/>
                <w:color w:val="auto"/>
                <w:sz w:val="21"/>
              </w:rPr>
              <w:t>措施</w:t>
            </w:r>
          </w:p>
        </w:tc>
      </w:tr>
      <w:tr w14:paraId="4E40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CB2DB1F">
            <w:pPr>
              <w:spacing w:line="240" w:lineRule="auto"/>
              <w:ind w:firstLine="0" w:firstLineChars="0"/>
              <w:jc w:val="center"/>
              <w:rPr>
                <w:rFonts w:hint="eastAsia"/>
                <w:color w:val="auto"/>
                <w:sz w:val="21"/>
              </w:rPr>
            </w:pPr>
            <w:r>
              <w:rPr>
                <w:rFonts w:hint="eastAsia"/>
                <w:color w:val="auto"/>
                <w:sz w:val="21"/>
              </w:rPr>
              <w:t>地面砖</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048D233C">
            <w:pPr>
              <w:spacing w:line="240" w:lineRule="auto"/>
              <w:ind w:firstLine="420"/>
              <w:jc w:val="left"/>
              <w:rPr>
                <w:rFonts w:hint="eastAsia"/>
                <w:color w:val="auto"/>
                <w:sz w:val="21"/>
              </w:rPr>
            </w:pPr>
            <w:r>
              <w:rPr>
                <w:rFonts w:hint="eastAsia"/>
                <w:color w:val="auto"/>
                <w:sz w:val="21"/>
              </w:rPr>
              <w:t>1、贴砖前需先将地面杂物、浮浆处理干净，刷一道界面剂素水泥浆结合层，以增加基层和结合层之间的粘结能力。然后虚铺干硬性的水泥砂浆。一般是铺一层砂浆，放一块砖。检查好后，浇一层水灰比为0.45的素浆结合层，厚度为0.5mm。然后将板正式放在上面，用橡皮锤敲打砖的表面，砸平砸实。</w:t>
            </w:r>
          </w:p>
          <w:p w14:paraId="358D7709">
            <w:pPr>
              <w:spacing w:line="240" w:lineRule="auto"/>
              <w:ind w:firstLine="420"/>
              <w:jc w:val="left"/>
              <w:rPr>
                <w:rFonts w:hint="eastAsia"/>
                <w:color w:val="auto"/>
                <w:sz w:val="21"/>
              </w:rPr>
            </w:pPr>
            <w:r>
              <w:rPr>
                <w:rFonts w:hint="eastAsia"/>
                <w:color w:val="auto"/>
                <w:sz w:val="21"/>
              </w:rPr>
              <w:t>2、面层与基层的结合必须牢固，无空鼓。</w:t>
            </w:r>
          </w:p>
          <w:p w14:paraId="0F1C5DA1">
            <w:pPr>
              <w:spacing w:line="240" w:lineRule="auto"/>
              <w:ind w:firstLine="420"/>
              <w:jc w:val="left"/>
              <w:rPr>
                <w:rFonts w:hint="eastAsia"/>
                <w:color w:val="auto"/>
                <w:sz w:val="21"/>
              </w:rPr>
            </w:pPr>
            <w:r>
              <w:rPr>
                <w:rFonts w:hint="eastAsia"/>
                <w:color w:val="auto"/>
                <w:sz w:val="21"/>
              </w:rPr>
              <w:t>3、地砖表面洁净，图案清晰，色泽一致，接缝均匀，周边顺直，板块无裂纹、掉角和缺楞等现象。</w:t>
            </w:r>
          </w:p>
        </w:tc>
      </w:tr>
      <w:tr w14:paraId="261E6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5" w:type="pct"/>
            <w:gridSpan w:val="3"/>
            <w:tcBorders>
              <w:top w:val="single" w:color="auto" w:sz="4" w:space="0"/>
              <w:left w:val="single" w:color="auto" w:sz="4" w:space="0"/>
              <w:bottom w:val="single" w:color="auto" w:sz="4" w:space="0"/>
              <w:right w:val="single" w:color="auto" w:sz="4" w:space="0"/>
            </w:tcBorders>
            <w:vAlign w:val="center"/>
          </w:tcPr>
          <w:p w14:paraId="1ED2ACEA">
            <w:pPr>
              <w:spacing w:line="240" w:lineRule="auto"/>
              <w:ind w:firstLine="0" w:firstLineChars="0"/>
              <w:jc w:val="center"/>
              <w:rPr>
                <w:rFonts w:hint="eastAsia"/>
                <w:color w:val="auto"/>
                <w:sz w:val="21"/>
              </w:rPr>
            </w:pPr>
            <w:r>
              <w:rPr>
                <w:rFonts w:hint="eastAsia"/>
                <w:color w:val="auto"/>
                <w:sz w:val="21"/>
              </w:rPr>
              <w:drawing>
                <wp:inline distT="0" distB="0" distL="0" distR="0">
                  <wp:extent cx="1943100" cy="1371600"/>
                  <wp:effectExtent l="0" t="0" r="0" b="0"/>
                  <wp:docPr id="775723842"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23842" name="图片 64"/>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a:xfrm>
                            <a:off x="0" y="0"/>
                            <a:ext cx="1943100" cy="1371600"/>
                          </a:xfrm>
                          <a:prstGeom prst="rect">
                            <a:avLst/>
                          </a:prstGeom>
                          <a:noFill/>
                          <a:ln>
                            <a:noFill/>
                          </a:ln>
                        </pic:spPr>
                      </pic:pic>
                    </a:graphicData>
                  </a:graphic>
                </wp:inline>
              </w:drawing>
            </w:r>
          </w:p>
        </w:tc>
        <w:tc>
          <w:tcPr>
            <w:tcW w:w="2345" w:type="pct"/>
            <w:tcBorders>
              <w:top w:val="single" w:color="auto" w:sz="4" w:space="0"/>
              <w:left w:val="single" w:color="auto" w:sz="4" w:space="0"/>
              <w:bottom w:val="single" w:color="auto" w:sz="4" w:space="0"/>
              <w:right w:val="single" w:color="auto" w:sz="4" w:space="0"/>
            </w:tcBorders>
            <w:vAlign w:val="center"/>
          </w:tcPr>
          <w:p w14:paraId="1340558B">
            <w:pPr>
              <w:spacing w:line="240" w:lineRule="auto"/>
              <w:ind w:firstLine="0" w:firstLineChars="0"/>
              <w:jc w:val="center"/>
              <w:rPr>
                <w:rFonts w:hint="eastAsia"/>
                <w:color w:val="auto"/>
                <w:sz w:val="21"/>
              </w:rPr>
            </w:pPr>
            <w:r>
              <w:rPr>
                <w:rFonts w:hint="eastAsia"/>
                <w:color w:val="auto"/>
                <w:sz w:val="21"/>
              </w:rPr>
              <w:drawing>
                <wp:inline distT="0" distB="0" distL="0" distR="0">
                  <wp:extent cx="1790700" cy="1363980"/>
                  <wp:effectExtent l="0" t="0" r="0" b="7620"/>
                  <wp:docPr id="2039035079"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035079" name="图片 63"/>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a:xfrm>
                            <a:off x="0" y="0"/>
                            <a:ext cx="1790700" cy="1363980"/>
                          </a:xfrm>
                          <a:prstGeom prst="rect">
                            <a:avLst/>
                          </a:prstGeom>
                          <a:noFill/>
                          <a:ln>
                            <a:noFill/>
                          </a:ln>
                        </pic:spPr>
                      </pic:pic>
                    </a:graphicData>
                  </a:graphic>
                </wp:inline>
              </w:drawing>
            </w:r>
          </w:p>
        </w:tc>
      </w:tr>
      <w:tr w14:paraId="65C73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55" w:type="pct"/>
            <w:gridSpan w:val="3"/>
            <w:tcBorders>
              <w:top w:val="single" w:color="auto" w:sz="4" w:space="0"/>
              <w:left w:val="single" w:color="auto" w:sz="4" w:space="0"/>
              <w:bottom w:val="single" w:color="auto" w:sz="4" w:space="0"/>
              <w:right w:val="single" w:color="auto" w:sz="4" w:space="0"/>
            </w:tcBorders>
            <w:vAlign w:val="center"/>
          </w:tcPr>
          <w:p w14:paraId="76B0F582">
            <w:pPr>
              <w:spacing w:line="240" w:lineRule="auto"/>
              <w:ind w:firstLine="0" w:firstLineChars="0"/>
              <w:jc w:val="center"/>
              <w:rPr>
                <w:rFonts w:hint="eastAsia"/>
                <w:color w:val="auto"/>
                <w:sz w:val="21"/>
              </w:rPr>
            </w:pPr>
            <w:r>
              <w:rPr>
                <w:rFonts w:hint="eastAsia"/>
                <w:color w:val="auto"/>
                <w:sz w:val="21"/>
              </w:rPr>
              <w:t>地面施工</w:t>
            </w:r>
          </w:p>
        </w:tc>
        <w:tc>
          <w:tcPr>
            <w:tcW w:w="2345" w:type="pct"/>
            <w:tcBorders>
              <w:top w:val="single" w:color="auto" w:sz="4" w:space="0"/>
              <w:left w:val="single" w:color="auto" w:sz="4" w:space="0"/>
              <w:bottom w:val="single" w:color="auto" w:sz="4" w:space="0"/>
              <w:right w:val="single" w:color="auto" w:sz="4" w:space="0"/>
            </w:tcBorders>
            <w:vAlign w:val="center"/>
          </w:tcPr>
          <w:p w14:paraId="7DC766FF">
            <w:pPr>
              <w:spacing w:line="240" w:lineRule="auto"/>
              <w:ind w:firstLine="0" w:firstLineChars="0"/>
              <w:jc w:val="center"/>
              <w:rPr>
                <w:rFonts w:hint="eastAsia"/>
                <w:color w:val="auto"/>
                <w:sz w:val="21"/>
              </w:rPr>
            </w:pPr>
            <w:r>
              <w:rPr>
                <w:rFonts w:hint="eastAsia"/>
                <w:color w:val="auto"/>
                <w:sz w:val="21"/>
              </w:rPr>
              <w:t>地砖勾缝</w:t>
            </w:r>
          </w:p>
        </w:tc>
      </w:tr>
      <w:tr w14:paraId="77AB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7BD0875">
            <w:pPr>
              <w:spacing w:line="240" w:lineRule="auto"/>
              <w:ind w:firstLine="0" w:firstLineChars="0"/>
              <w:jc w:val="center"/>
              <w:rPr>
                <w:rFonts w:hint="eastAsia"/>
                <w:color w:val="auto"/>
                <w:sz w:val="21"/>
              </w:rPr>
            </w:pPr>
            <w:r>
              <w:rPr>
                <w:rFonts w:hint="eastAsia"/>
                <w:color w:val="auto"/>
                <w:sz w:val="21"/>
              </w:rPr>
              <w:t>地面</w:t>
            </w:r>
          </w:p>
          <w:p w14:paraId="19FA4985">
            <w:pPr>
              <w:spacing w:line="240" w:lineRule="auto"/>
              <w:ind w:firstLine="0" w:firstLineChars="0"/>
              <w:jc w:val="center"/>
              <w:rPr>
                <w:rFonts w:hint="eastAsia"/>
                <w:color w:val="auto"/>
                <w:sz w:val="21"/>
              </w:rPr>
            </w:pPr>
            <w:r>
              <w:rPr>
                <w:rFonts w:hint="eastAsia"/>
                <w:color w:val="auto"/>
                <w:sz w:val="21"/>
              </w:rPr>
              <w:t>石材</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31E34510">
            <w:pPr>
              <w:spacing w:line="240" w:lineRule="auto"/>
              <w:ind w:firstLine="420"/>
              <w:jc w:val="left"/>
              <w:rPr>
                <w:rFonts w:hint="eastAsia"/>
                <w:color w:val="auto"/>
                <w:sz w:val="21"/>
              </w:rPr>
            </w:pPr>
            <w:r>
              <w:rPr>
                <w:rFonts w:hint="eastAsia"/>
                <w:color w:val="auto"/>
                <w:sz w:val="21"/>
              </w:rPr>
              <w:t>1、铺石材板块，先里后外，按试拼编号，安放时四角同时下落，用橡皮锤锤击板材，用水平尺找平，校正后掀起浇素水泥浆安装就位。铺完第一块后，向两侧和后退方向顺序铺设，发现空隙应掀起板块，补实砂浆，再行安装，板块之间接缝要严，不留缝隙。</w:t>
            </w:r>
          </w:p>
          <w:p w14:paraId="76DD572B">
            <w:pPr>
              <w:spacing w:line="240" w:lineRule="auto"/>
              <w:ind w:firstLine="420"/>
              <w:jc w:val="left"/>
              <w:rPr>
                <w:rFonts w:hint="eastAsia"/>
                <w:color w:val="auto"/>
                <w:sz w:val="21"/>
              </w:rPr>
            </w:pPr>
            <w:r>
              <w:rPr>
                <w:rFonts w:hint="eastAsia"/>
                <w:color w:val="auto"/>
                <w:sz w:val="21"/>
              </w:rPr>
              <w:t>2、在铺贴2昼夜后进行勾缝，选择与石板相同颜色的矿物颜料同水泥拌合均匀，调制成水泥色浆，用勾缝溜子勾缝，用棉砂将板面擦干净。</w:t>
            </w:r>
          </w:p>
          <w:p w14:paraId="2465FD17">
            <w:pPr>
              <w:spacing w:line="240" w:lineRule="auto"/>
              <w:ind w:firstLine="420"/>
              <w:jc w:val="left"/>
              <w:rPr>
                <w:rFonts w:hint="eastAsia"/>
                <w:color w:val="auto"/>
                <w:sz w:val="21"/>
              </w:rPr>
            </w:pPr>
            <w:r>
              <w:rPr>
                <w:rFonts w:hint="eastAsia"/>
                <w:color w:val="auto"/>
                <w:sz w:val="21"/>
              </w:rPr>
              <w:t>3、地面平整色泽基本调和，不得有空鼓现象。</w:t>
            </w:r>
          </w:p>
        </w:tc>
      </w:tr>
      <w:tr w14:paraId="628F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C19685F">
            <w:pPr>
              <w:spacing w:line="240" w:lineRule="auto"/>
              <w:ind w:firstLine="0" w:firstLineChars="0"/>
              <w:jc w:val="center"/>
              <w:rPr>
                <w:rFonts w:hint="eastAsia"/>
                <w:color w:val="auto"/>
                <w:sz w:val="21"/>
              </w:rPr>
            </w:pPr>
            <w:r>
              <w:rPr>
                <w:rFonts w:hint="eastAsia"/>
                <w:color w:val="auto"/>
                <w:sz w:val="21"/>
              </w:rPr>
              <w:t>乳胶漆</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75C5F307">
            <w:pPr>
              <w:spacing w:line="240" w:lineRule="auto"/>
              <w:ind w:firstLine="420"/>
              <w:jc w:val="left"/>
              <w:rPr>
                <w:rFonts w:hint="eastAsia"/>
                <w:color w:val="auto"/>
                <w:sz w:val="21"/>
              </w:rPr>
            </w:pPr>
            <w:r>
              <w:rPr>
                <w:rFonts w:hint="eastAsia"/>
                <w:color w:val="auto"/>
                <w:sz w:val="21"/>
              </w:rPr>
              <w:t>1、先将墙面灰尘、浆粒清理干净，用水石膏将墙面磕碰处及坑洼缝隙等找平，干燥后用砂纸将凸出处磨掉，将浮尘扫净。</w:t>
            </w:r>
          </w:p>
          <w:p w14:paraId="460950C0">
            <w:pPr>
              <w:spacing w:line="240" w:lineRule="auto"/>
              <w:ind w:firstLine="420"/>
              <w:jc w:val="left"/>
              <w:rPr>
                <w:rFonts w:hint="eastAsia"/>
                <w:color w:val="auto"/>
                <w:sz w:val="21"/>
              </w:rPr>
            </w:pPr>
            <w:r>
              <w:rPr>
                <w:rFonts w:hint="eastAsia"/>
                <w:color w:val="auto"/>
                <w:sz w:val="21"/>
              </w:rPr>
              <w:t>2、刮腻子时第一遍用胶皮刮板横向满刮，一刮板紧接着一刮板，接头不得留茬，每刮一板最后收头要干净利落。干燥后磨砂纸，将浮腻子及斑迹磨光，再将墙面清扫干净，干燥后砂纸磨平并清扫干净。第三遍用胶皮刮板找补腻子或用钢片刮板满刮腻子，将墙面刮平刮光，干燥后用细砂纸磨光，不得遗漏或将腻子磨穿。</w:t>
            </w:r>
          </w:p>
          <w:p w14:paraId="6E6B9D4E">
            <w:pPr>
              <w:spacing w:line="240" w:lineRule="auto"/>
              <w:ind w:firstLine="420"/>
              <w:jc w:val="left"/>
              <w:rPr>
                <w:rFonts w:hint="eastAsia"/>
                <w:color w:val="auto"/>
                <w:sz w:val="21"/>
              </w:rPr>
            </w:pPr>
            <w:r>
              <w:rPr>
                <w:rFonts w:hint="eastAsia"/>
                <w:color w:val="auto"/>
                <w:sz w:val="21"/>
              </w:rPr>
              <w:t>3、刷乳胶漆时涂刷顺序是先刷顶板后刷墙面，墙面是先上后下。先将墙面清扫干净，用布将墙面粉尘擦掉。乳胶漆用排笔涂刷，使用新排笔时，将排笔上的浮毛和不牢的毛理掉。</w:t>
            </w:r>
          </w:p>
          <w:p w14:paraId="317EA516">
            <w:pPr>
              <w:spacing w:line="240" w:lineRule="auto"/>
              <w:ind w:firstLine="420"/>
              <w:jc w:val="left"/>
              <w:rPr>
                <w:rFonts w:hint="eastAsia"/>
                <w:color w:val="auto"/>
                <w:sz w:val="21"/>
              </w:rPr>
            </w:pPr>
            <w:r>
              <w:rPr>
                <w:rFonts w:hint="eastAsia"/>
                <w:color w:val="auto"/>
                <w:sz w:val="21"/>
              </w:rPr>
              <w:t>4、使用前充分搅拌，如不很稠，不宜加水，以防止透底。漆膜干燥后，用细砂纸将墙面小疙瘩和排笔打磨掉，磨光滑后清扫干净。</w:t>
            </w:r>
          </w:p>
        </w:tc>
      </w:tr>
      <w:tr w14:paraId="64EB9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833EFD1">
            <w:pPr>
              <w:spacing w:line="240" w:lineRule="auto"/>
              <w:ind w:firstLine="0" w:firstLineChars="0"/>
              <w:jc w:val="center"/>
              <w:rPr>
                <w:rFonts w:hint="eastAsia"/>
                <w:color w:val="auto"/>
                <w:sz w:val="21"/>
              </w:rPr>
            </w:pPr>
            <w:r>
              <w:rPr>
                <w:rFonts w:hint="eastAsia"/>
                <w:color w:val="auto"/>
                <w:sz w:val="21"/>
              </w:rPr>
              <w:t>墙面砖</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0B83F7BA">
            <w:pPr>
              <w:spacing w:line="240" w:lineRule="auto"/>
              <w:ind w:firstLine="420"/>
              <w:jc w:val="left"/>
              <w:rPr>
                <w:rFonts w:hint="eastAsia"/>
                <w:color w:val="auto"/>
                <w:sz w:val="21"/>
              </w:rPr>
            </w:pPr>
            <w:r>
              <w:rPr>
                <w:rFonts w:hint="eastAsia"/>
                <w:color w:val="auto"/>
                <w:sz w:val="21"/>
              </w:rPr>
              <w:t>1、正式粘贴前应贴标准点，用废瓷砖加粘贴剂粘贴在墙或柱上，用以控制整个粘贴瓷砖表面平整度。</w:t>
            </w:r>
          </w:p>
          <w:p w14:paraId="60C34308">
            <w:pPr>
              <w:spacing w:line="240" w:lineRule="auto"/>
              <w:ind w:firstLine="420"/>
              <w:jc w:val="left"/>
              <w:rPr>
                <w:rFonts w:hint="eastAsia"/>
                <w:color w:val="auto"/>
                <w:sz w:val="21"/>
              </w:rPr>
            </w:pPr>
            <w:r>
              <w:rPr>
                <w:rFonts w:hint="eastAsia"/>
                <w:color w:val="auto"/>
                <w:sz w:val="21"/>
              </w:rPr>
              <w:t>2、粘贴瓷砖自下而上粘贴，瓷砖背面满刮瓷砖粘贴剂，要随时用靠尺检查平整度，随粘随检查，同时要保证缝隙宽一致，柱面上墙面上直角处按设计要求拼角，粘贴时要随时擦掉砖缝中流出的粘贴剂。</w:t>
            </w:r>
          </w:p>
          <w:p w14:paraId="3DEF670B">
            <w:pPr>
              <w:spacing w:line="240" w:lineRule="auto"/>
              <w:ind w:firstLine="420"/>
              <w:jc w:val="left"/>
              <w:rPr>
                <w:rFonts w:hint="eastAsia"/>
                <w:color w:val="auto"/>
                <w:sz w:val="21"/>
              </w:rPr>
            </w:pPr>
            <w:r>
              <w:rPr>
                <w:rFonts w:hint="eastAsia"/>
                <w:color w:val="auto"/>
                <w:sz w:val="21"/>
              </w:rPr>
              <w:t>3、擦缝清理：瓷砖粘贴完用棉丝擦净，48h后擦缝，然后清理干净。</w:t>
            </w:r>
          </w:p>
          <w:p w14:paraId="2450E25F">
            <w:pPr>
              <w:spacing w:line="240" w:lineRule="auto"/>
              <w:ind w:firstLine="420"/>
              <w:jc w:val="left"/>
              <w:rPr>
                <w:rFonts w:hint="eastAsia"/>
                <w:color w:val="auto"/>
                <w:sz w:val="21"/>
              </w:rPr>
            </w:pPr>
            <w:r>
              <w:rPr>
                <w:rFonts w:hint="eastAsia"/>
                <w:color w:val="auto"/>
                <w:sz w:val="21"/>
              </w:rPr>
              <w:t>4、瓷砖之间缝隙均匀一致、填嵌密实、平直、颜色一致。</w:t>
            </w:r>
          </w:p>
          <w:p w14:paraId="4E091407">
            <w:pPr>
              <w:spacing w:line="240" w:lineRule="auto"/>
              <w:ind w:firstLine="420"/>
              <w:jc w:val="left"/>
              <w:rPr>
                <w:rFonts w:hint="eastAsia"/>
                <w:color w:val="auto"/>
                <w:sz w:val="21"/>
              </w:rPr>
            </w:pPr>
            <w:r>
              <w:rPr>
                <w:rFonts w:hint="eastAsia"/>
                <w:color w:val="auto"/>
                <w:sz w:val="21"/>
              </w:rPr>
              <w:t>5、特殊部位砖、块压向正确，非整砖使用部位适当，排列平直。</w:t>
            </w:r>
          </w:p>
          <w:p w14:paraId="4D522F40">
            <w:pPr>
              <w:spacing w:line="240" w:lineRule="auto"/>
              <w:ind w:firstLine="420"/>
              <w:jc w:val="left"/>
              <w:rPr>
                <w:rFonts w:hint="eastAsia"/>
                <w:color w:val="auto"/>
                <w:sz w:val="21"/>
              </w:rPr>
            </w:pPr>
            <w:r>
              <w:rPr>
                <w:rFonts w:hint="eastAsia"/>
                <w:color w:val="auto"/>
                <w:sz w:val="21"/>
              </w:rPr>
              <w:t>6、柱群中各柱面砖位置正确，纵横成行在同一直线上，当墙柱阳角呈45º对接时，角度正确，线条顺直。</w:t>
            </w:r>
          </w:p>
        </w:tc>
      </w:tr>
      <w:tr w14:paraId="7EBCC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DA110B6">
            <w:pPr>
              <w:spacing w:line="240" w:lineRule="auto"/>
              <w:ind w:firstLine="0" w:firstLineChars="0"/>
              <w:jc w:val="center"/>
              <w:rPr>
                <w:rFonts w:hint="eastAsia"/>
                <w:color w:val="auto"/>
                <w:sz w:val="21"/>
              </w:rPr>
            </w:pPr>
            <w:r>
              <w:rPr>
                <w:rFonts w:hint="eastAsia"/>
                <w:color w:val="auto"/>
                <w:sz w:val="21"/>
              </w:rPr>
              <w:t>墙面挂</w:t>
            </w:r>
          </w:p>
          <w:p w14:paraId="670AFCB1">
            <w:pPr>
              <w:spacing w:line="240" w:lineRule="auto"/>
              <w:ind w:firstLine="0" w:firstLineChars="0"/>
              <w:jc w:val="center"/>
              <w:rPr>
                <w:rFonts w:hint="eastAsia"/>
                <w:color w:val="auto"/>
                <w:sz w:val="21"/>
              </w:rPr>
            </w:pPr>
            <w:r>
              <w:rPr>
                <w:rFonts w:hint="eastAsia"/>
                <w:color w:val="auto"/>
                <w:sz w:val="21"/>
              </w:rPr>
              <w:t>贴石材</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2B8D05B1">
            <w:pPr>
              <w:spacing w:line="240" w:lineRule="auto"/>
              <w:ind w:firstLine="420"/>
              <w:jc w:val="left"/>
              <w:rPr>
                <w:rFonts w:hint="eastAsia"/>
                <w:color w:val="auto"/>
                <w:sz w:val="21"/>
              </w:rPr>
            </w:pPr>
            <w:r>
              <w:rPr>
                <w:rFonts w:hint="eastAsia"/>
                <w:color w:val="auto"/>
                <w:sz w:val="21"/>
              </w:rPr>
              <w:t>1、用手提式石材切割机在板侧面开好槽后，把备好的16号铜丝的两端从两条斜槽穿出，并在板背面拧紧扎牢。石材安装顺序由下往上进行，通过铜丝绑扎在钢筋网上。</w:t>
            </w:r>
          </w:p>
          <w:p w14:paraId="5C2026A6">
            <w:pPr>
              <w:spacing w:line="240" w:lineRule="auto"/>
              <w:ind w:firstLine="420"/>
              <w:jc w:val="left"/>
              <w:rPr>
                <w:rFonts w:hint="eastAsia"/>
                <w:color w:val="auto"/>
                <w:sz w:val="21"/>
              </w:rPr>
            </w:pPr>
            <w:r>
              <w:rPr>
                <w:rFonts w:hint="eastAsia"/>
                <w:color w:val="auto"/>
                <w:sz w:val="21"/>
              </w:rPr>
              <w:t>2、水泥砂浆稠度控制在8～15mm。灌浆时板块不得发生位移。</w:t>
            </w:r>
          </w:p>
          <w:p w14:paraId="587795DB">
            <w:pPr>
              <w:spacing w:line="240" w:lineRule="auto"/>
              <w:ind w:firstLine="420"/>
              <w:jc w:val="left"/>
              <w:rPr>
                <w:rFonts w:hint="eastAsia"/>
                <w:color w:val="auto"/>
                <w:sz w:val="21"/>
              </w:rPr>
            </w:pPr>
            <w:r>
              <w:rPr>
                <w:rFonts w:hint="eastAsia"/>
                <w:color w:val="auto"/>
                <w:sz w:val="21"/>
              </w:rPr>
              <w:t>3、灌浆时必须分层浇灌，分层灌每次灌筑高度不超过200mm。非最上一层石板块，灌浆离上口50～80mm处停止灌浆。留待上一层石板块灌浆时完成。使上下连成整体。每层灌筑时间要间隔1～2h，安装白色或浅色石板块，应用白水泥，以防透底。</w:t>
            </w:r>
          </w:p>
        </w:tc>
      </w:tr>
      <w:tr w14:paraId="212BC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C2274EB">
            <w:pPr>
              <w:spacing w:line="240" w:lineRule="auto"/>
              <w:ind w:firstLine="0" w:firstLineChars="0"/>
              <w:jc w:val="center"/>
              <w:rPr>
                <w:rFonts w:hint="eastAsia"/>
                <w:color w:val="auto"/>
                <w:sz w:val="21"/>
              </w:rPr>
            </w:pPr>
            <w:r>
              <w:rPr>
                <w:rFonts w:hint="eastAsia"/>
                <w:color w:val="auto"/>
                <w:sz w:val="21"/>
              </w:rPr>
              <w:t>木门制作安装</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40EC216E">
            <w:pPr>
              <w:spacing w:line="240" w:lineRule="auto"/>
              <w:ind w:firstLine="420"/>
              <w:jc w:val="left"/>
              <w:rPr>
                <w:rFonts w:hint="eastAsia"/>
                <w:color w:val="auto"/>
                <w:sz w:val="21"/>
              </w:rPr>
            </w:pPr>
            <w:r>
              <w:rPr>
                <w:rFonts w:hint="eastAsia"/>
                <w:color w:val="auto"/>
                <w:sz w:val="21"/>
              </w:rPr>
              <w:t>1、按照现场实际及设计图纸尺寸弹好线，确定地面标高，然后确定门扇高度、宽度和厚度。</w:t>
            </w:r>
          </w:p>
          <w:p w14:paraId="3DCB4C6E">
            <w:pPr>
              <w:spacing w:line="240" w:lineRule="auto"/>
              <w:ind w:firstLine="420"/>
              <w:jc w:val="left"/>
              <w:rPr>
                <w:rFonts w:hint="eastAsia"/>
                <w:color w:val="auto"/>
                <w:sz w:val="21"/>
              </w:rPr>
            </w:pPr>
            <w:r>
              <w:rPr>
                <w:rFonts w:hint="eastAsia"/>
                <w:color w:val="auto"/>
                <w:sz w:val="21"/>
              </w:rPr>
              <w:t>2、木门根据现场实际尺寸在工厂加工制作完成后运至工地。</w:t>
            </w:r>
          </w:p>
          <w:p w14:paraId="3B3FFF23">
            <w:pPr>
              <w:spacing w:line="240" w:lineRule="auto"/>
              <w:ind w:firstLine="420"/>
              <w:jc w:val="left"/>
              <w:rPr>
                <w:rFonts w:hint="eastAsia"/>
                <w:color w:val="auto"/>
                <w:sz w:val="21"/>
              </w:rPr>
            </w:pPr>
            <w:r>
              <w:rPr>
                <w:rFonts w:hint="eastAsia"/>
                <w:color w:val="auto"/>
                <w:sz w:val="21"/>
              </w:rPr>
              <w:t>3、门扇安装完后，在可能撞击的高度用夹板保护。门扇下用木楔塞紧，做好成品保护。</w:t>
            </w:r>
          </w:p>
        </w:tc>
      </w:tr>
      <w:tr w14:paraId="5E33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676605F">
            <w:pPr>
              <w:spacing w:line="240" w:lineRule="auto"/>
              <w:ind w:firstLine="0" w:firstLineChars="0"/>
              <w:jc w:val="center"/>
              <w:rPr>
                <w:rFonts w:hint="eastAsia"/>
                <w:color w:val="auto"/>
                <w:sz w:val="21"/>
              </w:rPr>
            </w:pPr>
            <w:r>
              <w:rPr>
                <w:rFonts w:hint="eastAsia"/>
                <w:color w:val="auto"/>
                <w:sz w:val="21"/>
              </w:rPr>
              <w:t>玻璃</w:t>
            </w:r>
          </w:p>
          <w:p w14:paraId="265BE0B3">
            <w:pPr>
              <w:spacing w:line="240" w:lineRule="auto"/>
              <w:ind w:firstLine="0" w:firstLineChars="0"/>
              <w:jc w:val="center"/>
              <w:rPr>
                <w:rFonts w:hint="eastAsia"/>
                <w:color w:val="auto"/>
                <w:sz w:val="21"/>
              </w:rPr>
            </w:pPr>
            <w:r>
              <w:rPr>
                <w:rFonts w:hint="eastAsia"/>
                <w:color w:val="auto"/>
                <w:sz w:val="21"/>
              </w:rPr>
              <w:t>栏杆</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2DC7F1BE">
            <w:pPr>
              <w:spacing w:line="240" w:lineRule="auto"/>
              <w:ind w:firstLine="420"/>
              <w:jc w:val="left"/>
              <w:rPr>
                <w:rFonts w:hint="eastAsia"/>
                <w:color w:val="auto"/>
                <w:sz w:val="21"/>
              </w:rPr>
            </w:pPr>
            <w:r>
              <w:rPr>
                <w:rFonts w:hint="eastAsia"/>
                <w:color w:val="auto"/>
                <w:sz w:val="21"/>
              </w:rPr>
              <w:t>1、玻璃安装运输过程中要小心，避免碰坏玻璃。</w:t>
            </w:r>
          </w:p>
          <w:p w14:paraId="6A91E122">
            <w:pPr>
              <w:spacing w:line="240" w:lineRule="auto"/>
              <w:ind w:firstLine="420"/>
              <w:jc w:val="left"/>
              <w:rPr>
                <w:rFonts w:hint="eastAsia"/>
                <w:color w:val="auto"/>
                <w:sz w:val="21"/>
              </w:rPr>
            </w:pPr>
            <w:r>
              <w:rPr>
                <w:rFonts w:hint="eastAsia"/>
                <w:color w:val="auto"/>
                <w:sz w:val="21"/>
              </w:rPr>
              <w:t>2、玻璃裁割尺寸正确，安装必须平整、牢固、无松动现象。</w:t>
            </w:r>
          </w:p>
          <w:p w14:paraId="7976D0C1">
            <w:pPr>
              <w:spacing w:line="240" w:lineRule="auto"/>
              <w:ind w:firstLine="420"/>
              <w:jc w:val="left"/>
              <w:rPr>
                <w:rFonts w:hint="eastAsia"/>
                <w:color w:val="auto"/>
                <w:sz w:val="21"/>
              </w:rPr>
            </w:pPr>
            <w:r>
              <w:rPr>
                <w:rFonts w:hint="eastAsia"/>
                <w:color w:val="auto"/>
                <w:sz w:val="21"/>
              </w:rPr>
              <w:t>3、玻璃表面（非镀膜面）的胶丝迹或其它污物可用刀片刮净并用中性溶剂洗涤后用清水冲洗干净，过程中注意成品保护。</w:t>
            </w:r>
          </w:p>
        </w:tc>
      </w:tr>
      <w:tr w14:paraId="72869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9239683">
            <w:pPr>
              <w:spacing w:line="240" w:lineRule="auto"/>
              <w:ind w:firstLine="0" w:firstLineChars="0"/>
              <w:jc w:val="center"/>
              <w:rPr>
                <w:rFonts w:hint="eastAsia"/>
                <w:color w:val="auto"/>
                <w:sz w:val="21"/>
              </w:rPr>
            </w:pPr>
            <w:r>
              <w:rPr>
                <w:rFonts w:hint="eastAsia"/>
                <w:color w:val="auto"/>
                <w:sz w:val="21"/>
              </w:rPr>
              <w:t>轻钢龙骨罩面板吊顶</w:t>
            </w:r>
          </w:p>
        </w:tc>
        <w:tc>
          <w:tcPr>
            <w:tcW w:w="4636" w:type="pct"/>
            <w:gridSpan w:val="3"/>
            <w:tcBorders>
              <w:top w:val="single" w:color="auto" w:sz="4" w:space="0"/>
              <w:left w:val="single" w:color="auto" w:sz="4" w:space="0"/>
              <w:bottom w:val="single" w:color="auto" w:sz="4" w:space="0"/>
              <w:right w:val="single" w:color="auto" w:sz="4" w:space="0"/>
            </w:tcBorders>
            <w:vAlign w:val="center"/>
          </w:tcPr>
          <w:p w14:paraId="65520A23">
            <w:pPr>
              <w:spacing w:line="240" w:lineRule="auto"/>
              <w:ind w:firstLine="420"/>
              <w:jc w:val="left"/>
              <w:rPr>
                <w:rFonts w:hint="eastAsia"/>
                <w:color w:val="auto"/>
                <w:sz w:val="21"/>
              </w:rPr>
            </w:pPr>
            <w:r>
              <w:rPr>
                <w:rFonts w:hint="eastAsia"/>
                <w:color w:val="auto"/>
                <w:sz w:val="21"/>
              </w:rPr>
              <w:t>1、全面校正主、次龙骨的位置及其水平度，连接件应错开安装，明龙骨应目测无明显弯曲。</w:t>
            </w:r>
          </w:p>
          <w:p w14:paraId="175BC5F2">
            <w:pPr>
              <w:spacing w:line="240" w:lineRule="auto"/>
              <w:ind w:firstLine="420"/>
              <w:jc w:val="left"/>
              <w:rPr>
                <w:rFonts w:hint="eastAsia"/>
                <w:color w:val="auto"/>
                <w:sz w:val="21"/>
              </w:rPr>
            </w:pPr>
            <w:r>
              <w:rPr>
                <w:rFonts w:hint="eastAsia"/>
                <w:color w:val="auto"/>
                <w:sz w:val="21"/>
              </w:rPr>
              <w:t>2、通长次龙骨连接处的对接错位偏差不超过2mm，校正后应将龙骨的所有吊挂件、连接件拧紧。</w:t>
            </w:r>
          </w:p>
          <w:p w14:paraId="36C5979A">
            <w:pPr>
              <w:spacing w:line="240" w:lineRule="auto"/>
              <w:ind w:firstLine="420"/>
              <w:jc w:val="left"/>
              <w:rPr>
                <w:rFonts w:hint="eastAsia"/>
                <w:color w:val="auto"/>
                <w:sz w:val="21"/>
              </w:rPr>
            </w:pPr>
            <w:r>
              <w:rPr>
                <w:rFonts w:hint="eastAsia"/>
                <w:color w:val="auto"/>
                <w:sz w:val="21"/>
              </w:rPr>
              <w:t>3、板材应在自由状态下进行固定，罩面板的长边沿纵向次龙骨铺设。</w:t>
            </w:r>
          </w:p>
          <w:p w14:paraId="5555BBBF">
            <w:pPr>
              <w:spacing w:line="240" w:lineRule="auto"/>
              <w:ind w:firstLine="420"/>
              <w:jc w:val="left"/>
              <w:rPr>
                <w:rFonts w:hint="eastAsia"/>
                <w:color w:val="auto"/>
                <w:sz w:val="21"/>
              </w:rPr>
            </w:pPr>
            <w:r>
              <w:rPr>
                <w:rFonts w:hint="eastAsia"/>
                <w:color w:val="auto"/>
                <w:sz w:val="21"/>
              </w:rPr>
              <w:t>4、罩面板与龙骨固定，应从一块板的中间向板的四边固定，不得多点同时作业。</w:t>
            </w:r>
          </w:p>
          <w:p w14:paraId="55106F31">
            <w:pPr>
              <w:spacing w:line="240" w:lineRule="auto"/>
              <w:ind w:firstLine="420"/>
              <w:jc w:val="left"/>
              <w:rPr>
                <w:rFonts w:hint="eastAsia"/>
                <w:color w:val="auto"/>
                <w:sz w:val="21"/>
              </w:rPr>
            </w:pPr>
            <w:r>
              <w:rPr>
                <w:rFonts w:hint="eastAsia"/>
                <w:color w:val="auto"/>
                <w:sz w:val="21"/>
              </w:rPr>
              <w:t>5、螺钉头宜钻进罩面板内1～2mm，并不使破损，钉帽应作防锈处理，并用石膏腻子抹平。</w:t>
            </w:r>
          </w:p>
        </w:tc>
      </w:tr>
      <w:tr w14:paraId="295C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9" w:type="pct"/>
            <w:gridSpan w:val="2"/>
            <w:tcBorders>
              <w:top w:val="single" w:color="auto" w:sz="4" w:space="0"/>
              <w:left w:val="single" w:color="auto" w:sz="4" w:space="0"/>
              <w:bottom w:val="single" w:color="auto" w:sz="4" w:space="0"/>
              <w:right w:val="single" w:color="auto" w:sz="4" w:space="0"/>
            </w:tcBorders>
            <w:vAlign w:val="center"/>
          </w:tcPr>
          <w:p w14:paraId="3183AC3F">
            <w:pPr>
              <w:spacing w:line="240" w:lineRule="auto"/>
              <w:ind w:firstLine="0" w:firstLineChars="0"/>
              <w:jc w:val="center"/>
              <w:rPr>
                <w:rFonts w:hint="eastAsia"/>
                <w:color w:val="auto"/>
                <w:sz w:val="21"/>
              </w:rPr>
            </w:pPr>
            <w:r>
              <w:rPr>
                <w:rFonts w:hint="eastAsia"/>
                <w:color w:val="auto"/>
                <w:sz w:val="21"/>
              </w:rPr>
              <w:drawing>
                <wp:inline distT="0" distB="0" distL="0" distR="0">
                  <wp:extent cx="1943100" cy="1402080"/>
                  <wp:effectExtent l="0" t="0" r="0" b="7620"/>
                  <wp:docPr id="1917132559"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32559" name="图片 62"/>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a:xfrm>
                            <a:off x="0" y="0"/>
                            <a:ext cx="1943100" cy="1402080"/>
                          </a:xfrm>
                          <a:prstGeom prst="rect">
                            <a:avLst/>
                          </a:prstGeom>
                          <a:noFill/>
                          <a:ln>
                            <a:noFill/>
                          </a:ln>
                        </pic:spPr>
                      </pic:pic>
                    </a:graphicData>
                  </a:graphic>
                </wp:inline>
              </w:drawing>
            </w:r>
          </w:p>
        </w:tc>
        <w:tc>
          <w:tcPr>
            <w:tcW w:w="2421" w:type="pct"/>
            <w:gridSpan w:val="2"/>
            <w:tcBorders>
              <w:top w:val="single" w:color="auto" w:sz="4" w:space="0"/>
              <w:left w:val="single" w:color="auto" w:sz="4" w:space="0"/>
              <w:bottom w:val="single" w:color="auto" w:sz="4" w:space="0"/>
              <w:right w:val="single" w:color="auto" w:sz="4" w:space="0"/>
            </w:tcBorders>
            <w:vAlign w:val="center"/>
          </w:tcPr>
          <w:p w14:paraId="2373B7BE">
            <w:pPr>
              <w:spacing w:line="240" w:lineRule="auto"/>
              <w:ind w:firstLine="0" w:firstLineChars="0"/>
              <w:jc w:val="center"/>
              <w:rPr>
                <w:rFonts w:hint="eastAsia"/>
                <w:color w:val="auto"/>
                <w:sz w:val="21"/>
              </w:rPr>
            </w:pPr>
            <w:r>
              <w:rPr>
                <w:rFonts w:hint="eastAsia"/>
                <w:color w:val="auto"/>
                <w:sz w:val="21"/>
              </w:rPr>
              <w:drawing>
                <wp:inline distT="0" distB="0" distL="0" distR="0">
                  <wp:extent cx="1874520" cy="1363980"/>
                  <wp:effectExtent l="0" t="0" r="0" b="7620"/>
                  <wp:docPr id="694901154"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01154" name="图片 61"/>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a:xfrm>
                            <a:off x="0" y="0"/>
                            <a:ext cx="1874520" cy="1363980"/>
                          </a:xfrm>
                          <a:prstGeom prst="rect">
                            <a:avLst/>
                          </a:prstGeom>
                          <a:noFill/>
                          <a:ln>
                            <a:noFill/>
                          </a:ln>
                        </pic:spPr>
                      </pic:pic>
                    </a:graphicData>
                  </a:graphic>
                </wp:inline>
              </w:drawing>
            </w:r>
          </w:p>
        </w:tc>
      </w:tr>
      <w:tr w14:paraId="1D662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579" w:type="pct"/>
            <w:gridSpan w:val="2"/>
            <w:tcBorders>
              <w:top w:val="single" w:color="auto" w:sz="4" w:space="0"/>
              <w:left w:val="single" w:color="auto" w:sz="4" w:space="0"/>
              <w:bottom w:val="single" w:color="auto" w:sz="4" w:space="0"/>
              <w:right w:val="single" w:color="auto" w:sz="4" w:space="0"/>
            </w:tcBorders>
            <w:vAlign w:val="center"/>
          </w:tcPr>
          <w:p w14:paraId="65362CC7">
            <w:pPr>
              <w:spacing w:line="240" w:lineRule="auto"/>
              <w:ind w:firstLine="0" w:firstLineChars="0"/>
              <w:jc w:val="center"/>
              <w:rPr>
                <w:rFonts w:hint="eastAsia"/>
                <w:color w:val="auto"/>
                <w:sz w:val="21"/>
              </w:rPr>
            </w:pPr>
            <w:r>
              <w:rPr>
                <w:rFonts w:hint="eastAsia"/>
                <w:color w:val="auto"/>
                <w:sz w:val="21"/>
              </w:rPr>
              <w:t>吊杆龙骨安装</w:t>
            </w:r>
          </w:p>
        </w:tc>
        <w:tc>
          <w:tcPr>
            <w:tcW w:w="2421" w:type="pct"/>
            <w:gridSpan w:val="2"/>
            <w:tcBorders>
              <w:top w:val="single" w:color="auto" w:sz="4" w:space="0"/>
              <w:left w:val="single" w:color="auto" w:sz="4" w:space="0"/>
              <w:bottom w:val="single" w:color="auto" w:sz="4" w:space="0"/>
              <w:right w:val="single" w:color="auto" w:sz="4" w:space="0"/>
            </w:tcBorders>
            <w:vAlign w:val="center"/>
          </w:tcPr>
          <w:p w14:paraId="6A60C4AD">
            <w:pPr>
              <w:spacing w:line="240" w:lineRule="auto"/>
              <w:ind w:firstLine="0" w:firstLineChars="0"/>
              <w:jc w:val="center"/>
              <w:rPr>
                <w:rFonts w:hint="eastAsia"/>
                <w:color w:val="auto"/>
                <w:sz w:val="21"/>
              </w:rPr>
            </w:pPr>
            <w:r>
              <w:rPr>
                <w:rFonts w:hint="eastAsia"/>
                <w:color w:val="auto"/>
                <w:sz w:val="21"/>
              </w:rPr>
              <w:t>面板安装</w:t>
            </w:r>
          </w:p>
        </w:tc>
      </w:tr>
    </w:tbl>
    <w:p w14:paraId="720341E9">
      <w:pPr>
        <w:pStyle w:val="54"/>
        <w:rPr>
          <w:rFonts w:hint="eastAsia"/>
          <w:color w:val="auto"/>
        </w:rPr>
      </w:pPr>
      <w:r>
        <w:rPr>
          <w:rFonts w:hint="eastAsia"/>
          <w:color w:val="auto"/>
        </w:rPr>
        <w:t xml:space="preserve"> 屋面工程质量保证措施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263"/>
      </w:tblGrid>
      <w:tr w14:paraId="7DA10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02047186">
            <w:pPr>
              <w:spacing w:line="240" w:lineRule="auto"/>
              <w:ind w:firstLine="0" w:firstLineChars="0"/>
              <w:jc w:val="center"/>
              <w:rPr>
                <w:rFonts w:hint="eastAsia"/>
                <w:color w:val="auto"/>
                <w:sz w:val="21"/>
              </w:rPr>
            </w:pPr>
            <w:r>
              <w:rPr>
                <w:rFonts w:hint="eastAsia"/>
                <w:color w:val="auto"/>
                <w:sz w:val="21"/>
              </w:rPr>
              <w:t>项目</w:t>
            </w:r>
          </w:p>
        </w:tc>
        <w:tc>
          <w:tcPr>
            <w:tcW w:w="4560" w:type="pct"/>
            <w:tcBorders>
              <w:top w:val="single" w:color="auto" w:sz="4" w:space="0"/>
              <w:left w:val="single" w:color="auto" w:sz="4" w:space="0"/>
              <w:bottom w:val="single" w:color="auto" w:sz="4" w:space="0"/>
              <w:right w:val="single" w:color="auto" w:sz="4" w:space="0"/>
            </w:tcBorders>
            <w:vAlign w:val="center"/>
          </w:tcPr>
          <w:p w14:paraId="7F83C81D">
            <w:pPr>
              <w:spacing w:line="240" w:lineRule="auto"/>
              <w:ind w:firstLine="0" w:firstLineChars="0"/>
              <w:jc w:val="center"/>
              <w:rPr>
                <w:rFonts w:hint="eastAsia"/>
                <w:color w:val="auto"/>
                <w:sz w:val="21"/>
              </w:rPr>
            </w:pPr>
            <w:r>
              <w:rPr>
                <w:rFonts w:hint="eastAsia"/>
                <w:color w:val="auto"/>
                <w:sz w:val="21"/>
              </w:rPr>
              <w:t>具体内容</w:t>
            </w:r>
          </w:p>
        </w:tc>
      </w:tr>
      <w:tr w14:paraId="2F602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25B18F62">
            <w:pPr>
              <w:spacing w:line="240" w:lineRule="auto"/>
              <w:ind w:firstLine="0" w:firstLineChars="0"/>
              <w:jc w:val="center"/>
              <w:rPr>
                <w:rFonts w:hint="eastAsia"/>
                <w:color w:val="auto"/>
                <w:sz w:val="21"/>
              </w:rPr>
            </w:pPr>
            <w:r>
              <w:rPr>
                <w:rFonts w:hint="eastAsia"/>
                <w:color w:val="auto"/>
                <w:sz w:val="21"/>
              </w:rPr>
              <w:t>防水、保温</w:t>
            </w:r>
          </w:p>
          <w:p w14:paraId="27D67A58">
            <w:pPr>
              <w:spacing w:line="240" w:lineRule="auto"/>
              <w:ind w:firstLine="0" w:firstLineChars="0"/>
              <w:jc w:val="center"/>
              <w:rPr>
                <w:rFonts w:hint="eastAsia"/>
                <w:color w:val="auto"/>
                <w:sz w:val="21"/>
              </w:rPr>
            </w:pPr>
            <w:r>
              <w:rPr>
                <w:rFonts w:hint="eastAsia"/>
                <w:color w:val="auto"/>
                <w:sz w:val="21"/>
              </w:rPr>
              <w:t>等物资检验</w:t>
            </w:r>
          </w:p>
        </w:tc>
        <w:tc>
          <w:tcPr>
            <w:tcW w:w="4560" w:type="pct"/>
            <w:tcBorders>
              <w:top w:val="single" w:color="auto" w:sz="4" w:space="0"/>
              <w:left w:val="single" w:color="auto" w:sz="4" w:space="0"/>
              <w:bottom w:val="single" w:color="auto" w:sz="4" w:space="0"/>
              <w:right w:val="single" w:color="auto" w:sz="4" w:space="0"/>
            </w:tcBorders>
            <w:vAlign w:val="center"/>
          </w:tcPr>
          <w:p w14:paraId="6A205057">
            <w:pPr>
              <w:spacing w:line="240" w:lineRule="auto"/>
              <w:ind w:firstLine="420"/>
              <w:jc w:val="left"/>
              <w:rPr>
                <w:rFonts w:hint="eastAsia"/>
                <w:color w:val="auto"/>
                <w:sz w:val="21"/>
              </w:rPr>
            </w:pPr>
            <w:r>
              <w:rPr>
                <w:rFonts w:hint="eastAsia"/>
                <w:color w:val="auto"/>
                <w:sz w:val="21"/>
              </w:rPr>
              <w:t>1、对所有进场的原材料、半成品组织检查验收，所有进场物资必须随材料进场提供合格的材质证明、出厂合格证和试验报告。</w:t>
            </w:r>
          </w:p>
          <w:p w14:paraId="74B719A8">
            <w:pPr>
              <w:spacing w:line="240" w:lineRule="auto"/>
              <w:ind w:firstLine="420"/>
              <w:jc w:val="left"/>
              <w:rPr>
                <w:rFonts w:hint="eastAsia"/>
                <w:color w:val="auto"/>
                <w:sz w:val="21"/>
              </w:rPr>
            </w:pPr>
            <w:r>
              <w:rPr>
                <w:rFonts w:hint="eastAsia"/>
                <w:color w:val="auto"/>
                <w:sz w:val="21"/>
              </w:rPr>
              <w:t>2、 对于防水卷材、保温板等需做复试的材料，在进场后应按照有关规定进行取样送检；不合格的材料坚决不允许使用。</w:t>
            </w:r>
          </w:p>
        </w:tc>
      </w:tr>
      <w:tr w14:paraId="2946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1789CF9F">
            <w:pPr>
              <w:spacing w:line="240" w:lineRule="auto"/>
              <w:ind w:firstLine="0" w:firstLineChars="0"/>
              <w:jc w:val="center"/>
              <w:rPr>
                <w:rFonts w:hint="eastAsia"/>
                <w:color w:val="auto"/>
                <w:sz w:val="21"/>
              </w:rPr>
            </w:pPr>
            <w:r>
              <w:rPr>
                <w:rFonts w:hint="eastAsia"/>
                <w:color w:val="auto"/>
                <w:sz w:val="21"/>
              </w:rPr>
              <w:t>保温层</w:t>
            </w:r>
          </w:p>
        </w:tc>
        <w:tc>
          <w:tcPr>
            <w:tcW w:w="4560" w:type="pct"/>
            <w:tcBorders>
              <w:top w:val="single" w:color="auto" w:sz="4" w:space="0"/>
              <w:left w:val="single" w:color="auto" w:sz="4" w:space="0"/>
              <w:bottom w:val="single" w:color="auto" w:sz="4" w:space="0"/>
              <w:right w:val="single" w:color="auto" w:sz="4" w:space="0"/>
            </w:tcBorders>
            <w:vAlign w:val="center"/>
          </w:tcPr>
          <w:p w14:paraId="1CEED43D">
            <w:pPr>
              <w:spacing w:line="240" w:lineRule="auto"/>
              <w:ind w:firstLine="420"/>
              <w:jc w:val="left"/>
              <w:rPr>
                <w:rFonts w:hint="eastAsia"/>
                <w:color w:val="auto"/>
                <w:sz w:val="21"/>
              </w:rPr>
            </w:pPr>
            <w:r>
              <w:rPr>
                <w:rFonts w:hint="eastAsia"/>
                <w:color w:val="auto"/>
                <w:sz w:val="21"/>
              </w:rPr>
              <w:t>1、使用前的材料应按照有关标准选择，加强保管和处理，对不符合规范要求的材料，不得使用。</w:t>
            </w:r>
          </w:p>
          <w:p w14:paraId="1150FAF6">
            <w:pPr>
              <w:spacing w:line="240" w:lineRule="auto"/>
              <w:ind w:firstLine="420"/>
              <w:jc w:val="left"/>
              <w:rPr>
                <w:rFonts w:hint="eastAsia"/>
                <w:color w:val="auto"/>
                <w:sz w:val="21"/>
              </w:rPr>
            </w:pPr>
            <w:r>
              <w:rPr>
                <w:rFonts w:hint="eastAsia"/>
                <w:color w:val="auto"/>
                <w:sz w:val="21"/>
              </w:rPr>
              <w:t>2、铺贴基层应平整、干燥和洁净，保温材料应紧靠在基层表面并要铺平垫稳，铺粘时确保板块状保温材料之间以及它与基层之间满涂胶结材料并且粘结牢固。</w:t>
            </w:r>
          </w:p>
          <w:p w14:paraId="6AB857D4">
            <w:pPr>
              <w:spacing w:line="240" w:lineRule="auto"/>
              <w:ind w:firstLine="420"/>
              <w:jc w:val="left"/>
              <w:rPr>
                <w:rFonts w:hint="eastAsia"/>
                <w:color w:val="auto"/>
                <w:sz w:val="21"/>
              </w:rPr>
            </w:pPr>
            <w:r>
              <w:rPr>
                <w:rFonts w:hint="eastAsia"/>
                <w:color w:val="auto"/>
                <w:sz w:val="21"/>
              </w:rPr>
              <w:t>3、板块状保温材料分层铺设时，应掌握好各层的厚度，认真进行操作，确保铺设厚度均匀。并且要求上下层接缝应相互错开，板块间缝隙需采用同类材料嵌填密实。</w:t>
            </w:r>
          </w:p>
          <w:p w14:paraId="3D0E3D27">
            <w:pPr>
              <w:spacing w:line="240" w:lineRule="auto"/>
              <w:ind w:firstLine="420"/>
              <w:jc w:val="left"/>
              <w:rPr>
                <w:rFonts w:hint="eastAsia"/>
                <w:color w:val="auto"/>
                <w:sz w:val="21"/>
              </w:rPr>
            </w:pPr>
            <w:r>
              <w:rPr>
                <w:rFonts w:hint="eastAsia"/>
                <w:color w:val="auto"/>
                <w:sz w:val="21"/>
              </w:rPr>
              <w:t>4、干铺保温层可在负温下进行施工，但用水泥胶结剂铺粘的保温层当气温低于5℃时不宜施工。</w:t>
            </w:r>
          </w:p>
          <w:p w14:paraId="664CD28A">
            <w:pPr>
              <w:spacing w:line="240" w:lineRule="auto"/>
              <w:ind w:firstLine="420"/>
              <w:jc w:val="left"/>
              <w:rPr>
                <w:rFonts w:hint="eastAsia"/>
                <w:color w:val="auto"/>
                <w:sz w:val="21"/>
              </w:rPr>
            </w:pPr>
            <w:r>
              <w:rPr>
                <w:rFonts w:hint="eastAsia"/>
                <w:color w:val="auto"/>
                <w:sz w:val="21"/>
              </w:rPr>
              <w:t>5、当雨天、大风天气时不得施工。当施工中途下雨时应采取措施及时遮盖。</w:t>
            </w:r>
          </w:p>
          <w:p w14:paraId="2C35DC04">
            <w:pPr>
              <w:spacing w:line="240" w:lineRule="auto"/>
              <w:ind w:firstLine="420"/>
              <w:jc w:val="left"/>
              <w:rPr>
                <w:rFonts w:hint="eastAsia"/>
                <w:color w:val="auto"/>
                <w:sz w:val="21"/>
              </w:rPr>
            </w:pPr>
            <w:r>
              <w:rPr>
                <w:rFonts w:hint="eastAsia"/>
                <w:color w:val="auto"/>
                <w:sz w:val="21"/>
              </w:rPr>
              <w:t>6、铺砌完工后，经质检部门检验验收，确认砌块密实、表面平整、坡度符合要求后，应及时施工找平层，以避免其它工序操作时破坏面层，尤其要避免雨水沿块材缝隙渗透入屋面基层内。</w:t>
            </w:r>
          </w:p>
        </w:tc>
      </w:tr>
      <w:tr w14:paraId="3DDA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06BDABBB">
            <w:pPr>
              <w:spacing w:line="240" w:lineRule="auto"/>
              <w:ind w:firstLine="0" w:firstLineChars="0"/>
              <w:jc w:val="center"/>
              <w:rPr>
                <w:rFonts w:hint="eastAsia"/>
                <w:color w:val="auto"/>
                <w:sz w:val="21"/>
              </w:rPr>
            </w:pPr>
            <w:r>
              <w:rPr>
                <w:rFonts w:hint="eastAsia"/>
                <w:color w:val="auto"/>
                <w:sz w:val="21"/>
              </w:rPr>
              <w:t>雨水管、水落管</w:t>
            </w:r>
          </w:p>
        </w:tc>
        <w:tc>
          <w:tcPr>
            <w:tcW w:w="4560" w:type="pct"/>
            <w:tcBorders>
              <w:top w:val="single" w:color="auto" w:sz="4" w:space="0"/>
              <w:left w:val="single" w:color="auto" w:sz="4" w:space="0"/>
              <w:bottom w:val="single" w:color="auto" w:sz="4" w:space="0"/>
              <w:right w:val="single" w:color="auto" w:sz="4" w:space="0"/>
            </w:tcBorders>
            <w:vAlign w:val="center"/>
          </w:tcPr>
          <w:p w14:paraId="3571D8A3">
            <w:pPr>
              <w:spacing w:line="240" w:lineRule="auto"/>
              <w:ind w:firstLine="420"/>
              <w:jc w:val="left"/>
              <w:rPr>
                <w:rFonts w:hint="eastAsia"/>
                <w:color w:val="auto"/>
                <w:sz w:val="21"/>
              </w:rPr>
            </w:pPr>
            <w:r>
              <w:rPr>
                <w:rFonts w:hint="eastAsia"/>
                <w:color w:val="auto"/>
                <w:sz w:val="21"/>
              </w:rPr>
              <w:t>1、雨水管、水落管安装位置必须准确定位再安装。</w:t>
            </w:r>
          </w:p>
          <w:p w14:paraId="6B90A56D">
            <w:pPr>
              <w:spacing w:line="240" w:lineRule="auto"/>
              <w:ind w:firstLine="420"/>
              <w:jc w:val="left"/>
              <w:rPr>
                <w:rFonts w:hint="eastAsia"/>
                <w:color w:val="auto"/>
                <w:sz w:val="21"/>
              </w:rPr>
            </w:pPr>
            <w:r>
              <w:rPr>
                <w:rFonts w:hint="eastAsia"/>
                <w:color w:val="auto"/>
                <w:sz w:val="21"/>
              </w:rPr>
              <w:t>2、水落管部位防水不得随意破坏，保证不渗水。</w:t>
            </w:r>
          </w:p>
          <w:p w14:paraId="272739FD">
            <w:pPr>
              <w:spacing w:line="240" w:lineRule="auto"/>
              <w:ind w:firstLine="420"/>
              <w:jc w:val="left"/>
              <w:rPr>
                <w:rFonts w:hint="eastAsia"/>
                <w:color w:val="auto"/>
                <w:sz w:val="21"/>
              </w:rPr>
            </w:pPr>
            <w:r>
              <w:rPr>
                <w:rFonts w:hint="eastAsia"/>
                <w:color w:val="auto"/>
                <w:sz w:val="21"/>
              </w:rPr>
              <w:t>3、室外雨水管安装时，必须上下拉线，楼层高时要分几次拉线定位。</w:t>
            </w:r>
          </w:p>
          <w:p w14:paraId="26E86E43">
            <w:pPr>
              <w:spacing w:line="240" w:lineRule="auto"/>
              <w:ind w:firstLine="420"/>
              <w:jc w:val="left"/>
              <w:rPr>
                <w:rFonts w:hint="eastAsia"/>
                <w:color w:val="auto"/>
                <w:sz w:val="21"/>
              </w:rPr>
            </w:pPr>
            <w:r>
              <w:rPr>
                <w:rFonts w:hint="eastAsia"/>
                <w:color w:val="auto"/>
                <w:sz w:val="21"/>
              </w:rPr>
              <w:t>4、安装时与土建其他施工人员协调好施工顺序，作好协调工作。</w:t>
            </w:r>
          </w:p>
        </w:tc>
      </w:tr>
    </w:tbl>
    <w:p w14:paraId="2DB8AA6C">
      <w:pPr>
        <w:pStyle w:val="6"/>
        <w:ind w:firstLine="480"/>
        <w:rPr>
          <w:color w:val="auto"/>
        </w:rPr>
      </w:pPr>
      <w:r>
        <w:rPr>
          <w:rFonts w:hint="eastAsia"/>
          <w:color w:val="auto"/>
        </w:rPr>
        <w:t>给排水及暖通工程质量保证措施</w:t>
      </w:r>
    </w:p>
    <w:p w14:paraId="206EAAEE">
      <w:pPr>
        <w:rPr>
          <w:rFonts w:hint="eastAsia"/>
          <w:color w:val="auto"/>
        </w:rPr>
      </w:pPr>
      <w:r>
        <w:rPr>
          <w:rFonts w:hint="eastAsia"/>
          <w:color w:val="auto"/>
        </w:rPr>
        <w:t>1、保证措施</w:t>
      </w:r>
    </w:p>
    <w:p w14:paraId="50A0410E">
      <w:pPr>
        <w:rPr>
          <w:rFonts w:hint="eastAsia"/>
          <w:color w:val="auto"/>
        </w:rPr>
      </w:pPr>
      <w:r>
        <w:rPr>
          <w:rFonts w:hint="eastAsia"/>
          <w:color w:val="auto"/>
        </w:rPr>
        <w:t>（1）一般规定</w:t>
      </w:r>
    </w:p>
    <w:p w14:paraId="2EEC92B3">
      <w:pPr>
        <w:rPr>
          <w:rFonts w:hint="eastAsia"/>
          <w:color w:val="auto"/>
        </w:rPr>
      </w:pPr>
      <w:r>
        <w:rPr>
          <w:rFonts w:hint="eastAsia"/>
          <w:color w:val="auto"/>
        </w:rPr>
        <w:t>建筑给水、排水及采暖工程施工现场应具有必要的施工技术标准、健全的质量管理体系和工程质量检测制度，实现施工全过程质量控制。</w:t>
      </w:r>
    </w:p>
    <w:p w14:paraId="44C4A3FC">
      <w:pPr>
        <w:rPr>
          <w:rFonts w:hint="eastAsia"/>
          <w:color w:val="auto"/>
        </w:rPr>
      </w:pPr>
      <w:r>
        <w:rPr>
          <w:rFonts w:hint="eastAsia"/>
          <w:color w:val="auto"/>
        </w:rPr>
        <w:t>建筑给水、排水及采暖工程的施工应按照批准的工程设计文件和施工技术标准进行施工。修改设计应有设计单位出具的设计变更通知单。</w:t>
      </w:r>
    </w:p>
    <w:p w14:paraId="46D3D4E9">
      <w:pPr>
        <w:rPr>
          <w:rFonts w:hint="eastAsia"/>
          <w:color w:val="auto"/>
        </w:rPr>
      </w:pPr>
      <w:r>
        <w:rPr>
          <w:rFonts w:hint="eastAsia"/>
          <w:color w:val="auto"/>
        </w:rPr>
        <w:t>建筑给水、排水及采暖工程的施工应编制施工组织设计或施工方案，经批准后方可实施。</w:t>
      </w:r>
    </w:p>
    <w:p w14:paraId="479BCABB">
      <w:pPr>
        <w:rPr>
          <w:rFonts w:hint="eastAsia"/>
          <w:color w:val="auto"/>
        </w:rPr>
      </w:pPr>
      <w:r>
        <w:rPr>
          <w:rFonts w:hint="eastAsia"/>
          <w:color w:val="auto"/>
        </w:rPr>
        <w:t>建筑给水、排水及采暖工程的分部、分项工程，应按系统、区域、施工段或楼层等划分。分项工程应划分成若干个检验批进行验收。</w:t>
      </w:r>
    </w:p>
    <w:p w14:paraId="3EBD4AD7">
      <w:pPr>
        <w:rPr>
          <w:rFonts w:hint="eastAsia"/>
          <w:color w:val="auto"/>
        </w:rPr>
      </w:pPr>
      <w:r>
        <w:rPr>
          <w:rFonts w:hint="eastAsia"/>
          <w:color w:val="auto"/>
        </w:rPr>
        <w:t>建筑给水、排水及采暖工程的施工单位应当具有相应的资质。工程质量验收人员应具备相应的专业技术资格。</w:t>
      </w:r>
    </w:p>
    <w:p w14:paraId="7EECEAF3">
      <w:pPr>
        <w:rPr>
          <w:rFonts w:hint="eastAsia"/>
          <w:color w:val="auto"/>
        </w:rPr>
      </w:pPr>
      <w:r>
        <w:rPr>
          <w:rFonts w:hint="eastAsia"/>
          <w:color w:val="auto"/>
        </w:rPr>
        <w:t>建筑给水、排水及采暖工程所使用的主要材料、成品、半成品、配件、器具和设备必须具有中文质量合格证明文件，规格、型号及性能检测报告应符合国家技术标准或设计要求。进场时应做检查验收，并经监理工程师核查确认。</w:t>
      </w:r>
    </w:p>
    <w:p w14:paraId="61FE6C1A">
      <w:pPr>
        <w:rPr>
          <w:rFonts w:hint="eastAsia"/>
          <w:color w:val="auto"/>
        </w:rPr>
      </w:pPr>
      <w:r>
        <w:rPr>
          <w:rFonts w:hint="eastAsia"/>
          <w:color w:val="auto"/>
        </w:rPr>
        <w:t>所有材料进场时应对品种、规格、外观等进行验收。包装应完好，表面无划痕及外力冲击破损。</w:t>
      </w:r>
    </w:p>
    <w:p w14:paraId="78861D26">
      <w:pPr>
        <w:rPr>
          <w:rFonts w:hint="eastAsia"/>
          <w:color w:val="auto"/>
        </w:rPr>
      </w:pPr>
      <w:r>
        <w:rPr>
          <w:rFonts w:hint="eastAsia"/>
          <w:color w:val="auto"/>
        </w:rPr>
        <w:t>主要器具和设备必须有完整的安装使用说明书。在运输、保管和施工过程中，应采取有效措施防止损坏或腐蚀。</w:t>
      </w:r>
    </w:p>
    <w:p w14:paraId="4C1936BC">
      <w:pPr>
        <w:rPr>
          <w:rFonts w:hint="eastAsia"/>
          <w:color w:val="auto"/>
        </w:rPr>
      </w:pPr>
      <w:r>
        <w:rPr>
          <w:rFonts w:hint="eastAsia"/>
          <w:color w:val="auto"/>
        </w:rPr>
        <w:t>阀门安装前，应作强度和严密性试验。试验应在每批（同牌号、同型号、同规格）数量中抽查10%，且不少于一个。对于安装在主干管上起切断作用的闭路阀门，应逐个作强度和严密性试验。</w:t>
      </w:r>
    </w:p>
    <w:p w14:paraId="7E55B4EB">
      <w:pPr>
        <w:rPr>
          <w:rFonts w:hint="eastAsia"/>
          <w:color w:val="auto"/>
        </w:rPr>
      </w:pPr>
      <w:r>
        <w:rPr>
          <w:rFonts w:hint="eastAsia"/>
          <w:color w:val="auto"/>
        </w:rPr>
        <w:t>阀门的强度和严密性试验，应符合以下规定：阀门的强度试验压力为公称压力的1.5倍；严密性试验压力为公称压力的1.1倍；试验压力在试验持续时间内应保持不变，且壳体填料及阀瓣密封面无渗漏。阀门试压的试验持续时间应不少于下表规定。</w:t>
      </w:r>
    </w:p>
    <w:p w14:paraId="390A876B">
      <w:pPr>
        <w:pStyle w:val="54"/>
        <w:rPr>
          <w:rFonts w:hint="eastAsia"/>
          <w:color w:val="auto"/>
        </w:rPr>
      </w:pPr>
      <w:r>
        <w:rPr>
          <w:rFonts w:hint="eastAsia"/>
          <w:color w:val="auto"/>
        </w:rPr>
        <w:t>阀门试验持续时间</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28"/>
        <w:gridCol w:w="1727"/>
        <w:gridCol w:w="2078"/>
        <w:gridCol w:w="1727"/>
      </w:tblGrid>
      <w:tr w14:paraId="4072A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47" w:type="pct"/>
            <w:vMerge w:val="restart"/>
            <w:tcBorders>
              <w:top w:val="single" w:color="auto" w:sz="4" w:space="0"/>
              <w:left w:val="single" w:color="auto" w:sz="4" w:space="0"/>
              <w:bottom w:val="single" w:color="auto" w:sz="4" w:space="0"/>
              <w:right w:val="single" w:color="auto" w:sz="4" w:space="0"/>
            </w:tcBorders>
            <w:vAlign w:val="center"/>
          </w:tcPr>
          <w:p w14:paraId="63F9EB03">
            <w:pPr>
              <w:spacing w:line="240" w:lineRule="auto"/>
              <w:ind w:firstLine="0" w:firstLineChars="0"/>
              <w:jc w:val="center"/>
              <w:rPr>
                <w:rFonts w:hint="eastAsia"/>
                <w:color w:val="auto"/>
                <w:sz w:val="21"/>
              </w:rPr>
            </w:pPr>
            <w:r>
              <w:rPr>
                <w:rFonts w:hint="eastAsia"/>
                <w:color w:val="auto"/>
                <w:sz w:val="21"/>
              </w:rPr>
              <w:t>公称直径DN（mm）</w:t>
            </w:r>
          </w:p>
        </w:tc>
        <w:tc>
          <w:tcPr>
            <w:tcW w:w="3053" w:type="pct"/>
            <w:gridSpan w:val="3"/>
            <w:tcBorders>
              <w:top w:val="single" w:color="auto" w:sz="4" w:space="0"/>
              <w:left w:val="single" w:color="auto" w:sz="4" w:space="0"/>
              <w:bottom w:val="single" w:color="auto" w:sz="4" w:space="0"/>
              <w:right w:val="single" w:color="auto" w:sz="4" w:space="0"/>
            </w:tcBorders>
            <w:vAlign w:val="center"/>
          </w:tcPr>
          <w:p w14:paraId="05B9B573">
            <w:pPr>
              <w:spacing w:line="240" w:lineRule="auto"/>
              <w:ind w:firstLine="0" w:firstLineChars="0"/>
              <w:jc w:val="center"/>
              <w:rPr>
                <w:rFonts w:hint="eastAsia"/>
                <w:color w:val="auto"/>
                <w:sz w:val="21"/>
              </w:rPr>
            </w:pPr>
            <w:r>
              <w:rPr>
                <w:rFonts w:hint="eastAsia"/>
                <w:color w:val="auto"/>
                <w:sz w:val="21"/>
              </w:rPr>
              <w:t>最短试验持续时间（s）</w:t>
            </w:r>
          </w:p>
        </w:tc>
      </w:tr>
      <w:tr w14:paraId="3902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A0BC8DC">
            <w:pPr>
              <w:spacing w:line="240" w:lineRule="auto"/>
              <w:ind w:firstLine="0" w:firstLineChars="0"/>
              <w:jc w:val="center"/>
              <w:rPr>
                <w:color w:val="auto"/>
                <w:sz w:val="21"/>
              </w:rPr>
            </w:pPr>
          </w:p>
        </w:tc>
        <w:tc>
          <w:tcPr>
            <w:tcW w:w="2100" w:type="pct"/>
            <w:gridSpan w:val="2"/>
            <w:tcBorders>
              <w:top w:val="single" w:color="auto" w:sz="4" w:space="0"/>
              <w:left w:val="single" w:color="auto" w:sz="4" w:space="0"/>
              <w:bottom w:val="single" w:color="auto" w:sz="4" w:space="0"/>
              <w:right w:val="single" w:color="auto" w:sz="4" w:space="0"/>
            </w:tcBorders>
            <w:vAlign w:val="center"/>
          </w:tcPr>
          <w:p w14:paraId="01255101">
            <w:pPr>
              <w:spacing w:line="240" w:lineRule="auto"/>
              <w:ind w:firstLine="0" w:firstLineChars="0"/>
              <w:jc w:val="center"/>
              <w:rPr>
                <w:rFonts w:hint="eastAsia"/>
                <w:color w:val="auto"/>
                <w:sz w:val="21"/>
              </w:rPr>
            </w:pPr>
            <w:r>
              <w:rPr>
                <w:rFonts w:hint="eastAsia"/>
                <w:color w:val="auto"/>
                <w:sz w:val="21"/>
              </w:rPr>
              <w:t>严密性试验</w:t>
            </w:r>
          </w:p>
        </w:tc>
        <w:tc>
          <w:tcPr>
            <w:tcW w:w="953" w:type="pct"/>
            <w:vMerge w:val="restart"/>
            <w:tcBorders>
              <w:top w:val="single" w:color="auto" w:sz="4" w:space="0"/>
              <w:left w:val="single" w:color="auto" w:sz="4" w:space="0"/>
              <w:bottom w:val="single" w:color="auto" w:sz="4" w:space="0"/>
              <w:right w:val="single" w:color="auto" w:sz="4" w:space="0"/>
            </w:tcBorders>
            <w:vAlign w:val="center"/>
          </w:tcPr>
          <w:p w14:paraId="0FA145DE">
            <w:pPr>
              <w:spacing w:line="240" w:lineRule="auto"/>
              <w:ind w:firstLine="0" w:firstLineChars="0"/>
              <w:jc w:val="center"/>
              <w:rPr>
                <w:rFonts w:hint="eastAsia"/>
                <w:color w:val="auto"/>
                <w:sz w:val="21"/>
              </w:rPr>
            </w:pPr>
            <w:r>
              <w:rPr>
                <w:rFonts w:hint="eastAsia"/>
                <w:color w:val="auto"/>
                <w:sz w:val="21"/>
              </w:rPr>
              <w:t>强度试验</w:t>
            </w:r>
          </w:p>
        </w:tc>
      </w:tr>
      <w:tr w14:paraId="5594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97919C">
            <w:pPr>
              <w:spacing w:line="240" w:lineRule="auto"/>
              <w:ind w:firstLine="0" w:firstLineChars="0"/>
              <w:jc w:val="center"/>
              <w:rPr>
                <w:color w:val="auto"/>
                <w:sz w:val="21"/>
              </w:rPr>
            </w:pPr>
          </w:p>
        </w:tc>
        <w:tc>
          <w:tcPr>
            <w:tcW w:w="953" w:type="pct"/>
            <w:tcBorders>
              <w:top w:val="single" w:color="auto" w:sz="4" w:space="0"/>
              <w:left w:val="single" w:color="auto" w:sz="4" w:space="0"/>
              <w:bottom w:val="single" w:color="auto" w:sz="4" w:space="0"/>
              <w:right w:val="single" w:color="auto" w:sz="4" w:space="0"/>
            </w:tcBorders>
            <w:vAlign w:val="center"/>
          </w:tcPr>
          <w:p w14:paraId="71B9BF46">
            <w:pPr>
              <w:spacing w:line="240" w:lineRule="auto"/>
              <w:ind w:firstLine="0" w:firstLineChars="0"/>
              <w:jc w:val="center"/>
              <w:rPr>
                <w:rFonts w:hint="eastAsia"/>
                <w:color w:val="auto"/>
                <w:sz w:val="21"/>
              </w:rPr>
            </w:pPr>
            <w:r>
              <w:rPr>
                <w:rFonts w:hint="eastAsia"/>
                <w:color w:val="auto"/>
                <w:sz w:val="21"/>
              </w:rPr>
              <w:t>金属密封</w:t>
            </w:r>
          </w:p>
        </w:tc>
        <w:tc>
          <w:tcPr>
            <w:tcW w:w="1147" w:type="pct"/>
            <w:tcBorders>
              <w:top w:val="single" w:color="auto" w:sz="4" w:space="0"/>
              <w:left w:val="single" w:color="auto" w:sz="4" w:space="0"/>
              <w:bottom w:val="single" w:color="auto" w:sz="4" w:space="0"/>
              <w:right w:val="single" w:color="auto" w:sz="4" w:space="0"/>
            </w:tcBorders>
            <w:vAlign w:val="center"/>
          </w:tcPr>
          <w:p w14:paraId="7DEBC3B5">
            <w:pPr>
              <w:spacing w:line="240" w:lineRule="auto"/>
              <w:ind w:firstLine="0" w:firstLineChars="0"/>
              <w:jc w:val="center"/>
              <w:rPr>
                <w:rFonts w:hint="eastAsia"/>
                <w:color w:val="auto"/>
                <w:sz w:val="21"/>
              </w:rPr>
            </w:pPr>
            <w:r>
              <w:rPr>
                <w:rFonts w:hint="eastAsia"/>
                <w:color w:val="auto"/>
                <w:sz w:val="21"/>
              </w:rPr>
              <w:t>非金属密封</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8BFEA84">
            <w:pPr>
              <w:spacing w:line="240" w:lineRule="auto"/>
              <w:ind w:firstLine="0" w:firstLineChars="0"/>
              <w:jc w:val="center"/>
              <w:rPr>
                <w:color w:val="auto"/>
                <w:sz w:val="21"/>
              </w:rPr>
            </w:pPr>
          </w:p>
        </w:tc>
      </w:tr>
      <w:tr w14:paraId="5173D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47" w:type="pct"/>
            <w:tcBorders>
              <w:top w:val="single" w:color="auto" w:sz="4" w:space="0"/>
              <w:left w:val="single" w:color="auto" w:sz="4" w:space="0"/>
              <w:bottom w:val="single" w:color="auto" w:sz="4" w:space="0"/>
              <w:right w:val="single" w:color="auto" w:sz="4" w:space="0"/>
            </w:tcBorders>
            <w:vAlign w:val="center"/>
          </w:tcPr>
          <w:p w14:paraId="46058A42">
            <w:pPr>
              <w:spacing w:line="240" w:lineRule="auto"/>
              <w:ind w:firstLine="0" w:firstLineChars="0"/>
              <w:jc w:val="center"/>
              <w:rPr>
                <w:rFonts w:hint="eastAsia"/>
                <w:color w:val="auto"/>
                <w:sz w:val="21"/>
              </w:rPr>
            </w:pPr>
            <w:r>
              <w:rPr>
                <w:rFonts w:hint="eastAsia"/>
                <w:color w:val="auto"/>
                <w:sz w:val="21"/>
              </w:rPr>
              <w:t>≤50</w:t>
            </w:r>
          </w:p>
        </w:tc>
        <w:tc>
          <w:tcPr>
            <w:tcW w:w="953" w:type="pct"/>
            <w:tcBorders>
              <w:top w:val="single" w:color="auto" w:sz="4" w:space="0"/>
              <w:left w:val="single" w:color="auto" w:sz="4" w:space="0"/>
              <w:bottom w:val="single" w:color="auto" w:sz="4" w:space="0"/>
              <w:right w:val="single" w:color="auto" w:sz="4" w:space="0"/>
            </w:tcBorders>
            <w:vAlign w:val="center"/>
          </w:tcPr>
          <w:p w14:paraId="5D95DE9E">
            <w:pPr>
              <w:spacing w:line="240" w:lineRule="auto"/>
              <w:ind w:firstLine="0" w:firstLineChars="0"/>
              <w:jc w:val="center"/>
              <w:rPr>
                <w:rFonts w:hint="eastAsia"/>
                <w:color w:val="auto"/>
                <w:sz w:val="21"/>
              </w:rPr>
            </w:pPr>
            <w:r>
              <w:rPr>
                <w:rFonts w:hint="eastAsia"/>
                <w:color w:val="auto"/>
                <w:sz w:val="21"/>
              </w:rPr>
              <w:t>15</w:t>
            </w:r>
          </w:p>
        </w:tc>
        <w:tc>
          <w:tcPr>
            <w:tcW w:w="1147" w:type="pct"/>
            <w:tcBorders>
              <w:top w:val="single" w:color="auto" w:sz="4" w:space="0"/>
              <w:left w:val="single" w:color="auto" w:sz="4" w:space="0"/>
              <w:bottom w:val="single" w:color="auto" w:sz="4" w:space="0"/>
              <w:right w:val="single" w:color="auto" w:sz="4" w:space="0"/>
            </w:tcBorders>
            <w:vAlign w:val="center"/>
          </w:tcPr>
          <w:p w14:paraId="598A28AA">
            <w:pPr>
              <w:spacing w:line="240" w:lineRule="auto"/>
              <w:ind w:firstLine="0" w:firstLineChars="0"/>
              <w:jc w:val="center"/>
              <w:rPr>
                <w:rFonts w:hint="eastAsia"/>
                <w:color w:val="auto"/>
                <w:sz w:val="21"/>
              </w:rPr>
            </w:pPr>
            <w:r>
              <w:rPr>
                <w:rFonts w:hint="eastAsia"/>
                <w:color w:val="auto"/>
                <w:sz w:val="21"/>
              </w:rPr>
              <w:t>15</w:t>
            </w:r>
          </w:p>
        </w:tc>
        <w:tc>
          <w:tcPr>
            <w:tcW w:w="953" w:type="pct"/>
            <w:tcBorders>
              <w:top w:val="single" w:color="auto" w:sz="4" w:space="0"/>
              <w:left w:val="single" w:color="auto" w:sz="4" w:space="0"/>
              <w:bottom w:val="single" w:color="auto" w:sz="4" w:space="0"/>
              <w:right w:val="single" w:color="auto" w:sz="4" w:space="0"/>
            </w:tcBorders>
            <w:vAlign w:val="center"/>
          </w:tcPr>
          <w:p w14:paraId="2446F6B9">
            <w:pPr>
              <w:spacing w:line="240" w:lineRule="auto"/>
              <w:ind w:firstLine="0" w:firstLineChars="0"/>
              <w:jc w:val="center"/>
              <w:rPr>
                <w:rFonts w:hint="eastAsia"/>
                <w:color w:val="auto"/>
                <w:sz w:val="21"/>
              </w:rPr>
            </w:pPr>
            <w:r>
              <w:rPr>
                <w:rFonts w:hint="eastAsia"/>
                <w:color w:val="auto"/>
                <w:sz w:val="21"/>
              </w:rPr>
              <w:t>15</w:t>
            </w:r>
          </w:p>
        </w:tc>
      </w:tr>
      <w:tr w14:paraId="56FF8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47" w:type="pct"/>
            <w:tcBorders>
              <w:top w:val="single" w:color="auto" w:sz="4" w:space="0"/>
              <w:left w:val="single" w:color="auto" w:sz="4" w:space="0"/>
              <w:bottom w:val="single" w:color="auto" w:sz="4" w:space="0"/>
              <w:right w:val="single" w:color="auto" w:sz="4" w:space="0"/>
            </w:tcBorders>
            <w:vAlign w:val="center"/>
          </w:tcPr>
          <w:p w14:paraId="654FA96C">
            <w:pPr>
              <w:spacing w:line="240" w:lineRule="auto"/>
              <w:ind w:firstLine="0" w:firstLineChars="0"/>
              <w:jc w:val="center"/>
              <w:rPr>
                <w:rFonts w:hint="eastAsia"/>
                <w:color w:val="auto"/>
                <w:sz w:val="21"/>
              </w:rPr>
            </w:pPr>
            <w:r>
              <w:rPr>
                <w:rFonts w:hint="eastAsia"/>
                <w:color w:val="auto"/>
                <w:sz w:val="21"/>
              </w:rPr>
              <w:t>65～200</w:t>
            </w:r>
          </w:p>
        </w:tc>
        <w:tc>
          <w:tcPr>
            <w:tcW w:w="953" w:type="pct"/>
            <w:tcBorders>
              <w:top w:val="single" w:color="auto" w:sz="4" w:space="0"/>
              <w:left w:val="single" w:color="auto" w:sz="4" w:space="0"/>
              <w:bottom w:val="single" w:color="auto" w:sz="4" w:space="0"/>
              <w:right w:val="single" w:color="auto" w:sz="4" w:space="0"/>
            </w:tcBorders>
            <w:vAlign w:val="center"/>
          </w:tcPr>
          <w:p w14:paraId="3C2376FE">
            <w:pPr>
              <w:spacing w:line="240" w:lineRule="auto"/>
              <w:ind w:firstLine="0" w:firstLineChars="0"/>
              <w:jc w:val="center"/>
              <w:rPr>
                <w:rFonts w:hint="eastAsia"/>
                <w:color w:val="auto"/>
                <w:sz w:val="21"/>
              </w:rPr>
            </w:pPr>
            <w:r>
              <w:rPr>
                <w:rFonts w:hint="eastAsia"/>
                <w:color w:val="auto"/>
                <w:sz w:val="21"/>
              </w:rPr>
              <w:t>30</w:t>
            </w:r>
          </w:p>
        </w:tc>
        <w:tc>
          <w:tcPr>
            <w:tcW w:w="1147" w:type="pct"/>
            <w:tcBorders>
              <w:top w:val="single" w:color="auto" w:sz="4" w:space="0"/>
              <w:left w:val="single" w:color="auto" w:sz="4" w:space="0"/>
              <w:bottom w:val="single" w:color="auto" w:sz="4" w:space="0"/>
              <w:right w:val="single" w:color="auto" w:sz="4" w:space="0"/>
            </w:tcBorders>
            <w:vAlign w:val="center"/>
          </w:tcPr>
          <w:p w14:paraId="3798B12F">
            <w:pPr>
              <w:spacing w:line="240" w:lineRule="auto"/>
              <w:ind w:firstLine="0" w:firstLineChars="0"/>
              <w:jc w:val="center"/>
              <w:rPr>
                <w:rFonts w:hint="eastAsia"/>
                <w:color w:val="auto"/>
                <w:sz w:val="21"/>
              </w:rPr>
            </w:pPr>
            <w:r>
              <w:rPr>
                <w:rFonts w:hint="eastAsia"/>
                <w:color w:val="auto"/>
                <w:sz w:val="21"/>
              </w:rPr>
              <w:t>15</w:t>
            </w:r>
          </w:p>
        </w:tc>
        <w:tc>
          <w:tcPr>
            <w:tcW w:w="953" w:type="pct"/>
            <w:tcBorders>
              <w:top w:val="single" w:color="auto" w:sz="4" w:space="0"/>
              <w:left w:val="single" w:color="auto" w:sz="4" w:space="0"/>
              <w:bottom w:val="single" w:color="auto" w:sz="4" w:space="0"/>
              <w:right w:val="single" w:color="auto" w:sz="4" w:space="0"/>
            </w:tcBorders>
            <w:vAlign w:val="center"/>
          </w:tcPr>
          <w:p w14:paraId="77D239C7">
            <w:pPr>
              <w:spacing w:line="240" w:lineRule="auto"/>
              <w:ind w:firstLine="0" w:firstLineChars="0"/>
              <w:jc w:val="center"/>
              <w:rPr>
                <w:rFonts w:hint="eastAsia"/>
                <w:color w:val="auto"/>
                <w:sz w:val="21"/>
              </w:rPr>
            </w:pPr>
            <w:r>
              <w:rPr>
                <w:rFonts w:hint="eastAsia"/>
                <w:color w:val="auto"/>
                <w:sz w:val="21"/>
              </w:rPr>
              <w:t>60</w:t>
            </w:r>
          </w:p>
        </w:tc>
      </w:tr>
      <w:tr w14:paraId="109DA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947" w:type="pct"/>
            <w:tcBorders>
              <w:top w:val="single" w:color="auto" w:sz="4" w:space="0"/>
              <w:left w:val="single" w:color="auto" w:sz="4" w:space="0"/>
              <w:bottom w:val="single" w:color="auto" w:sz="4" w:space="0"/>
              <w:right w:val="single" w:color="auto" w:sz="4" w:space="0"/>
            </w:tcBorders>
            <w:vAlign w:val="center"/>
          </w:tcPr>
          <w:p w14:paraId="232EEE32">
            <w:pPr>
              <w:spacing w:line="240" w:lineRule="auto"/>
              <w:ind w:firstLine="0" w:firstLineChars="0"/>
              <w:jc w:val="center"/>
              <w:rPr>
                <w:rFonts w:hint="eastAsia"/>
                <w:color w:val="auto"/>
                <w:sz w:val="21"/>
              </w:rPr>
            </w:pPr>
            <w:r>
              <w:rPr>
                <w:rFonts w:hint="eastAsia"/>
                <w:color w:val="auto"/>
                <w:sz w:val="21"/>
              </w:rPr>
              <w:t>250～450</w:t>
            </w:r>
          </w:p>
        </w:tc>
        <w:tc>
          <w:tcPr>
            <w:tcW w:w="953" w:type="pct"/>
            <w:tcBorders>
              <w:top w:val="single" w:color="auto" w:sz="4" w:space="0"/>
              <w:left w:val="single" w:color="auto" w:sz="4" w:space="0"/>
              <w:bottom w:val="single" w:color="auto" w:sz="4" w:space="0"/>
              <w:right w:val="single" w:color="auto" w:sz="4" w:space="0"/>
            </w:tcBorders>
            <w:vAlign w:val="center"/>
          </w:tcPr>
          <w:p w14:paraId="5A74CA55">
            <w:pPr>
              <w:spacing w:line="240" w:lineRule="auto"/>
              <w:ind w:firstLine="0" w:firstLineChars="0"/>
              <w:jc w:val="center"/>
              <w:rPr>
                <w:rFonts w:hint="eastAsia"/>
                <w:color w:val="auto"/>
                <w:sz w:val="21"/>
              </w:rPr>
            </w:pPr>
            <w:r>
              <w:rPr>
                <w:rFonts w:hint="eastAsia"/>
                <w:color w:val="auto"/>
                <w:sz w:val="21"/>
              </w:rPr>
              <w:t>60</w:t>
            </w:r>
          </w:p>
        </w:tc>
        <w:tc>
          <w:tcPr>
            <w:tcW w:w="1147" w:type="pct"/>
            <w:tcBorders>
              <w:top w:val="single" w:color="auto" w:sz="4" w:space="0"/>
              <w:left w:val="single" w:color="auto" w:sz="4" w:space="0"/>
              <w:bottom w:val="single" w:color="auto" w:sz="4" w:space="0"/>
              <w:right w:val="single" w:color="auto" w:sz="4" w:space="0"/>
            </w:tcBorders>
            <w:vAlign w:val="center"/>
          </w:tcPr>
          <w:p w14:paraId="4D82F45F">
            <w:pPr>
              <w:spacing w:line="240" w:lineRule="auto"/>
              <w:ind w:firstLine="0" w:firstLineChars="0"/>
              <w:jc w:val="center"/>
              <w:rPr>
                <w:rFonts w:hint="eastAsia"/>
                <w:color w:val="auto"/>
                <w:sz w:val="21"/>
              </w:rPr>
            </w:pPr>
            <w:r>
              <w:rPr>
                <w:rFonts w:hint="eastAsia"/>
                <w:color w:val="auto"/>
                <w:sz w:val="21"/>
              </w:rPr>
              <w:t>30</w:t>
            </w:r>
          </w:p>
        </w:tc>
        <w:tc>
          <w:tcPr>
            <w:tcW w:w="953" w:type="pct"/>
            <w:tcBorders>
              <w:top w:val="single" w:color="auto" w:sz="4" w:space="0"/>
              <w:left w:val="single" w:color="auto" w:sz="4" w:space="0"/>
              <w:bottom w:val="single" w:color="auto" w:sz="4" w:space="0"/>
              <w:right w:val="single" w:color="auto" w:sz="4" w:space="0"/>
            </w:tcBorders>
            <w:vAlign w:val="center"/>
          </w:tcPr>
          <w:p w14:paraId="33E5C404">
            <w:pPr>
              <w:spacing w:line="240" w:lineRule="auto"/>
              <w:ind w:firstLine="0" w:firstLineChars="0"/>
              <w:jc w:val="center"/>
              <w:rPr>
                <w:rFonts w:hint="eastAsia"/>
                <w:color w:val="auto"/>
                <w:sz w:val="21"/>
              </w:rPr>
            </w:pPr>
            <w:r>
              <w:rPr>
                <w:rFonts w:hint="eastAsia"/>
                <w:color w:val="auto"/>
                <w:sz w:val="21"/>
              </w:rPr>
              <w:t>180</w:t>
            </w:r>
          </w:p>
        </w:tc>
      </w:tr>
    </w:tbl>
    <w:p w14:paraId="0C69AB70">
      <w:pPr>
        <w:rPr>
          <w:rFonts w:hint="eastAsia"/>
          <w:color w:val="auto"/>
        </w:rPr>
      </w:pPr>
      <w:r>
        <w:rPr>
          <w:rFonts w:hint="eastAsia"/>
          <w:color w:val="auto"/>
        </w:rPr>
        <w:t>管道上使用冲压弯头时，所使用的冲压弯头外径应与管道外径相同。</w:t>
      </w:r>
    </w:p>
    <w:p w14:paraId="4CE29984">
      <w:pPr>
        <w:rPr>
          <w:rFonts w:hint="eastAsia"/>
          <w:color w:val="auto"/>
        </w:rPr>
      </w:pPr>
      <w:r>
        <w:rPr>
          <w:rFonts w:hint="eastAsia"/>
          <w:color w:val="auto"/>
        </w:rPr>
        <w:t>建筑给水、排水及采暖工程与相关各专业之间应进行交接质量检验，并形成记录。</w:t>
      </w:r>
    </w:p>
    <w:p w14:paraId="2C282EC7">
      <w:pPr>
        <w:rPr>
          <w:rFonts w:hint="eastAsia"/>
          <w:color w:val="auto"/>
        </w:rPr>
      </w:pPr>
      <w:r>
        <w:rPr>
          <w:rFonts w:hint="eastAsia"/>
          <w:color w:val="auto"/>
        </w:rPr>
        <w:t>隐蔽工程应在隐蔽前经验收各方检验合格后，才能隐蔽，并形成记录。</w:t>
      </w:r>
    </w:p>
    <w:p w14:paraId="1C974942">
      <w:pPr>
        <w:rPr>
          <w:rFonts w:hint="eastAsia"/>
          <w:color w:val="auto"/>
        </w:rPr>
      </w:pPr>
      <w:r>
        <w:rPr>
          <w:rFonts w:hint="eastAsia"/>
          <w:color w:val="auto"/>
        </w:rPr>
        <w:t>地下室或地下构筑物外墙有管道穿过的，应采取防水措施。对有严格防水要求的建筑物，必须采用柔性防水套管。</w:t>
      </w:r>
    </w:p>
    <w:p w14:paraId="72E22EF5">
      <w:pPr>
        <w:rPr>
          <w:rFonts w:hint="eastAsia"/>
          <w:color w:val="auto"/>
        </w:rPr>
      </w:pPr>
      <w:r>
        <w:rPr>
          <w:rFonts w:hint="eastAsia"/>
          <w:color w:val="auto"/>
        </w:rPr>
        <w:t>管道穿过结构伸缩缝、抗震缝及沉降缝敷设时，应根据情况采取下列保护措施：</w:t>
      </w:r>
    </w:p>
    <w:p w14:paraId="6A305FDE">
      <w:pPr>
        <w:rPr>
          <w:rFonts w:hint="eastAsia"/>
          <w:color w:val="auto"/>
        </w:rPr>
      </w:pPr>
      <w:r>
        <w:rPr>
          <w:rFonts w:hint="eastAsia"/>
          <w:color w:val="auto"/>
        </w:rPr>
        <w:t>在墙体两侧采取柔性连接。</w:t>
      </w:r>
    </w:p>
    <w:p w14:paraId="5CDAB305">
      <w:pPr>
        <w:rPr>
          <w:rFonts w:hint="eastAsia"/>
          <w:color w:val="auto"/>
        </w:rPr>
      </w:pPr>
      <w:r>
        <w:rPr>
          <w:rFonts w:hint="eastAsia"/>
          <w:color w:val="auto"/>
        </w:rPr>
        <w:t>在管道或保温层外皮上、下部留有不小于150mm的净空。</w:t>
      </w:r>
    </w:p>
    <w:p w14:paraId="4D12ABD2">
      <w:pPr>
        <w:rPr>
          <w:rFonts w:hint="eastAsia"/>
          <w:color w:val="auto"/>
        </w:rPr>
      </w:pPr>
      <w:r>
        <w:rPr>
          <w:rFonts w:hint="eastAsia"/>
          <w:color w:val="auto"/>
        </w:rPr>
        <w:t>在穿墙处做成方形补偿器，水平安装。</w:t>
      </w:r>
    </w:p>
    <w:p w14:paraId="60566B6F">
      <w:pPr>
        <w:rPr>
          <w:rFonts w:hint="eastAsia"/>
          <w:color w:val="auto"/>
        </w:rPr>
      </w:pPr>
      <w:r>
        <w:rPr>
          <w:rFonts w:hint="eastAsia"/>
          <w:color w:val="auto"/>
        </w:rPr>
        <w:t>在同一房间内，同类型的采暖设备、卫生器具及管道配件，除有特殊要求外，应安装在同一高度上。</w:t>
      </w:r>
    </w:p>
    <w:p w14:paraId="6E645A7D">
      <w:pPr>
        <w:rPr>
          <w:rFonts w:hint="eastAsia"/>
          <w:color w:val="auto"/>
        </w:rPr>
      </w:pPr>
      <w:r>
        <w:rPr>
          <w:rFonts w:hint="eastAsia"/>
          <w:color w:val="auto"/>
        </w:rPr>
        <w:t>明装管道成排安装时，直线部分应互相平行。曲线部分：当管道水平或垂直并行时，应与直线部分保持等距；管道水平上下并行时，弯管部分的曲率半径应一致。</w:t>
      </w:r>
    </w:p>
    <w:p w14:paraId="1AF04D19">
      <w:pPr>
        <w:rPr>
          <w:rFonts w:hint="eastAsia"/>
          <w:color w:val="auto"/>
        </w:rPr>
      </w:pPr>
      <w:r>
        <w:rPr>
          <w:rFonts w:hint="eastAsia"/>
          <w:color w:val="auto"/>
        </w:rPr>
        <w:t>管道支、吊、托架的安装，应符合下列规定：</w:t>
      </w:r>
    </w:p>
    <w:p w14:paraId="0FCA69EA">
      <w:pPr>
        <w:rPr>
          <w:rFonts w:hint="eastAsia"/>
          <w:color w:val="auto"/>
        </w:rPr>
      </w:pPr>
      <w:r>
        <w:rPr>
          <w:rFonts w:hint="eastAsia"/>
          <w:color w:val="auto"/>
        </w:rPr>
        <w:t>位置正确，埋设应平整牢固。固定支架与管道接触应紧密，固定应牢靠。</w:t>
      </w:r>
    </w:p>
    <w:p w14:paraId="634DE177">
      <w:pPr>
        <w:rPr>
          <w:rFonts w:hint="eastAsia"/>
          <w:color w:val="auto"/>
        </w:rPr>
      </w:pPr>
      <w:r>
        <w:rPr>
          <w:rFonts w:hint="eastAsia"/>
          <w:color w:val="auto"/>
        </w:rPr>
        <w:t>滑动支架应灵活，滑托与滑槽两侧间应留有3～5mm的间隙，纵向移动量应符合设计要求。</w:t>
      </w:r>
    </w:p>
    <w:p w14:paraId="3DCF798F">
      <w:pPr>
        <w:rPr>
          <w:rFonts w:hint="eastAsia"/>
          <w:color w:val="auto"/>
        </w:rPr>
      </w:pPr>
      <w:r>
        <w:rPr>
          <w:rFonts w:hint="eastAsia"/>
          <w:color w:val="auto"/>
        </w:rPr>
        <w:t>无热伸长管道的吊架、吊杆应垂直安装。</w:t>
      </w:r>
    </w:p>
    <w:p w14:paraId="5B7728EE">
      <w:pPr>
        <w:rPr>
          <w:rFonts w:hint="eastAsia"/>
          <w:color w:val="auto"/>
        </w:rPr>
      </w:pPr>
      <w:r>
        <w:rPr>
          <w:rFonts w:hint="eastAsia"/>
          <w:color w:val="auto"/>
        </w:rPr>
        <w:t>有热伸长管道的吊架、吊杆应向热膨胀的反方向偏移。</w:t>
      </w:r>
    </w:p>
    <w:p w14:paraId="056A2554">
      <w:pPr>
        <w:rPr>
          <w:rFonts w:hint="eastAsia"/>
          <w:color w:val="auto"/>
        </w:rPr>
      </w:pPr>
      <w:r>
        <w:rPr>
          <w:rFonts w:hint="eastAsia"/>
          <w:color w:val="auto"/>
        </w:rPr>
        <w:t>固定在建筑结构上的管道支、吊架不得影响结构的安全。</w:t>
      </w:r>
    </w:p>
    <w:p w14:paraId="5426CC73">
      <w:pPr>
        <w:rPr>
          <w:rFonts w:hint="eastAsia"/>
          <w:color w:val="auto"/>
        </w:rPr>
      </w:pPr>
      <w:r>
        <w:rPr>
          <w:rFonts w:hint="eastAsia"/>
          <w:color w:val="auto"/>
        </w:rPr>
        <w:t>采暖、给水及热水供应系统的塑料管及复合管垂直或水平安装的支架间距应符合下表规定。采用金属制作的管道支架，应在管道与支架间加衬非金属垫或套管。</w:t>
      </w:r>
    </w:p>
    <w:p w14:paraId="6F7E35CF">
      <w:pPr>
        <w:rPr>
          <w:rFonts w:hint="eastAsia"/>
          <w:color w:val="auto"/>
        </w:rPr>
      </w:pPr>
      <w:r>
        <w:rPr>
          <w:rFonts w:hint="eastAsia"/>
          <w:color w:val="auto"/>
        </w:rPr>
        <w:t>铜管垂直或水平安装的支架间距应符合下表规定。</w:t>
      </w:r>
    </w:p>
    <w:p w14:paraId="57E344D4">
      <w:pPr>
        <w:ind w:firstLine="482"/>
        <w:jc w:val="center"/>
        <w:rPr>
          <w:rFonts w:hint="eastAsia"/>
          <w:b/>
          <w:bCs/>
          <w:color w:val="auto"/>
        </w:rPr>
      </w:pPr>
      <w:r>
        <w:rPr>
          <w:rFonts w:hint="eastAsia"/>
          <w:b/>
          <w:bCs/>
          <w:color w:val="auto"/>
        </w:rPr>
        <w:t>插表 铜管管道支架的最大间距</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966"/>
        <w:gridCol w:w="511"/>
        <w:gridCol w:w="593"/>
        <w:gridCol w:w="593"/>
        <w:gridCol w:w="593"/>
        <w:gridCol w:w="593"/>
        <w:gridCol w:w="593"/>
        <w:gridCol w:w="593"/>
        <w:gridCol w:w="593"/>
        <w:gridCol w:w="642"/>
        <w:gridCol w:w="644"/>
        <w:gridCol w:w="644"/>
        <w:gridCol w:w="642"/>
      </w:tblGrid>
      <w:tr w14:paraId="28914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8" w:type="pct"/>
            <w:gridSpan w:val="2"/>
            <w:tcBorders>
              <w:top w:val="single" w:color="auto" w:sz="4" w:space="0"/>
              <w:left w:val="single" w:color="auto" w:sz="4" w:space="0"/>
              <w:bottom w:val="single" w:color="auto" w:sz="4" w:space="0"/>
              <w:right w:val="single" w:color="auto" w:sz="4" w:space="0"/>
            </w:tcBorders>
            <w:vAlign w:val="center"/>
          </w:tcPr>
          <w:p w14:paraId="44D451F5">
            <w:pPr>
              <w:spacing w:line="240" w:lineRule="auto"/>
              <w:ind w:firstLine="0" w:firstLineChars="0"/>
              <w:jc w:val="center"/>
              <w:rPr>
                <w:rFonts w:hint="eastAsia"/>
                <w:color w:val="auto"/>
                <w:sz w:val="21"/>
              </w:rPr>
            </w:pPr>
            <w:r>
              <w:rPr>
                <w:rFonts w:hint="eastAsia"/>
                <w:color w:val="auto"/>
                <w:sz w:val="21"/>
              </w:rPr>
              <w:t>公径直径（mm）</w:t>
            </w:r>
          </w:p>
        </w:tc>
        <w:tc>
          <w:tcPr>
            <w:tcW w:w="282" w:type="pct"/>
            <w:tcBorders>
              <w:top w:val="single" w:color="auto" w:sz="4" w:space="0"/>
              <w:left w:val="single" w:color="auto" w:sz="4" w:space="0"/>
              <w:bottom w:val="single" w:color="auto" w:sz="4" w:space="0"/>
              <w:right w:val="single" w:color="auto" w:sz="4" w:space="0"/>
            </w:tcBorders>
            <w:vAlign w:val="center"/>
          </w:tcPr>
          <w:p w14:paraId="2058EEC9">
            <w:pPr>
              <w:spacing w:line="240" w:lineRule="auto"/>
              <w:ind w:firstLine="0" w:firstLineChars="0"/>
              <w:jc w:val="center"/>
              <w:rPr>
                <w:rFonts w:hint="eastAsia"/>
                <w:color w:val="auto"/>
                <w:sz w:val="21"/>
              </w:rPr>
            </w:pPr>
            <w:r>
              <w:rPr>
                <w:rFonts w:hint="eastAsia"/>
                <w:color w:val="auto"/>
                <w:sz w:val="21"/>
              </w:rPr>
              <w:t>15</w:t>
            </w:r>
          </w:p>
        </w:tc>
        <w:tc>
          <w:tcPr>
            <w:tcW w:w="327" w:type="pct"/>
            <w:tcBorders>
              <w:top w:val="single" w:color="auto" w:sz="4" w:space="0"/>
              <w:left w:val="single" w:color="auto" w:sz="4" w:space="0"/>
              <w:bottom w:val="single" w:color="auto" w:sz="4" w:space="0"/>
              <w:right w:val="single" w:color="auto" w:sz="4" w:space="0"/>
            </w:tcBorders>
            <w:vAlign w:val="center"/>
          </w:tcPr>
          <w:p w14:paraId="0ECD5323">
            <w:pPr>
              <w:spacing w:line="240" w:lineRule="auto"/>
              <w:ind w:firstLine="0" w:firstLineChars="0"/>
              <w:jc w:val="center"/>
              <w:rPr>
                <w:rFonts w:hint="eastAsia"/>
                <w:color w:val="auto"/>
                <w:sz w:val="21"/>
              </w:rPr>
            </w:pPr>
            <w:r>
              <w:rPr>
                <w:rFonts w:hint="eastAsia"/>
                <w:color w:val="auto"/>
                <w:sz w:val="21"/>
              </w:rPr>
              <w:t>20</w:t>
            </w:r>
          </w:p>
        </w:tc>
        <w:tc>
          <w:tcPr>
            <w:tcW w:w="327" w:type="pct"/>
            <w:tcBorders>
              <w:top w:val="single" w:color="auto" w:sz="4" w:space="0"/>
              <w:left w:val="single" w:color="auto" w:sz="4" w:space="0"/>
              <w:bottom w:val="single" w:color="auto" w:sz="4" w:space="0"/>
              <w:right w:val="single" w:color="auto" w:sz="4" w:space="0"/>
            </w:tcBorders>
            <w:vAlign w:val="center"/>
          </w:tcPr>
          <w:p w14:paraId="75FB2F71">
            <w:pPr>
              <w:spacing w:line="240" w:lineRule="auto"/>
              <w:ind w:firstLine="0" w:firstLineChars="0"/>
              <w:jc w:val="center"/>
              <w:rPr>
                <w:rFonts w:hint="eastAsia"/>
                <w:color w:val="auto"/>
                <w:sz w:val="21"/>
              </w:rPr>
            </w:pPr>
            <w:r>
              <w:rPr>
                <w:rFonts w:hint="eastAsia"/>
                <w:color w:val="auto"/>
                <w:sz w:val="21"/>
              </w:rPr>
              <w:t>25</w:t>
            </w:r>
          </w:p>
        </w:tc>
        <w:tc>
          <w:tcPr>
            <w:tcW w:w="327" w:type="pct"/>
            <w:tcBorders>
              <w:top w:val="single" w:color="auto" w:sz="4" w:space="0"/>
              <w:left w:val="single" w:color="auto" w:sz="4" w:space="0"/>
              <w:bottom w:val="single" w:color="auto" w:sz="4" w:space="0"/>
              <w:right w:val="single" w:color="auto" w:sz="4" w:space="0"/>
            </w:tcBorders>
            <w:vAlign w:val="center"/>
          </w:tcPr>
          <w:p w14:paraId="4057F810">
            <w:pPr>
              <w:spacing w:line="240" w:lineRule="auto"/>
              <w:ind w:firstLine="0" w:firstLineChars="0"/>
              <w:jc w:val="center"/>
              <w:rPr>
                <w:rFonts w:hint="eastAsia"/>
                <w:color w:val="auto"/>
                <w:sz w:val="21"/>
              </w:rPr>
            </w:pPr>
            <w:r>
              <w:rPr>
                <w:rFonts w:hint="eastAsia"/>
                <w:color w:val="auto"/>
                <w:sz w:val="21"/>
              </w:rPr>
              <w:t>32</w:t>
            </w:r>
          </w:p>
        </w:tc>
        <w:tc>
          <w:tcPr>
            <w:tcW w:w="327" w:type="pct"/>
            <w:tcBorders>
              <w:top w:val="single" w:color="auto" w:sz="4" w:space="0"/>
              <w:left w:val="single" w:color="auto" w:sz="4" w:space="0"/>
              <w:bottom w:val="single" w:color="auto" w:sz="4" w:space="0"/>
              <w:right w:val="single" w:color="auto" w:sz="4" w:space="0"/>
            </w:tcBorders>
            <w:vAlign w:val="center"/>
          </w:tcPr>
          <w:p w14:paraId="09D45AF4">
            <w:pPr>
              <w:spacing w:line="240" w:lineRule="auto"/>
              <w:ind w:firstLine="0" w:firstLineChars="0"/>
              <w:jc w:val="center"/>
              <w:rPr>
                <w:rFonts w:hint="eastAsia"/>
                <w:color w:val="auto"/>
                <w:sz w:val="21"/>
              </w:rPr>
            </w:pPr>
            <w:r>
              <w:rPr>
                <w:rFonts w:hint="eastAsia"/>
                <w:color w:val="auto"/>
                <w:sz w:val="21"/>
              </w:rPr>
              <w:t>40</w:t>
            </w:r>
          </w:p>
        </w:tc>
        <w:tc>
          <w:tcPr>
            <w:tcW w:w="327" w:type="pct"/>
            <w:tcBorders>
              <w:top w:val="single" w:color="auto" w:sz="4" w:space="0"/>
              <w:left w:val="single" w:color="auto" w:sz="4" w:space="0"/>
              <w:bottom w:val="single" w:color="auto" w:sz="4" w:space="0"/>
              <w:right w:val="single" w:color="auto" w:sz="4" w:space="0"/>
            </w:tcBorders>
            <w:vAlign w:val="center"/>
          </w:tcPr>
          <w:p w14:paraId="32B1EDA7">
            <w:pPr>
              <w:spacing w:line="240" w:lineRule="auto"/>
              <w:ind w:firstLine="0" w:firstLineChars="0"/>
              <w:jc w:val="center"/>
              <w:rPr>
                <w:rFonts w:hint="eastAsia"/>
                <w:color w:val="auto"/>
                <w:sz w:val="21"/>
              </w:rPr>
            </w:pPr>
            <w:r>
              <w:rPr>
                <w:rFonts w:hint="eastAsia"/>
                <w:color w:val="auto"/>
                <w:sz w:val="21"/>
              </w:rPr>
              <w:t>50</w:t>
            </w:r>
          </w:p>
        </w:tc>
        <w:tc>
          <w:tcPr>
            <w:tcW w:w="327" w:type="pct"/>
            <w:tcBorders>
              <w:top w:val="single" w:color="auto" w:sz="4" w:space="0"/>
              <w:left w:val="single" w:color="auto" w:sz="4" w:space="0"/>
              <w:bottom w:val="single" w:color="auto" w:sz="4" w:space="0"/>
              <w:right w:val="single" w:color="auto" w:sz="4" w:space="0"/>
            </w:tcBorders>
            <w:vAlign w:val="center"/>
          </w:tcPr>
          <w:p w14:paraId="6EF6DD2E">
            <w:pPr>
              <w:spacing w:line="240" w:lineRule="auto"/>
              <w:ind w:firstLine="0" w:firstLineChars="0"/>
              <w:jc w:val="center"/>
              <w:rPr>
                <w:rFonts w:hint="eastAsia"/>
                <w:color w:val="auto"/>
                <w:sz w:val="21"/>
              </w:rPr>
            </w:pPr>
            <w:r>
              <w:rPr>
                <w:rFonts w:hint="eastAsia"/>
                <w:color w:val="auto"/>
                <w:sz w:val="21"/>
              </w:rPr>
              <w:t>65</w:t>
            </w:r>
          </w:p>
        </w:tc>
        <w:tc>
          <w:tcPr>
            <w:tcW w:w="327" w:type="pct"/>
            <w:tcBorders>
              <w:top w:val="single" w:color="auto" w:sz="4" w:space="0"/>
              <w:left w:val="single" w:color="auto" w:sz="4" w:space="0"/>
              <w:bottom w:val="single" w:color="auto" w:sz="4" w:space="0"/>
              <w:right w:val="single" w:color="auto" w:sz="4" w:space="0"/>
            </w:tcBorders>
            <w:vAlign w:val="center"/>
          </w:tcPr>
          <w:p w14:paraId="0F9032C9">
            <w:pPr>
              <w:spacing w:line="240" w:lineRule="auto"/>
              <w:ind w:firstLine="0" w:firstLineChars="0"/>
              <w:jc w:val="center"/>
              <w:rPr>
                <w:rFonts w:hint="eastAsia"/>
                <w:color w:val="auto"/>
                <w:sz w:val="21"/>
              </w:rPr>
            </w:pPr>
            <w:r>
              <w:rPr>
                <w:rFonts w:hint="eastAsia"/>
                <w:color w:val="auto"/>
                <w:sz w:val="21"/>
              </w:rPr>
              <w:t>80</w:t>
            </w:r>
          </w:p>
        </w:tc>
        <w:tc>
          <w:tcPr>
            <w:tcW w:w="354" w:type="pct"/>
            <w:tcBorders>
              <w:top w:val="single" w:color="auto" w:sz="4" w:space="0"/>
              <w:left w:val="single" w:color="auto" w:sz="4" w:space="0"/>
              <w:bottom w:val="single" w:color="auto" w:sz="4" w:space="0"/>
              <w:right w:val="single" w:color="auto" w:sz="4" w:space="0"/>
            </w:tcBorders>
            <w:vAlign w:val="center"/>
          </w:tcPr>
          <w:p w14:paraId="29F91346">
            <w:pPr>
              <w:spacing w:line="240" w:lineRule="auto"/>
              <w:ind w:firstLine="0" w:firstLineChars="0"/>
              <w:jc w:val="center"/>
              <w:rPr>
                <w:rFonts w:hint="eastAsia"/>
                <w:color w:val="auto"/>
                <w:sz w:val="21"/>
              </w:rPr>
            </w:pPr>
            <w:r>
              <w:rPr>
                <w:rFonts w:hint="eastAsia"/>
                <w:color w:val="auto"/>
                <w:sz w:val="21"/>
              </w:rPr>
              <w:t>100</w:t>
            </w:r>
          </w:p>
        </w:tc>
        <w:tc>
          <w:tcPr>
            <w:tcW w:w="355" w:type="pct"/>
            <w:tcBorders>
              <w:top w:val="single" w:color="auto" w:sz="4" w:space="0"/>
              <w:left w:val="single" w:color="auto" w:sz="4" w:space="0"/>
              <w:bottom w:val="single" w:color="auto" w:sz="4" w:space="0"/>
              <w:right w:val="single" w:color="auto" w:sz="4" w:space="0"/>
            </w:tcBorders>
            <w:vAlign w:val="center"/>
          </w:tcPr>
          <w:p w14:paraId="53653E7E">
            <w:pPr>
              <w:spacing w:line="240" w:lineRule="auto"/>
              <w:ind w:firstLine="0" w:firstLineChars="0"/>
              <w:jc w:val="center"/>
              <w:rPr>
                <w:rFonts w:hint="eastAsia"/>
                <w:color w:val="auto"/>
                <w:sz w:val="21"/>
              </w:rPr>
            </w:pPr>
            <w:r>
              <w:rPr>
                <w:rFonts w:hint="eastAsia"/>
                <w:color w:val="auto"/>
                <w:sz w:val="21"/>
              </w:rPr>
              <w:t>125</w:t>
            </w:r>
          </w:p>
        </w:tc>
        <w:tc>
          <w:tcPr>
            <w:tcW w:w="355" w:type="pct"/>
            <w:tcBorders>
              <w:top w:val="single" w:color="auto" w:sz="4" w:space="0"/>
              <w:left w:val="single" w:color="auto" w:sz="4" w:space="0"/>
              <w:bottom w:val="single" w:color="auto" w:sz="4" w:space="0"/>
              <w:right w:val="single" w:color="auto" w:sz="4" w:space="0"/>
            </w:tcBorders>
            <w:vAlign w:val="center"/>
          </w:tcPr>
          <w:p w14:paraId="6E1B4E59">
            <w:pPr>
              <w:spacing w:line="240" w:lineRule="auto"/>
              <w:ind w:firstLine="0" w:firstLineChars="0"/>
              <w:jc w:val="center"/>
              <w:rPr>
                <w:rFonts w:hint="eastAsia"/>
                <w:color w:val="auto"/>
                <w:sz w:val="21"/>
              </w:rPr>
            </w:pPr>
            <w:r>
              <w:rPr>
                <w:rFonts w:hint="eastAsia"/>
                <w:color w:val="auto"/>
                <w:sz w:val="21"/>
              </w:rPr>
              <w:t>150</w:t>
            </w:r>
          </w:p>
        </w:tc>
        <w:tc>
          <w:tcPr>
            <w:tcW w:w="354" w:type="pct"/>
            <w:tcBorders>
              <w:top w:val="single" w:color="auto" w:sz="4" w:space="0"/>
              <w:left w:val="single" w:color="auto" w:sz="4" w:space="0"/>
              <w:bottom w:val="single" w:color="auto" w:sz="4" w:space="0"/>
              <w:right w:val="single" w:color="auto" w:sz="4" w:space="0"/>
            </w:tcBorders>
            <w:vAlign w:val="center"/>
          </w:tcPr>
          <w:p w14:paraId="28999FB9">
            <w:pPr>
              <w:spacing w:line="240" w:lineRule="auto"/>
              <w:ind w:firstLine="0" w:firstLineChars="0"/>
              <w:jc w:val="center"/>
              <w:rPr>
                <w:rFonts w:hint="eastAsia"/>
                <w:color w:val="auto"/>
                <w:sz w:val="21"/>
              </w:rPr>
            </w:pPr>
            <w:r>
              <w:rPr>
                <w:rFonts w:hint="eastAsia"/>
                <w:color w:val="auto"/>
                <w:sz w:val="21"/>
              </w:rPr>
              <w:t>200</w:t>
            </w:r>
          </w:p>
        </w:tc>
      </w:tr>
      <w:tr w14:paraId="7E8D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5" w:type="pct"/>
            <w:vMerge w:val="restart"/>
            <w:tcBorders>
              <w:top w:val="nil"/>
              <w:left w:val="single" w:color="auto" w:sz="4" w:space="0"/>
              <w:bottom w:val="single" w:color="auto" w:sz="4" w:space="0"/>
              <w:right w:val="single" w:color="auto" w:sz="4" w:space="0"/>
            </w:tcBorders>
            <w:vAlign w:val="center"/>
          </w:tcPr>
          <w:p w14:paraId="690C6E22">
            <w:pPr>
              <w:spacing w:line="240" w:lineRule="auto"/>
              <w:ind w:firstLine="0" w:firstLineChars="0"/>
              <w:jc w:val="center"/>
              <w:rPr>
                <w:rFonts w:hint="eastAsia"/>
                <w:color w:val="auto"/>
                <w:sz w:val="21"/>
              </w:rPr>
            </w:pPr>
            <w:r>
              <w:rPr>
                <w:rFonts w:hint="eastAsia"/>
                <w:color w:val="auto"/>
                <w:sz w:val="21"/>
              </w:rPr>
              <w:t>支架的最大间距（m）</w:t>
            </w:r>
          </w:p>
        </w:tc>
        <w:tc>
          <w:tcPr>
            <w:tcW w:w="533" w:type="pct"/>
            <w:tcBorders>
              <w:top w:val="single" w:color="auto" w:sz="4" w:space="0"/>
              <w:left w:val="single" w:color="auto" w:sz="4" w:space="0"/>
              <w:bottom w:val="single" w:color="auto" w:sz="4" w:space="0"/>
              <w:right w:val="single" w:color="auto" w:sz="4" w:space="0"/>
            </w:tcBorders>
            <w:vAlign w:val="center"/>
          </w:tcPr>
          <w:p w14:paraId="1CEA0F9B">
            <w:pPr>
              <w:spacing w:line="240" w:lineRule="auto"/>
              <w:ind w:firstLine="0" w:firstLineChars="0"/>
              <w:jc w:val="center"/>
              <w:rPr>
                <w:rFonts w:hint="eastAsia"/>
                <w:color w:val="auto"/>
                <w:sz w:val="21"/>
              </w:rPr>
            </w:pPr>
            <w:r>
              <w:rPr>
                <w:rFonts w:hint="eastAsia"/>
                <w:color w:val="auto"/>
                <w:sz w:val="21"/>
              </w:rPr>
              <w:t>垂直管</w:t>
            </w:r>
          </w:p>
        </w:tc>
        <w:tc>
          <w:tcPr>
            <w:tcW w:w="282" w:type="pct"/>
            <w:tcBorders>
              <w:top w:val="single" w:color="auto" w:sz="4" w:space="0"/>
              <w:left w:val="single" w:color="auto" w:sz="4" w:space="0"/>
              <w:bottom w:val="single" w:color="auto" w:sz="4" w:space="0"/>
              <w:right w:val="single" w:color="auto" w:sz="4" w:space="0"/>
            </w:tcBorders>
            <w:vAlign w:val="center"/>
          </w:tcPr>
          <w:p w14:paraId="5A656D72">
            <w:pPr>
              <w:spacing w:line="240" w:lineRule="auto"/>
              <w:ind w:firstLine="0" w:firstLineChars="0"/>
              <w:jc w:val="center"/>
              <w:rPr>
                <w:rFonts w:hint="eastAsia"/>
                <w:color w:val="auto"/>
                <w:sz w:val="21"/>
              </w:rPr>
            </w:pPr>
            <w:r>
              <w:rPr>
                <w:rFonts w:hint="eastAsia"/>
                <w:color w:val="auto"/>
                <w:sz w:val="21"/>
              </w:rPr>
              <w:t>1.8</w:t>
            </w:r>
          </w:p>
        </w:tc>
        <w:tc>
          <w:tcPr>
            <w:tcW w:w="327" w:type="pct"/>
            <w:tcBorders>
              <w:top w:val="single" w:color="auto" w:sz="4" w:space="0"/>
              <w:left w:val="single" w:color="auto" w:sz="4" w:space="0"/>
              <w:bottom w:val="single" w:color="auto" w:sz="4" w:space="0"/>
              <w:right w:val="single" w:color="auto" w:sz="4" w:space="0"/>
            </w:tcBorders>
            <w:vAlign w:val="center"/>
          </w:tcPr>
          <w:p w14:paraId="00249AD7">
            <w:pPr>
              <w:spacing w:line="240" w:lineRule="auto"/>
              <w:ind w:firstLine="0" w:firstLineChars="0"/>
              <w:jc w:val="center"/>
              <w:rPr>
                <w:rFonts w:hint="eastAsia"/>
                <w:color w:val="auto"/>
                <w:sz w:val="21"/>
              </w:rPr>
            </w:pPr>
            <w:r>
              <w:rPr>
                <w:rFonts w:hint="eastAsia"/>
                <w:color w:val="auto"/>
                <w:sz w:val="21"/>
              </w:rPr>
              <w:t>2.4</w:t>
            </w:r>
          </w:p>
        </w:tc>
        <w:tc>
          <w:tcPr>
            <w:tcW w:w="327" w:type="pct"/>
            <w:tcBorders>
              <w:top w:val="single" w:color="auto" w:sz="4" w:space="0"/>
              <w:left w:val="single" w:color="auto" w:sz="4" w:space="0"/>
              <w:bottom w:val="single" w:color="auto" w:sz="4" w:space="0"/>
              <w:right w:val="single" w:color="auto" w:sz="4" w:space="0"/>
            </w:tcBorders>
            <w:vAlign w:val="center"/>
          </w:tcPr>
          <w:p w14:paraId="1754D737">
            <w:pPr>
              <w:spacing w:line="240" w:lineRule="auto"/>
              <w:ind w:firstLine="0" w:firstLineChars="0"/>
              <w:jc w:val="center"/>
              <w:rPr>
                <w:rFonts w:hint="eastAsia"/>
                <w:color w:val="auto"/>
                <w:sz w:val="21"/>
              </w:rPr>
            </w:pPr>
            <w:r>
              <w:rPr>
                <w:rFonts w:hint="eastAsia"/>
                <w:color w:val="auto"/>
                <w:sz w:val="21"/>
              </w:rPr>
              <w:t>2.4</w:t>
            </w:r>
          </w:p>
        </w:tc>
        <w:tc>
          <w:tcPr>
            <w:tcW w:w="327" w:type="pct"/>
            <w:tcBorders>
              <w:top w:val="single" w:color="auto" w:sz="4" w:space="0"/>
              <w:left w:val="single" w:color="auto" w:sz="4" w:space="0"/>
              <w:bottom w:val="single" w:color="auto" w:sz="4" w:space="0"/>
              <w:right w:val="single" w:color="auto" w:sz="4" w:space="0"/>
            </w:tcBorders>
            <w:vAlign w:val="center"/>
          </w:tcPr>
          <w:p w14:paraId="2CD119CC">
            <w:pPr>
              <w:spacing w:line="240" w:lineRule="auto"/>
              <w:ind w:firstLine="0" w:firstLineChars="0"/>
              <w:jc w:val="center"/>
              <w:rPr>
                <w:rFonts w:hint="eastAsia"/>
                <w:color w:val="auto"/>
                <w:sz w:val="21"/>
              </w:rPr>
            </w:pPr>
            <w:r>
              <w:rPr>
                <w:rFonts w:hint="eastAsia"/>
                <w:color w:val="auto"/>
                <w:sz w:val="21"/>
              </w:rPr>
              <w:t>3.0</w:t>
            </w:r>
          </w:p>
        </w:tc>
        <w:tc>
          <w:tcPr>
            <w:tcW w:w="327" w:type="pct"/>
            <w:tcBorders>
              <w:top w:val="single" w:color="auto" w:sz="4" w:space="0"/>
              <w:left w:val="single" w:color="auto" w:sz="4" w:space="0"/>
              <w:bottom w:val="single" w:color="auto" w:sz="4" w:space="0"/>
              <w:right w:val="single" w:color="auto" w:sz="4" w:space="0"/>
            </w:tcBorders>
            <w:vAlign w:val="center"/>
          </w:tcPr>
          <w:p w14:paraId="6CD76D85">
            <w:pPr>
              <w:spacing w:line="240" w:lineRule="auto"/>
              <w:ind w:firstLine="0" w:firstLineChars="0"/>
              <w:jc w:val="center"/>
              <w:rPr>
                <w:rFonts w:hint="eastAsia"/>
                <w:color w:val="auto"/>
                <w:sz w:val="21"/>
              </w:rPr>
            </w:pPr>
            <w:r>
              <w:rPr>
                <w:rFonts w:hint="eastAsia"/>
                <w:color w:val="auto"/>
                <w:sz w:val="21"/>
              </w:rPr>
              <w:t>3.0</w:t>
            </w:r>
          </w:p>
        </w:tc>
        <w:tc>
          <w:tcPr>
            <w:tcW w:w="327" w:type="pct"/>
            <w:tcBorders>
              <w:top w:val="single" w:color="auto" w:sz="4" w:space="0"/>
              <w:left w:val="single" w:color="auto" w:sz="4" w:space="0"/>
              <w:bottom w:val="single" w:color="auto" w:sz="4" w:space="0"/>
              <w:right w:val="single" w:color="auto" w:sz="4" w:space="0"/>
            </w:tcBorders>
            <w:vAlign w:val="center"/>
          </w:tcPr>
          <w:p w14:paraId="1F91857F">
            <w:pPr>
              <w:spacing w:line="240" w:lineRule="auto"/>
              <w:ind w:firstLine="0" w:firstLineChars="0"/>
              <w:jc w:val="center"/>
              <w:rPr>
                <w:rFonts w:hint="eastAsia"/>
                <w:color w:val="auto"/>
                <w:sz w:val="21"/>
              </w:rPr>
            </w:pPr>
            <w:r>
              <w:rPr>
                <w:rFonts w:hint="eastAsia"/>
                <w:color w:val="auto"/>
                <w:sz w:val="21"/>
              </w:rPr>
              <w:t>3.0</w:t>
            </w:r>
          </w:p>
        </w:tc>
        <w:tc>
          <w:tcPr>
            <w:tcW w:w="327" w:type="pct"/>
            <w:tcBorders>
              <w:top w:val="single" w:color="auto" w:sz="4" w:space="0"/>
              <w:left w:val="single" w:color="auto" w:sz="4" w:space="0"/>
              <w:bottom w:val="single" w:color="auto" w:sz="4" w:space="0"/>
              <w:right w:val="single" w:color="auto" w:sz="4" w:space="0"/>
            </w:tcBorders>
            <w:vAlign w:val="center"/>
          </w:tcPr>
          <w:p w14:paraId="2CBB2E7B">
            <w:pPr>
              <w:spacing w:line="240" w:lineRule="auto"/>
              <w:ind w:firstLine="0" w:firstLineChars="0"/>
              <w:jc w:val="center"/>
              <w:rPr>
                <w:rFonts w:hint="eastAsia"/>
                <w:color w:val="auto"/>
                <w:sz w:val="21"/>
              </w:rPr>
            </w:pPr>
            <w:r>
              <w:rPr>
                <w:rFonts w:hint="eastAsia"/>
                <w:color w:val="auto"/>
                <w:sz w:val="21"/>
              </w:rPr>
              <w:t>3.5</w:t>
            </w:r>
          </w:p>
        </w:tc>
        <w:tc>
          <w:tcPr>
            <w:tcW w:w="327" w:type="pct"/>
            <w:tcBorders>
              <w:top w:val="single" w:color="auto" w:sz="4" w:space="0"/>
              <w:left w:val="single" w:color="auto" w:sz="4" w:space="0"/>
              <w:bottom w:val="single" w:color="auto" w:sz="4" w:space="0"/>
              <w:right w:val="single" w:color="auto" w:sz="4" w:space="0"/>
            </w:tcBorders>
            <w:vAlign w:val="center"/>
          </w:tcPr>
          <w:p w14:paraId="23F2FA41">
            <w:pPr>
              <w:spacing w:line="240" w:lineRule="auto"/>
              <w:ind w:firstLine="0" w:firstLineChars="0"/>
              <w:jc w:val="center"/>
              <w:rPr>
                <w:rFonts w:hint="eastAsia"/>
                <w:color w:val="auto"/>
                <w:sz w:val="21"/>
              </w:rPr>
            </w:pPr>
            <w:r>
              <w:rPr>
                <w:rFonts w:hint="eastAsia"/>
                <w:color w:val="auto"/>
                <w:sz w:val="21"/>
              </w:rPr>
              <w:t>3.5</w:t>
            </w:r>
          </w:p>
        </w:tc>
        <w:tc>
          <w:tcPr>
            <w:tcW w:w="354" w:type="pct"/>
            <w:tcBorders>
              <w:top w:val="single" w:color="auto" w:sz="4" w:space="0"/>
              <w:left w:val="single" w:color="auto" w:sz="4" w:space="0"/>
              <w:bottom w:val="single" w:color="auto" w:sz="4" w:space="0"/>
              <w:right w:val="single" w:color="auto" w:sz="4" w:space="0"/>
            </w:tcBorders>
            <w:vAlign w:val="center"/>
          </w:tcPr>
          <w:p w14:paraId="3B7753B9">
            <w:pPr>
              <w:spacing w:line="240" w:lineRule="auto"/>
              <w:ind w:firstLine="0" w:firstLineChars="0"/>
              <w:jc w:val="center"/>
              <w:rPr>
                <w:rFonts w:hint="eastAsia"/>
                <w:color w:val="auto"/>
                <w:sz w:val="21"/>
              </w:rPr>
            </w:pPr>
            <w:r>
              <w:rPr>
                <w:rFonts w:hint="eastAsia"/>
                <w:color w:val="auto"/>
                <w:sz w:val="21"/>
              </w:rPr>
              <w:t>3.5</w:t>
            </w:r>
          </w:p>
        </w:tc>
        <w:tc>
          <w:tcPr>
            <w:tcW w:w="355" w:type="pct"/>
            <w:tcBorders>
              <w:top w:val="single" w:color="auto" w:sz="4" w:space="0"/>
              <w:left w:val="single" w:color="auto" w:sz="4" w:space="0"/>
              <w:bottom w:val="single" w:color="auto" w:sz="4" w:space="0"/>
              <w:right w:val="single" w:color="auto" w:sz="4" w:space="0"/>
            </w:tcBorders>
            <w:vAlign w:val="center"/>
          </w:tcPr>
          <w:p w14:paraId="6BD3BE51">
            <w:pPr>
              <w:spacing w:line="240" w:lineRule="auto"/>
              <w:ind w:firstLine="0" w:firstLineChars="0"/>
              <w:jc w:val="center"/>
              <w:rPr>
                <w:rFonts w:hint="eastAsia"/>
                <w:color w:val="auto"/>
                <w:sz w:val="21"/>
              </w:rPr>
            </w:pPr>
            <w:r>
              <w:rPr>
                <w:rFonts w:hint="eastAsia"/>
                <w:color w:val="auto"/>
                <w:sz w:val="21"/>
              </w:rPr>
              <w:t>3.5</w:t>
            </w:r>
          </w:p>
        </w:tc>
        <w:tc>
          <w:tcPr>
            <w:tcW w:w="355" w:type="pct"/>
            <w:tcBorders>
              <w:top w:val="single" w:color="auto" w:sz="4" w:space="0"/>
              <w:left w:val="single" w:color="auto" w:sz="4" w:space="0"/>
              <w:bottom w:val="single" w:color="auto" w:sz="4" w:space="0"/>
              <w:right w:val="single" w:color="auto" w:sz="4" w:space="0"/>
            </w:tcBorders>
            <w:vAlign w:val="center"/>
          </w:tcPr>
          <w:p w14:paraId="353908A9">
            <w:pPr>
              <w:spacing w:line="240" w:lineRule="auto"/>
              <w:ind w:firstLine="0" w:firstLineChars="0"/>
              <w:jc w:val="center"/>
              <w:rPr>
                <w:rFonts w:hint="eastAsia"/>
                <w:color w:val="auto"/>
                <w:sz w:val="21"/>
              </w:rPr>
            </w:pPr>
            <w:r>
              <w:rPr>
                <w:rFonts w:hint="eastAsia"/>
                <w:color w:val="auto"/>
                <w:sz w:val="21"/>
              </w:rPr>
              <w:t>4.0</w:t>
            </w:r>
          </w:p>
        </w:tc>
        <w:tc>
          <w:tcPr>
            <w:tcW w:w="354" w:type="pct"/>
            <w:tcBorders>
              <w:top w:val="single" w:color="auto" w:sz="4" w:space="0"/>
              <w:left w:val="single" w:color="auto" w:sz="4" w:space="0"/>
              <w:bottom w:val="single" w:color="auto" w:sz="4" w:space="0"/>
              <w:right w:val="single" w:color="auto" w:sz="4" w:space="0"/>
            </w:tcBorders>
            <w:vAlign w:val="center"/>
          </w:tcPr>
          <w:p w14:paraId="680E1023">
            <w:pPr>
              <w:spacing w:line="240" w:lineRule="auto"/>
              <w:ind w:firstLine="0" w:firstLineChars="0"/>
              <w:jc w:val="center"/>
              <w:rPr>
                <w:rFonts w:hint="eastAsia"/>
                <w:color w:val="auto"/>
                <w:sz w:val="21"/>
              </w:rPr>
            </w:pPr>
            <w:r>
              <w:rPr>
                <w:rFonts w:hint="eastAsia"/>
                <w:color w:val="auto"/>
                <w:sz w:val="21"/>
              </w:rPr>
              <w:t>4.0</w:t>
            </w:r>
          </w:p>
        </w:tc>
      </w:tr>
      <w:tr w14:paraId="6AB2F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27A0646C">
            <w:pPr>
              <w:spacing w:line="240" w:lineRule="auto"/>
              <w:ind w:firstLine="0" w:firstLineChars="0"/>
              <w:jc w:val="center"/>
              <w:rPr>
                <w:color w:val="auto"/>
                <w:sz w:val="21"/>
              </w:rPr>
            </w:pPr>
          </w:p>
        </w:tc>
        <w:tc>
          <w:tcPr>
            <w:tcW w:w="533" w:type="pct"/>
            <w:tcBorders>
              <w:top w:val="single" w:color="auto" w:sz="4" w:space="0"/>
              <w:left w:val="single" w:color="auto" w:sz="4" w:space="0"/>
              <w:bottom w:val="single" w:color="auto" w:sz="4" w:space="0"/>
              <w:right w:val="single" w:color="auto" w:sz="4" w:space="0"/>
            </w:tcBorders>
            <w:vAlign w:val="center"/>
          </w:tcPr>
          <w:p w14:paraId="4F39380F">
            <w:pPr>
              <w:spacing w:line="240" w:lineRule="auto"/>
              <w:ind w:firstLine="0" w:firstLineChars="0"/>
              <w:jc w:val="center"/>
              <w:rPr>
                <w:rFonts w:hint="eastAsia"/>
                <w:color w:val="auto"/>
                <w:sz w:val="21"/>
              </w:rPr>
            </w:pPr>
            <w:r>
              <w:rPr>
                <w:rFonts w:hint="eastAsia"/>
                <w:color w:val="auto"/>
                <w:sz w:val="21"/>
              </w:rPr>
              <w:t>水平管</w:t>
            </w:r>
          </w:p>
        </w:tc>
        <w:tc>
          <w:tcPr>
            <w:tcW w:w="282" w:type="pct"/>
            <w:tcBorders>
              <w:top w:val="single" w:color="auto" w:sz="4" w:space="0"/>
              <w:left w:val="single" w:color="auto" w:sz="4" w:space="0"/>
              <w:bottom w:val="single" w:color="auto" w:sz="4" w:space="0"/>
              <w:right w:val="single" w:color="auto" w:sz="4" w:space="0"/>
            </w:tcBorders>
            <w:vAlign w:val="center"/>
          </w:tcPr>
          <w:p w14:paraId="61287376">
            <w:pPr>
              <w:spacing w:line="240" w:lineRule="auto"/>
              <w:ind w:firstLine="0" w:firstLineChars="0"/>
              <w:jc w:val="center"/>
              <w:rPr>
                <w:rFonts w:hint="eastAsia"/>
                <w:color w:val="auto"/>
                <w:sz w:val="21"/>
              </w:rPr>
            </w:pPr>
            <w:r>
              <w:rPr>
                <w:rFonts w:hint="eastAsia"/>
                <w:color w:val="auto"/>
                <w:sz w:val="21"/>
              </w:rPr>
              <w:t>1.2</w:t>
            </w:r>
          </w:p>
        </w:tc>
        <w:tc>
          <w:tcPr>
            <w:tcW w:w="327" w:type="pct"/>
            <w:tcBorders>
              <w:top w:val="single" w:color="auto" w:sz="4" w:space="0"/>
              <w:left w:val="single" w:color="auto" w:sz="4" w:space="0"/>
              <w:bottom w:val="single" w:color="auto" w:sz="4" w:space="0"/>
              <w:right w:val="single" w:color="auto" w:sz="4" w:space="0"/>
            </w:tcBorders>
            <w:vAlign w:val="center"/>
          </w:tcPr>
          <w:p w14:paraId="67E251CD">
            <w:pPr>
              <w:spacing w:line="240" w:lineRule="auto"/>
              <w:ind w:firstLine="0" w:firstLineChars="0"/>
              <w:jc w:val="center"/>
              <w:rPr>
                <w:rFonts w:hint="eastAsia"/>
                <w:color w:val="auto"/>
                <w:sz w:val="21"/>
              </w:rPr>
            </w:pPr>
            <w:r>
              <w:rPr>
                <w:rFonts w:hint="eastAsia"/>
                <w:color w:val="auto"/>
                <w:sz w:val="21"/>
              </w:rPr>
              <w:t>1.8</w:t>
            </w:r>
          </w:p>
        </w:tc>
        <w:tc>
          <w:tcPr>
            <w:tcW w:w="327" w:type="pct"/>
            <w:tcBorders>
              <w:top w:val="single" w:color="auto" w:sz="4" w:space="0"/>
              <w:left w:val="single" w:color="auto" w:sz="4" w:space="0"/>
              <w:bottom w:val="single" w:color="auto" w:sz="4" w:space="0"/>
              <w:right w:val="single" w:color="auto" w:sz="4" w:space="0"/>
            </w:tcBorders>
            <w:vAlign w:val="center"/>
          </w:tcPr>
          <w:p w14:paraId="706920CD">
            <w:pPr>
              <w:spacing w:line="240" w:lineRule="auto"/>
              <w:ind w:firstLine="0" w:firstLineChars="0"/>
              <w:jc w:val="center"/>
              <w:rPr>
                <w:rFonts w:hint="eastAsia"/>
                <w:color w:val="auto"/>
                <w:sz w:val="21"/>
              </w:rPr>
            </w:pPr>
            <w:r>
              <w:rPr>
                <w:rFonts w:hint="eastAsia"/>
                <w:color w:val="auto"/>
                <w:sz w:val="21"/>
              </w:rPr>
              <w:t>1.8</w:t>
            </w:r>
          </w:p>
        </w:tc>
        <w:tc>
          <w:tcPr>
            <w:tcW w:w="327" w:type="pct"/>
            <w:tcBorders>
              <w:top w:val="single" w:color="auto" w:sz="4" w:space="0"/>
              <w:left w:val="single" w:color="auto" w:sz="4" w:space="0"/>
              <w:bottom w:val="single" w:color="auto" w:sz="4" w:space="0"/>
              <w:right w:val="single" w:color="auto" w:sz="4" w:space="0"/>
            </w:tcBorders>
            <w:vAlign w:val="center"/>
          </w:tcPr>
          <w:p w14:paraId="0C1C57EE">
            <w:pPr>
              <w:spacing w:line="240" w:lineRule="auto"/>
              <w:ind w:firstLine="0" w:firstLineChars="0"/>
              <w:jc w:val="center"/>
              <w:rPr>
                <w:rFonts w:hint="eastAsia"/>
                <w:color w:val="auto"/>
                <w:sz w:val="21"/>
              </w:rPr>
            </w:pPr>
            <w:r>
              <w:rPr>
                <w:rFonts w:hint="eastAsia"/>
                <w:color w:val="auto"/>
                <w:sz w:val="21"/>
              </w:rPr>
              <w:t>2.4</w:t>
            </w:r>
          </w:p>
        </w:tc>
        <w:tc>
          <w:tcPr>
            <w:tcW w:w="327" w:type="pct"/>
            <w:tcBorders>
              <w:top w:val="single" w:color="auto" w:sz="4" w:space="0"/>
              <w:left w:val="single" w:color="auto" w:sz="4" w:space="0"/>
              <w:bottom w:val="single" w:color="auto" w:sz="4" w:space="0"/>
              <w:right w:val="single" w:color="auto" w:sz="4" w:space="0"/>
            </w:tcBorders>
            <w:vAlign w:val="center"/>
          </w:tcPr>
          <w:p w14:paraId="3665F7E3">
            <w:pPr>
              <w:spacing w:line="240" w:lineRule="auto"/>
              <w:ind w:firstLine="0" w:firstLineChars="0"/>
              <w:jc w:val="center"/>
              <w:rPr>
                <w:rFonts w:hint="eastAsia"/>
                <w:color w:val="auto"/>
                <w:sz w:val="21"/>
              </w:rPr>
            </w:pPr>
            <w:r>
              <w:rPr>
                <w:rFonts w:hint="eastAsia"/>
                <w:color w:val="auto"/>
                <w:sz w:val="21"/>
              </w:rPr>
              <w:t>2.4</w:t>
            </w:r>
          </w:p>
        </w:tc>
        <w:tc>
          <w:tcPr>
            <w:tcW w:w="327" w:type="pct"/>
            <w:tcBorders>
              <w:top w:val="single" w:color="auto" w:sz="4" w:space="0"/>
              <w:left w:val="single" w:color="auto" w:sz="4" w:space="0"/>
              <w:bottom w:val="single" w:color="auto" w:sz="4" w:space="0"/>
              <w:right w:val="single" w:color="auto" w:sz="4" w:space="0"/>
            </w:tcBorders>
            <w:vAlign w:val="center"/>
          </w:tcPr>
          <w:p w14:paraId="00E3A2AD">
            <w:pPr>
              <w:spacing w:line="240" w:lineRule="auto"/>
              <w:ind w:firstLine="0" w:firstLineChars="0"/>
              <w:jc w:val="center"/>
              <w:rPr>
                <w:rFonts w:hint="eastAsia"/>
                <w:color w:val="auto"/>
                <w:sz w:val="21"/>
              </w:rPr>
            </w:pPr>
            <w:r>
              <w:rPr>
                <w:rFonts w:hint="eastAsia"/>
                <w:color w:val="auto"/>
                <w:sz w:val="21"/>
              </w:rPr>
              <w:t>2.4</w:t>
            </w:r>
          </w:p>
        </w:tc>
        <w:tc>
          <w:tcPr>
            <w:tcW w:w="327" w:type="pct"/>
            <w:tcBorders>
              <w:top w:val="single" w:color="auto" w:sz="4" w:space="0"/>
              <w:left w:val="single" w:color="auto" w:sz="4" w:space="0"/>
              <w:bottom w:val="single" w:color="auto" w:sz="4" w:space="0"/>
              <w:right w:val="single" w:color="auto" w:sz="4" w:space="0"/>
            </w:tcBorders>
            <w:vAlign w:val="center"/>
          </w:tcPr>
          <w:p w14:paraId="37E466D8">
            <w:pPr>
              <w:spacing w:line="240" w:lineRule="auto"/>
              <w:ind w:firstLine="0" w:firstLineChars="0"/>
              <w:jc w:val="center"/>
              <w:rPr>
                <w:rFonts w:hint="eastAsia"/>
                <w:color w:val="auto"/>
                <w:sz w:val="21"/>
              </w:rPr>
            </w:pPr>
            <w:r>
              <w:rPr>
                <w:rFonts w:hint="eastAsia"/>
                <w:color w:val="auto"/>
                <w:sz w:val="21"/>
              </w:rPr>
              <w:t>3.0</w:t>
            </w:r>
          </w:p>
        </w:tc>
        <w:tc>
          <w:tcPr>
            <w:tcW w:w="327" w:type="pct"/>
            <w:tcBorders>
              <w:top w:val="single" w:color="auto" w:sz="4" w:space="0"/>
              <w:left w:val="single" w:color="auto" w:sz="4" w:space="0"/>
              <w:bottom w:val="single" w:color="auto" w:sz="4" w:space="0"/>
              <w:right w:val="single" w:color="auto" w:sz="4" w:space="0"/>
            </w:tcBorders>
            <w:vAlign w:val="center"/>
          </w:tcPr>
          <w:p w14:paraId="504A3573">
            <w:pPr>
              <w:spacing w:line="240" w:lineRule="auto"/>
              <w:ind w:firstLine="0" w:firstLineChars="0"/>
              <w:jc w:val="center"/>
              <w:rPr>
                <w:rFonts w:hint="eastAsia"/>
                <w:color w:val="auto"/>
                <w:sz w:val="21"/>
              </w:rPr>
            </w:pPr>
            <w:r>
              <w:rPr>
                <w:rFonts w:hint="eastAsia"/>
                <w:color w:val="auto"/>
                <w:sz w:val="21"/>
              </w:rPr>
              <w:t>3.0</w:t>
            </w:r>
          </w:p>
        </w:tc>
        <w:tc>
          <w:tcPr>
            <w:tcW w:w="354" w:type="pct"/>
            <w:tcBorders>
              <w:top w:val="single" w:color="auto" w:sz="4" w:space="0"/>
              <w:left w:val="single" w:color="auto" w:sz="4" w:space="0"/>
              <w:bottom w:val="single" w:color="auto" w:sz="4" w:space="0"/>
              <w:right w:val="single" w:color="auto" w:sz="4" w:space="0"/>
            </w:tcBorders>
            <w:vAlign w:val="center"/>
          </w:tcPr>
          <w:p w14:paraId="49F15EEF">
            <w:pPr>
              <w:spacing w:line="240" w:lineRule="auto"/>
              <w:ind w:firstLine="0" w:firstLineChars="0"/>
              <w:jc w:val="center"/>
              <w:rPr>
                <w:rFonts w:hint="eastAsia"/>
                <w:color w:val="auto"/>
                <w:sz w:val="21"/>
              </w:rPr>
            </w:pPr>
            <w:r>
              <w:rPr>
                <w:rFonts w:hint="eastAsia"/>
                <w:color w:val="auto"/>
                <w:sz w:val="21"/>
              </w:rPr>
              <w:t>3.0</w:t>
            </w:r>
          </w:p>
        </w:tc>
        <w:tc>
          <w:tcPr>
            <w:tcW w:w="355" w:type="pct"/>
            <w:tcBorders>
              <w:top w:val="single" w:color="auto" w:sz="4" w:space="0"/>
              <w:left w:val="single" w:color="auto" w:sz="4" w:space="0"/>
              <w:bottom w:val="single" w:color="auto" w:sz="4" w:space="0"/>
              <w:right w:val="single" w:color="auto" w:sz="4" w:space="0"/>
            </w:tcBorders>
            <w:vAlign w:val="center"/>
          </w:tcPr>
          <w:p w14:paraId="4BD3CEB7">
            <w:pPr>
              <w:spacing w:line="240" w:lineRule="auto"/>
              <w:ind w:firstLine="0" w:firstLineChars="0"/>
              <w:jc w:val="center"/>
              <w:rPr>
                <w:rFonts w:hint="eastAsia"/>
                <w:color w:val="auto"/>
                <w:sz w:val="21"/>
              </w:rPr>
            </w:pPr>
            <w:r>
              <w:rPr>
                <w:rFonts w:hint="eastAsia"/>
                <w:color w:val="auto"/>
                <w:sz w:val="21"/>
              </w:rPr>
              <w:t>3.0</w:t>
            </w:r>
          </w:p>
        </w:tc>
        <w:tc>
          <w:tcPr>
            <w:tcW w:w="355" w:type="pct"/>
            <w:tcBorders>
              <w:top w:val="single" w:color="auto" w:sz="4" w:space="0"/>
              <w:left w:val="single" w:color="auto" w:sz="4" w:space="0"/>
              <w:bottom w:val="single" w:color="auto" w:sz="4" w:space="0"/>
              <w:right w:val="single" w:color="auto" w:sz="4" w:space="0"/>
            </w:tcBorders>
            <w:vAlign w:val="center"/>
          </w:tcPr>
          <w:p w14:paraId="17AE1ECB">
            <w:pPr>
              <w:spacing w:line="240" w:lineRule="auto"/>
              <w:ind w:firstLine="0" w:firstLineChars="0"/>
              <w:jc w:val="center"/>
              <w:rPr>
                <w:rFonts w:hint="eastAsia"/>
                <w:color w:val="auto"/>
                <w:sz w:val="21"/>
              </w:rPr>
            </w:pPr>
            <w:r>
              <w:rPr>
                <w:rFonts w:hint="eastAsia"/>
                <w:color w:val="auto"/>
                <w:sz w:val="21"/>
              </w:rPr>
              <w:t>3.5</w:t>
            </w:r>
          </w:p>
        </w:tc>
        <w:tc>
          <w:tcPr>
            <w:tcW w:w="354" w:type="pct"/>
            <w:tcBorders>
              <w:top w:val="single" w:color="auto" w:sz="4" w:space="0"/>
              <w:left w:val="single" w:color="auto" w:sz="4" w:space="0"/>
              <w:bottom w:val="single" w:color="auto" w:sz="4" w:space="0"/>
              <w:right w:val="single" w:color="auto" w:sz="4" w:space="0"/>
            </w:tcBorders>
            <w:vAlign w:val="center"/>
          </w:tcPr>
          <w:p w14:paraId="0DE02332">
            <w:pPr>
              <w:spacing w:line="240" w:lineRule="auto"/>
              <w:ind w:firstLine="0" w:firstLineChars="0"/>
              <w:jc w:val="center"/>
              <w:rPr>
                <w:rFonts w:hint="eastAsia"/>
                <w:color w:val="auto"/>
                <w:sz w:val="21"/>
              </w:rPr>
            </w:pPr>
            <w:r>
              <w:rPr>
                <w:rFonts w:hint="eastAsia"/>
                <w:color w:val="auto"/>
                <w:sz w:val="21"/>
              </w:rPr>
              <w:t>3.5</w:t>
            </w:r>
          </w:p>
        </w:tc>
      </w:tr>
    </w:tbl>
    <w:p w14:paraId="6F202FE4">
      <w:pPr>
        <w:rPr>
          <w:rFonts w:hint="eastAsia"/>
          <w:color w:val="auto"/>
        </w:rPr>
      </w:pPr>
      <w:r>
        <w:rPr>
          <w:rFonts w:hint="eastAsia"/>
          <w:color w:val="auto"/>
        </w:rPr>
        <w:t>采暖、给水及热水供应系统的金属管道立管管卡安装应符合下列规定：</w:t>
      </w:r>
    </w:p>
    <w:p w14:paraId="40DA2ED2">
      <w:pPr>
        <w:rPr>
          <w:rFonts w:hint="eastAsia"/>
          <w:color w:val="auto"/>
        </w:rPr>
      </w:pPr>
      <w:r>
        <w:rPr>
          <w:rFonts w:hint="eastAsia"/>
          <w:color w:val="auto"/>
        </w:rPr>
        <w:t>楼层高度小于或等于5m，每层必须安装1个。</w:t>
      </w:r>
    </w:p>
    <w:p w14:paraId="0D4304D6">
      <w:pPr>
        <w:rPr>
          <w:rFonts w:hint="eastAsia"/>
          <w:color w:val="auto"/>
        </w:rPr>
      </w:pPr>
      <w:r>
        <w:rPr>
          <w:rFonts w:hint="eastAsia"/>
          <w:color w:val="auto"/>
        </w:rPr>
        <w:t>楼层高度大于5m，每层不得少于2个。</w:t>
      </w:r>
    </w:p>
    <w:p w14:paraId="5F1D3159">
      <w:pPr>
        <w:rPr>
          <w:rFonts w:hint="eastAsia"/>
          <w:color w:val="auto"/>
        </w:rPr>
      </w:pPr>
      <w:r>
        <w:rPr>
          <w:rFonts w:hint="eastAsia"/>
          <w:color w:val="auto"/>
        </w:rPr>
        <w:t>管卡安装高度，距地面应为1.5～1.8m，2个以上管卡应匀称安装，同一房间管卡应安装在同一高度上。</w:t>
      </w:r>
    </w:p>
    <w:p w14:paraId="7DFB1897">
      <w:pPr>
        <w:rPr>
          <w:rFonts w:hint="eastAsia"/>
          <w:color w:val="auto"/>
        </w:rPr>
      </w:pPr>
      <w:r>
        <w:rPr>
          <w:rFonts w:hint="eastAsia"/>
          <w:color w:val="auto"/>
        </w:rPr>
        <w:t>管道及管道支墩（座），严禁铺设在冻土和未经处理的松土上。</w:t>
      </w:r>
    </w:p>
    <w:p w14:paraId="24EB6353">
      <w:pPr>
        <w:rPr>
          <w:rFonts w:hint="eastAsia"/>
          <w:color w:val="auto"/>
        </w:rPr>
      </w:pPr>
      <w:r>
        <w:rPr>
          <w:rFonts w:hint="eastAsia"/>
          <w:color w:val="auto"/>
        </w:rPr>
        <w:t>管道穿过墙壁和楼板，应设置金属或塑料套管。安装在楼板内的套管，其顶部应高出装饰地面20mm；安装在卫生间内的套管，其顶部应高出装饰地面50mm，底部应与楼板底面相平；安装在墙壁内的套管其两端与饰面相平。穿过楼板的套管与管道之间缝隙应用阻燃密实材料和防水油膏填实，端面光滑。穿墙套管与管道之间缝隙宜用阻燃密实材料填实，且端面应光滑。管道的接口不得设在套管内。</w:t>
      </w:r>
    </w:p>
    <w:p w14:paraId="754E3467">
      <w:pPr>
        <w:rPr>
          <w:rFonts w:hint="eastAsia"/>
          <w:color w:val="auto"/>
        </w:rPr>
      </w:pPr>
      <w:r>
        <w:rPr>
          <w:rFonts w:hint="eastAsia"/>
          <w:color w:val="auto"/>
        </w:rPr>
        <w:t>弯制钢管，弯曲半径应符合下列规定；热弯：应不小于管道外径的3.5倍。冷弯：应不小于管道外径的4倍。焊接弯头：应不小于管道外径的1.5倍。冲压弯头：应不小于管道外径。</w:t>
      </w:r>
    </w:p>
    <w:p w14:paraId="543D37AC">
      <w:pPr>
        <w:rPr>
          <w:rFonts w:hint="eastAsia"/>
          <w:color w:val="auto"/>
        </w:rPr>
      </w:pPr>
      <w:r>
        <w:rPr>
          <w:rFonts w:hint="eastAsia"/>
          <w:color w:val="auto"/>
        </w:rPr>
        <w:t>管道接口应符合下列规定：</w:t>
      </w:r>
    </w:p>
    <w:p w14:paraId="4B8D9CD2">
      <w:pPr>
        <w:rPr>
          <w:rFonts w:hint="eastAsia"/>
          <w:color w:val="auto"/>
        </w:rPr>
      </w:pPr>
      <w:r>
        <w:rPr>
          <w:rFonts w:hint="eastAsia"/>
          <w:color w:val="auto"/>
        </w:rPr>
        <w:t>管道采用粘接接口，管端插入承口的深度不得小于下表规定。</w:t>
      </w:r>
    </w:p>
    <w:p w14:paraId="12C60E3E">
      <w:pPr>
        <w:pStyle w:val="54"/>
        <w:rPr>
          <w:rFonts w:hint="eastAsia"/>
          <w:color w:val="auto"/>
        </w:rPr>
      </w:pPr>
      <w:r>
        <w:rPr>
          <w:rFonts w:hint="eastAsia"/>
          <w:color w:val="auto"/>
        </w:rPr>
        <w:t xml:space="preserve">管端插入承口的深度 </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5"/>
        <w:gridCol w:w="638"/>
        <w:gridCol w:w="638"/>
        <w:gridCol w:w="638"/>
        <w:gridCol w:w="638"/>
        <w:gridCol w:w="638"/>
        <w:gridCol w:w="638"/>
        <w:gridCol w:w="805"/>
        <w:gridCol w:w="805"/>
        <w:gridCol w:w="797"/>
      </w:tblGrid>
      <w:tr w14:paraId="5F19F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pct"/>
            <w:tcBorders>
              <w:top w:val="single" w:color="auto" w:sz="4" w:space="0"/>
              <w:left w:val="single" w:color="auto" w:sz="4" w:space="0"/>
              <w:bottom w:val="single" w:color="auto" w:sz="4" w:space="0"/>
              <w:right w:val="single" w:color="auto" w:sz="4" w:space="0"/>
            </w:tcBorders>
            <w:vAlign w:val="center"/>
          </w:tcPr>
          <w:p w14:paraId="531D0DDB">
            <w:pPr>
              <w:spacing w:line="240" w:lineRule="auto"/>
              <w:ind w:firstLine="0" w:firstLineChars="0"/>
              <w:jc w:val="center"/>
              <w:rPr>
                <w:rFonts w:hint="eastAsia"/>
                <w:color w:val="auto"/>
                <w:sz w:val="21"/>
              </w:rPr>
            </w:pPr>
            <w:r>
              <w:rPr>
                <w:rFonts w:hint="eastAsia"/>
                <w:color w:val="auto"/>
                <w:sz w:val="21"/>
              </w:rPr>
              <w:t>公径直径（mm）</w:t>
            </w:r>
          </w:p>
        </w:tc>
        <w:tc>
          <w:tcPr>
            <w:tcW w:w="352" w:type="pct"/>
            <w:tcBorders>
              <w:top w:val="single" w:color="auto" w:sz="4" w:space="0"/>
              <w:left w:val="single" w:color="auto" w:sz="4" w:space="0"/>
              <w:bottom w:val="single" w:color="auto" w:sz="4" w:space="0"/>
              <w:right w:val="single" w:color="auto" w:sz="4" w:space="0"/>
            </w:tcBorders>
            <w:vAlign w:val="center"/>
          </w:tcPr>
          <w:p w14:paraId="1CA96047">
            <w:pPr>
              <w:spacing w:line="240" w:lineRule="auto"/>
              <w:ind w:firstLine="0" w:firstLineChars="0"/>
              <w:jc w:val="center"/>
              <w:rPr>
                <w:rFonts w:hint="eastAsia"/>
                <w:color w:val="auto"/>
                <w:sz w:val="21"/>
              </w:rPr>
            </w:pPr>
            <w:r>
              <w:rPr>
                <w:rFonts w:hint="eastAsia"/>
                <w:color w:val="auto"/>
                <w:sz w:val="21"/>
              </w:rPr>
              <w:t>20</w:t>
            </w:r>
          </w:p>
        </w:tc>
        <w:tc>
          <w:tcPr>
            <w:tcW w:w="352" w:type="pct"/>
            <w:tcBorders>
              <w:top w:val="single" w:color="auto" w:sz="4" w:space="0"/>
              <w:left w:val="single" w:color="auto" w:sz="4" w:space="0"/>
              <w:bottom w:val="single" w:color="auto" w:sz="4" w:space="0"/>
              <w:right w:val="single" w:color="auto" w:sz="4" w:space="0"/>
            </w:tcBorders>
            <w:vAlign w:val="center"/>
          </w:tcPr>
          <w:p w14:paraId="28DF55D7">
            <w:pPr>
              <w:spacing w:line="240" w:lineRule="auto"/>
              <w:ind w:firstLine="0" w:firstLineChars="0"/>
              <w:jc w:val="center"/>
              <w:rPr>
                <w:rFonts w:hint="eastAsia"/>
                <w:color w:val="auto"/>
                <w:sz w:val="21"/>
              </w:rPr>
            </w:pPr>
            <w:r>
              <w:rPr>
                <w:rFonts w:hint="eastAsia"/>
                <w:color w:val="auto"/>
                <w:sz w:val="21"/>
              </w:rPr>
              <w:t>25</w:t>
            </w:r>
          </w:p>
        </w:tc>
        <w:tc>
          <w:tcPr>
            <w:tcW w:w="352" w:type="pct"/>
            <w:tcBorders>
              <w:top w:val="single" w:color="auto" w:sz="4" w:space="0"/>
              <w:left w:val="single" w:color="auto" w:sz="4" w:space="0"/>
              <w:bottom w:val="single" w:color="auto" w:sz="4" w:space="0"/>
              <w:right w:val="single" w:color="auto" w:sz="4" w:space="0"/>
            </w:tcBorders>
            <w:vAlign w:val="center"/>
          </w:tcPr>
          <w:p w14:paraId="1AECEEFA">
            <w:pPr>
              <w:spacing w:line="240" w:lineRule="auto"/>
              <w:ind w:firstLine="0" w:firstLineChars="0"/>
              <w:jc w:val="center"/>
              <w:rPr>
                <w:rFonts w:hint="eastAsia"/>
                <w:color w:val="auto"/>
                <w:sz w:val="21"/>
              </w:rPr>
            </w:pPr>
            <w:r>
              <w:rPr>
                <w:rFonts w:hint="eastAsia"/>
                <w:color w:val="auto"/>
                <w:sz w:val="21"/>
              </w:rPr>
              <w:t>32</w:t>
            </w:r>
          </w:p>
        </w:tc>
        <w:tc>
          <w:tcPr>
            <w:tcW w:w="352" w:type="pct"/>
            <w:tcBorders>
              <w:top w:val="single" w:color="auto" w:sz="4" w:space="0"/>
              <w:left w:val="single" w:color="auto" w:sz="4" w:space="0"/>
              <w:bottom w:val="single" w:color="auto" w:sz="4" w:space="0"/>
              <w:right w:val="single" w:color="auto" w:sz="4" w:space="0"/>
            </w:tcBorders>
            <w:vAlign w:val="center"/>
          </w:tcPr>
          <w:p w14:paraId="0E98A672">
            <w:pPr>
              <w:spacing w:line="240" w:lineRule="auto"/>
              <w:ind w:firstLine="0" w:firstLineChars="0"/>
              <w:jc w:val="center"/>
              <w:rPr>
                <w:rFonts w:hint="eastAsia"/>
                <w:color w:val="auto"/>
                <w:sz w:val="21"/>
              </w:rPr>
            </w:pPr>
            <w:r>
              <w:rPr>
                <w:rFonts w:hint="eastAsia"/>
                <w:color w:val="auto"/>
                <w:sz w:val="21"/>
              </w:rPr>
              <w:t>40</w:t>
            </w:r>
          </w:p>
        </w:tc>
        <w:tc>
          <w:tcPr>
            <w:tcW w:w="352" w:type="pct"/>
            <w:tcBorders>
              <w:top w:val="single" w:color="auto" w:sz="4" w:space="0"/>
              <w:left w:val="single" w:color="auto" w:sz="4" w:space="0"/>
              <w:bottom w:val="single" w:color="auto" w:sz="4" w:space="0"/>
              <w:right w:val="single" w:color="auto" w:sz="4" w:space="0"/>
            </w:tcBorders>
            <w:vAlign w:val="center"/>
          </w:tcPr>
          <w:p w14:paraId="11360AAE">
            <w:pPr>
              <w:spacing w:line="240" w:lineRule="auto"/>
              <w:ind w:firstLine="0" w:firstLineChars="0"/>
              <w:jc w:val="center"/>
              <w:rPr>
                <w:rFonts w:hint="eastAsia"/>
                <w:color w:val="auto"/>
                <w:sz w:val="21"/>
              </w:rPr>
            </w:pPr>
            <w:r>
              <w:rPr>
                <w:rFonts w:hint="eastAsia"/>
                <w:color w:val="auto"/>
                <w:sz w:val="21"/>
              </w:rPr>
              <w:t>50</w:t>
            </w:r>
          </w:p>
        </w:tc>
        <w:tc>
          <w:tcPr>
            <w:tcW w:w="352" w:type="pct"/>
            <w:tcBorders>
              <w:top w:val="single" w:color="auto" w:sz="4" w:space="0"/>
              <w:left w:val="single" w:color="auto" w:sz="4" w:space="0"/>
              <w:bottom w:val="single" w:color="auto" w:sz="4" w:space="0"/>
              <w:right w:val="single" w:color="auto" w:sz="4" w:space="0"/>
            </w:tcBorders>
            <w:vAlign w:val="center"/>
          </w:tcPr>
          <w:p w14:paraId="61446F94">
            <w:pPr>
              <w:spacing w:line="240" w:lineRule="auto"/>
              <w:ind w:firstLine="0" w:firstLineChars="0"/>
              <w:jc w:val="center"/>
              <w:rPr>
                <w:rFonts w:hint="eastAsia"/>
                <w:color w:val="auto"/>
                <w:sz w:val="21"/>
              </w:rPr>
            </w:pPr>
            <w:r>
              <w:rPr>
                <w:rFonts w:hint="eastAsia"/>
                <w:color w:val="auto"/>
                <w:sz w:val="21"/>
              </w:rPr>
              <w:t>75</w:t>
            </w:r>
          </w:p>
        </w:tc>
        <w:tc>
          <w:tcPr>
            <w:tcW w:w="444" w:type="pct"/>
            <w:tcBorders>
              <w:top w:val="single" w:color="auto" w:sz="4" w:space="0"/>
              <w:left w:val="single" w:color="auto" w:sz="4" w:space="0"/>
              <w:bottom w:val="single" w:color="auto" w:sz="4" w:space="0"/>
              <w:right w:val="single" w:color="auto" w:sz="4" w:space="0"/>
            </w:tcBorders>
            <w:vAlign w:val="center"/>
          </w:tcPr>
          <w:p w14:paraId="19796DB7">
            <w:pPr>
              <w:spacing w:line="240" w:lineRule="auto"/>
              <w:ind w:firstLine="0" w:firstLineChars="0"/>
              <w:jc w:val="center"/>
              <w:rPr>
                <w:rFonts w:hint="eastAsia"/>
                <w:color w:val="auto"/>
                <w:sz w:val="21"/>
              </w:rPr>
            </w:pPr>
            <w:r>
              <w:rPr>
                <w:rFonts w:hint="eastAsia"/>
                <w:color w:val="auto"/>
                <w:sz w:val="21"/>
              </w:rPr>
              <w:t>100</w:t>
            </w:r>
          </w:p>
        </w:tc>
        <w:tc>
          <w:tcPr>
            <w:tcW w:w="444" w:type="pct"/>
            <w:tcBorders>
              <w:top w:val="single" w:color="auto" w:sz="4" w:space="0"/>
              <w:left w:val="single" w:color="auto" w:sz="4" w:space="0"/>
              <w:bottom w:val="single" w:color="auto" w:sz="4" w:space="0"/>
              <w:right w:val="single" w:color="auto" w:sz="4" w:space="0"/>
            </w:tcBorders>
            <w:vAlign w:val="center"/>
          </w:tcPr>
          <w:p w14:paraId="6272BD00">
            <w:pPr>
              <w:spacing w:line="240" w:lineRule="auto"/>
              <w:ind w:firstLine="0" w:firstLineChars="0"/>
              <w:jc w:val="center"/>
              <w:rPr>
                <w:rFonts w:hint="eastAsia"/>
                <w:color w:val="auto"/>
                <w:sz w:val="21"/>
              </w:rPr>
            </w:pPr>
            <w:r>
              <w:rPr>
                <w:rFonts w:hint="eastAsia"/>
                <w:color w:val="auto"/>
                <w:sz w:val="21"/>
              </w:rPr>
              <w:t>125</w:t>
            </w:r>
          </w:p>
        </w:tc>
        <w:tc>
          <w:tcPr>
            <w:tcW w:w="440" w:type="pct"/>
            <w:tcBorders>
              <w:top w:val="single" w:color="auto" w:sz="4" w:space="0"/>
              <w:left w:val="single" w:color="auto" w:sz="4" w:space="0"/>
              <w:bottom w:val="single" w:color="auto" w:sz="4" w:space="0"/>
              <w:right w:val="single" w:color="auto" w:sz="4" w:space="0"/>
            </w:tcBorders>
            <w:vAlign w:val="center"/>
          </w:tcPr>
          <w:p w14:paraId="66C999B1">
            <w:pPr>
              <w:spacing w:line="240" w:lineRule="auto"/>
              <w:ind w:firstLine="0" w:firstLineChars="0"/>
              <w:jc w:val="center"/>
              <w:rPr>
                <w:rFonts w:hint="eastAsia"/>
                <w:color w:val="auto"/>
                <w:sz w:val="21"/>
              </w:rPr>
            </w:pPr>
            <w:r>
              <w:rPr>
                <w:rFonts w:hint="eastAsia"/>
                <w:color w:val="auto"/>
                <w:sz w:val="21"/>
              </w:rPr>
              <w:t>150</w:t>
            </w:r>
          </w:p>
        </w:tc>
      </w:tr>
      <w:tr w14:paraId="15C1C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59" w:type="pct"/>
            <w:tcBorders>
              <w:top w:val="single" w:color="auto" w:sz="4" w:space="0"/>
              <w:left w:val="single" w:color="auto" w:sz="4" w:space="0"/>
              <w:bottom w:val="single" w:color="auto" w:sz="4" w:space="0"/>
              <w:right w:val="single" w:color="auto" w:sz="4" w:space="0"/>
            </w:tcBorders>
            <w:vAlign w:val="center"/>
          </w:tcPr>
          <w:p w14:paraId="02F22B57">
            <w:pPr>
              <w:spacing w:line="240" w:lineRule="auto"/>
              <w:ind w:firstLine="0" w:firstLineChars="0"/>
              <w:jc w:val="center"/>
              <w:rPr>
                <w:rFonts w:hint="eastAsia"/>
                <w:color w:val="auto"/>
                <w:sz w:val="21"/>
              </w:rPr>
            </w:pPr>
            <w:r>
              <w:rPr>
                <w:rFonts w:hint="eastAsia"/>
                <w:color w:val="auto"/>
                <w:sz w:val="21"/>
              </w:rPr>
              <w:t>插入深度（mm）</w:t>
            </w:r>
          </w:p>
        </w:tc>
        <w:tc>
          <w:tcPr>
            <w:tcW w:w="352" w:type="pct"/>
            <w:tcBorders>
              <w:top w:val="single" w:color="auto" w:sz="4" w:space="0"/>
              <w:left w:val="single" w:color="auto" w:sz="4" w:space="0"/>
              <w:bottom w:val="single" w:color="auto" w:sz="4" w:space="0"/>
              <w:right w:val="single" w:color="auto" w:sz="4" w:space="0"/>
            </w:tcBorders>
            <w:vAlign w:val="center"/>
          </w:tcPr>
          <w:p w14:paraId="1F754FA5">
            <w:pPr>
              <w:spacing w:line="240" w:lineRule="auto"/>
              <w:ind w:firstLine="0" w:firstLineChars="0"/>
              <w:jc w:val="center"/>
              <w:rPr>
                <w:rFonts w:hint="eastAsia"/>
                <w:color w:val="auto"/>
                <w:sz w:val="21"/>
              </w:rPr>
            </w:pPr>
            <w:r>
              <w:rPr>
                <w:rFonts w:hint="eastAsia"/>
                <w:color w:val="auto"/>
                <w:sz w:val="21"/>
              </w:rPr>
              <w:t>16</w:t>
            </w:r>
          </w:p>
        </w:tc>
        <w:tc>
          <w:tcPr>
            <w:tcW w:w="352" w:type="pct"/>
            <w:tcBorders>
              <w:top w:val="single" w:color="auto" w:sz="4" w:space="0"/>
              <w:left w:val="single" w:color="auto" w:sz="4" w:space="0"/>
              <w:bottom w:val="single" w:color="auto" w:sz="4" w:space="0"/>
              <w:right w:val="single" w:color="auto" w:sz="4" w:space="0"/>
            </w:tcBorders>
            <w:vAlign w:val="center"/>
          </w:tcPr>
          <w:p w14:paraId="727D38C5">
            <w:pPr>
              <w:spacing w:line="240" w:lineRule="auto"/>
              <w:ind w:firstLine="0" w:firstLineChars="0"/>
              <w:jc w:val="center"/>
              <w:rPr>
                <w:rFonts w:hint="eastAsia"/>
                <w:color w:val="auto"/>
                <w:sz w:val="21"/>
              </w:rPr>
            </w:pPr>
            <w:r>
              <w:rPr>
                <w:rFonts w:hint="eastAsia"/>
                <w:color w:val="auto"/>
                <w:sz w:val="21"/>
              </w:rPr>
              <w:t>19</w:t>
            </w:r>
          </w:p>
        </w:tc>
        <w:tc>
          <w:tcPr>
            <w:tcW w:w="352" w:type="pct"/>
            <w:tcBorders>
              <w:top w:val="single" w:color="auto" w:sz="4" w:space="0"/>
              <w:left w:val="single" w:color="auto" w:sz="4" w:space="0"/>
              <w:bottom w:val="single" w:color="auto" w:sz="4" w:space="0"/>
              <w:right w:val="single" w:color="auto" w:sz="4" w:space="0"/>
            </w:tcBorders>
            <w:vAlign w:val="center"/>
          </w:tcPr>
          <w:p w14:paraId="48F7C784">
            <w:pPr>
              <w:spacing w:line="240" w:lineRule="auto"/>
              <w:ind w:firstLine="0" w:firstLineChars="0"/>
              <w:jc w:val="center"/>
              <w:rPr>
                <w:rFonts w:hint="eastAsia"/>
                <w:color w:val="auto"/>
                <w:sz w:val="21"/>
              </w:rPr>
            </w:pPr>
            <w:r>
              <w:rPr>
                <w:rFonts w:hint="eastAsia"/>
                <w:color w:val="auto"/>
                <w:sz w:val="21"/>
              </w:rPr>
              <w:t>22</w:t>
            </w:r>
          </w:p>
        </w:tc>
        <w:tc>
          <w:tcPr>
            <w:tcW w:w="352" w:type="pct"/>
            <w:tcBorders>
              <w:top w:val="single" w:color="auto" w:sz="4" w:space="0"/>
              <w:left w:val="single" w:color="auto" w:sz="4" w:space="0"/>
              <w:bottom w:val="single" w:color="auto" w:sz="4" w:space="0"/>
              <w:right w:val="single" w:color="auto" w:sz="4" w:space="0"/>
            </w:tcBorders>
            <w:vAlign w:val="center"/>
          </w:tcPr>
          <w:p w14:paraId="64ADE6CC">
            <w:pPr>
              <w:spacing w:line="240" w:lineRule="auto"/>
              <w:ind w:firstLine="0" w:firstLineChars="0"/>
              <w:jc w:val="center"/>
              <w:rPr>
                <w:rFonts w:hint="eastAsia"/>
                <w:color w:val="auto"/>
                <w:sz w:val="21"/>
              </w:rPr>
            </w:pPr>
            <w:r>
              <w:rPr>
                <w:rFonts w:hint="eastAsia"/>
                <w:color w:val="auto"/>
                <w:sz w:val="21"/>
              </w:rPr>
              <w:t>26</w:t>
            </w:r>
          </w:p>
        </w:tc>
        <w:tc>
          <w:tcPr>
            <w:tcW w:w="352" w:type="pct"/>
            <w:tcBorders>
              <w:top w:val="single" w:color="auto" w:sz="4" w:space="0"/>
              <w:left w:val="single" w:color="auto" w:sz="4" w:space="0"/>
              <w:bottom w:val="single" w:color="auto" w:sz="4" w:space="0"/>
              <w:right w:val="single" w:color="auto" w:sz="4" w:space="0"/>
            </w:tcBorders>
            <w:vAlign w:val="center"/>
          </w:tcPr>
          <w:p w14:paraId="7E7C03C3">
            <w:pPr>
              <w:spacing w:line="240" w:lineRule="auto"/>
              <w:ind w:firstLine="0" w:firstLineChars="0"/>
              <w:jc w:val="center"/>
              <w:rPr>
                <w:rFonts w:hint="eastAsia"/>
                <w:color w:val="auto"/>
                <w:sz w:val="21"/>
              </w:rPr>
            </w:pPr>
            <w:r>
              <w:rPr>
                <w:rFonts w:hint="eastAsia"/>
                <w:color w:val="auto"/>
                <w:sz w:val="21"/>
              </w:rPr>
              <w:t>31</w:t>
            </w:r>
          </w:p>
        </w:tc>
        <w:tc>
          <w:tcPr>
            <w:tcW w:w="352" w:type="pct"/>
            <w:tcBorders>
              <w:top w:val="single" w:color="auto" w:sz="4" w:space="0"/>
              <w:left w:val="single" w:color="auto" w:sz="4" w:space="0"/>
              <w:bottom w:val="single" w:color="auto" w:sz="4" w:space="0"/>
              <w:right w:val="single" w:color="auto" w:sz="4" w:space="0"/>
            </w:tcBorders>
            <w:vAlign w:val="center"/>
          </w:tcPr>
          <w:p w14:paraId="76A94001">
            <w:pPr>
              <w:spacing w:line="240" w:lineRule="auto"/>
              <w:ind w:firstLine="0" w:firstLineChars="0"/>
              <w:jc w:val="center"/>
              <w:rPr>
                <w:rFonts w:hint="eastAsia"/>
                <w:color w:val="auto"/>
                <w:sz w:val="21"/>
              </w:rPr>
            </w:pPr>
            <w:r>
              <w:rPr>
                <w:rFonts w:hint="eastAsia"/>
                <w:color w:val="auto"/>
                <w:sz w:val="21"/>
              </w:rPr>
              <w:t>44</w:t>
            </w:r>
          </w:p>
        </w:tc>
        <w:tc>
          <w:tcPr>
            <w:tcW w:w="444" w:type="pct"/>
            <w:tcBorders>
              <w:top w:val="single" w:color="auto" w:sz="4" w:space="0"/>
              <w:left w:val="single" w:color="auto" w:sz="4" w:space="0"/>
              <w:bottom w:val="single" w:color="auto" w:sz="4" w:space="0"/>
              <w:right w:val="single" w:color="auto" w:sz="4" w:space="0"/>
            </w:tcBorders>
            <w:vAlign w:val="center"/>
          </w:tcPr>
          <w:p w14:paraId="5609636B">
            <w:pPr>
              <w:spacing w:line="240" w:lineRule="auto"/>
              <w:ind w:firstLine="0" w:firstLineChars="0"/>
              <w:jc w:val="center"/>
              <w:rPr>
                <w:rFonts w:hint="eastAsia"/>
                <w:color w:val="auto"/>
                <w:sz w:val="21"/>
              </w:rPr>
            </w:pPr>
            <w:r>
              <w:rPr>
                <w:rFonts w:hint="eastAsia"/>
                <w:color w:val="auto"/>
                <w:sz w:val="21"/>
              </w:rPr>
              <w:t>61</w:t>
            </w:r>
          </w:p>
        </w:tc>
        <w:tc>
          <w:tcPr>
            <w:tcW w:w="444" w:type="pct"/>
            <w:tcBorders>
              <w:top w:val="single" w:color="auto" w:sz="4" w:space="0"/>
              <w:left w:val="single" w:color="auto" w:sz="4" w:space="0"/>
              <w:bottom w:val="single" w:color="auto" w:sz="4" w:space="0"/>
              <w:right w:val="single" w:color="auto" w:sz="4" w:space="0"/>
            </w:tcBorders>
            <w:vAlign w:val="center"/>
          </w:tcPr>
          <w:p w14:paraId="4137DFDB">
            <w:pPr>
              <w:spacing w:line="240" w:lineRule="auto"/>
              <w:ind w:firstLine="0" w:firstLineChars="0"/>
              <w:jc w:val="center"/>
              <w:rPr>
                <w:rFonts w:hint="eastAsia"/>
                <w:color w:val="auto"/>
                <w:sz w:val="21"/>
              </w:rPr>
            </w:pPr>
            <w:r>
              <w:rPr>
                <w:rFonts w:hint="eastAsia"/>
                <w:color w:val="auto"/>
                <w:sz w:val="21"/>
              </w:rPr>
              <w:t>69</w:t>
            </w:r>
          </w:p>
        </w:tc>
        <w:tc>
          <w:tcPr>
            <w:tcW w:w="440" w:type="pct"/>
            <w:tcBorders>
              <w:top w:val="single" w:color="auto" w:sz="4" w:space="0"/>
              <w:left w:val="single" w:color="auto" w:sz="4" w:space="0"/>
              <w:bottom w:val="single" w:color="auto" w:sz="4" w:space="0"/>
              <w:right w:val="single" w:color="auto" w:sz="4" w:space="0"/>
            </w:tcBorders>
            <w:vAlign w:val="center"/>
          </w:tcPr>
          <w:p w14:paraId="1793A230">
            <w:pPr>
              <w:spacing w:line="240" w:lineRule="auto"/>
              <w:ind w:firstLine="0" w:firstLineChars="0"/>
              <w:jc w:val="center"/>
              <w:rPr>
                <w:rFonts w:hint="eastAsia"/>
                <w:color w:val="auto"/>
                <w:sz w:val="21"/>
              </w:rPr>
            </w:pPr>
            <w:r>
              <w:rPr>
                <w:rFonts w:hint="eastAsia"/>
                <w:color w:val="auto"/>
                <w:sz w:val="21"/>
              </w:rPr>
              <w:t>80</w:t>
            </w:r>
          </w:p>
        </w:tc>
      </w:tr>
    </w:tbl>
    <w:p w14:paraId="45CE5CC8">
      <w:pPr>
        <w:rPr>
          <w:rFonts w:hint="eastAsia"/>
          <w:color w:val="auto"/>
        </w:rPr>
      </w:pPr>
      <w:r>
        <w:rPr>
          <w:rFonts w:hint="eastAsia"/>
          <w:color w:val="auto"/>
        </w:rPr>
        <w:t>熔接连接管道的结合面应有一均匀的熔接圈，不得出现局部熔瘤或熔接圈凸凹不匀现象。</w:t>
      </w:r>
    </w:p>
    <w:p w14:paraId="18CA428B">
      <w:pPr>
        <w:rPr>
          <w:rFonts w:hint="eastAsia"/>
          <w:color w:val="auto"/>
        </w:rPr>
      </w:pPr>
      <w:r>
        <w:rPr>
          <w:rFonts w:hint="eastAsia"/>
          <w:color w:val="auto"/>
        </w:rPr>
        <w:t>法兰连接时衬垫不得进入管内，其外边缘接近螺栓孔为宜，不得安放双垫或偏垫。</w:t>
      </w:r>
    </w:p>
    <w:p w14:paraId="226798D4">
      <w:pPr>
        <w:rPr>
          <w:rFonts w:hint="eastAsia"/>
          <w:color w:val="auto"/>
        </w:rPr>
      </w:pPr>
      <w:r>
        <w:rPr>
          <w:rFonts w:hint="eastAsia"/>
          <w:color w:val="auto"/>
        </w:rPr>
        <w:t>连接法兰的螺栓，直径和长度应符合标准，拧紧后，突出螺母的长度不应大于螺杆直径的1/2。</w:t>
      </w:r>
    </w:p>
    <w:p w14:paraId="7B5EB7AE">
      <w:pPr>
        <w:rPr>
          <w:rFonts w:hint="eastAsia"/>
          <w:color w:val="auto"/>
        </w:rPr>
      </w:pPr>
      <w:r>
        <w:rPr>
          <w:rFonts w:hint="eastAsia"/>
          <w:color w:val="auto"/>
        </w:rPr>
        <w:t>螺纹连接管道安装后的管螺纹根部应有2～3扣的外露螺纹，多余的麻丝应清理干净并做防腐处理。</w:t>
      </w:r>
    </w:p>
    <w:p w14:paraId="7BB99707">
      <w:pPr>
        <w:rPr>
          <w:rFonts w:hint="eastAsia"/>
          <w:color w:val="auto"/>
        </w:rPr>
      </w:pPr>
      <w:r>
        <w:rPr>
          <w:rFonts w:hint="eastAsia"/>
          <w:color w:val="auto"/>
        </w:rPr>
        <w:t>承插口采用水泥捻口时，油麻必须清洁、填塞密实，水泥捻入并密实饱满，其接口面凹入承口边缘的深度不得大于2mm。</w:t>
      </w:r>
    </w:p>
    <w:p w14:paraId="19E3DB76">
      <w:pPr>
        <w:rPr>
          <w:rFonts w:hint="eastAsia"/>
          <w:color w:val="auto"/>
        </w:rPr>
      </w:pPr>
      <w:r>
        <w:rPr>
          <w:rFonts w:hint="eastAsia"/>
          <w:color w:val="auto"/>
        </w:rPr>
        <w:t>卡箍（套）式连接两管口端应平整、无缝隙，沟槽应均匀，卡紧螺栓后管道应平直，卡箍（套）安装方向应一致。</w:t>
      </w:r>
    </w:p>
    <w:p w14:paraId="5566F158">
      <w:pPr>
        <w:rPr>
          <w:rFonts w:hint="eastAsia"/>
          <w:color w:val="auto"/>
        </w:rPr>
      </w:pPr>
      <w:r>
        <w:rPr>
          <w:rFonts w:hint="eastAsia"/>
          <w:color w:val="auto"/>
        </w:rPr>
        <w:t>各种承压管道系统和设备应做水压试验，非承压管道系统和设备应做灌水试验。</w:t>
      </w:r>
    </w:p>
    <w:p w14:paraId="69458EA3">
      <w:pPr>
        <w:rPr>
          <w:rFonts w:hint="eastAsia"/>
          <w:color w:val="auto"/>
        </w:rPr>
      </w:pPr>
      <w:r>
        <w:rPr>
          <w:rFonts w:hint="eastAsia"/>
          <w:color w:val="auto"/>
        </w:rPr>
        <w:t>（2）室内给水系统安装</w:t>
      </w:r>
    </w:p>
    <w:p w14:paraId="2C7E02F8">
      <w:pPr>
        <w:rPr>
          <w:rFonts w:hint="eastAsia"/>
          <w:color w:val="auto"/>
        </w:rPr>
      </w:pPr>
      <w:r>
        <w:rPr>
          <w:rFonts w:hint="eastAsia"/>
          <w:color w:val="auto"/>
        </w:rPr>
        <w:t>给水管道必须采用与管材相适应的管件，生活给水系统所涉及的材料必须达到饮水卫生标准。</w:t>
      </w:r>
    </w:p>
    <w:p w14:paraId="7944B251">
      <w:pPr>
        <w:rPr>
          <w:rFonts w:hint="eastAsia"/>
          <w:color w:val="auto"/>
        </w:rPr>
      </w:pPr>
      <w:r>
        <w:rPr>
          <w:rFonts w:hint="eastAsia"/>
          <w:color w:val="auto"/>
        </w:rPr>
        <w:t>管径小于或等于100mm的镀锌钢管应采作螺纹连接，套丝扣时破坏的镀锌层表面及外露螺纹部分应做防腐处理。</w:t>
      </w:r>
    </w:p>
    <w:p w14:paraId="5B79BF8A">
      <w:pPr>
        <w:rPr>
          <w:rFonts w:hint="eastAsia"/>
          <w:color w:val="auto"/>
        </w:rPr>
      </w:pPr>
      <w:r>
        <w:rPr>
          <w:rFonts w:hint="eastAsia"/>
          <w:color w:val="auto"/>
        </w:rPr>
        <w:t>管径大于100mm的镀锌钢管应采用法兰或卡套式专用管件连接，镀锌钢管与法兰的焊接处应二次镀锌。</w:t>
      </w:r>
    </w:p>
    <w:p w14:paraId="68B6038C">
      <w:pPr>
        <w:rPr>
          <w:rFonts w:hint="eastAsia"/>
          <w:color w:val="auto"/>
        </w:rPr>
      </w:pPr>
      <w:r>
        <w:rPr>
          <w:rFonts w:hint="eastAsia"/>
          <w:color w:val="auto"/>
        </w:rPr>
        <w:t>给水塑料管和复合管可以采用橡胶圈接口、粘接接口、热熔连接、专用管件连接及法兰连接等形式。塑料管和复合管与金属管件、阀门等的连接应使用专用管件连接，不得在塑料管上套丝。</w:t>
      </w:r>
    </w:p>
    <w:p w14:paraId="29B2F9B6">
      <w:pPr>
        <w:rPr>
          <w:rFonts w:hint="eastAsia"/>
          <w:color w:val="auto"/>
        </w:rPr>
      </w:pPr>
      <w:r>
        <w:rPr>
          <w:rFonts w:hint="eastAsia"/>
          <w:color w:val="auto"/>
        </w:rPr>
        <w:t>给水铸铁管管道采用水泥捻口或橡胶圈接口方式进行连接。</w:t>
      </w:r>
    </w:p>
    <w:p w14:paraId="52228B84">
      <w:pPr>
        <w:rPr>
          <w:rFonts w:hint="eastAsia"/>
          <w:color w:val="auto"/>
        </w:rPr>
      </w:pPr>
      <w:r>
        <w:rPr>
          <w:rFonts w:hint="eastAsia"/>
          <w:color w:val="auto"/>
        </w:rPr>
        <w:t>铜管连接可采用专用接头或焊接，当管径小于22mm时宜采用承插或套管焊接，承口应迎介质流向安装；当管径大于或等于22mm时宜采用对口焊接。</w:t>
      </w:r>
    </w:p>
    <w:p w14:paraId="124F1CF9">
      <w:pPr>
        <w:rPr>
          <w:rFonts w:hint="eastAsia"/>
          <w:color w:val="auto"/>
        </w:rPr>
      </w:pPr>
      <w:r>
        <w:rPr>
          <w:rFonts w:hint="eastAsia"/>
          <w:color w:val="auto"/>
        </w:rPr>
        <w:t>给水立管和装有3个或3个以上配水点的支管始端，均应安装可折卸的连接件。</w:t>
      </w:r>
    </w:p>
    <w:p w14:paraId="00174405">
      <w:pPr>
        <w:rPr>
          <w:rFonts w:hint="eastAsia"/>
          <w:color w:val="auto"/>
        </w:rPr>
      </w:pPr>
      <w:r>
        <w:rPr>
          <w:rFonts w:hint="eastAsia"/>
          <w:color w:val="auto"/>
        </w:rPr>
        <w:t>冷、热水管道同时安装应符合下列规定：</w:t>
      </w:r>
    </w:p>
    <w:p w14:paraId="179912D7">
      <w:pPr>
        <w:rPr>
          <w:rFonts w:hint="eastAsia"/>
          <w:color w:val="auto"/>
        </w:rPr>
      </w:pPr>
      <w:r>
        <w:rPr>
          <w:rFonts w:hint="eastAsia"/>
          <w:color w:val="auto"/>
        </w:rPr>
        <w:t>上、下平行安装时热水管应在冷水管上方。</w:t>
      </w:r>
    </w:p>
    <w:p w14:paraId="66747D39">
      <w:pPr>
        <w:rPr>
          <w:rFonts w:hint="eastAsia"/>
          <w:color w:val="auto"/>
        </w:rPr>
      </w:pPr>
      <w:r>
        <w:rPr>
          <w:rFonts w:hint="eastAsia"/>
          <w:color w:val="auto"/>
        </w:rPr>
        <w:t>垂直平行安装时热水管应在冷水管左侧。</w:t>
      </w:r>
    </w:p>
    <w:p w14:paraId="1DF4E745">
      <w:pPr>
        <w:rPr>
          <w:rFonts w:hint="eastAsia"/>
          <w:color w:val="auto"/>
        </w:rPr>
      </w:pPr>
      <w:r>
        <w:rPr>
          <w:rFonts w:hint="eastAsia"/>
          <w:color w:val="auto"/>
        </w:rPr>
        <w:t>（3）室内排水系统</w:t>
      </w:r>
    </w:p>
    <w:p w14:paraId="5758F11F">
      <w:pPr>
        <w:rPr>
          <w:rFonts w:hint="eastAsia"/>
          <w:color w:val="auto"/>
        </w:rPr>
      </w:pPr>
      <w:r>
        <w:rPr>
          <w:rFonts w:hint="eastAsia"/>
          <w:color w:val="auto"/>
        </w:rPr>
        <w:t>生活污水管道应使用塑料管、铸铁管或混凝土管（由成组洗脸盆或饮用喷水器具的排水短管，可使用钢管）。</w:t>
      </w:r>
    </w:p>
    <w:p w14:paraId="0A270ECD">
      <w:pPr>
        <w:rPr>
          <w:rFonts w:hint="eastAsia"/>
          <w:color w:val="auto"/>
        </w:rPr>
      </w:pPr>
      <w:r>
        <w:rPr>
          <w:rFonts w:hint="eastAsia"/>
          <w:color w:val="auto"/>
        </w:rPr>
        <w:t>雨水管道宜使用塑料管、铸铁管、镀锌钢管或混凝土管等。</w:t>
      </w:r>
    </w:p>
    <w:p w14:paraId="176F8E77">
      <w:pPr>
        <w:rPr>
          <w:rFonts w:hint="eastAsia"/>
          <w:color w:val="auto"/>
        </w:rPr>
      </w:pPr>
      <w:r>
        <w:rPr>
          <w:rFonts w:hint="eastAsia"/>
          <w:color w:val="auto"/>
        </w:rPr>
        <w:t>（4）热水供应系统</w:t>
      </w:r>
    </w:p>
    <w:p w14:paraId="2DB9235A">
      <w:pPr>
        <w:rPr>
          <w:rFonts w:hint="eastAsia"/>
          <w:color w:val="auto"/>
        </w:rPr>
      </w:pPr>
      <w:r>
        <w:rPr>
          <w:rFonts w:hint="eastAsia"/>
          <w:color w:val="auto"/>
        </w:rPr>
        <w:t>热水供应系统的管道应用采用塑料管、镀锌钢管和铜管。</w:t>
      </w:r>
    </w:p>
    <w:p w14:paraId="328E0F69">
      <w:pPr>
        <w:rPr>
          <w:rFonts w:hint="eastAsia"/>
          <w:color w:val="auto"/>
        </w:rPr>
      </w:pPr>
      <w:r>
        <w:rPr>
          <w:rFonts w:hint="eastAsia"/>
          <w:color w:val="auto"/>
        </w:rPr>
        <w:t>热水供应系统管道及配件安装应按相关规定执行。</w:t>
      </w:r>
    </w:p>
    <w:p w14:paraId="0EF1EF36">
      <w:pPr>
        <w:rPr>
          <w:rFonts w:hint="eastAsia"/>
          <w:color w:val="auto"/>
        </w:rPr>
      </w:pPr>
      <w:r>
        <w:rPr>
          <w:rFonts w:hint="eastAsia"/>
          <w:color w:val="auto"/>
        </w:rPr>
        <w:t>（5）卫生器具安装</w:t>
      </w:r>
    </w:p>
    <w:p w14:paraId="7272A9B4">
      <w:pPr>
        <w:rPr>
          <w:rFonts w:hint="eastAsia"/>
          <w:color w:val="auto"/>
        </w:rPr>
      </w:pPr>
      <w:r>
        <w:rPr>
          <w:rFonts w:hint="eastAsia"/>
          <w:color w:val="auto"/>
        </w:rPr>
        <w:t>卫生器具的安装应采用预埋螺栓或膨胀螺栓安装固定。</w:t>
      </w:r>
    </w:p>
    <w:p w14:paraId="33E55C59">
      <w:pPr>
        <w:rPr>
          <w:rFonts w:hint="eastAsia"/>
          <w:color w:val="auto"/>
        </w:rPr>
      </w:pPr>
      <w:r>
        <w:rPr>
          <w:rFonts w:hint="eastAsia"/>
          <w:color w:val="auto"/>
        </w:rPr>
        <w:t>卫生器具给水配件的安装高度，如设计无要求时，应符合下表规定。</w:t>
      </w:r>
    </w:p>
    <w:p w14:paraId="011482D9">
      <w:pPr>
        <w:ind w:firstLine="482"/>
        <w:jc w:val="center"/>
        <w:rPr>
          <w:rFonts w:hint="eastAsia"/>
          <w:b/>
          <w:bCs/>
          <w:color w:val="auto"/>
        </w:rPr>
      </w:pPr>
      <w:r>
        <w:rPr>
          <w:rFonts w:hint="eastAsia"/>
          <w:b/>
          <w:bCs/>
          <w:color w:val="auto"/>
        </w:rPr>
        <w:t>插表 卫生器具给水配件的安装高度</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223"/>
        <w:gridCol w:w="3004"/>
        <w:gridCol w:w="1812"/>
        <w:gridCol w:w="1809"/>
      </w:tblGrid>
      <w:tr w14:paraId="5A3D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0AEC815F">
            <w:pPr>
              <w:spacing w:line="240" w:lineRule="auto"/>
              <w:ind w:firstLine="0" w:firstLineChars="0"/>
              <w:jc w:val="center"/>
              <w:rPr>
                <w:rFonts w:hint="eastAsia"/>
                <w:color w:val="auto"/>
                <w:sz w:val="21"/>
              </w:rPr>
            </w:pPr>
            <w:r>
              <w:rPr>
                <w:rFonts w:hint="eastAsia"/>
                <w:color w:val="auto"/>
                <w:sz w:val="21"/>
              </w:rPr>
              <w:t>项次</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2E2BD861">
            <w:pPr>
              <w:spacing w:line="240" w:lineRule="auto"/>
              <w:ind w:firstLine="0" w:firstLineChars="0"/>
              <w:jc w:val="center"/>
              <w:rPr>
                <w:rFonts w:hint="eastAsia"/>
                <w:color w:val="auto"/>
                <w:sz w:val="21"/>
              </w:rPr>
            </w:pPr>
            <w:r>
              <w:rPr>
                <w:rFonts w:hint="eastAsia"/>
                <w:color w:val="auto"/>
                <w:sz w:val="21"/>
              </w:rPr>
              <w:t>给水配件名称</w:t>
            </w:r>
          </w:p>
        </w:tc>
        <w:tc>
          <w:tcPr>
            <w:tcW w:w="1000" w:type="pct"/>
            <w:tcBorders>
              <w:top w:val="single" w:color="auto" w:sz="4" w:space="0"/>
              <w:left w:val="single" w:color="auto" w:sz="4" w:space="0"/>
              <w:bottom w:val="single" w:color="auto" w:sz="4" w:space="0"/>
              <w:right w:val="single" w:color="auto" w:sz="4" w:space="0"/>
            </w:tcBorders>
            <w:vAlign w:val="center"/>
          </w:tcPr>
          <w:p w14:paraId="6318CF6D">
            <w:pPr>
              <w:spacing w:line="240" w:lineRule="auto"/>
              <w:ind w:firstLine="0" w:firstLineChars="0"/>
              <w:jc w:val="center"/>
              <w:rPr>
                <w:rFonts w:hint="eastAsia"/>
                <w:color w:val="auto"/>
                <w:sz w:val="21"/>
              </w:rPr>
            </w:pPr>
            <w:r>
              <w:rPr>
                <w:rFonts w:hint="eastAsia"/>
                <w:color w:val="auto"/>
                <w:sz w:val="21"/>
              </w:rPr>
              <w:t>配件中心距地面高度（mm）</w:t>
            </w:r>
          </w:p>
        </w:tc>
        <w:tc>
          <w:tcPr>
            <w:tcW w:w="999" w:type="pct"/>
            <w:tcBorders>
              <w:top w:val="single" w:color="auto" w:sz="4" w:space="0"/>
              <w:left w:val="single" w:color="auto" w:sz="4" w:space="0"/>
              <w:bottom w:val="single" w:color="auto" w:sz="4" w:space="0"/>
              <w:right w:val="single" w:color="auto" w:sz="4" w:space="0"/>
            </w:tcBorders>
            <w:vAlign w:val="center"/>
          </w:tcPr>
          <w:p w14:paraId="49DA640C">
            <w:pPr>
              <w:spacing w:line="240" w:lineRule="auto"/>
              <w:ind w:firstLine="0" w:firstLineChars="0"/>
              <w:jc w:val="center"/>
              <w:rPr>
                <w:rFonts w:hint="eastAsia"/>
                <w:color w:val="auto"/>
                <w:sz w:val="21"/>
              </w:rPr>
            </w:pPr>
            <w:r>
              <w:rPr>
                <w:rFonts w:hint="eastAsia"/>
                <w:color w:val="auto"/>
                <w:sz w:val="21"/>
              </w:rPr>
              <w:t>冷热水龙头跳高（mm）</w:t>
            </w:r>
          </w:p>
        </w:tc>
      </w:tr>
      <w:tr w14:paraId="30C2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7173DB65">
            <w:pPr>
              <w:spacing w:line="240" w:lineRule="auto"/>
              <w:ind w:firstLine="0" w:firstLineChars="0"/>
              <w:jc w:val="center"/>
              <w:rPr>
                <w:rFonts w:hint="eastAsia"/>
                <w:color w:val="auto"/>
                <w:sz w:val="21"/>
              </w:rPr>
            </w:pPr>
            <w:r>
              <w:rPr>
                <w:rFonts w:hint="eastAsia"/>
                <w:color w:val="auto"/>
                <w:sz w:val="21"/>
              </w:rPr>
              <w:t>1</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04B49919">
            <w:pPr>
              <w:spacing w:line="240" w:lineRule="auto"/>
              <w:ind w:firstLine="0" w:firstLineChars="0"/>
              <w:jc w:val="center"/>
              <w:rPr>
                <w:rFonts w:hint="eastAsia"/>
                <w:color w:val="auto"/>
                <w:sz w:val="21"/>
              </w:rPr>
            </w:pPr>
            <w:r>
              <w:rPr>
                <w:rFonts w:hint="eastAsia"/>
                <w:color w:val="auto"/>
                <w:sz w:val="21"/>
              </w:rPr>
              <w:t>架空式污水盆（池）水龙头</w:t>
            </w:r>
          </w:p>
        </w:tc>
        <w:tc>
          <w:tcPr>
            <w:tcW w:w="1000" w:type="pct"/>
            <w:tcBorders>
              <w:top w:val="single" w:color="auto" w:sz="4" w:space="0"/>
              <w:left w:val="single" w:color="auto" w:sz="4" w:space="0"/>
              <w:bottom w:val="single" w:color="auto" w:sz="4" w:space="0"/>
              <w:right w:val="single" w:color="auto" w:sz="4" w:space="0"/>
            </w:tcBorders>
            <w:vAlign w:val="center"/>
          </w:tcPr>
          <w:p w14:paraId="1F61FAAC">
            <w:pPr>
              <w:spacing w:line="240" w:lineRule="auto"/>
              <w:ind w:firstLine="0" w:firstLineChars="0"/>
              <w:jc w:val="center"/>
              <w:rPr>
                <w:rFonts w:hint="eastAsia"/>
                <w:color w:val="auto"/>
                <w:sz w:val="21"/>
              </w:rPr>
            </w:pPr>
            <w:r>
              <w:rPr>
                <w:rFonts w:hint="eastAsia"/>
                <w:color w:val="auto"/>
                <w:sz w:val="21"/>
              </w:rPr>
              <w:t>100</w:t>
            </w:r>
          </w:p>
        </w:tc>
        <w:tc>
          <w:tcPr>
            <w:tcW w:w="999" w:type="pct"/>
            <w:tcBorders>
              <w:top w:val="single" w:color="auto" w:sz="4" w:space="0"/>
              <w:left w:val="single" w:color="auto" w:sz="4" w:space="0"/>
              <w:bottom w:val="single" w:color="auto" w:sz="4" w:space="0"/>
              <w:right w:val="single" w:color="auto" w:sz="4" w:space="0"/>
            </w:tcBorders>
            <w:vAlign w:val="center"/>
          </w:tcPr>
          <w:p w14:paraId="0CDA60DE">
            <w:pPr>
              <w:spacing w:line="240" w:lineRule="auto"/>
              <w:ind w:firstLine="0" w:firstLineChars="0"/>
              <w:jc w:val="center"/>
              <w:rPr>
                <w:rFonts w:hint="eastAsia"/>
                <w:color w:val="auto"/>
                <w:sz w:val="21"/>
              </w:rPr>
            </w:pPr>
            <w:r>
              <w:rPr>
                <w:rFonts w:hint="eastAsia"/>
                <w:color w:val="auto"/>
                <w:sz w:val="21"/>
              </w:rPr>
              <w:t>-</w:t>
            </w:r>
          </w:p>
        </w:tc>
      </w:tr>
      <w:tr w14:paraId="6D47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40963684">
            <w:pPr>
              <w:spacing w:line="240" w:lineRule="auto"/>
              <w:ind w:firstLine="0" w:firstLineChars="0"/>
              <w:jc w:val="center"/>
              <w:rPr>
                <w:rFonts w:hint="eastAsia"/>
                <w:color w:val="auto"/>
                <w:sz w:val="21"/>
              </w:rPr>
            </w:pPr>
            <w:r>
              <w:rPr>
                <w:rFonts w:hint="eastAsia"/>
                <w:color w:val="auto"/>
                <w:sz w:val="21"/>
              </w:rPr>
              <w:t>2</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5DB64FFA">
            <w:pPr>
              <w:spacing w:line="240" w:lineRule="auto"/>
              <w:ind w:firstLine="0" w:firstLineChars="0"/>
              <w:jc w:val="center"/>
              <w:rPr>
                <w:rFonts w:hint="eastAsia"/>
                <w:color w:val="auto"/>
                <w:sz w:val="21"/>
              </w:rPr>
            </w:pPr>
            <w:r>
              <w:rPr>
                <w:rFonts w:hint="eastAsia"/>
                <w:color w:val="auto"/>
                <w:sz w:val="21"/>
              </w:rPr>
              <w:t>落地式污水盆（池）水龙头</w:t>
            </w:r>
          </w:p>
        </w:tc>
        <w:tc>
          <w:tcPr>
            <w:tcW w:w="1000" w:type="pct"/>
            <w:tcBorders>
              <w:top w:val="single" w:color="auto" w:sz="4" w:space="0"/>
              <w:left w:val="single" w:color="auto" w:sz="4" w:space="0"/>
              <w:bottom w:val="single" w:color="auto" w:sz="4" w:space="0"/>
              <w:right w:val="single" w:color="auto" w:sz="4" w:space="0"/>
            </w:tcBorders>
            <w:vAlign w:val="center"/>
          </w:tcPr>
          <w:p w14:paraId="3627047C">
            <w:pPr>
              <w:spacing w:line="240" w:lineRule="auto"/>
              <w:ind w:firstLine="0" w:firstLineChars="0"/>
              <w:jc w:val="center"/>
              <w:rPr>
                <w:rFonts w:hint="eastAsia"/>
                <w:color w:val="auto"/>
                <w:sz w:val="21"/>
              </w:rPr>
            </w:pPr>
            <w:r>
              <w:rPr>
                <w:rFonts w:hint="eastAsia"/>
                <w:color w:val="auto"/>
                <w:sz w:val="21"/>
              </w:rPr>
              <w:t>800</w:t>
            </w:r>
          </w:p>
        </w:tc>
        <w:tc>
          <w:tcPr>
            <w:tcW w:w="999" w:type="pct"/>
            <w:tcBorders>
              <w:top w:val="single" w:color="auto" w:sz="4" w:space="0"/>
              <w:left w:val="single" w:color="auto" w:sz="4" w:space="0"/>
              <w:bottom w:val="single" w:color="auto" w:sz="4" w:space="0"/>
              <w:right w:val="single" w:color="auto" w:sz="4" w:space="0"/>
            </w:tcBorders>
            <w:vAlign w:val="center"/>
          </w:tcPr>
          <w:p w14:paraId="11E3DAA6">
            <w:pPr>
              <w:spacing w:line="240" w:lineRule="auto"/>
              <w:ind w:firstLine="0" w:firstLineChars="0"/>
              <w:jc w:val="center"/>
              <w:rPr>
                <w:rFonts w:hint="eastAsia"/>
                <w:color w:val="auto"/>
                <w:sz w:val="21"/>
              </w:rPr>
            </w:pPr>
            <w:r>
              <w:rPr>
                <w:rFonts w:hint="eastAsia"/>
                <w:color w:val="auto"/>
                <w:sz w:val="21"/>
              </w:rPr>
              <w:t>-</w:t>
            </w:r>
          </w:p>
        </w:tc>
      </w:tr>
      <w:tr w14:paraId="6606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745EC821">
            <w:pPr>
              <w:spacing w:line="240" w:lineRule="auto"/>
              <w:ind w:firstLine="0" w:firstLineChars="0"/>
              <w:jc w:val="center"/>
              <w:rPr>
                <w:rFonts w:hint="eastAsia"/>
                <w:color w:val="auto"/>
                <w:sz w:val="21"/>
              </w:rPr>
            </w:pPr>
            <w:r>
              <w:rPr>
                <w:rFonts w:hint="eastAsia"/>
                <w:color w:val="auto"/>
                <w:sz w:val="21"/>
              </w:rPr>
              <w:t>3</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73308BCD">
            <w:pPr>
              <w:spacing w:line="240" w:lineRule="auto"/>
              <w:ind w:firstLine="0" w:firstLineChars="0"/>
              <w:jc w:val="center"/>
              <w:rPr>
                <w:rFonts w:hint="eastAsia"/>
                <w:color w:val="auto"/>
                <w:sz w:val="21"/>
              </w:rPr>
            </w:pPr>
            <w:r>
              <w:rPr>
                <w:rFonts w:hint="eastAsia"/>
                <w:color w:val="auto"/>
                <w:sz w:val="21"/>
              </w:rPr>
              <w:t>洗涤盆（池）水龙头</w:t>
            </w:r>
          </w:p>
        </w:tc>
        <w:tc>
          <w:tcPr>
            <w:tcW w:w="1000" w:type="pct"/>
            <w:tcBorders>
              <w:top w:val="single" w:color="auto" w:sz="4" w:space="0"/>
              <w:left w:val="single" w:color="auto" w:sz="4" w:space="0"/>
              <w:bottom w:val="single" w:color="auto" w:sz="4" w:space="0"/>
              <w:right w:val="single" w:color="auto" w:sz="4" w:space="0"/>
            </w:tcBorders>
            <w:vAlign w:val="center"/>
          </w:tcPr>
          <w:p w14:paraId="28703461">
            <w:pPr>
              <w:spacing w:line="240" w:lineRule="auto"/>
              <w:ind w:firstLine="0" w:firstLineChars="0"/>
              <w:jc w:val="center"/>
              <w:rPr>
                <w:rFonts w:hint="eastAsia"/>
                <w:color w:val="auto"/>
                <w:sz w:val="21"/>
              </w:rPr>
            </w:pPr>
            <w:r>
              <w:rPr>
                <w:rFonts w:hint="eastAsia"/>
                <w:color w:val="auto"/>
                <w:sz w:val="21"/>
              </w:rPr>
              <w:t>1000</w:t>
            </w:r>
          </w:p>
        </w:tc>
        <w:tc>
          <w:tcPr>
            <w:tcW w:w="999" w:type="pct"/>
            <w:tcBorders>
              <w:top w:val="single" w:color="auto" w:sz="4" w:space="0"/>
              <w:left w:val="single" w:color="auto" w:sz="4" w:space="0"/>
              <w:bottom w:val="single" w:color="auto" w:sz="4" w:space="0"/>
              <w:right w:val="single" w:color="auto" w:sz="4" w:space="0"/>
            </w:tcBorders>
            <w:vAlign w:val="center"/>
          </w:tcPr>
          <w:p w14:paraId="73963F48">
            <w:pPr>
              <w:spacing w:line="240" w:lineRule="auto"/>
              <w:ind w:firstLine="0" w:firstLineChars="0"/>
              <w:jc w:val="center"/>
              <w:rPr>
                <w:rFonts w:hint="eastAsia"/>
                <w:color w:val="auto"/>
                <w:sz w:val="21"/>
              </w:rPr>
            </w:pPr>
            <w:r>
              <w:rPr>
                <w:rFonts w:hint="eastAsia"/>
                <w:color w:val="auto"/>
                <w:sz w:val="21"/>
              </w:rPr>
              <w:t>150</w:t>
            </w:r>
          </w:p>
        </w:tc>
      </w:tr>
      <w:tr w14:paraId="7977D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289D1B19">
            <w:pPr>
              <w:spacing w:line="240" w:lineRule="auto"/>
              <w:ind w:firstLine="0" w:firstLineChars="0"/>
              <w:jc w:val="center"/>
              <w:rPr>
                <w:rFonts w:hint="eastAsia"/>
                <w:color w:val="auto"/>
                <w:sz w:val="21"/>
              </w:rPr>
            </w:pPr>
            <w:r>
              <w:rPr>
                <w:rFonts w:hint="eastAsia"/>
                <w:color w:val="auto"/>
                <w:sz w:val="21"/>
              </w:rPr>
              <w:t>4</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2E2569A5">
            <w:pPr>
              <w:spacing w:line="240" w:lineRule="auto"/>
              <w:ind w:firstLine="0" w:firstLineChars="0"/>
              <w:jc w:val="center"/>
              <w:rPr>
                <w:rFonts w:hint="eastAsia"/>
                <w:color w:val="auto"/>
                <w:sz w:val="21"/>
              </w:rPr>
            </w:pPr>
            <w:r>
              <w:rPr>
                <w:rFonts w:hint="eastAsia"/>
                <w:color w:val="auto"/>
                <w:sz w:val="21"/>
              </w:rPr>
              <w:t>集中给水龙头</w:t>
            </w:r>
          </w:p>
        </w:tc>
        <w:tc>
          <w:tcPr>
            <w:tcW w:w="1000" w:type="pct"/>
            <w:tcBorders>
              <w:top w:val="single" w:color="auto" w:sz="4" w:space="0"/>
              <w:left w:val="single" w:color="auto" w:sz="4" w:space="0"/>
              <w:bottom w:val="single" w:color="auto" w:sz="4" w:space="0"/>
              <w:right w:val="single" w:color="auto" w:sz="4" w:space="0"/>
            </w:tcBorders>
            <w:vAlign w:val="center"/>
          </w:tcPr>
          <w:p w14:paraId="6C52B76E">
            <w:pPr>
              <w:spacing w:line="240" w:lineRule="auto"/>
              <w:ind w:firstLine="0" w:firstLineChars="0"/>
              <w:jc w:val="center"/>
              <w:rPr>
                <w:rFonts w:hint="eastAsia"/>
                <w:color w:val="auto"/>
                <w:sz w:val="21"/>
              </w:rPr>
            </w:pPr>
            <w:r>
              <w:rPr>
                <w:rFonts w:hint="eastAsia"/>
                <w:color w:val="auto"/>
                <w:sz w:val="21"/>
              </w:rPr>
              <w:t>1000</w:t>
            </w:r>
          </w:p>
        </w:tc>
        <w:tc>
          <w:tcPr>
            <w:tcW w:w="999" w:type="pct"/>
            <w:tcBorders>
              <w:top w:val="single" w:color="auto" w:sz="4" w:space="0"/>
              <w:left w:val="single" w:color="auto" w:sz="4" w:space="0"/>
              <w:bottom w:val="single" w:color="auto" w:sz="4" w:space="0"/>
              <w:right w:val="single" w:color="auto" w:sz="4" w:space="0"/>
            </w:tcBorders>
            <w:vAlign w:val="center"/>
          </w:tcPr>
          <w:p w14:paraId="3C53E4A8">
            <w:pPr>
              <w:spacing w:line="240" w:lineRule="auto"/>
              <w:ind w:firstLine="0" w:firstLineChars="0"/>
              <w:jc w:val="center"/>
              <w:rPr>
                <w:rFonts w:hint="eastAsia"/>
                <w:color w:val="auto"/>
                <w:sz w:val="21"/>
              </w:rPr>
            </w:pPr>
            <w:r>
              <w:rPr>
                <w:rFonts w:hint="eastAsia"/>
                <w:color w:val="auto"/>
                <w:sz w:val="21"/>
              </w:rPr>
              <w:t>-</w:t>
            </w:r>
          </w:p>
        </w:tc>
      </w:tr>
      <w:tr w14:paraId="6F3D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05A173DC">
            <w:pPr>
              <w:spacing w:line="240" w:lineRule="auto"/>
              <w:ind w:firstLine="0" w:firstLineChars="0"/>
              <w:jc w:val="center"/>
              <w:rPr>
                <w:rFonts w:hint="eastAsia"/>
                <w:color w:val="auto"/>
                <w:sz w:val="21"/>
              </w:rPr>
            </w:pPr>
            <w:r>
              <w:rPr>
                <w:rFonts w:hint="eastAsia"/>
                <w:color w:val="auto"/>
                <w:sz w:val="21"/>
              </w:rPr>
              <w:t>5</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1DE67D7D">
            <w:pPr>
              <w:spacing w:line="240" w:lineRule="auto"/>
              <w:ind w:firstLine="0" w:firstLineChars="0"/>
              <w:jc w:val="center"/>
              <w:rPr>
                <w:rFonts w:hint="eastAsia"/>
                <w:color w:val="auto"/>
                <w:sz w:val="21"/>
              </w:rPr>
            </w:pPr>
            <w:r>
              <w:rPr>
                <w:rFonts w:hint="eastAsia"/>
                <w:color w:val="auto"/>
                <w:sz w:val="21"/>
              </w:rPr>
              <w:t>洗手盆水龙头</w:t>
            </w:r>
          </w:p>
        </w:tc>
        <w:tc>
          <w:tcPr>
            <w:tcW w:w="1000" w:type="pct"/>
            <w:tcBorders>
              <w:top w:val="single" w:color="auto" w:sz="4" w:space="0"/>
              <w:left w:val="single" w:color="auto" w:sz="4" w:space="0"/>
              <w:bottom w:val="single" w:color="auto" w:sz="4" w:space="0"/>
              <w:right w:val="single" w:color="auto" w:sz="4" w:space="0"/>
            </w:tcBorders>
            <w:vAlign w:val="center"/>
          </w:tcPr>
          <w:p w14:paraId="2E68F196">
            <w:pPr>
              <w:spacing w:line="240" w:lineRule="auto"/>
              <w:ind w:firstLine="0" w:firstLineChars="0"/>
              <w:jc w:val="center"/>
              <w:rPr>
                <w:rFonts w:hint="eastAsia"/>
                <w:color w:val="auto"/>
                <w:sz w:val="21"/>
              </w:rPr>
            </w:pPr>
            <w:r>
              <w:rPr>
                <w:rFonts w:hint="eastAsia"/>
                <w:color w:val="auto"/>
                <w:sz w:val="21"/>
              </w:rPr>
              <w:t>1000</w:t>
            </w:r>
          </w:p>
        </w:tc>
        <w:tc>
          <w:tcPr>
            <w:tcW w:w="999" w:type="pct"/>
            <w:tcBorders>
              <w:top w:val="single" w:color="auto" w:sz="4" w:space="0"/>
              <w:left w:val="single" w:color="auto" w:sz="4" w:space="0"/>
              <w:bottom w:val="single" w:color="auto" w:sz="4" w:space="0"/>
              <w:right w:val="single" w:color="auto" w:sz="4" w:space="0"/>
            </w:tcBorders>
            <w:vAlign w:val="center"/>
          </w:tcPr>
          <w:p w14:paraId="0B08E4C8">
            <w:pPr>
              <w:spacing w:line="240" w:lineRule="auto"/>
              <w:ind w:firstLine="0" w:firstLineChars="0"/>
              <w:jc w:val="center"/>
              <w:rPr>
                <w:rFonts w:hint="eastAsia"/>
                <w:color w:val="auto"/>
                <w:sz w:val="21"/>
              </w:rPr>
            </w:pPr>
            <w:r>
              <w:rPr>
                <w:rFonts w:hint="eastAsia"/>
                <w:color w:val="auto"/>
                <w:sz w:val="21"/>
              </w:rPr>
              <w:t>-</w:t>
            </w:r>
          </w:p>
        </w:tc>
      </w:tr>
      <w:tr w14:paraId="4A25C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vMerge w:val="restart"/>
            <w:tcBorders>
              <w:top w:val="nil"/>
              <w:left w:val="single" w:color="auto" w:sz="4" w:space="0"/>
              <w:bottom w:val="single" w:color="auto" w:sz="4" w:space="0"/>
              <w:right w:val="single" w:color="auto" w:sz="4" w:space="0"/>
            </w:tcBorders>
            <w:vAlign w:val="center"/>
          </w:tcPr>
          <w:p w14:paraId="263B4096">
            <w:pPr>
              <w:spacing w:line="240" w:lineRule="auto"/>
              <w:ind w:firstLine="0" w:firstLineChars="0"/>
              <w:jc w:val="center"/>
              <w:rPr>
                <w:rFonts w:hint="eastAsia"/>
                <w:color w:val="auto"/>
                <w:sz w:val="21"/>
              </w:rPr>
            </w:pPr>
            <w:r>
              <w:rPr>
                <w:rFonts w:hint="eastAsia"/>
                <w:color w:val="auto"/>
                <w:sz w:val="21"/>
              </w:rPr>
              <w:t>6</w:t>
            </w:r>
          </w:p>
        </w:tc>
        <w:tc>
          <w:tcPr>
            <w:tcW w:w="675" w:type="pct"/>
            <w:vMerge w:val="restart"/>
            <w:tcBorders>
              <w:top w:val="nil"/>
              <w:left w:val="single" w:color="auto" w:sz="4" w:space="0"/>
              <w:bottom w:val="single" w:color="auto" w:sz="4" w:space="0"/>
              <w:right w:val="single" w:color="auto" w:sz="4" w:space="0"/>
            </w:tcBorders>
            <w:vAlign w:val="center"/>
          </w:tcPr>
          <w:p w14:paraId="4A2973AA">
            <w:pPr>
              <w:spacing w:line="240" w:lineRule="auto"/>
              <w:ind w:firstLine="0" w:firstLineChars="0"/>
              <w:jc w:val="center"/>
              <w:rPr>
                <w:rFonts w:hint="eastAsia"/>
                <w:color w:val="auto"/>
                <w:sz w:val="21"/>
              </w:rPr>
            </w:pPr>
            <w:r>
              <w:rPr>
                <w:rFonts w:hint="eastAsia"/>
                <w:color w:val="auto"/>
                <w:sz w:val="21"/>
              </w:rPr>
              <w:t>洗脸盆</w:t>
            </w:r>
          </w:p>
        </w:tc>
        <w:tc>
          <w:tcPr>
            <w:tcW w:w="1658" w:type="pct"/>
            <w:tcBorders>
              <w:top w:val="single" w:color="auto" w:sz="4" w:space="0"/>
              <w:left w:val="single" w:color="auto" w:sz="4" w:space="0"/>
              <w:bottom w:val="single" w:color="auto" w:sz="4" w:space="0"/>
              <w:right w:val="single" w:color="auto" w:sz="4" w:space="0"/>
            </w:tcBorders>
            <w:vAlign w:val="center"/>
          </w:tcPr>
          <w:p w14:paraId="33470AF0">
            <w:pPr>
              <w:spacing w:line="240" w:lineRule="auto"/>
              <w:ind w:firstLine="0" w:firstLineChars="0"/>
              <w:jc w:val="center"/>
              <w:rPr>
                <w:rFonts w:hint="eastAsia"/>
                <w:color w:val="auto"/>
                <w:sz w:val="21"/>
              </w:rPr>
            </w:pPr>
            <w:r>
              <w:rPr>
                <w:rFonts w:hint="eastAsia"/>
                <w:color w:val="auto"/>
                <w:sz w:val="21"/>
              </w:rPr>
              <w:t>水龙头（上配水）</w:t>
            </w:r>
          </w:p>
        </w:tc>
        <w:tc>
          <w:tcPr>
            <w:tcW w:w="1000" w:type="pct"/>
            <w:tcBorders>
              <w:top w:val="single" w:color="auto" w:sz="4" w:space="0"/>
              <w:left w:val="single" w:color="auto" w:sz="4" w:space="0"/>
              <w:bottom w:val="single" w:color="auto" w:sz="4" w:space="0"/>
              <w:right w:val="single" w:color="auto" w:sz="4" w:space="0"/>
            </w:tcBorders>
            <w:vAlign w:val="center"/>
          </w:tcPr>
          <w:p w14:paraId="477B6C48">
            <w:pPr>
              <w:spacing w:line="240" w:lineRule="auto"/>
              <w:ind w:firstLine="0" w:firstLineChars="0"/>
              <w:jc w:val="center"/>
              <w:rPr>
                <w:rFonts w:hint="eastAsia"/>
                <w:color w:val="auto"/>
                <w:sz w:val="21"/>
              </w:rPr>
            </w:pPr>
            <w:r>
              <w:rPr>
                <w:rFonts w:hint="eastAsia"/>
                <w:color w:val="auto"/>
                <w:sz w:val="21"/>
              </w:rPr>
              <w:t>1000</w:t>
            </w:r>
          </w:p>
        </w:tc>
        <w:tc>
          <w:tcPr>
            <w:tcW w:w="999" w:type="pct"/>
            <w:tcBorders>
              <w:top w:val="single" w:color="auto" w:sz="4" w:space="0"/>
              <w:left w:val="single" w:color="auto" w:sz="4" w:space="0"/>
              <w:bottom w:val="single" w:color="auto" w:sz="4" w:space="0"/>
              <w:right w:val="single" w:color="auto" w:sz="4" w:space="0"/>
            </w:tcBorders>
            <w:vAlign w:val="center"/>
          </w:tcPr>
          <w:p w14:paraId="64F5F0DA">
            <w:pPr>
              <w:spacing w:line="240" w:lineRule="auto"/>
              <w:ind w:firstLine="0" w:firstLineChars="0"/>
              <w:jc w:val="center"/>
              <w:rPr>
                <w:rFonts w:hint="eastAsia"/>
                <w:color w:val="auto"/>
                <w:sz w:val="21"/>
              </w:rPr>
            </w:pPr>
            <w:r>
              <w:rPr>
                <w:rFonts w:hint="eastAsia"/>
                <w:color w:val="auto"/>
                <w:sz w:val="21"/>
              </w:rPr>
              <w:t>150</w:t>
            </w:r>
          </w:p>
        </w:tc>
      </w:tr>
      <w:tr w14:paraId="5182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764C07D">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5F395134">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34ED10E8">
            <w:pPr>
              <w:spacing w:line="240" w:lineRule="auto"/>
              <w:ind w:firstLine="0" w:firstLineChars="0"/>
              <w:jc w:val="center"/>
              <w:rPr>
                <w:rFonts w:hint="eastAsia"/>
                <w:color w:val="auto"/>
                <w:sz w:val="21"/>
              </w:rPr>
            </w:pPr>
            <w:r>
              <w:rPr>
                <w:rFonts w:hint="eastAsia"/>
                <w:color w:val="auto"/>
                <w:sz w:val="21"/>
              </w:rPr>
              <w:t>水龙头（下配水）</w:t>
            </w:r>
          </w:p>
        </w:tc>
        <w:tc>
          <w:tcPr>
            <w:tcW w:w="1000" w:type="pct"/>
            <w:tcBorders>
              <w:top w:val="single" w:color="auto" w:sz="4" w:space="0"/>
              <w:left w:val="single" w:color="auto" w:sz="4" w:space="0"/>
              <w:bottom w:val="single" w:color="auto" w:sz="4" w:space="0"/>
              <w:right w:val="single" w:color="auto" w:sz="4" w:space="0"/>
            </w:tcBorders>
            <w:vAlign w:val="center"/>
          </w:tcPr>
          <w:p w14:paraId="05AE6608">
            <w:pPr>
              <w:spacing w:line="240" w:lineRule="auto"/>
              <w:ind w:firstLine="0" w:firstLineChars="0"/>
              <w:jc w:val="center"/>
              <w:rPr>
                <w:rFonts w:hint="eastAsia"/>
                <w:color w:val="auto"/>
                <w:sz w:val="21"/>
              </w:rPr>
            </w:pPr>
            <w:r>
              <w:rPr>
                <w:rFonts w:hint="eastAsia"/>
                <w:color w:val="auto"/>
                <w:sz w:val="21"/>
              </w:rPr>
              <w:t>800</w:t>
            </w:r>
          </w:p>
        </w:tc>
        <w:tc>
          <w:tcPr>
            <w:tcW w:w="999" w:type="pct"/>
            <w:tcBorders>
              <w:top w:val="single" w:color="auto" w:sz="4" w:space="0"/>
              <w:left w:val="single" w:color="auto" w:sz="4" w:space="0"/>
              <w:bottom w:val="single" w:color="auto" w:sz="4" w:space="0"/>
              <w:right w:val="single" w:color="auto" w:sz="4" w:space="0"/>
            </w:tcBorders>
            <w:vAlign w:val="center"/>
          </w:tcPr>
          <w:p w14:paraId="0E8CFAE7">
            <w:pPr>
              <w:spacing w:line="240" w:lineRule="auto"/>
              <w:ind w:firstLine="0" w:firstLineChars="0"/>
              <w:jc w:val="center"/>
              <w:rPr>
                <w:rFonts w:hint="eastAsia"/>
                <w:color w:val="auto"/>
                <w:sz w:val="21"/>
              </w:rPr>
            </w:pPr>
            <w:r>
              <w:rPr>
                <w:rFonts w:hint="eastAsia"/>
                <w:color w:val="auto"/>
                <w:sz w:val="21"/>
              </w:rPr>
              <w:t>150</w:t>
            </w:r>
          </w:p>
        </w:tc>
      </w:tr>
      <w:tr w14:paraId="703E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0BF8C44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18FD327">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65A471CE">
            <w:pPr>
              <w:spacing w:line="240" w:lineRule="auto"/>
              <w:ind w:firstLine="0" w:firstLineChars="0"/>
              <w:jc w:val="center"/>
              <w:rPr>
                <w:rFonts w:hint="eastAsia"/>
                <w:color w:val="auto"/>
                <w:sz w:val="21"/>
              </w:rPr>
            </w:pPr>
            <w:r>
              <w:rPr>
                <w:rFonts w:hint="eastAsia"/>
                <w:color w:val="auto"/>
                <w:sz w:val="21"/>
              </w:rPr>
              <w:t>角阀（下配水）</w:t>
            </w:r>
          </w:p>
        </w:tc>
        <w:tc>
          <w:tcPr>
            <w:tcW w:w="1000" w:type="pct"/>
            <w:tcBorders>
              <w:top w:val="single" w:color="auto" w:sz="4" w:space="0"/>
              <w:left w:val="single" w:color="auto" w:sz="4" w:space="0"/>
              <w:bottom w:val="single" w:color="auto" w:sz="4" w:space="0"/>
              <w:right w:val="single" w:color="auto" w:sz="4" w:space="0"/>
            </w:tcBorders>
            <w:vAlign w:val="center"/>
          </w:tcPr>
          <w:p w14:paraId="70AEE897">
            <w:pPr>
              <w:spacing w:line="240" w:lineRule="auto"/>
              <w:ind w:firstLine="0" w:firstLineChars="0"/>
              <w:jc w:val="center"/>
              <w:rPr>
                <w:rFonts w:hint="eastAsia"/>
                <w:color w:val="auto"/>
                <w:sz w:val="21"/>
              </w:rPr>
            </w:pPr>
            <w:r>
              <w:rPr>
                <w:rFonts w:hint="eastAsia"/>
                <w:color w:val="auto"/>
                <w:sz w:val="21"/>
              </w:rPr>
              <w:t>450</w:t>
            </w:r>
          </w:p>
        </w:tc>
        <w:tc>
          <w:tcPr>
            <w:tcW w:w="999" w:type="pct"/>
            <w:tcBorders>
              <w:top w:val="single" w:color="auto" w:sz="4" w:space="0"/>
              <w:left w:val="single" w:color="auto" w:sz="4" w:space="0"/>
              <w:bottom w:val="single" w:color="auto" w:sz="4" w:space="0"/>
              <w:right w:val="single" w:color="auto" w:sz="4" w:space="0"/>
            </w:tcBorders>
            <w:vAlign w:val="center"/>
          </w:tcPr>
          <w:p w14:paraId="011DD342">
            <w:pPr>
              <w:spacing w:line="240" w:lineRule="auto"/>
              <w:ind w:firstLine="0" w:firstLineChars="0"/>
              <w:jc w:val="center"/>
              <w:rPr>
                <w:rFonts w:hint="eastAsia"/>
                <w:color w:val="auto"/>
                <w:sz w:val="21"/>
              </w:rPr>
            </w:pPr>
            <w:r>
              <w:rPr>
                <w:rFonts w:hint="eastAsia"/>
                <w:color w:val="auto"/>
                <w:sz w:val="21"/>
              </w:rPr>
              <w:t>-</w:t>
            </w:r>
          </w:p>
        </w:tc>
      </w:tr>
      <w:tr w14:paraId="44BFE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vMerge w:val="restart"/>
            <w:tcBorders>
              <w:top w:val="nil"/>
              <w:left w:val="single" w:color="auto" w:sz="4" w:space="0"/>
              <w:bottom w:val="single" w:color="auto" w:sz="4" w:space="0"/>
              <w:right w:val="single" w:color="auto" w:sz="4" w:space="0"/>
            </w:tcBorders>
            <w:vAlign w:val="center"/>
          </w:tcPr>
          <w:p w14:paraId="1E873E79">
            <w:pPr>
              <w:spacing w:line="240" w:lineRule="auto"/>
              <w:ind w:firstLine="0" w:firstLineChars="0"/>
              <w:jc w:val="center"/>
              <w:rPr>
                <w:rFonts w:hint="eastAsia"/>
                <w:color w:val="auto"/>
                <w:sz w:val="21"/>
              </w:rPr>
            </w:pPr>
            <w:r>
              <w:rPr>
                <w:rFonts w:hint="eastAsia"/>
                <w:color w:val="auto"/>
                <w:sz w:val="21"/>
              </w:rPr>
              <w:t>7</w:t>
            </w:r>
          </w:p>
        </w:tc>
        <w:tc>
          <w:tcPr>
            <w:tcW w:w="675" w:type="pct"/>
            <w:vMerge w:val="restart"/>
            <w:tcBorders>
              <w:top w:val="nil"/>
              <w:left w:val="single" w:color="auto" w:sz="4" w:space="0"/>
              <w:bottom w:val="single" w:color="auto" w:sz="4" w:space="0"/>
              <w:right w:val="single" w:color="auto" w:sz="4" w:space="0"/>
            </w:tcBorders>
            <w:vAlign w:val="center"/>
          </w:tcPr>
          <w:p w14:paraId="4574616D">
            <w:pPr>
              <w:spacing w:line="240" w:lineRule="auto"/>
              <w:ind w:firstLine="0" w:firstLineChars="0"/>
              <w:jc w:val="center"/>
              <w:rPr>
                <w:rFonts w:hint="eastAsia"/>
                <w:color w:val="auto"/>
                <w:sz w:val="21"/>
              </w:rPr>
            </w:pPr>
            <w:r>
              <w:rPr>
                <w:rFonts w:hint="eastAsia"/>
                <w:color w:val="auto"/>
                <w:sz w:val="21"/>
              </w:rPr>
              <w:t>盥洗槽</w:t>
            </w:r>
          </w:p>
        </w:tc>
        <w:tc>
          <w:tcPr>
            <w:tcW w:w="1658" w:type="pct"/>
            <w:tcBorders>
              <w:top w:val="single" w:color="auto" w:sz="4" w:space="0"/>
              <w:left w:val="single" w:color="auto" w:sz="4" w:space="0"/>
              <w:bottom w:val="single" w:color="auto" w:sz="4" w:space="0"/>
              <w:right w:val="single" w:color="auto" w:sz="4" w:space="0"/>
            </w:tcBorders>
            <w:vAlign w:val="center"/>
          </w:tcPr>
          <w:p w14:paraId="1CCA78A7">
            <w:pPr>
              <w:spacing w:line="240" w:lineRule="auto"/>
              <w:ind w:firstLine="0" w:firstLineChars="0"/>
              <w:jc w:val="center"/>
              <w:rPr>
                <w:rFonts w:hint="eastAsia"/>
                <w:color w:val="auto"/>
                <w:sz w:val="21"/>
              </w:rPr>
            </w:pPr>
            <w:r>
              <w:rPr>
                <w:rFonts w:hint="eastAsia"/>
                <w:color w:val="auto"/>
                <w:sz w:val="21"/>
              </w:rPr>
              <w:t>水龙头</w:t>
            </w:r>
          </w:p>
        </w:tc>
        <w:tc>
          <w:tcPr>
            <w:tcW w:w="1000" w:type="pct"/>
            <w:tcBorders>
              <w:top w:val="single" w:color="auto" w:sz="4" w:space="0"/>
              <w:left w:val="single" w:color="auto" w:sz="4" w:space="0"/>
              <w:bottom w:val="single" w:color="auto" w:sz="4" w:space="0"/>
              <w:right w:val="single" w:color="auto" w:sz="4" w:space="0"/>
            </w:tcBorders>
            <w:vAlign w:val="center"/>
          </w:tcPr>
          <w:p w14:paraId="1E836148">
            <w:pPr>
              <w:spacing w:line="240" w:lineRule="auto"/>
              <w:ind w:firstLine="0" w:firstLineChars="0"/>
              <w:jc w:val="center"/>
              <w:rPr>
                <w:rFonts w:hint="eastAsia"/>
                <w:color w:val="auto"/>
                <w:sz w:val="21"/>
              </w:rPr>
            </w:pPr>
            <w:r>
              <w:rPr>
                <w:rFonts w:hint="eastAsia"/>
                <w:color w:val="auto"/>
                <w:sz w:val="21"/>
              </w:rPr>
              <w:t>1000</w:t>
            </w:r>
          </w:p>
        </w:tc>
        <w:tc>
          <w:tcPr>
            <w:tcW w:w="999" w:type="pct"/>
            <w:tcBorders>
              <w:top w:val="single" w:color="auto" w:sz="4" w:space="0"/>
              <w:left w:val="single" w:color="auto" w:sz="4" w:space="0"/>
              <w:bottom w:val="single" w:color="auto" w:sz="4" w:space="0"/>
              <w:right w:val="single" w:color="auto" w:sz="4" w:space="0"/>
            </w:tcBorders>
            <w:vAlign w:val="center"/>
          </w:tcPr>
          <w:p w14:paraId="3137CCFE">
            <w:pPr>
              <w:spacing w:line="240" w:lineRule="auto"/>
              <w:ind w:firstLine="0" w:firstLineChars="0"/>
              <w:jc w:val="center"/>
              <w:rPr>
                <w:rFonts w:hint="eastAsia"/>
                <w:color w:val="auto"/>
                <w:sz w:val="21"/>
              </w:rPr>
            </w:pPr>
            <w:r>
              <w:rPr>
                <w:rFonts w:hint="eastAsia"/>
                <w:color w:val="auto"/>
                <w:sz w:val="21"/>
              </w:rPr>
              <w:t>150</w:t>
            </w:r>
          </w:p>
        </w:tc>
      </w:tr>
      <w:tr w14:paraId="2F1A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11A10749">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9A13271">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6818F85C">
            <w:pPr>
              <w:spacing w:line="240" w:lineRule="auto"/>
              <w:ind w:firstLine="0" w:firstLineChars="0"/>
              <w:jc w:val="center"/>
              <w:rPr>
                <w:rFonts w:hint="eastAsia"/>
                <w:color w:val="auto"/>
                <w:sz w:val="21"/>
              </w:rPr>
            </w:pPr>
            <w:r>
              <w:rPr>
                <w:rFonts w:hint="eastAsia"/>
                <w:color w:val="auto"/>
                <w:sz w:val="21"/>
              </w:rPr>
              <w:t>冷热水管其中热上下并行水龙头</w:t>
            </w:r>
          </w:p>
        </w:tc>
        <w:tc>
          <w:tcPr>
            <w:tcW w:w="1000" w:type="pct"/>
            <w:tcBorders>
              <w:top w:val="single" w:color="auto" w:sz="4" w:space="0"/>
              <w:left w:val="single" w:color="auto" w:sz="4" w:space="0"/>
              <w:bottom w:val="single" w:color="auto" w:sz="4" w:space="0"/>
              <w:right w:val="single" w:color="auto" w:sz="4" w:space="0"/>
            </w:tcBorders>
            <w:vAlign w:val="center"/>
          </w:tcPr>
          <w:p w14:paraId="20FCBD10">
            <w:pPr>
              <w:spacing w:line="240" w:lineRule="auto"/>
              <w:ind w:firstLine="0" w:firstLineChars="0"/>
              <w:jc w:val="center"/>
              <w:rPr>
                <w:rFonts w:hint="eastAsia"/>
                <w:color w:val="auto"/>
                <w:sz w:val="21"/>
              </w:rPr>
            </w:pPr>
            <w:r>
              <w:rPr>
                <w:rFonts w:hint="eastAsia"/>
                <w:color w:val="auto"/>
                <w:sz w:val="21"/>
              </w:rPr>
              <w:t>1100</w:t>
            </w:r>
          </w:p>
        </w:tc>
        <w:tc>
          <w:tcPr>
            <w:tcW w:w="999" w:type="pct"/>
            <w:tcBorders>
              <w:top w:val="single" w:color="auto" w:sz="4" w:space="0"/>
              <w:left w:val="single" w:color="auto" w:sz="4" w:space="0"/>
              <w:bottom w:val="single" w:color="auto" w:sz="4" w:space="0"/>
              <w:right w:val="single" w:color="auto" w:sz="4" w:space="0"/>
            </w:tcBorders>
            <w:vAlign w:val="center"/>
          </w:tcPr>
          <w:p w14:paraId="1AEDC7E9">
            <w:pPr>
              <w:spacing w:line="240" w:lineRule="auto"/>
              <w:ind w:firstLine="0" w:firstLineChars="0"/>
              <w:jc w:val="center"/>
              <w:rPr>
                <w:rFonts w:hint="eastAsia"/>
                <w:color w:val="auto"/>
                <w:sz w:val="21"/>
              </w:rPr>
            </w:pPr>
            <w:r>
              <w:rPr>
                <w:rFonts w:hint="eastAsia"/>
                <w:color w:val="auto"/>
                <w:sz w:val="21"/>
              </w:rPr>
              <w:t>150</w:t>
            </w:r>
          </w:p>
        </w:tc>
      </w:tr>
      <w:tr w14:paraId="6AFD9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38C9C0C7">
            <w:pPr>
              <w:spacing w:line="240" w:lineRule="auto"/>
              <w:ind w:firstLine="0" w:firstLineChars="0"/>
              <w:jc w:val="center"/>
              <w:rPr>
                <w:rFonts w:hint="eastAsia"/>
                <w:color w:val="auto"/>
                <w:sz w:val="21"/>
              </w:rPr>
            </w:pPr>
            <w:r>
              <w:rPr>
                <w:rFonts w:hint="eastAsia"/>
                <w:color w:val="auto"/>
                <w:sz w:val="21"/>
              </w:rPr>
              <w:t>8</w:t>
            </w:r>
          </w:p>
        </w:tc>
        <w:tc>
          <w:tcPr>
            <w:tcW w:w="675" w:type="pct"/>
            <w:tcBorders>
              <w:top w:val="single" w:color="auto" w:sz="4" w:space="0"/>
              <w:left w:val="single" w:color="auto" w:sz="4" w:space="0"/>
              <w:bottom w:val="single" w:color="auto" w:sz="4" w:space="0"/>
              <w:right w:val="single" w:color="auto" w:sz="4" w:space="0"/>
            </w:tcBorders>
            <w:vAlign w:val="center"/>
          </w:tcPr>
          <w:p w14:paraId="2EF55641">
            <w:pPr>
              <w:spacing w:line="240" w:lineRule="auto"/>
              <w:ind w:firstLine="0" w:firstLineChars="0"/>
              <w:jc w:val="center"/>
              <w:rPr>
                <w:rFonts w:hint="eastAsia"/>
                <w:color w:val="auto"/>
                <w:sz w:val="21"/>
              </w:rPr>
            </w:pPr>
            <w:r>
              <w:rPr>
                <w:rFonts w:hint="eastAsia"/>
                <w:color w:val="auto"/>
                <w:sz w:val="21"/>
              </w:rPr>
              <w:t>浴盆</w:t>
            </w:r>
          </w:p>
        </w:tc>
        <w:tc>
          <w:tcPr>
            <w:tcW w:w="1658" w:type="pct"/>
            <w:tcBorders>
              <w:top w:val="single" w:color="auto" w:sz="4" w:space="0"/>
              <w:left w:val="single" w:color="auto" w:sz="4" w:space="0"/>
              <w:bottom w:val="single" w:color="auto" w:sz="4" w:space="0"/>
              <w:right w:val="single" w:color="auto" w:sz="4" w:space="0"/>
            </w:tcBorders>
            <w:vAlign w:val="center"/>
          </w:tcPr>
          <w:p w14:paraId="14FACBCA">
            <w:pPr>
              <w:spacing w:line="240" w:lineRule="auto"/>
              <w:ind w:firstLine="0" w:firstLineChars="0"/>
              <w:jc w:val="center"/>
              <w:rPr>
                <w:rFonts w:hint="eastAsia"/>
                <w:color w:val="auto"/>
                <w:sz w:val="21"/>
              </w:rPr>
            </w:pPr>
            <w:r>
              <w:rPr>
                <w:rFonts w:hint="eastAsia"/>
                <w:color w:val="auto"/>
                <w:sz w:val="21"/>
              </w:rPr>
              <w:t>水龙头（上配水）</w:t>
            </w:r>
          </w:p>
        </w:tc>
        <w:tc>
          <w:tcPr>
            <w:tcW w:w="1000" w:type="pct"/>
            <w:tcBorders>
              <w:top w:val="single" w:color="auto" w:sz="4" w:space="0"/>
              <w:left w:val="single" w:color="auto" w:sz="4" w:space="0"/>
              <w:bottom w:val="single" w:color="auto" w:sz="4" w:space="0"/>
              <w:right w:val="single" w:color="auto" w:sz="4" w:space="0"/>
            </w:tcBorders>
            <w:vAlign w:val="center"/>
          </w:tcPr>
          <w:p w14:paraId="7468C57E">
            <w:pPr>
              <w:spacing w:line="240" w:lineRule="auto"/>
              <w:ind w:firstLine="0" w:firstLineChars="0"/>
              <w:jc w:val="center"/>
              <w:rPr>
                <w:rFonts w:hint="eastAsia"/>
                <w:color w:val="auto"/>
                <w:sz w:val="21"/>
              </w:rPr>
            </w:pPr>
            <w:r>
              <w:rPr>
                <w:rFonts w:hint="eastAsia"/>
                <w:color w:val="auto"/>
                <w:sz w:val="21"/>
              </w:rPr>
              <w:t>670</w:t>
            </w:r>
          </w:p>
        </w:tc>
        <w:tc>
          <w:tcPr>
            <w:tcW w:w="999" w:type="pct"/>
            <w:tcBorders>
              <w:top w:val="single" w:color="auto" w:sz="4" w:space="0"/>
              <w:left w:val="single" w:color="auto" w:sz="4" w:space="0"/>
              <w:bottom w:val="single" w:color="auto" w:sz="4" w:space="0"/>
              <w:right w:val="single" w:color="auto" w:sz="4" w:space="0"/>
            </w:tcBorders>
            <w:vAlign w:val="center"/>
          </w:tcPr>
          <w:p w14:paraId="726D6D0E">
            <w:pPr>
              <w:spacing w:line="240" w:lineRule="auto"/>
              <w:ind w:firstLine="0" w:firstLineChars="0"/>
              <w:jc w:val="center"/>
              <w:rPr>
                <w:rFonts w:hint="eastAsia"/>
                <w:color w:val="auto"/>
                <w:sz w:val="21"/>
              </w:rPr>
            </w:pPr>
            <w:r>
              <w:rPr>
                <w:rFonts w:hint="eastAsia"/>
                <w:color w:val="auto"/>
                <w:sz w:val="21"/>
              </w:rPr>
              <w:t>150</w:t>
            </w:r>
          </w:p>
        </w:tc>
      </w:tr>
      <w:tr w14:paraId="2F967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vMerge w:val="restart"/>
            <w:tcBorders>
              <w:top w:val="nil"/>
              <w:left w:val="single" w:color="auto" w:sz="4" w:space="0"/>
              <w:bottom w:val="single" w:color="auto" w:sz="4" w:space="0"/>
              <w:right w:val="single" w:color="auto" w:sz="4" w:space="0"/>
            </w:tcBorders>
            <w:vAlign w:val="center"/>
          </w:tcPr>
          <w:p w14:paraId="1E71B7E1">
            <w:pPr>
              <w:spacing w:line="240" w:lineRule="auto"/>
              <w:ind w:firstLine="0" w:firstLineChars="0"/>
              <w:jc w:val="center"/>
              <w:rPr>
                <w:rFonts w:hint="eastAsia"/>
                <w:color w:val="auto"/>
                <w:sz w:val="21"/>
              </w:rPr>
            </w:pPr>
            <w:r>
              <w:rPr>
                <w:rFonts w:hint="eastAsia"/>
                <w:color w:val="auto"/>
                <w:sz w:val="21"/>
              </w:rPr>
              <w:t>9</w:t>
            </w:r>
          </w:p>
        </w:tc>
        <w:tc>
          <w:tcPr>
            <w:tcW w:w="675" w:type="pct"/>
            <w:vMerge w:val="restart"/>
            <w:tcBorders>
              <w:top w:val="nil"/>
              <w:left w:val="single" w:color="auto" w:sz="4" w:space="0"/>
              <w:bottom w:val="single" w:color="auto" w:sz="4" w:space="0"/>
              <w:right w:val="single" w:color="auto" w:sz="4" w:space="0"/>
            </w:tcBorders>
            <w:vAlign w:val="center"/>
          </w:tcPr>
          <w:p w14:paraId="0BA7EA6A">
            <w:pPr>
              <w:spacing w:line="240" w:lineRule="auto"/>
              <w:ind w:firstLine="0" w:firstLineChars="0"/>
              <w:jc w:val="center"/>
              <w:rPr>
                <w:rFonts w:hint="eastAsia"/>
                <w:color w:val="auto"/>
                <w:sz w:val="21"/>
              </w:rPr>
            </w:pPr>
            <w:r>
              <w:rPr>
                <w:rFonts w:hint="eastAsia"/>
                <w:color w:val="auto"/>
                <w:sz w:val="21"/>
              </w:rPr>
              <w:t>淋浴器</w:t>
            </w:r>
          </w:p>
        </w:tc>
        <w:tc>
          <w:tcPr>
            <w:tcW w:w="1658" w:type="pct"/>
            <w:tcBorders>
              <w:top w:val="single" w:color="auto" w:sz="4" w:space="0"/>
              <w:left w:val="single" w:color="auto" w:sz="4" w:space="0"/>
              <w:bottom w:val="single" w:color="auto" w:sz="4" w:space="0"/>
              <w:right w:val="single" w:color="auto" w:sz="4" w:space="0"/>
            </w:tcBorders>
            <w:vAlign w:val="center"/>
          </w:tcPr>
          <w:p w14:paraId="43D89669">
            <w:pPr>
              <w:spacing w:line="240" w:lineRule="auto"/>
              <w:ind w:firstLine="0" w:firstLineChars="0"/>
              <w:jc w:val="center"/>
              <w:rPr>
                <w:rFonts w:hint="eastAsia"/>
                <w:color w:val="auto"/>
                <w:sz w:val="21"/>
              </w:rPr>
            </w:pPr>
            <w:r>
              <w:rPr>
                <w:rFonts w:hint="eastAsia"/>
                <w:color w:val="auto"/>
                <w:sz w:val="21"/>
              </w:rPr>
              <w:t>截止阀</w:t>
            </w:r>
          </w:p>
        </w:tc>
        <w:tc>
          <w:tcPr>
            <w:tcW w:w="1000" w:type="pct"/>
            <w:tcBorders>
              <w:top w:val="single" w:color="auto" w:sz="4" w:space="0"/>
              <w:left w:val="single" w:color="auto" w:sz="4" w:space="0"/>
              <w:bottom w:val="single" w:color="auto" w:sz="4" w:space="0"/>
              <w:right w:val="single" w:color="auto" w:sz="4" w:space="0"/>
            </w:tcBorders>
            <w:vAlign w:val="center"/>
          </w:tcPr>
          <w:p w14:paraId="670F12EF">
            <w:pPr>
              <w:spacing w:line="240" w:lineRule="auto"/>
              <w:ind w:firstLine="0" w:firstLineChars="0"/>
              <w:jc w:val="center"/>
              <w:rPr>
                <w:rFonts w:hint="eastAsia"/>
                <w:color w:val="auto"/>
                <w:sz w:val="21"/>
              </w:rPr>
            </w:pPr>
            <w:r>
              <w:rPr>
                <w:rFonts w:hint="eastAsia"/>
                <w:color w:val="auto"/>
                <w:sz w:val="21"/>
              </w:rPr>
              <w:t>1150</w:t>
            </w:r>
          </w:p>
        </w:tc>
        <w:tc>
          <w:tcPr>
            <w:tcW w:w="999" w:type="pct"/>
            <w:tcBorders>
              <w:top w:val="single" w:color="auto" w:sz="4" w:space="0"/>
              <w:left w:val="single" w:color="auto" w:sz="4" w:space="0"/>
              <w:bottom w:val="single" w:color="auto" w:sz="4" w:space="0"/>
              <w:right w:val="single" w:color="auto" w:sz="4" w:space="0"/>
            </w:tcBorders>
            <w:vAlign w:val="center"/>
          </w:tcPr>
          <w:p w14:paraId="48563E07">
            <w:pPr>
              <w:spacing w:line="240" w:lineRule="auto"/>
              <w:ind w:firstLine="0" w:firstLineChars="0"/>
              <w:jc w:val="center"/>
              <w:rPr>
                <w:rFonts w:hint="eastAsia"/>
                <w:color w:val="auto"/>
                <w:sz w:val="21"/>
              </w:rPr>
            </w:pPr>
            <w:r>
              <w:rPr>
                <w:rFonts w:hint="eastAsia"/>
                <w:color w:val="auto"/>
                <w:sz w:val="21"/>
              </w:rPr>
              <w:t>95</w:t>
            </w:r>
          </w:p>
        </w:tc>
      </w:tr>
      <w:tr w14:paraId="18ED4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B9D1CA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15623C45">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74AEDC9C">
            <w:pPr>
              <w:spacing w:line="240" w:lineRule="auto"/>
              <w:ind w:firstLine="0" w:firstLineChars="0"/>
              <w:jc w:val="center"/>
              <w:rPr>
                <w:rFonts w:hint="eastAsia"/>
                <w:color w:val="auto"/>
                <w:sz w:val="21"/>
              </w:rPr>
            </w:pPr>
            <w:r>
              <w:rPr>
                <w:rFonts w:hint="eastAsia"/>
                <w:color w:val="auto"/>
                <w:sz w:val="21"/>
              </w:rPr>
              <w:t>混合阀</w:t>
            </w:r>
          </w:p>
        </w:tc>
        <w:tc>
          <w:tcPr>
            <w:tcW w:w="1000" w:type="pct"/>
            <w:tcBorders>
              <w:top w:val="single" w:color="auto" w:sz="4" w:space="0"/>
              <w:left w:val="single" w:color="auto" w:sz="4" w:space="0"/>
              <w:bottom w:val="single" w:color="auto" w:sz="4" w:space="0"/>
              <w:right w:val="single" w:color="auto" w:sz="4" w:space="0"/>
            </w:tcBorders>
            <w:vAlign w:val="center"/>
          </w:tcPr>
          <w:p w14:paraId="735239B1">
            <w:pPr>
              <w:spacing w:line="240" w:lineRule="auto"/>
              <w:ind w:firstLine="0" w:firstLineChars="0"/>
              <w:jc w:val="center"/>
              <w:rPr>
                <w:rFonts w:hint="eastAsia"/>
                <w:color w:val="auto"/>
                <w:sz w:val="21"/>
              </w:rPr>
            </w:pPr>
            <w:r>
              <w:rPr>
                <w:rFonts w:hint="eastAsia"/>
                <w:color w:val="auto"/>
                <w:sz w:val="21"/>
              </w:rPr>
              <w:t>1150</w:t>
            </w:r>
          </w:p>
        </w:tc>
        <w:tc>
          <w:tcPr>
            <w:tcW w:w="999" w:type="pct"/>
            <w:tcBorders>
              <w:top w:val="single" w:color="auto" w:sz="4" w:space="0"/>
              <w:left w:val="single" w:color="auto" w:sz="4" w:space="0"/>
              <w:bottom w:val="single" w:color="auto" w:sz="4" w:space="0"/>
              <w:right w:val="single" w:color="auto" w:sz="4" w:space="0"/>
            </w:tcBorders>
            <w:vAlign w:val="center"/>
          </w:tcPr>
          <w:p w14:paraId="347C203B">
            <w:pPr>
              <w:spacing w:line="240" w:lineRule="auto"/>
              <w:ind w:firstLine="0" w:firstLineChars="0"/>
              <w:jc w:val="center"/>
              <w:rPr>
                <w:rFonts w:hint="eastAsia"/>
                <w:color w:val="auto"/>
                <w:sz w:val="21"/>
              </w:rPr>
            </w:pPr>
            <w:r>
              <w:rPr>
                <w:rFonts w:hint="eastAsia"/>
                <w:color w:val="auto"/>
                <w:sz w:val="21"/>
              </w:rPr>
              <w:t>-</w:t>
            </w:r>
          </w:p>
        </w:tc>
      </w:tr>
      <w:tr w14:paraId="28C8B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170D1D4">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02E8D34">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54EBDFE7">
            <w:pPr>
              <w:spacing w:line="240" w:lineRule="auto"/>
              <w:ind w:firstLine="0" w:firstLineChars="0"/>
              <w:jc w:val="center"/>
              <w:rPr>
                <w:rFonts w:hint="eastAsia"/>
                <w:color w:val="auto"/>
                <w:sz w:val="21"/>
              </w:rPr>
            </w:pPr>
            <w:r>
              <w:rPr>
                <w:rFonts w:hint="eastAsia"/>
                <w:color w:val="auto"/>
                <w:sz w:val="21"/>
              </w:rPr>
              <w:t>淋浴喷头下沿</w:t>
            </w:r>
          </w:p>
        </w:tc>
        <w:tc>
          <w:tcPr>
            <w:tcW w:w="1000" w:type="pct"/>
            <w:tcBorders>
              <w:top w:val="single" w:color="auto" w:sz="4" w:space="0"/>
              <w:left w:val="single" w:color="auto" w:sz="4" w:space="0"/>
              <w:bottom w:val="single" w:color="auto" w:sz="4" w:space="0"/>
              <w:right w:val="single" w:color="auto" w:sz="4" w:space="0"/>
            </w:tcBorders>
            <w:vAlign w:val="center"/>
          </w:tcPr>
          <w:p w14:paraId="77F97CDA">
            <w:pPr>
              <w:spacing w:line="240" w:lineRule="auto"/>
              <w:ind w:firstLine="0" w:firstLineChars="0"/>
              <w:jc w:val="center"/>
              <w:rPr>
                <w:rFonts w:hint="eastAsia"/>
                <w:color w:val="auto"/>
                <w:sz w:val="21"/>
              </w:rPr>
            </w:pPr>
            <w:r>
              <w:rPr>
                <w:rFonts w:hint="eastAsia"/>
                <w:color w:val="auto"/>
                <w:sz w:val="21"/>
              </w:rPr>
              <w:t>2100</w:t>
            </w:r>
          </w:p>
        </w:tc>
        <w:tc>
          <w:tcPr>
            <w:tcW w:w="999" w:type="pct"/>
            <w:tcBorders>
              <w:top w:val="single" w:color="auto" w:sz="4" w:space="0"/>
              <w:left w:val="single" w:color="auto" w:sz="4" w:space="0"/>
              <w:bottom w:val="single" w:color="auto" w:sz="4" w:space="0"/>
              <w:right w:val="single" w:color="auto" w:sz="4" w:space="0"/>
            </w:tcBorders>
            <w:vAlign w:val="center"/>
          </w:tcPr>
          <w:p w14:paraId="3937B287">
            <w:pPr>
              <w:spacing w:line="240" w:lineRule="auto"/>
              <w:ind w:firstLine="0" w:firstLineChars="0"/>
              <w:jc w:val="center"/>
              <w:rPr>
                <w:rFonts w:hint="eastAsia"/>
                <w:color w:val="auto"/>
                <w:sz w:val="21"/>
              </w:rPr>
            </w:pPr>
            <w:r>
              <w:rPr>
                <w:rFonts w:hint="eastAsia"/>
                <w:color w:val="auto"/>
                <w:sz w:val="21"/>
              </w:rPr>
              <w:t>-</w:t>
            </w:r>
          </w:p>
        </w:tc>
      </w:tr>
      <w:tr w14:paraId="2D494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vMerge w:val="restart"/>
            <w:tcBorders>
              <w:top w:val="nil"/>
              <w:left w:val="single" w:color="auto" w:sz="4" w:space="0"/>
              <w:bottom w:val="single" w:color="auto" w:sz="4" w:space="0"/>
              <w:right w:val="single" w:color="auto" w:sz="4" w:space="0"/>
            </w:tcBorders>
            <w:vAlign w:val="center"/>
          </w:tcPr>
          <w:p w14:paraId="3838B6CF">
            <w:pPr>
              <w:spacing w:line="240" w:lineRule="auto"/>
              <w:ind w:firstLine="0" w:firstLineChars="0"/>
              <w:jc w:val="center"/>
              <w:rPr>
                <w:rFonts w:hint="eastAsia"/>
                <w:color w:val="auto"/>
                <w:sz w:val="21"/>
              </w:rPr>
            </w:pPr>
            <w:r>
              <w:rPr>
                <w:rFonts w:hint="eastAsia"/>
                <w:color w:val="auto"/>
                <w:sz w:val="21"/>
              </w:rPr>
              <w:t>10</w:t>
            </w:r>
          </w:p>
        </w:tc>
        <w:tc>
          <w:tcPr>
            <w:tcW w:w="675" w:type="pct"/>
            <w:vMerge w:val="restart"/>
            <w:tcBorders>
              <w:top w:val="nil"/>
              <w:left w:val="single" w:color="auto" w:sz="4" w:space="0"/>
              <w:bottom w:val="single" w:color="auto" w:sz="4" w:space="0"/>
              <w:right w:val="single" w:color="auto" w:sz="4" w:space="0"/>
            </w:tcBorders>
            <w:vAlign w:val="center"/>
          </w:tcPr>
          <w:p w14:paraId="72C9F731">
            <w:pPr>
              <w:spacing w:line="240" w:lineRule="auto"/>
              <w:ind w:firstLine="0" w:firstLineChars="0"/>
              <w:jc w:val="center"/>
              <w:rPr>
                <w:rFonts w:hint="eastAsia"/>
                <w:color w:val="auto"/>
                <w:sz w:val="21"/>
              </w:rPr>
            </w:pPr>
            <w:r>
              <w:rPr>
                <w:rFonts w:hint="eastAsia"/>
                <w:color w:val="auto"/>
                <w:sz w:val="21"/>
              </w:rPr>
              <w:t>蹲式大便器（台阶面算起）</w:t>
            </w:r>
          </w:p>
        </w:tc>
        <w:tc>
          <w:tcPr>
            <w:tcW w:w="1658" w:type="pct"/>
            <w:tcBorders>
              <w:top w:val="single" w:color="auto" w:sz="4" w:space="0"/>
              <w:left w:val="single" w:color="auto" w:sz="4" w:space="0"/>
              <w:bottom w:val="single" w:color="auto" w:sz="4" w:space="0"/>
              <w:right w:val="single" w:color="auto" w:sz="4" w:space="0"/>
            </w:tcBorders>
            <w:vAlign w:val="center"/>
          </w:tcPr>
          <w:p w14:paraId="491D0464">
            <w:pPr>
              <w:spacing w:line="240" w:lineRule="auto"/>
              <w:ind w:firstLine="0" w:firstLineChars="0"/>
              <w:jc w:val="center"/>
              <w:rPr>
                <w:rFonts w:hint="eastAsia"/>
                <w:color w:val="auto"/>
                <w:sz w:val="21"/>
              </w:rPr>
            </w:pPr>
            <w:r>
              <w:rPr>
                <w:rFonts w:hint="eastAsia"/>
                <w:color w:val="auto"/>
                <w:sz w:val="21"/>
              </w:rPr>
              <w:t>高水箱角阀及截止阀</w:t>
            </w:r>
          </w:p>
        </w:tc>
        <w:tc>
          <w:tcPr>
            <w:tcW w:w="1000" w:type="pct"/>
            <w:tcBorders>
              <w:top w:val="single" w:color="auto" w:sz="4" w:space="0"/>
              <w:left w:val="single" w:color="auto" w:sz="4" w:space="0"/>
              <w:bottom w:val="single" w:color="auto" w:sz="4" w:space="0"/>
              <w:right w:val="single" w:color="auto" w:sz="4" w:space="0"/>
            </w:tcBorders>
            <w:vAlign w:val="center"/>
          </w:tcPr>
          <w:p w14:paraId="793E5840">
            <w:pPr>
              <w:spacing w:line="240" w:lineRule="auto"/>
              <w:ind w:firstLine="0" w:firstLineChars="0"/>
              <w:jc w:val="center"/>
              <w:rPr>
                <w:rFonts w:hint="eastAsia"/>
                <w:color w:val="auto"/>
                <w:sz w:val="21"/>
              </w:rPr>
            </w:pPr>
            <w:r>
              <w:rPr>
                <w:rFonts w:hint="eastAsia"/>
                <w:color w:val="auto"/>
                <w:sz w:val="21"/>
              </w:rPr>
              <w:t>2040</w:t>
            </w:r>
          </w:p>
        </w:tc>
        <w:tc>
          <w:tcPr>
            <w:tcW w:w="999" w:type="pct"/>
            <w:tcBorders>
              <w:top w:val="single" w:color="auto" w:sz="4" w:space="0"/>
              <w:left w:val="single" w:color="auto" w:sz="4" w:space="0"/>
              <w:bottom w:val="single" w:color="auto" w:sz="4" w:space="0"/>
              <w:right w:val="single" w:color="auto" w:sz="4" w:space="0"/>
            </w:tcBorders>
            <w:vAlign w:val="center"/>
          </w:tcPr>
          <w:p w14:paraId="67CC8CFA">
            <w:pPr>
              <w:spacing w:line="240" w:lineRule="auto"/>
              <w:ind w:firstLine="0" w:firstLineChars="0"/>
              <w:jc w:val="center"/>
              <w:rPr>
                <w:rFonts w:hint="eastAsia"/>
                <w:color w:val="auto"/>
                <w:sz w:val="21"/>
              </w:rPr>
            </w:pPr>
            <w:r>
              <w:rPr>
                <w:rFonts w:hint="eastAsia"/>
                <w:color w:val="auto"/>
                <w:sz w:val="21"/>
              </w:rPr>
              <w:t>-</w:t>
            </w:r>
          </w:p>
        </w:tc>
      </w:tr>
      <w:tr w14:paraId="186D4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FD7EC4C">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99125F5">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6069F5B4">
            <w:pPr>
              <w:spacing w:line="240" w:lineRule="auto"/>
              <w:ind w:firstLine="0" w:firstLineChars="0"/>
              <w:jc w:val="center"/>
              <w:rPr>
                <w:rFonts w:hint="eastAsia"/>
                <w:color w:val="auto"/>
                <w:sz w:val="21"/>
              </w:rPr>
            </w:pPr>
            <w:r>
              <w:rPr>
                <w:rFonts w:hint="eastAsia"/>
                <w:color w:val="auto"/>
                <w:sz w:val="21"/>
              </w:rPr>
              <w:t>低水箱角阀</w:t>
            </w:r>
          </w:p>
        </w:tc>
        <w:tc>
          <w:tcPr>
            <w:tcW w:w="1000" w:type="pct"/>
            <w:tcBorders>
              <w:top w:val="single" w:color="auto" w:sz="4" w:space="0"/>
              <w:left w:val="single" w:color="auto" w:sz="4" w:space="0"/>
              <w:bottom w:val="single" w:color="auto" w:sz="4" w:space="0"/>
              <w:right w:val="single" w:color="auto" w:sz="4" w:space="0"/>
            </w:tcBorders>
            <w:vAlign w:val="center"/>
          </w:tcPr>
          <w:p w14:paraId="5C03E217">
            <w:pPr>
              <w:spacing w:line="240" w:lineRule="auto"/>
              <w:ind w:firstLine="0" w:firstLineChars="0"/>
              <w:jc w:val="center"/>
              <w:rPr>
                <w:rFonts w:hint="eastAsia"/>
                <w:color w:val="auto"/>
                <w:sz w:val="21"/>
              </w:rPr>
            </w:pPr>
            <w:r>
              <w:rPr>
                <w:rFonts w:hint="eastAsia"/>
                <w:color w:val="auto"/>
                <w:sz w:val="21"/>
              </w:rPr>
              <w:t>250</w:t>
            </w:r>
          </w:p>
        </w:tc>
        <w:tc>
          <w:tcPr>
            <w:tcW w:w="999" w:type="pct"/>
            <w:tcBorders>
              <w:top w:val="single" w:color="auto" w:sz="4" w:space="0"/>
              <w:left w:val="single" w:color="auto" w:sz="4" w:space="0"/>
              <w:bottom w:val="single" w:color="auto" w:sz="4" w:space="0"/>
              <w:right w:val="single" w:color="auto" w:sz="4" w:space="0"/>
            </w:tcBorders>
            <w:vAlign w:val="center"/>
          </w:tcPr>
          <w:p w14:paraId="1C05752F">
            <w:pPr>
              <w:spacing w:line="240" w:lineRule="auto"/>
              <w:ind w:firstLine="0" w:firstLineChars="0"/>
              <w:jc w:val="center"/>
              <w:rPr>
                <w:rFonts w:hint="eastAsia"/>
                <w:color w:val="auto"/>
                <w:sz w:val="21"/>
              </w:rPr>
            </w:pPr>
            <w:r>
              <w:rPr>
                <w:rFonts w:hint="eastAsia"/>
                <w:color w:val="auto"/>
                <w:sz w:val="21"/>
              </w:rPr>
              <w:t>-</w:t>
            </w:r>
          </w:p>
        </w:tc>
      </w:tr>
      <w:tr w14:paraId="102A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2D56E44">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0F3F321">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69C31D51">
            <w:pPr>
              <w:spacing w:line="240" w:lineRule="auto"/>
              <w:ind w:firstLine="0" w:firstLineChars="0"/>
              <w:jc w:val="center"/>
              <w:rPr>
                <w:rFonts w:hint="eastAsia"/>
                <w:color w:val="auto"/>
                <w:sz w:val="21"/>
              </w:rPr>
            </w:pPr>
            <w:r>
              <w:rPr>
                <w:rFonts w:hint="eastAsia"/>
                <w:color w:val="auto"/>
                <w:sz w:val="21"/>
              </w:rPr>
              <w:t>手动式自闭冲洗阀</w:t>
            </w:r>
          </w:p>
        </w:tc>
        <w:tc>
          <w:tcPr>
            <w:tcW w:w="1000" w:type="pct"/>
            <w:tcBorders>
              <w:top w:val="single" w:color="auto" w:sz="4" w:space="0"/>
              <w:left w:val="single" w:color="auto" w:sz="4" w:space="0"/>
              <w:bottom w:val="single" w:color="auto" w:sz="4" w:space="0"/>
              <w:right w:val="single" w:color="auto" w:sz="4" w:space="0"/>
            </w:tcBorders>
            <w:vAlign w:val="center"/>
          </w:tcPr>
          <w:p w14:paraId="7D488E94">
            <w:pPr>
              <w:spacing w:line="240" w:lineRule="auto"/>
              <w:ind w:firstLine="0" w:firstLineChars="0"/>
              <w:jc w:val="center"/>
              <w:rPr>
                <w:rFonts w:hint="eastAsia"/>
                <w:color w:val="auto"/>
                <w:sz w:val="21"/>
              </w:rPr>
            </w:pPr>
            <w:r>
              <w:rPr>
                <w:rFonts w:hint="eastAsia"/>
                <w:color w:val="auto"/>
                <w:sz w:val="21"/>
              </w:rPr>
              <w:t>600</w:t>
            </w:r>
          </w:p>
        </w:tc>
        <w:tc>
          <w:tcPr>
            <w:tcW w:w="999" w:type="pct"/>
            <w:tcBorders>
              <w:top w:val="single" w:color="auto" w:sz="4" w:space="0"/>
              <w:left w:val="single" w:color="auto" w:sz="4" w:space="0"/>
              <w:bottom w:val="single" w:color="auto" w:sz="4" w:space="0"/>
              <w:right w:val="single" w:color="auto" w:sz="4" w:space="0"/>
            </w:tcBorders>
            <w:vAlign w:val="center"/>
          </w:tcPr>
          <w:p w14:paraId="6392C205">
            <w:pPr>
              <w:spacing w:line="240" w:lineRule="auto"/>
              <w:ind w:firstLine="0" w:firstLineChars="0"/>
              <w:jc w:val="center"/>
              <w:rPr>
                <w:rFonts w:hint="eastAsia"/>
                <w:color w:val="auto"/>
                <w:sz w:val="21"/>
              </w:rPr>
            </w:pPr>
            <w:r>
              <w:rPr>
                <w:rFonts w:hint="eastAsia"/>
                <w:color w:val="auto"/>
                <w:sz w:val="21"/>
              </w:rPr>
              <w:t>-</w:t>
            </w:r>
          </w:p>
        </w:tc>
      </w:tr>
      <w:tr w14:paraId="5EF0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9A2A14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F131410">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09F584C7">
            <w:pPr>
              <w:spacing w:line="240" w:lineRule="auto"/>
              <w:ind w:firstLine="0" w:firstLineChars="0"/>
              <w:jc w:val="center"/>
              <w:rPr>
                <w:rFonts w:hint="eastAsia"/>
                <w:color w:val="auto"/>
                <w:sz w:val="21"/>
              </w:rPr>
            </w:pPr>
            <w:r>
              <w:rPr>
                <w:rFonts w:hint="eastAsia"/>
                <w:color w:val="auto"/>
                <w:sz w:val="21"/>
              </w:rPr>
              <w:t>脚踏式自闭冲洗阀</w:t>
            </w:r>
          </w:p>
        </w:tc>
        <w:tc>
          <w:tcPr>
            <w:tcW w:w="1000" w:type="pct"/>
            <w:tcBorders>
              <w:top w:val="single" w:color="auto" w:sz="4" w:space="0"/>
              <w:left w:val="single" w:color="auto" w:sz="4" w:space="0"/>
              <w:bottom w:val="single" w:color="auto" w:sz="4" w:space="0"/>
              <w:right w:val="single" w:color="auto" w:sz="4" w:space="0"/>
            </w:tcBorders>
            <w:vAlign w:val="center"/>
          </w:tcPr>
          <w:p w14:paraId="2AF38D67">
            <w:pPr>
              <w:spacing w:line="240" w:lineRule="auto"/>
              <w:ind w:firstLine="0" w:firstLineChars="0"/>
              <w:jc w:val="center"/>
              <w:rPr>
                <w:rFonts w:hint="eastAsia"/>
                <w:color w:val="auto"/>
                <w:sz w:val="21"/>
              </w:rPr>
            </w:pPr>
            <w:r>
              <w:rPr>
                <w:rFonts w:hint="eastAsia"/>
                <w:color w:val="auto"/>
                <w:sz w:val="21"/>
              </w:rPr>
              <w:t>150</w:t>
            </w:r>
          </w:p>
        </w:tc>
        <w:tc>
          <w:tcPr>
            <w:tcW w:w="999" w:type="pct"/>
            <w:tcBorders>
              <w:top w:val="single" w:color="auto" w:sz="4" w:space="0"/>
              <w:left w:val="single" w:color="auto" w:sz="4" w:space="0"/>
              <w:bottom w:val="single" w:color="auto" w:sz="4" w:space="0"/>
              <w:right w:val="single" w:color="auto" w:sz="4" w:space="0"/>
            </w:tcBorders>
            <w:vAlign w:val="center"/>
          </w:tcPr>
          <w:p w14:paraId="5C846A5A">
            <w:pPr>
              <w:spacing w:line="240" w:lineRule="auto"/>
              <w:ind w:firstLine="0" w:firstLineChars="0"/>
              <w:jc w:val="center"/>
              <w:rPr>
                <w:rFonts w:hint="eastAsia"/>
                <w:color w:val="auto"/>
                <w:sz w:val="21"/>
              </w:rPr>
            </w:pPr>
            <w:r>
              <w:rPr>
                <w:rFonts w:hint="eastAsia"/>
                <w:color w:val="auto"/>
                <w:sz w:val="21"/>
              </w:rPr>
              <w:t>-</w:t>
            </w:r>
          </w:p>
        </w:tc>
      </w:tr>
      <w:tr w14:paraId="02EB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D89999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2D56636">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4FBED5DF">
            <w:pPr>
              <w:spacing w:line="240" w:lineRule="auto"/>
              <w:ind w:firstLine="0" w:firstLineChars="0"/>
              <w:jc w:val="center"/>
              <w:rPr>
                <w:rFonts w:hint="eastAsia"/>
                <w:color w:val="auto"/>
                <w:sz w:val="21"/>
              </w:rPr>
            </w:pPr>
            <w:r>
              <w:rPr>
                <w:rFonts w:hint="eastAsia"/>
                <w:color w:val="auto"/>
                <w:sz w:val="21"/>
              </w:rPr>
              <w:t>拉管式冲洗阀（从地面算起）</w:t>
            </w:r>
          </w:p>
        </w:tc>
        <w:tc>
          <w:tcPr>
            <w:tcW w:w="1000" w:type="pct"/>
            <w:tcBorders>
              <w:top w:val="single" w:color="auto" w:sz="4" w:space="0"/>
              <w:left w:val="single" w:color="auto" w:sz="4" w:space="0"/>
              <w:bottom w:val="single" w:color="auto" w:sz="4" w:space="0"/>
              <w:right w:val="single" w:color="auto" w:sz="4" w:space="0"/>
            </w:tcBorders>
            <w:vAlign w:val="center"/>
          </w:tcPr>
          <w:p w14:paraId="671FA4F4">
            <w:pPr>
              <w:spacing w:line="240" w:lineRule="auto"/>
              <w:ind w:firstLine="0" w:firstLineChars="0"/>
              <w:jc w:val="center"/>
              <w:rPr>
                <w:rFonts w:hint="eastAsia"/>
                <w:color w:val="auto"/>
                <w:sz w:val="21"/>
              </w:rPr>
            </w:pPr>
            <w:r>
              <w:rPr>
                <w:rFonts w:hint="eastAsia"/>
                <w:color w:val="auto"/>
                <w:sz w:val="21"/>
              </w:rPr>
              <w:t>1600</w:t>
            </w:r>
          </w:p>
        </w:tc>
        <w:tc>
          <w:tcPr>
            <w:tcW w:w="999" w:type="pct"/>
            <w:tcBorders>
              <w:top w:val="single" w:color="auto" w:sz="4" w:space="0"/>
              <w:left w:val="single" w:color="auto" w:sz="4" w:space="0"/>
              <w:bottom w:val="single" w:color="auto" w:sz="4" w:space="0"/>
              <w:right w:val="single" w:color="auto" w:sz="4" w:space="0"/>
            </w:tcBorders>
            <w:vAlign w:val="center"/>
          </w:tcPr>
          <w:p w14:paraId="4408066C">
            <w:pPr>
              <w:spacing w:line="240" w:lineRule="auto"/>
              <w:ind w:firstLine="0" w:firstLineChars="0"/>
              <w:jc w:val="center"/>
              <w:rPr>
                <w:rFonts w:hint="eastAsia"/>
                <w:color w:val="auto"/>
                <w:sz w:val="21"/>
              </w:rPr>
            </w:pPr>
            <w:r>
              <w:rPr>
                <w:rFonts w:hint="eastAsia"/>
                <w:color w:val="auto"/>
                <w:sz w:val="21"/>
              </w:rPr>
              <w:t>-</w:t>
            </w:r>
          </w:p>
        </w:tc>
      </w:tr>
      <w:tr w14:paraId="5FA1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14E902DC">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A1F817F">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35B7D23C">
            <w:pPr>
              <w:spacing w:line="240" w:lineRule="auto"/>
              <w:ind w:firstLine="0" w:firstLineChars="0"/>
              <w:jc w:val="center"/>
              <w:rPr>
                <w:rFonts w:hint="eastAsia"/>
                <w:color w:val="auto"/>
                <w:sz w:val="21"/>
              </w:rPr>
            </w:pPr>
            <w:r>
              <w:rPr>
                <w:rFonts w:hint="eastAsia"/>
                <w:color w:val="auto"/>
                <w:sz w:val="21"/>
              </w:rPr>
              <w:t>带防污助冲器阀门（从地面算起）</w:t>
            </w:r>
          </w:p>
        </w:tc>
        <w:tc>
          <w:tcPr>
            <w:tcW w:w="1000" w:type="pct"/>
            <w:tcBorders>
              <w:top w:val="single" w:color="auto" w:sz="4" w:space="0"/>
              <w:left w:val="single" w:color="auto" w:sz="4" w:space="0"/>
              <w:bottom w:val="single" w:color="auto" w:sz="4" w:space="0"/>
              <w:right w:val="single" w:color="auto" w:sz="4" w:space="0"/>
            </w:tcBorders>
            <w:vAlign w:val="center"/>
          </w:tcPr>
          <w:p w14:paraId="68090D41">
            <w:pPr>
              <w:spacing w:line="240" w:lineRule="auto"/>
              <w:ind w:firstLine="0" w:firstLineChars="0"/>
              <w:jc w:val="center"/>
              <w:rPr>
                <w:rFonts w:hint="eastAsia"/>
                <w:color w:val="auto"/>
                <w:sz w:val="21"/>
              </w:rPr>
            </w:pPr>
            <w:r>
              <w:rPr>
                <w:rFonts w:hint="eastAsia"/>
                <w:color w:val="auto"/>
                <w:sz w:val="21"/>
              </w:rPr>
              <w:t>900</w:t>
            </w:r>
          </w:p>
        </w:tc>
        <w:tc>
          <w:tcPr>
            <w:tcW w:w="999" w:type="pct"/>
            <w:tcBorders>
              <w:top w:val="single" w:color="auto" w:sz="4" w:space="0"/>
              <w:left w:val="single" w:color="auto" w:sz="4" w:space="0"/>
              <w:bottom w:val="single" w:color="auto" w:sz="4" w:space="0"/>
              <w:right w:val="single" w:color="auto" w:sz="4" w:space="0"/>
            </w:tcBorders>
            <w:vAlign w:val="center"/>
          </w:tcPr>
          <w:p w14:paraId="3E4E5F10">
            <w:pPr>
              <w:spacing w:line="240" w:lineRule="auto"/>
              <w:ind w:firstLine="0" w:firstLineChars="0"/>
              <w:jc w:val="center"/>
              <w:rPr>
                <w:rFonts w:hint="eastAsia"/>
                <w:color w:val="auto"/>
                <w:sz w:val="21"/>
              </w:rPr>
            </w:pPr>
            <w:r>
              <w:rPr>
                <w:rFonts w:hint="eastAsia"/>
                <w:color w:val="auto"/>
                <w:sz w:val="21"/>
              </w:rPr>
              <w:t>-</w:t>
            </w:r>
          </w:p>
        </w:tc>
      </w:tr>
      <w:tr w14:paraId="78AE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vMerge w:val="restart"/>
            <w:tcBorders>
              <w:top w:val="nil"/>
              <w:left w:val="single" w:color="auto" w:sz="4" w:space="0"/>
              <w:bottom w:val="single" w:color="auto" w:sz="4" w:space="0"/>
              <w:right w:val="single" w:color="auto" w:sz="4" w:space="0"/>
            </w:tcBorders>
            <w:vAlign w:val="center"/>
          </w:tcPr>
          <w:p w14:paraId="5CE604A1">
            <w:pPr>
              <w:spacing w:line="240" w:lineRule="auto"/>
              <w:ind w:firstLine="0" w:firstLineChars="0"/>
              <w:jc w:val="center"/>
              <w:rPr>
                <w:rFonts w:hint="eastAsia"/>
                <w:color w:val="auto"/>
                <w:sz w:val="21"/>
              </w:rPr>
            </w:pPr>
            <w:r>
              <w:rPr>
                <w:rFonts w:hint="eastAsia"/>
                <w:color w:val="auto"/>
                <w:sz w:val="21"/>
              </w:rPr>
              <w:t>11</w:t>
            </w:r>
          </w:p>
        </w:tc>
        <w:tc>
          <w:tcPr>
            <w:tcW w:w="675" w:type="pct"/>
            <w:vMerge w:val="restart"/>
            <w:tcBorders>
              <w:top w:val="nil"/>
              <w:left w:val="single" w:color="auto" w:sz="4" w:space="0"/>
              <w:bottom w:val="single" w:color="auto" w:sz="4" w:space="0"/>
              <w:right w:val="single" w:color="auto" w:sz="4" w:space="0"/>
            </w:tcBorders>
            <w:vAlign w:val="center"/>
          </w:tcPr>
          <w:p w14:paraId="7F4C8567">
            <w:pPr>
              <w:spacing w:line="240" w:lineRule="auto"/>
              <w:ind w:firstLine="0" w:firstLineChars="0"/>
              <w:jc w:val="center"/>
              <w:rPr>
                <w:rFonts w:hint="eastAsia"/>
                <w:color w:val="auto"/>
                <w:sz w:val="21"/>
              </w:rPr>
            </w:pPr>
            <w:r>
              <w:rPr>
                <w:rFonts w:hint="eastAsia"/>
                <w:color w:val="auto"/>
                <w:sz w:val="21"/>
              </w:rPr>
              <w:t>坐式大便器</w:t>
            </w:r>
          </w:p>
        </w:tc>
        <w:tc>
          <w:tcPr>
            <w:tcW w:w="1658" w:type="pct"/>
            <w:tcBorders>
              <w:top w:val="single" w:color="auto" w:sz="4" w:space="0"/>
              <w:left w:val="single" w:color="auto" w:sz="4" w:space="0"/>
              <w:bottom w:val="single" w:color="auto" w:sz="4" w:space="0"/>
              <w:right w:val="single" w:color="auto" w:sz="4" w:space="0"/>
            </w:tcBorders>
            <w:vAlign w:val="center"/>
          </w:tcPr>
          <w:p w14:paraId="35A6B65B">
            <w:pPr>
              <w:spacing w:line="240" w:lineRule="auto"/>
              <w:ind w:firstLine="0" w:firstLineChars="0"/>
              <w:jc w:val="center"/>
              <w:rPr>
                <w:rFonts w:hint="eastAsia"/>
                <w:color w:val="auto"/>
                <w:sz w:val="21"/>
              </w:rPr>
            </w:pPr>
            <w:r>
              <w:rPr>
                <w:rFonts w:hint="eastAsia"/>
                <w:color w:val="auto"/>
                <w:sz w:val="21"/>
              </w:rPr>
              <w:t>高水箱角阀及截止阀</w:t>
            </w:r>
          </w:p>
        </w:tc>
        <w:tc>
          <w:tcPr>
            <w:tcW w:w="1000" w:type="pct"/>
            <w:tcBorders>
              <w:top w:val="single" w:color="auto" w:sz="4" w:space="0"/>
              <w:left w:val="single" w:color="auto" w:sz="4" w:space="0"/>
              <w:bottom w:val="single" w:color="auto" w:sz="4" w:space="0"/>
              <w:right w:val="single" w:color="auto" w:sz="4" w:space="0"/>
            </w:tcBorders>
            <w:vAlign w:val="center"/>
          </w:tcPr>
          <w:p w14:paraId="57AE974D">
            <w:pPr>
              <w:spacing w:line="240" w:lineRule="auto"/>
              <w:ind w:firstLine="0" w:firstLineChars="0"/>
              <w:jc w:val="center"/>
              <w:rPr>
                <w:rFonts w:hint="eastAsia"/>
                <w:color w:val="auto"/>
                <w:sz w:val="21"/>
              </w:rPr>
            </w:pPr>
            <w:r>
              <w:rPr>
                <w:rFonts w:hint="eastAsia"/>
                <w:color w:val="auto"/>
                <w:sz w:val="21"/>
              </w:rPr>
              <w:t>2040</w:t>
            </w:r>
          </w:p>
        </w:tc>
        <w:tc>
          <w:tcPr>
            <w:tcW w:w="999" w:type="pct"/>
            <w:tcBorders>
              <w:top w:val="single" w:color="auto" w:sz="4" w:space="0"/>
              <w:left w:val="single" w:color="auto" w:sz="4" w:space="0"/>
              <w:bottom w:val="single" w:color="auto" w:sz="4" w:space="0"/>
              <w:right w:val="single" w:color="auto" w:sz="4" w:space="0"/>
            </w:tcBorders>
            <w:vAlign w:val="center"/>
          </w:tcPr>
          <w:p w14:paraId="5FEF416F">
            <w:pPr>
              <w:spacing w:line="240" w:lineRule="auto"/>
              <w:ind w:firstLine="0" w:firstLineChars="0"/>
              <w:jc w:val="center"/>
              <w:rPr>
                <w:rFonts w:hint="eastAsia"/>
                <w:color w:val="auto"/>
                <w:sz w:val="21"/>
              </w:rPr>
            </w:pPr>
            <w:r>
              <w:rPr>
                <w:rFonts w:hint="eastAsia"/>
                <w:color w:val="auto"/>
                <w:sz w:val="21"/>
              </w:rPr>
              <w:t>-</w:t>
            </w:r>
          </w:p>
        </w:tc>
      </w:tr>
      <w:tr w14:paraId="08172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4ADCE85C">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17CAECC3">
            <w:pPr>
              <w:spacing w:line="240" w:lineRule="auto"/>
              <w:ind w:firstLine="0" w:firstLineChars="0"/>
              <w:jc w:val="center"/>
              <w:rPr>
                <w:color w:val="auto"/>
                <w:sz w:val="21"/>
              </w:rPr>
            </w:pPr>
          </w:p>
        </w:tc>
        <w:tc>
          <w:tcPr>
            <w:tcW w:w="1658" w:type="pct"/>
            <w:tcBorders>
              <w:top w:val="single" w:color="auto" w:sz="4" w:space="0"/>
              <w:left w:val="single" w:color="auto" w:sz="4" w:space="0"/>
              <w:bottom w:val="single" w:color="auto" w:sz="4" w:space="0"/>
              <w:right w:val="single" w:color="auto" w:sz="4" w:space="0"/>
            </w:tcBorders>
            <w:vAlign w:val="center"/>
          </w:tcPr>
          <w:p w14:paraId="5EE9B86C">
            <w:pPr>
              <w:spacing w:line="240" w:lineRule="auto"/>
              <w:ind w:firstLine="0" w:firstLineChars="0"/>
              <w:jc w:val="center"/>
              <w:rPr>
                <w:rFonts w:hint="eastAsia"/>
                <w:color w:val="auto"/>
                <w:sz w:val="21"/>
              </w:rPr>
            </w:pPr>
            <w:r>
              <w:rPr>
                <w:rFonts w:hint="eastAsia"/>
                <w:color w:val="auto"/>
                <w:sz w:val="21"/>
              </w:rPr>
              <w:t>低水箱角阀</w:t>
            </w:r>
          </w:p>
        </w:tc>
        <w:tc>
          <w:tcPr>
            <w:tcW w:w="1000" w:type="pct"/>
            <w:tcBorders>
              <w:top w:val="single" w:color="auto" w:sz="4" w:space="0"/>
              <w:left w:val="single" w:color="auto" w:sz="4" w:space="0"/>
              <w:bottom w:val="single" w:color="auto" w:sz="4" w:space="0"/>
              <w:right w:val="single" w:color="auto" w:sz="4" w:space="0"/>
            </w:tcBorders>
            <w:vAlign w:val="center"/>
          </w:tcPr>
          <w:p w14:paraId="4755014B">
            <w:pPr>
              <w:spacing w:line="240" w:lineRule="auto"/>
              <w:ind w:firstLine="0" w:firstLineChars="0"/>
              <w:jc w:val="center"/>
              <w:rPr>
                <w:rFonts w:hint="eastAsia"/>
                <w:color w:val="auto"/>
                <w:sz w:val="21"/>
              </w:rPr>
            </w:pPr>
            <w:r>
              <w:rPr>
                <w:rFonts w:hint="eastAsia"/>
                <w:color w:val="auto"/>
                <w:sz w:val="21"/>
              </w:rPr>
              <w:t>150</w:t>
            </w:r>
          </w:p>
        </w:tc>
        <w:tc>
          <w:tcPr>
            <w:tcW w:w="999" w:type="pct"/>
            <w:tcBorders>
              <w:top w:val="single" w:color="auto" w:sz="4" w:space="0"/>
              <w:left w:val="single" w:color="auto" w:sz="4" w:space="0"/>
              <w:bottom w:val="single" w:color="auto" w:sz="4" w:space="0"/>
              <w:right w:val="single" w:color="auto" w:sz="4" w:space="0"/>
            </w:tcBorders>
            <w:vAlign w:val="center"/>
          </w:tcPr>
          <w:p w14:paraId="231F6FF7">
            <w:pPr>
              <w:spacing w:line="240" w:lineRule="auto"/>
              <w:ind w:firstLine="0" w:firstLineChars="0"/>
              <w:jc w:val="center"/>
              <w:rPr>
                <w:rFonts w:hint="eastAsia"/>
                <w:color w:val="auto"/>
                <w:sz w:val="21"/>
              </w:rPr>
            </w:pPr>
            <w:r>
              <w:rPr>
                <w:rFonts w:hint="eastAsia"/>
                <w:color w:val="auto"/>
                <w:sz w:val="21"/>
              </w:rPr>
              <w:t>-</w:t>
            </w:r>
          </w:p>
        </w:tc>
      </w:tr>
      <w:tr w14:paraId="7C765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7B843028">
            <w:pPr>
              <w:spacing w:line="240" w:lineRule="auto"/>
              <w:ind w:firstLine="0" w:firstLineChars="0"/>
              <w:jc w:val="center"/>
              <w:rPr>
                <w:rFonts w:hint="eastAsia"/>
                <w:color w:val="auto"/>
                <w:sz w:val="21"/>
              </w:rPr>
            </w:pPr>
            <w:r>
              <w:rPr>
                <w:rFonts w:hint="eastAsia"/>
                <w:color w:val="auto"/>
                <w:sz w:val="21"/>
              </w:rPr>
              <w:t>12</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193874E1">
            <w:pPr>
              <w:spacing w:line="240" w:lineRule="auto"/>
              <w:ind w:firstLine="0" w:firstLineChars="0"/>
              <w:jc w:val="center"/>
              <w:rPr>
                <w:rFonts w:hint="eastAsia"/>
                <w:color w:val="auto"/>
                <w:sz w:val="21"/>
              </w:rPr>
            </w:pPr>
            <w:r>
              <w:rPr>
                <w:rFonts w:hint="eastAsia"/>
                <w:color w:val="auto"/>
                <w:sz w:val="21"/>
              </w:rPr>
              <w:t>大便槽冲洗水箱截止阀（从台阶算起）</w:t>
            </w:r>
          </w:p>
        </w:tc>
        <w:tc>
          <w:tcPr>
            <w:tcW w:w="1000" w:type="pct"/>
            <w:tcBorders>
              <w:top w:val="single" w:color="auto" w:sz="4" w:space="0"/>
              <w:left w:val="single" w:color="auto" w:sz="4" w:space="0"/>
              <w:bottom w:val="single" w:color="auto" w:sz="4" w:space="0"/>
              <w:right w:val="single" w:color="auto" w:sz="4" w:space="0"/>
            </w:tcBorders>
            <w:vAlign w:val="center"/>
          </w:tcPr>
          <w:p w14:paraId="25E8A971">
            <w:pPr>
              <w:spacing w:line="240" w:lineRule="auto"/>
              <w:ind w:firstLine="0" w:firstLineChars="0"/>
              <w:jc w:val="center"/>
              <w:rPr>
                <w:rFonts w:hint="eastAsia"/>
                <w:color w:val="auto"/>
                <w:sz w:val="21"/>
              </w:rPr>
            </w:pPr>
            <w:r>
              <w:rPr>
                <w:rFonts w:hint="eastAsia"/>
                <w:color w:val="auto"/>
                <w:sz w:val="21"/>
              </w:rPr>
              <w:t>≥2400</w:t>
            </w:r>
          </w:p>
        </w:tc>
        <w:tc>
          <w:tcPr>
            <w:tcW w:w="999" w:type="pct"/>
            <w:tcBorders>
              <w:top w:val="single" w:color="auto" w:sz="4" w:space="0"/>
              <w:left w:val="single" w:color="auto" w:sz="4" w:space="0"/>
              <w:bottom w:val="single" w:color="auto" w:sz="4" w:space="0"/>
              <w:right w:val="single" w:color="auto" w:sz="4" w:space="0"/>
            </w:tcBorders>
            <w:vAlign w:val="center"/>
          </w:tcPr>
          <w:p w14:paraId="69B91563">
            <w:pPr>
              <w:spacing w:line="240" w:lineRule="auto"/>
              <w:ind w:firstLine="0" w:firstLineChars="0"/>
              <w:jc w:val="center"/>
              <w:rPr>
                <w:rFonts w:hint="eastAsia"/>
                <w:color w:val="auto"/>
                <w:sz w:val="21"/>
              </w:rPr>
            </w:pPr>
            <w:r>
              <w:rPr>
                <w:rFonts w:hint="eastAsia"/>
                <w:color w:val="auto"/>
                <w:sz w:val="21"/>
              </w:rPr>
              <w:t>-</w:t>
            </w:r>
          </w:p>
        </w:tc>
      </w:tr>
      <w:tr w14:paraId="4ABCF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6445A6A4">
            <w:pPr>
              <w:spacing w:line="240" w:lineRule="auto"/>
              <w:ind w:firstLine="0" w:firstLineChars="0"/>
              <w:jc w:val="center"/>
              <w:rPr>
                <w:rFonts w:hint="eastAsia"/>
                <w:color w:val="auto"/>
                <w:sz w:val="21"/>
              </w:rPr>
            </w:pPr>
            <w:r>
              <w:rPr>
                <w:rFonts w:hint="eastAsia"/>
                <w:color w:val="auto"/>
                <w:sz w:val="21"/>
              </w:rPr>
              <w:t>13</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5F16CEE6">
            <w:pPr>
              <w:spacing w:line="240" w:lineRule="auto"/>
              <w:ind w:firstLine="0" w:firstLineChars="0"/>
              <w:jc w:val="center"/>
              <w:rPr>
                <w:rFonts w:hint="eastAsia"/>
                <w:color w:val="auto"/>
                <w:sz w:val="21"/>
              </w:rPr>
            </w:pPr>
            <w:r>
              <w:rPr>
                <w:rFonts w:hint="eastAsia"/>
                <w:color w:val="auto"/>
                <w:sz w:val="21"/>
              </w:rPr>
              <w:t>立式小便器角阀</w:t>
            </w:r>
          </w:p>
        </w:tc>
        <w:tc>
          <w:tcPr>
            <w:tcW w:w="1000" w:type="pct"/>
            <w:tcBorders>
              <w:top w:val="single" w:color="auto" w:sz="4" w:space="0"/>
              <w:left w:val="single" w:color="auto" w:sz="4" w:space="0"/>
              <w:bottom w:val="single" w:color="auto" w:sz="4" w:space="0"/>
              <w:right w:val="single" w:color="auto" w:sz="4" w:space="0"/>
            </w:tcBorders>
            <w:vAlign w:val="center"/>
          </w:tcPr>
          <w:p w14:paraId="090C27EC">
            <w:pPr>
              <w:spacing w:line="240" w:lineRule="auto"/>
              <w:ind w:firstLine="0" w:firstLineChars="0"/>
              <w:jc w:val="center"/>
              <w:rPr>
                <w:rFonts w:hint="eastAsia"/>
                <w:color w:val="auto"/>
                <w:sz w:val="21"/>
              </w:rPr>
            </w:pPr>
            <w:r>
              <w:rPr>
                <w:rFonts w:hint="eastAsia"/>
                <w:color w:val="auto"/>
                <w:sz w:val="21"/>
              </w:rPr>
              <w:t>1130</w:t>
            </w:r>
          </w:p>
        </w:tc>
        <w:tc>
          <w:tcPr>
            <w:tcW w:w="999" w:type="pct"/>
            <w:tcBorders>
              <w:top w:val="single" w:color="auto" w:sz="4" w:space="0"/>
              <w:left w:val="single" w:color="auto" w:sz="4" w:space="0"/>
              <w:bottom w:val="single" w:color="auto" w:sz="4" w:space="0"/>
              <w:right w:val="single" w:color="auto" w:sz="4" w:space="0"/>
            </w:tcBorders>
            <w:vAlign w:val="center"/>
          </w:tcPr>
          <w:p w14:paraId="32643E76">
            <w:pPr>
              <w:spacing w:line="240" w:lineRule="auto"/>
              <w:ind w:firstLine="0" w:firstLineChars="0"/>
              <w:jc w:val="center"/>
              <w:rPr>
                <w:rFonts w:hint="eastAsia"/>
                <w:color w:val="auto"/>
                <w:sz w:val="21"/>
              </w:rPr>
            </w:pPr>
            <w:r>
              <w:rPr>
                <w:rFonts w:hint="eastAsia"/>
                <w:color w:val="auto"/>
                <w:sz w:val="21"/>
              </w:rPr>
              <w:t>-</w:t>
            </w:r>
          </w:p>
        </w:tc>
      </w:tr>
      <w:tr w14:paraId="45054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4D8619FE">
            <w:pPr>
              <w:spacing w:line="240" w:lineRule="auto"/>
              <w:ind w:firstLine="0" w:firstLineChars="0"/>
              <w:jc w:val="center"/>
              <w:rPr>
                <w:rFonts w:hint="eastAsia"/>
                <w:color w:val="auto"/>
                <w:sz w:val="21"/>
              </w:rPr>
            </w:pPr>
            <w:r>
              <w:rPr>
                <w:rFonts w:hint="eastAsia"/>
                <w:color w:val="auto"/>
                <w:sz w:val="21"/>
              </w:rPr>
              <w:t>14</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2C9FFEBD">
            <w:pPr>
              <w:spacing w:line="240" w:lineRule="auto"/>
              <w:ind w:firstLine="0" w:firstLineChars="0"/>
              <w:jc w:val="center"/>
              <w:rPr>
                <w:rFonts w:hint="eastAsia"/>
                <w:color w:val="auto"/>
                <w:sz w:val="21"/>
              </w:rPr>
            </w:pPr>
            <w:r>
              <w:rPr>
                <w:rFonts w:hint="eastAsia"/>
                <w:color w:val="auto"/>
                <w:sz w:val="21"/>
              </w:rPr>
              <w:t>挂式小便器角阀及截止阀</w:t>
            </w:r>
          </w:p>
        </w:tc>
        <w:tc>
          <w:tcPr>
            <w:tcW w:w="1000" w:type="pct"/>
            <w:tcBorders>
              <w:top w:val="single" w:color="auto" w:sz="4" w:space="0"/>
              <w:left w:val="single" w:color="auto" w:sz="4" w:space="0"/>
              <w:bottom w:val="single" w:color="auto" w:sz="4" w:space="0"/>
              <w:right w:val="single" w:color="auto" w:sz="4" w:space="0"/>
            </w:tcBorders>
            <w:vAlign w:val="center"/>
          </w:tcPr>
          <w:p w14:paraId="10FC6DDB">
            <w:pPr>
              <w:spacing w:line="240" w:lineRule="auto"/>
              <w:ind w:firstLine="0" w:firstLineChars="0"/>
              <w:jc w:val="center"/>
              <w:rPr>
                <w:rFonts w:hint="eastAsia"/>
                <w:color w:val="auto"/>
                <w:sz w:val="21"/>
              </w:rPr>
            </w:pPr>
            <w:r>
              <w:rPr>
                <w:rFonts w:hint="eastAsia"/>
                <w:color w:val="auto"/>
                <w:sz w:val="21"/>
              </w:rPr>
              <w:t>1050</w:t>
            </w:r>
          </w:p>
        </w:tc>
        <w:tc>
          <w:tcPr>
            <w:tcW w:w="999" w:type="pct"/>
            <w:tcBorders>
              <w:top w:val="single" w:color="auto" w:sz="4" w:space="0"/>
              <w:left w:val="single" w:color="auto" w:sz="4" w:space="0"/>
              <w:bottom w:val="single" w:color="auto" w:sz="4" w:space="0"/>
              <w:right w:val="single" w:color="auto" w:sz="4" w:space="0"/>
            </w:tcBorders>
            <w:vAlign w:val="center"/>
          </w:tcPr>
          <w:p w14:paraId="3F0F3231">
            <w:pPr>
              <w:spacing w:line="240" w:lineRule="auto"/>
              <w:ind w:firstLine="0" w:firstLineChars="0"/>
              <w:jc w:val="center"/>
              <w:rPr>
                <w:rFonts w:hint="eastAsia"/>
                <w:color w:val="auto"/>
                <w:sz w:val="21"/>
              </w:rPr>
            </w:pPr>
            <w:r>
              <w:rPr>
                <w:rFonts w:hint="eastAsia"/>
                <w:color w:val="auto"/>
                <w:sz w:val="21"/>
              </w:rPr>
              <w:t>-</w:t>
            </w:r>
          </w:p>
        </w:tc>
      </w:tr>
      <w:tr w14:paraId="2675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77940B87">
            <w:pPr>
              <w:spacing w:line="240" w:lineRule="auto"/>
              <w:ind w:firstLine="0" w:firstLineChars="0"/>
              <w:jc w:val="center"/>
              <w:rPr>
                <w:rFonts w:hint="eastAsia"/>
                <w:color w:val="auto"/>
                <w:sz w:val="21"/>
              </w:rPr>
            </w:pPr>
            <w:r>
              <w:rPr>
                <w:rFonts w:hint="eastAsia"/>
                <w:color w:val="auto"/>
                <w:sz w:val="21"/>
              </w:rPr>
              <w:t>15</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058B2053">
            <w:pPr>
              <w:spacing w:line="240" w:lineRule="auto"/>
              <w:ind w:firstLine="0" w:firstLineChars="0"/>
              <w:jc w:val="center"/>
              <w:rPr>
                <w:rFonts w:hint="eastAsia"/>
                <w:color w:val="auto"/>
                <w:sz w:val="21"/>
              </w:rPr>
            </w:pPr>
            <w:r>
              <w:rPr>
                <w:rFonts w:hint="eastAsia"/>
                <w:color w:val="auto"/>
                <w:sz w:val="21"/>
              </w:rPr>
              <w:t>小便槽多孔冲洗器</w:t>
            </w:r>
          </w:p>
        </w:tc>
        <w:tc>
          <w:tcPr>
            <w:tcW w:w="1000" w:type="pct"/>
            <w:tcBorders>
              <w:top w:val="single" w:color="auto" w:sz="4" w:space="0"/>
              <w:left w:val="single" w:color="auto" w:sz="4" w:space="0"/>
              <w:bottom w:val="single" w:color="auto" w:sz="4" w:space="0"/>
              <w:right w:val="single" w:color="auto" w:sz="4" w:space="0"/>
            </w:tcBorders>
            <w:vAlign w:val="center"/>
          </w:tcPr>
          <w:p w14:paraId="4563C161">
            <w:pPr>
              <w:spacing w:line="240" w:lineRule="auto"/>
              <w:ind w:firstLine="0" w:firstLineChars="0"/>
              <w:jc w:val="center"/>
              <w:rPr>
                <w:rFonts w:hint="eastAsia"/>
                <w:color w:val="auto"/>
                <w:sz w:val="21"/>
              </w:rPr>
            </w:pPr>
            <w:r>
              <w:rPr>
                <w:rFonts w:hint="eastAsia"/>
                <w:color w:val="auto"/>
                <w:sz w:val="21"/>
              </w:rPr>
              <w:t>1100</w:t>
            </w:r>
          </w:p>
        </w:tc>
        <w:tc>
          <w:tcPr>
            <w:tcW w:w="999" w:type="pct"/>
            <w:tcBorders>
              <w:top w:val="single" w:color="auto" w:sz="4" w:space="0"/>
              <w:left w:val="single" w:color="auto" w:sz="4" w:space="0"/>
              <w:bottom w:val="single" w:color="auto" w:sz="4" w:space="0"/>
              <w:right w:val="single" w:color="auto" w:sz="4" w:space="0"/>
            </w:tcBorders>
            <w:vAlign w:val="center"/>
          </w:tcPr>
          <w:p w14:paraId="1EFE8D0B">
            <w:pPr>
              <w:spacing w:line="240" w:lineRule="auto"/>
              <w:ind w:firstLine="0" w:firstLineChars="0"/>
              <w:jc w:val="center"/>
              <w:rPr>
                <w:rFonts w:hint="eastAsia"/>
                <w:color w:val="auto"/>
                <w:sz w:val="21"/>
              </w:rPr>
            </w:pPr>
            <w:r>
              <w:rPr>
                <w:rFonts w:hint="eastAsia"/>
                <w:color w:val="auto"/>
                <w:sz w:val="21"/>
              </w:rPr>
              <w:t>-</w:t>
            </w:r>
          </w:p>
        </w:tc>
      </w:tr>
      <w:tr w14:paraId="2227B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69" w:type="pct"/>
            <w:tcBorders>
              <w:top w:val="single" w:color="auto" w:sz="4" w:space="0"/>
              <w:left w:val="single" w:color="auto" w:sz="4" w:space="0"/>
              <w:bottom w:val="single" w:color="auto" w:sz="4" w:space="0"/>
              <w:right w:val="single" w:color="auto" w:sz="4" w:space="0"/>
            </w:tcBorders>
            <w:vAlign w:val="center"/>
          </w:tcPr>
          <w:p w14:paraId="08B76FAA">
            <w:pPr>
              <w:spacing w:line="240" w:lineRule="auto"/>
              <w:ind w:firstLine="0" w:firstLineChars="0"/>
              <w:jc w:val="center"/>
              <w:rPr>
                <w:rFonts w:hint="eastAsia"/>
                <w:color w:val="auto"/>
                <w:sz w:val="21"/>
              </w:rPr>
            </w:pPr>
            <w:r>
              <w:rPr>
                <w:rFonts w:hint="eastAsia"/>
                <w:color w:val="auto"/>
                <w:sz w:val="21"/>
              </w:rPr>
              <w:t>16</w:t>
            </w:r>
          </w:p>
        </w:tc>
        <w:tc>
          <w:tcPr>
            <w:tcW w:w="2333" w:type="pct"/>
            <w:gridSpan w:val="2"/>
            <w:tcBorders>
              <w:top w:val="single" w:color="auto" w:sz="4" w:space="0"/>
              <w:left w:val="single" w:color="auto" w:sz="4" w:space="0"/>
              <w:bottom w:val="single" w:color="auto" w:sz="4" w:space="0"/>
              <w:right w:val="single" w:color="auto" w:sz="4" w:space="0"/>
            </w:tcBorders>
            <w:vAlign w:val="center"/>
          </w:tcPr>
          <w:p w14:paraId="00438F13">
            <w:pPr>
              <w:spacing w:line="240" w:lineRule="auto"/>
              <w:ind w:firstLine="0" w:firstLineChars="0"/>
              <w:jc w:val="center"/>
              <w:rPr>
                <w:rFonts w:hint="eastAsia"/>
                <w:color w:val="auto"/>
                <w:sz w:val="21"/>
              </w:rPr>
            </w:pPr>
            <w:r>
              <w:rPr>
                <w:rFonts w:hint="eastAsia"/>
                <w:color w:val="auto"/>
                <w:sz w:val="21"/>
              </w:rPr>
              <w:t>实验室化验室化验水龙头</w:t>
            </w:r>
          </w:p>
        </w:tc>
        <w:tc>
          <w:tcPr>
            <w:tcW w:w="1000" w:type="pct"/>
            <w:tcBorders>
              <w:top w:val="single" w:color="auto" w:sz="4" w:space="0"/>
              <w:left w:val="single" w:color="auto" w:sz="4" w:space="0"/>
              <w:bottom w:val="single" w:color="auto" w:sz="4" w:space="0"/>
              <w:right w:val="single" w:color="auto" w:sz="4" w:space="0"/>
            </w:tcBorders>
            <w:vAlign w:val="center"/>
          </w:tcPr>
          <w:p w14:paraId="3AD475DD">
            <w:pPr>
              <w:spacing w:line="240" w:lineRule="auto"/>
              <w:ind w:firstLine="0" w:firstLineChars="0"/>
              <w:jc w:val="center"/>
              <w:rPr>
                <w:rFonts w:hint="eastAsia"/>
                <w:color w:val="auto"/>
                <w:sz w:val="21"/>
              </w:rPr>
            </w:pPr>
            <w:r>
              <w:rPr>
                <w:rFonts w:hint="eastAsia"/>
                <w:color w:val="auto"/>
                <w:sz w:val="21"/>
              </w:rPr>
              <w:t>1000</w:t>
            </w:r>
          </w:p>
        </w:tc>
        <w:tc>
          <w:tcPr>
            <w:tcW w:w="999" w:type="pct"/>
            <w:tcBorders>
              <w:top w:val="single" w:color="auto" w:sz="4" w:space="0"/>
              <w:left w:val="single" w:color="auto" w:sz="4" w:space="0"/>
              <w:bottom w:val="single" w:color="auto" w:sz="4" w:space="0"/>
              <w:right w:val="single" w:color="auto" w:sz="4" w:space="0"/>
            </w:tcBorders>
            <w:vAlign w:val="center"/>
          </w:tcPr>
          <w:p w14:paraId="03BA6E57">
            <w:pPr>
              <w:spacing w:line="240" w:lineRule="auto"/>
              <w:ind w:firstLine="0" w:firstLineChars="0"/>
              <w:jc w:val="center"/>
              <w:rPr>
                <w:rFonts w:hint="eastAsia"/>
                <w:color w:val="auto"/>
                <w:sz w:val="21"/>
              </w:rPr>
            </w:pPr>
            <w:r>
              <w:rPr>
                <w:rFonts w:hint="eastAsia"/>
                <w:color w:val="auto"/>
                <w:sz w:val="21"/>
              </w:rPr>
              <w:t>-</w:t>
            </w:r>
          </w:p>
        </w:tc>
      </w:tr>
    </w:tbl>
    <w:p w14:paraId="68169DE9">
      <w:pPr>
        <w:rPr>
          <w:rFonts w:hint="eastAsia"/>
          <w:color w:val="auto"/>
        </w:rPr>
      </w:pPr>
      <w:r>
        <w:rPr>
          <w:rFonts w:hint="eastAsia"/>
          <w:color w:val="auto"/>
        </w:rPr>
        <w:t>（6）中水系统</w:t>
      </w:r>
    </w:p>
    <w:p w14:paraId="46B4E709">
      <w:pPr>
        <w:rPr>
          <w:rFonts w:hint="eastAsia"/>
          <w:color w:val="auto"/>
        </w:rPr>
      </w:pPr>
      <w:r>
        <w:rPr>
          <w:rFonts w:hint="eastAsia"/>
          <w:color w:val="auto"/>
        </w:rPr>
        <w:t>中水系统中的原水管道管材及配件要求按规范执行。</w:t>
      </w:r>
    </w:p>
    <w:p w14:paraId="2510139F">
      <w:pPr>
        <w:rPr>
          <w:rFonts w:hint="eastAsia"/>
          <w:color w:val="auto"/>
        </w:rPr>
      </w:pPr>
      <w:r>
        <w:rPr>
          <w:rFonts w:hint="eastAsia"/>
          <w:color w:val="auto"/>
        </w:rPr>
        <w:t>中水系统给水管道及排水管道检验标准按规范规定执行。</w:t>
      </w:r>
    </w:p>
    <w:p w14:paraId="74CD7BF2">
      <w:pPr>
        <w:rPr>
          <w:rFonts w:hint="eastAsia"/>
          <w:color w:val="auto"/>
        </w:rPr>
      </w:pPr>
      <w:r>
        <w:rPr>
          <w:rFonts w:hint="eastAsia"/>
          <w:color w:val="auto"/>
        </w:rPr>
        <w:t>2、质量控制要点实施细则</w:t>
      </w:r>
    </w:p>
    <w:p w14:paraId="0A18F42B">
      <w:pPr>
        <w:pStyle w:val="54"/>
        <w:rPr>
          <w:rFonts w:hint="eastAsia"/>
          <w:color w:val="auto"/>
        </w:rPr>
      </w:pPr>
      <w:r>
        <w:rPr>
          <w:rFonts w:hint="eastAsia"/>
          <w:color w:val="auto"/>
        </w:rPr>
        <w:t>管道支吊架安装</w:t>
      </w:r>
    </w:p>
    <w:tbl>
      <w:tblPr>
        <w:tblStyle w:val="29"/>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8"/>
        <w:gridCol w:w="7150"/>
      </w:tblGrid>
      <w:tr w14:paraId="6CC63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8" w:type="dxa"/>
            <w:tcBorders>
              <w:top w:val="single" w:color="auto" w:sz="4" w:space="0"/>
              <w:left w:val="single" w:color="auto" w:sz="4" w:space="0"/>
              <w:bottom w:val="single" w:color="auto" w:sz="4" w:space="0"/>
              <w:right w:val="single" w:color="auto" w:sz="4" w:space="0"/>
            </w:tcBorders>
            <w:vAlign w:val="center"/>
          </w:tcPr>
          <w:p w14:paraId="7A5BD5D5">
            <w:pPr>
              <w:spacing w:line="240" w:lineRule="auto"/>
              <w:ind w:firstLine="0" w:firstLineChars="0"/>
              <w:jc w:val="center"/>
              <w:rPr>
                <w:rFonts w:hint="eastAsia"/>
                <w:color w:val="auto"/>
                <w:sz w:val="21"/>
              </w:rPr>
            </w:pPr>
            <w:r>
              <w:rPr>
                <w:rFonts w:hint="eastAsia"/>
                <w:color w:val="auto"/>
                <w:sz w:val="21"/>
              </w:rPr>
              <w:t>序号</w:t>
            </w:r>
          </w:p>
        </w:tc>
        <w:tc>
          <w:tcPr>
            <w:tcW w:w="7150" w:type="dxa"/>
            <w:tcBorders>
              <w:top w:val="single" w:color="auto" w:sz="4" w:space="0"/>
              <w:left w:val="single" w:color="auto" w:sz="4" w:space="0"/>
              <w:bottom w:val="single" w:color="auto" w:sz="4" w:space="0"/>
              <w:right w:val="single" w:color="auto" w:sz="4" w:space="0"/>
            </w:tcBorders>
            <w:vAlign w:val="center"/>
          </w:tcPr>
          <w:p w14:paraId="30273FC5">
            <w:pPr>
              <w:spacing w:line="240" w:lineRule="auto"/>
              <w:ind w:firstLine="0" w:firstLineChars="0"/>
              <w:jc w:val="center"/>
              <w:rPr>
                <w:rFonts w:hint="eastAsia"/>
                <w:color w:val="auto"/>
                <w:sz w:val="21"/>
              </w:rPr>
            </w:pPr>
            <w:r>
              <w:rPr>
                <w:rFonts w:hint="eastAsia"/>
                <w:color w:val="auto"/>
                <w:sz w:val="21"/>
              </w:rPr>
              <w:t>内容</w:t>
            </w:r>
          </w:p>
        </w:tc>
      </w:tr>
      <w:tr w14:paraId="27EFA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038" w:type="dxa"/>
            <w:tcBorders>
              <w:top w:val="single" w:color="auto" w:sz="4" w:space="0"/>
              <w:left w:val="single" w:color="auto" w:sz="4" w:space="0"/>
              <w:bottom w:val="single" w:color="auto" w:sz="4" w:space="0"/>
              <w:right w:val="single" w:color="auto" w:sz="4" w:space="0"/>
            </w:tcBorders>
            <w:vAlign w:val="center"/>
          </w:tcPr>
          <w:p w14:paraId="0B5BF390">
            <w:pPr>
              <w:spacing w:line="240" w:lineRule="auto"/>
              <w:ind w:firstLine="0" w:firstLineChars="0"/>
              <w:jc w:val="center"/>
              <w:rPr>
                <w:rFonts w:hint="eastAsia"/>
                <w:color w:val="auto"/>
                <w:sz w:val="21"/>
              </w:rPr>
            </w:pPr>
            <w:r>
              <w:rPr>
                <w:rFonts w:hint="eastAsia"/>
                <w:color w:val="auto"/>
                <w:sz w:val="21"/>
              </w:rPr>
              <w:t>1</w:t>
            </w:r>
          </w:p>
        </w:tc>
        <w:tc>
          <w:tcPr>
            <w:tcW w:w="7150" w:type="dxa"/>
            <w:tcBorders>
              <w:top w:val="single" w:color="auto" w:sz="4" w:space="0"/>
              <w:left w:val="single" w:color="auto" w:sz="4" w:space="0"/>
              <w:bottom w:val="single" w:color="auto" w:sz="4" w:space="0"/>
              <w:right w:val="single" w:color="auto" w:sz="4" w:space="0"/>
            </w:tcBorders>
            <w:vAlign w:val="center"/>
          </w:tcPr>
          <w:p w14:paraId="619B8FFC">
            <w:pPr>
              <w:spacing w:line="240" w:lineRule="auto"/>
              <w:ind w:firstLine="0" w:firstLineChars="0"/>
              <w:jc w:val="center"/>
              <w:rPr>
                <w:rFonts w:hint="eastAsia"/>
                <w:color w:val="auto"/>
                <w:sz w:val="21"/>
              </w:rPr>
            </w:pPr>
            <w:r>
              <w:rPr>
                <w:rFonts w:hint="eastAsia"/>
                <w:color w:val="auto"/>
                <w:sz w:val="21"/>
              </w:rPr>
              <w:t>管道支吊架安装间距符合要求，层高≤5m时，立管管卡距地1.5～1.8m安装；层高＞5m时，上下各均匀设置。</w:t>
            </w:r>
          </w:p>
        </w:tc>
      </w:tr>
      <w:tr w14:paraId="7F149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1038" w:type="dxa"/>
            <w:tcBorders>
              <w:top w:val="single" w:color="auto" w:sz="4" w:space="0"/>
              <w:left w:val="single" w:color="auto" w:sz="4" w:space="0"/>
              <w:bottom w:val="single" w:color="auto" w:sz="4" w:space="0"/>
              <w:right w:val="single" w:color="auto" w:sz="4" w:space="0"/>
            </w:tcBorders>
            <w:vAlign w:val="center"/>
          </w:tcPr>
          <w:p w14:paraId="307F69BA">
            <w:pPr>
              <w:spacing w:line="240" w:lineRule="auto"/>
              <w:ind w:firstLine="0" w:firstLineChars="0"/>
              <w:jc w:val="center"/>
              <w:rPr>
                <w:rFonts w:hint="eastAsia"/>
                <w:color w:val="auto"/>
                <w:sz w:val="21"/>
              </w:rPr>
            </w:pPr>
            <w:r>
              <w:rPr>
                <w:rFonts w:hint="eastAsia"/>
                <w:color w:val="auto"/>
                <w:sz w:val="21"/>
              </w:rPr>
              <w:t>2</w:t>
            </w:r>
          </w:p>
        </w:tc>
        <w:tc>
          <w:tcPr>
            <w:tcW w:w="7150" w:type="dxa"/>
            <w:tcBorders>
              <w:top w:val="single" w:color="auto" w:sz="4" w:space="0"/>
              <w:left w:val="single" w:color="auto" w:sz="4" w:space="0"/>
              <w:bottom w:val="single" w:color="auto" w:sz="4" w:space="0"/>
              <w:right w:val="single" w:color="auto" w:sz="4" w:space="0"/>
            </w:tcBorders>
            <w:vAlign w:val="center"/>
          </w:tcPr>
          <w:p w14:paraId="2307D8CB">
            <w:pPr>
              <w:spacing w:line="240" w:lineRule="auto"/>
              <w:ind w:firstLine="0" w:firstLineChars="0"/>
              <w:jc w:val="center"/>
              <w:rPr>
                <w:rFonts w:hint="eastAsia"/>
                <w:color w:val="auto"/>
                <w:sz w:val="21"/>
              </w:rPr>
            </w:pPr>
            <w:r>
              <w:rPr>
                <w:rFonts w:hint="eastAsia"/>
                <w:color w:val="auto"/>
                <w:sz w:val="21"/>
              </w:rPr>
              <w:t>成排管道或同一房间内立管管卡和阀门等安装高度保持一致。</w:t>
            </w:r>
          </w:p>
        </w:tc>
      </w:tr>
      <w:tr w14:paraId="4CC3C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8" w:type="dxa"/>
            <w:tcBorders>
              <w:top w:val="single" w:color="auto" w:sz="4" w:space="0"/>
              <w:left w:val="single" w:color="auto" w:sz="4" w:space="0"/>
              <w:bottom w:val="single" w:color="auto" w:sz="4" w:space="0"/>
              <w:right w:val="single" w:color="auto" w:sz="4" w:space="0"/>
            </w:tcBorders>
            <w:vAlign w:val="center"/>
          </w:tcPr>
          <w:p w14:paraId="54EBAC84">
            <w:pPr>
              <w:spacing w:line="240" w:lineRule="auto"/>
              <w:ind w:firstLine="0" w:firstLineChars="0"/>
              <w:jc w:val="center"/>
              <w:rPr>
                <w:rFonts w:hint="eastAsia"/>
                <w:color w:val="auto"/>
                <w:sz w:val="21"/>
              </w:rPr>
            </w:pPr>
            <w:r>
              <w:rPr>
                <w:rFonts w:hint="eastAsia"/>
                <w:color w:val="auto"/>
                <w:sz w:val="21"/>
              </w:rPr>
              <w:t>3</w:t>
            </w:r>
          </w:p>
        </w:tc>
        <w:tc>
          <w:tcPr>
            <w:tcW w:w="7150" w:type="dxa"/>
            <w:tcBorders>
              <w:top w:val="single" w:color="auto" w:sz="4" w:space="0"/>
              <w:left w:val="single" w:color="auto" w:sz="4" w:space="0"/>
              <w:bottom w:val="single" w:color="auto" w:sz="4" w:space="0"/>
              <w:right w:val="single" w:color="auto" w:sz="4" w:space="0"/>
            </w:tcBorders>
            <w:vAlign w:val="center"/>
          </w:tcPr>
          <w:p w14:paraId="70461C97">
            <w:pPr>
              <w:spacing w:line="240" w:lineRule="auto"/>
              <w:ind w:firstLine="0" w:firstLineChars="0"/>
              <w:jc w:val="center"/>
              <w:rPr>
                <w:rFonts w:hint="eastAsia"/>
                <w:color w:val="auto"/>
                <w:sz w:val="21"/>
              </w:rPr>
            </w:pPr>
            <w:r>
              <w:rPr>
                <w:rFonts w:hint="eastAsia"/>
                <w:color w:val="auto"/>
                <w:sz w:val="21"/>
              </w:rPr>
              <w:t>阀门安装前须作耐压强度试验，每批抽检10%，主干系统阀门逐个进行试压，合格后方可安装。</w:t>
            </w:r>
          </w:p>
        </w:tc>
      </w:tr>
      <w:tr w14:paraId="18EE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38" w:type="dxa"/>
            <w:tcBorders>
              <w:top w:val="single" w:color="auto" w:sz="4" w:space="0"/>
              <w:left w:val="single" w:color="auto" w:sz="4" w:space="0"/>
              <w:bottom w:val="single" w:color="auto" w:sz="4" w:space="0"/>
              <w:right w:val="single" w:color="auto" w:sz="4" w:space="0"/>
            </w:tcBorders>
            <w:vAlign w:val="center"/>
          </w:tcPr>
          <w:p w14:paraId="0DEF322A">
            <w:pPr>
              <w:spacing w:line="240" w:lineRule="auto"/>
              <w:ind w:firstLine="0" w:firstLineChars="0"/>
              <w:jc w:val="center"/>
              <w:rPr>
                <w:rFonts w:hint="eastAsia"/>
                <w:color w:val="auto"/>
                <w:sz w:val="21"/>
              </w:rPr>
            </w:pPr>
            <w:r>
              <w:rPr>
                <w:rFonts w:hint="eastAsia"/>
                <w:color w:val="auto"/>
                <w:sz w:val="21"/>
              </w:rPr>
              <w:t>4</w:t>
            </w:r>
          </w:p>
        </w:tc>
        <w:tc>
          <w:tcPr>
            <w:tcW w:w="7150" w:type="dxa"/>
            <w:tcBorders>
              <w:top w:val="single" w:color="auto" w:sz="4" w:space="0"/>
              <w:left w:val="single" w:color="auto" w:sz="4" w:space="0"/>
              <w:bottom w:val="single" w:color="auto" w:sz="4" w:space="0"/>
              <w:right w:val="single" w:color="auto" w:sz="4" w:space="0"/>
            </w:tcBorders>
            <w:vAlign w:val="center"/>
          </w:tcPr>
          <w:p w14:paraId="2C642510">
            <w:pPr>
              <w:spacing w:line="240" w:lineRule="auto"/>
              <w:ind w:firstLine="0" w:firstLineChars="0"/>
              <w:jc w:val="center"/>
              <w:rPr>
                <w:rFonts w:hint="eastAsia"/>
                <w:color w:val="auto"/>
                <w:sz w:val="21"/>
              </w:rPr>
            </w:pPr>
            <w:r>
              <w:rPr>
                <w:rFonts w:hint="eastAsia"/>
                <w:color w:val="auto"/>
                <w:sz w:val="21"/>
              </w:rPr>
              <w:t>排水管道坡度，避免出现局部倒坡现象。</w:t>
            </w:r>
          </w:p>
        </w:tc>
      </w:tr>
    </w:tbl>
    <w:p w14:paraId="17550FD8">
      <w:pPr>
        <w:rPr>
          <w:rFonts w:hint="eastAsia"/>
          <w:color w:val="auto"/>
        </w:rPr>
      </w:pPr>
      <w:r>
        <w:rPr>
          <w:rFonts w:hint="eastAsia"/>
          <w:color w:val="auto"/>
        </w:rPr>
        <w:t>3、质量验收要求</w:t>
      </w:r>
    </w:p>
    <w:p w14:paraId="354D8D56">
      <w:pPr>
        <w:rPr>
          <w:rFonts w:hint="eastAsia"/>
          <w:color w:val="auto"/>
        </w:rPr>
      </w:pPr>
      <w:r>
        <w:rPr>
          <w:rFonts w:hint="eastAsia"/>
          <w:color w:val="auto"/>
        </w:rPr>
        <w:t>（1）给水管道及配件安装</w:t>
      </w:r>
    </w:p>
    <w:p w14:paraId="7B33FB19">
      <w:pPr>
        <w:pStyle w:val="54"/>
        <w:rPr>
          <w:rFonts w:hint="eastAsia"/>
          <w:color w:val="auto"/>
        </w:rPr>
      </w:pPr>
      <w:r>
        <w:rPr>
          <w:rFonts w:hint="eastAsia"/>
          <w:color w:val="auto"/>
        </w:rPr>
        <w:t>给水管道及配件安装</w:t>
      </w:r>
    </w:p>
    <w:tbl>
      <w:tblPr>
        <w:tblStyle w:val="29"/>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09"/>
        <w:gridCol w:w="3544"/>
        <w:gridCol w:w="3260"/>
      </w:tblGrid>
      <w:tr w14:paraId="2284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434ECA4">
            <w:pPr>
              <w:spacing w:line="240" w:lineRule="auto"/>
              <w:ind w:firstLine="0" w:firstLineChars="0"/>
              <w:jc w:val="center"/>
              <w:rPr>
                <w:rFonts w:hint="eastAsia"/>
                <w:color w:val="auto"/>
                <w:sz w:val="21"/>
              </w:rPr>
            </w:pPr>
            <w:r>
              <w:rPr>
                <w:rFonts w:hint="eastAsia"/>
                <w:color w:val="auto"/>
                <w:sz w:val="21"/>
              </w:rPr>
              <w:t>序号</w:t>
            </w:r>
          </w:p>
        </w:tc>
        <w:tc>
          <w:tcPr>
            <w:tcW w:w="709" w:type="dxa"/>
            <w:tcBorders>
              <w:top w:val="single" w:color="auto" w:sz="4" w:space="0"/>
              <w:left w:val="single" w:color="auto" w:sz="4" w:space="0"/>
              <w:bottom w:val="single" w:color="auto" w:sz="4" w:space="0"/>
              <w:right w:val="single" w:color="auto" w:sz="4" w:space="0"/>
            </w:tcBorders>
            <w:vAlign w:val="center"/>
          </w:tcPr>
          <w:p w14:paraId="4D66FB1C">
            <w:pPr>
              <w:spacing w:line="240" w:lineRule="auto"/>
              <w:ind w:firstLine="0" w:firstLineChars="0"/>
              <w:jc w:val="center"/>
              <w:rPr>
                <w:rFonts w:hint="eastAsia"/>
                <w:color w:val="auto"/>
                <w:sz w:val="21"/>
              </w:rPr>
            </w:pPr>
            <w:r>
              <w:rPr>
                <w:rFonts w:hint="eastAsia"/>
                <w:color w:val="auto"/>
                <w:sz w:val="21"/>
              </w:rPr>
              <w:t>项目类型</w:t>
            </w:r>
          </w:p>
        </w:tc>
        <w:tc>
          <w:tcPr>
            <w:tcW w:w="3544" w:type="dxa"/>
            <w:tcBorders>
              <w:top w:val="single" w:color="auto" w:sz="4" w:space="0"/>
              <w:left w:val="single" w:color="auto" w:sz="4" w:space="0"/>
              <w:bottom w:val="single" w:color="auto" w:sz="4" w:space="0"/>
              <w:right w:val="single" w:color="auto" w:sz="4" w:space="0"/>
            </w:tcBorders>
            <w:vAlign w:val="center"/>
          </w:tcPr>
          <w:p w14:paraId="02BC4F78">
            <w:pPr>
              <w:spacing w:line="240" w:lineRule="auto"/>
              <w:ind w:firstLine="0" w:firstLineChars="0"/>
              <w:jc w:val="center"/>
              <w:rPr>
                <w:rFonts w:hint="eastAsia"/>
                <w:color w:val="auto"/>
                <w:sz w:val="21"/>
              </w:rPr>
            </w:pPr>
            <w:r>
              <w:rPr>
                <w:rFonts w:hint="eastAsia"/>
                <w:color w:val="auto"/>
                <w:sz w:val="21"/>
              </w:rPr>
              <w:t>内容</w:t>
            </w:r>
          </w:p>
        </w:tc>
        <w:tc>
          <w:tcPr>
            <w:tcW w:w="3260" w:type="dxa"/>
            <w:tcBorders>
              <w:top w:val="single" w:color="auto" w:sz="4" w:space="0"/>
              <w:left w:val="single" w:color="auto" w:sz="4" w:space="0"/>
              <w:bottom w:val="single" w:color="auto" w:sz="4" w:space="0"/>
              <w:right w:val="single" w:color="auto" w:sz="4" w:space="0"/>
            </w:tcBorders>
            <w:vAlign w:val="center"/>
          </w:tcPr>
          <w:p w14:paraId="0D417076">
            <w:pPr>
              <w:spacing w:line="240" w:lineRule="auto"/>
              <w:ind w:firstLine="0" w:firstLineChars="0"/>
              <w:jc w:val="center"/>
              <w:rPr>
                <w:rFonts w:hint="eastAsia"/>
                <w:color w:val="auto"/>
                <w:sz w:val="21"/>
              </w:rPr>
            </w:pPr>
            <w:r>
              <w:rPr>
                <w:rFonts w:hint="eastAsia"/>
                <w:color w:val="auto"/>
                <w:sz w:val="21"/>
              </w:rPr>
              <w:t>检测方法</w:t>
            </w:r>
          </w:p>
        </w:tc>
      </w:tr>
      <w:tr w14:paraId="5D22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DCF5902">
            <w:pPr>
              <w:spacing w:line="240" w:lineRule="auto"/>
              <w:ind w:firstLine="0" w:firstLineChars="0"/>
              <w:jc w:val="center"/>
              <w:rPr>
                <w:rFonts w:hint="eastAsia"/>
                <w:color w:val="auto"/>
                <w:sz w:val="21"/>
              </w:rPr>
            </w:pPr>
            <w:r>
              <w:rPr>
                <w:rFonts w:hint="eastAsia"/>
                <w:color w:val="auto"/>
                <w:sz w:val="21"/>
              </w:rPr>
              <w:t>1</w:t>
            </w:r>
          </w:p>
        </w:tc>
        <w:tc>
          <w:tcPr>
            <w:tcW w:w="709" w:type="dxa"/>
            <w:vMerge w:val="restart"/>
            <w:tcBorders>
              <w:top w:val="nil"/>
              <w:left w:val="single" w:color="auto" w:sz="4" w:space="0"/>
              <w:bottom w:val="single" w:color="auto" w:sz="4" w:space="0"/>
              <w:right w:val="single" w:color="auto" w:sz="4" w:space="0"/>
            </w:tcBorders>
            <w:vAlign w:val="center"/>
          </w:tcPr>
          <w:p w14:paraId="56967934">
            <w:pPr>
              <w:spacing w:line="240" w:lineRule="auto"/>
              <w:ind w:firstLine="0" w:firstLineChars="0"/>
              <w:jc w:val="center"/>
              <w:rPr>
                <w:rFonts w:hint="eastAsia"/>
                <w:color w:val="auto"/>
                <w:sz w:val="21"/>
              </w:rPr>
            </w:pPr>
            <w:r>
              <w:rPr>
                <w:rFonts w:hint="eastAsia"/>
                <w:color w:val="auto"/>
                <w:sz w:val="21"/>
              </w:rPr>
              <w:t>主控项目</w:t>
            </w:r>
          </w:p>
        </w:tc>
        <w:tc>
          <w:tcPr>
            <w:tcW w:w="3544" w:type="dxa"/>
            <w:tcBorders>
              <w:top w:val="single" w:color="auto" w:sz="4" w:space="0"/>
              <w:left w:val="single" w:color="auto" w:sz="4" w:space="0"/>
              <w:bottom w:val="single" w:color="auto" w:sz="4" w:space="0"/>
              <w:right w:val="single" w:color="auto" w:sz="4" w:space="0"/>
            </w:tcBorders>
            <w:vAlign w:val="center"/>
          </w:tcPr>
          <w:p w14:paraId="65B4AF62">
            <w:pPr>
              <w:spacing w:line="240" w:lineRule="auto"/>
              <w:ind w:firstLine="0" w:firstLineChars="0"/>
              <w:jc w:val="center"/>
              <w:rPr>
                <w:rFonts w:hint="eastAsia"/>
                <w:color w:val="auto"/>
                <w:sz w:val="21"/>
              </w:rPr>
            </w:pPr>
            <w:r>
              <w:rPr>
                <w:rFonts w:hint="eastAsia"/>
                <w:color w:val="auto"/>
                <w:sz w:val="21"/>
              </w:rPr>
              <w:t>室内给水管道的水压试验必须符合设计要求。当设计未注明时，各种材质的给水管道系统试验压力均为工作压力的1.5倍，但不得小于0.6Mpa。</w:t>
            </w:r>
          </w:p>
        </w:tc>
        <w:tc>
          <w:tcPr>
            <w:tcW w:w="3260" w:type="dxa"/>
            <w:tcBorders>
              <w:top w:val="single" w:color="auto" w:sz="4" w:space="0"/>
              <w:left w:val="single" w:color="auto" w:sz="4" w:space="0"/>
              <w:bottom w:val="single" w:color="auto" w:sz="4" w:space="0"/>
              <w:right w:val="single" w:color="auto" w:sz="4" w:space="0"/>
            </w:tcBorders>
            <w:vAlign w:val="center"/>
          </w:tcPr>
          <w:p w14:paraId="5FB9273B">
            <w:pPr>
              <w:spacing w:line="240" w:lineRule="auto"/>
              <w:ind w:firstLine="0" w:firstLineChars="0"/>
              <w:jc w:val="center"/>
              <w:rPr>
                <w:rFonts w:hint="eastAsia"/>
                <w:color w:val="auto"/>
                <w:sz w:val="21"/>
              </w:rPr>
            </w:pPr>
            <w:r>
              <w:rPr>
                <w:rFonts w:hint="eastAsia"/>
                <w:color w:val="auto"/>
                <w:sz w:val="21"/>
              </w:rPr>
              <w:t>金属及复合管给水管道系统在试验压力下观测10min，压力降不应大于0.02Mpa然后降到工作压力进行检查，应不渗不漏；塑料管给水系统应在试验压力下稳压1h，压力降不得超过0.05Mpa，然后在工作压力的1.15倍状态下稳压2h，压力降不得超过0.03Mpa，同时检查各连接处不得渗漏。</w:t>
            </w:r>
          </w:p>
        </w:tc>
      </w:tr>
      <w:tr w14:paraId="7A66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D15DEDB">
            <w:pPr>
              <w:spacing w:line="240" w:lineRule="auto"/>
              <w:ind w:firstLine="0" w:firstLineChars="0"/>
              <w:jc w:val="center"/>
              <w:rPr>
                <w:rFonts w:hint="eastAsia"/>
                <w:color w:val="auto"/>
                <w:sz w:val="21"/>
              </w:rPr>
            </w:pPr>
            <w:r>
              <w:rPr>
                <w:rFonts w:hint="eastAsia"/>
                <w:color w:val="auto"/>
                <w:sz w:val="21"/>
              </w:rPr>
              <w:t>2</w:t>
            </w:r>
          </w:p>
        </w:tc>
        <w:tc>
          <w:tcPr>
            <w:tcW w:w="709" w:type="dxa"/>
            <w:vMerge w:val="continue"/>
            <w:tcBorders>
              <w:top w:val="nil"/>
              <w:left w:val="single" w:color="auto" w:sz="4" w:space="0"/>
              <w:bottom w:val="single" w:color="auto" w:sz="4" w:space="0"/>
              <w:right w:val="single" w:color="auto" w:sz="4" w:space="0"/>
            </w:tcBorders>
            <w:vAlign w:val="center"/>
          </w:tcPr>
          <w:p w14:paraId="6B132F01">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59FF2316">
            <w:pPr>
              <w:spacing w:line="240" w:lineRule="auto"/>
              <w:ind w:firstLine="0" w:firstLineChars="0"/>
              <w:jc w:val="center"/>
              <w:rPr>
                <w:rFonts w:hint="eastAsia"/>
                <w:color w:val="auto"/>
                <w:sz w:val="21"/>
              </w:rPr>
            </w:pPr>
            <w:r>
              <w:rPr>
                <w:rFonts w:hint="eastAsia"/>
                <w:color w:val="auto"/>
                <w:sz w:val="21"/>
              </w:rPr>
              <w:t>给水系统交付使用前必须进行试验并做好记录。</w:t>
            </w:r>
          </w:p>
        </w:tc>
        <w:tc>
          <w:tcPr>
            <w:tcW w:w="3260" w:type="dxa"/>
            <w:tcBorders>
              <w:top w:val="single" w:color="auto" w:sz="4" w:space="0"/>
              <w:left w:val="single" w:color="auto" w:sz="4" w:space="0"/>
              <w:bottom w:val="single" w:color="auto" w:sz="4" w:space="0"/>
              <w:right w:val="single" w:color="auto" w:sz="4" w:space="0"/>
            </w:tcBorders>
            <w:vAlign w:val="center"/>
          </w:tcPr>
          <w:p w14:paraId="2BF1E839">
            <w:pPr>
              <w:spacing w:line="240" w:lineRule="auto"/>
              <w:ind w:firstLine="0" w:firstLineChars="0"/>
              <w:jc w:val="center"/>
              <w:rPr>
                <w:rFonts w:hint="eastAsia"/>
                <w:color w:val="auto"/>
                <w:sz w:val="21"/>
              </w:rPr>
            </w:pPr>
            <w:r>
              <w:rPr>
                <w:rFonts w:hint="eastAsia"/>
                <w:color w:val="auto"/>
                <w:sz w:val="21"/>
              </w:rPr>
              <w:t>观察和开启阀门，水嘴等放水</w:t>
            </w:r>
          </w:p>
        </w:tc>
      </w:tr>
      <w:tr w14:paraId="0826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C7E107E">
            <w:pPr>
              <w:spacing w:line="240" w:lineRule="auto"/>
              <w:ind w:firstLine="0" w:firstLineChars="0"/>
              <w:jc w:val="center"/>
              <w:rPr>
                <w:rFonts w:hint="eastAsia"/>
                <w:color w:val="auto"/>
                <w:sz w:val="21"/>
              </w:rPr>
            </w:pPr>
            <w:r>
              <w:rPr>
                <w:rFonts w:hint="eastAsia"/>
                <w:color w:val="auto"/>
                <w:sz w:val="21"/>
              </w:rPr>
              <w:t>3</w:t>
            </w:r>
          </w:p>
        </w:tc>
        <w:tc>
          <w:tcPr>
            <w:tcW w:w="709" w:type="dxa"/>
            <w:vMerge w:val="continue"/>
            <w:tcBorders>
              <w:top w:val="nil"/>
              <w:left w:val="single" w:color="auto" w:sz="4" w:space="0"/>
              <w:bottom w:val="single" w:color="auto" w:sz="4" w:space="0"/>
              <w:right w:val="single" w:color="auto" w:sz="4" w:space="0"/>
            </w:tcBorders>
            <w:vAlign w:val="center"/>
          </w:tcPr>
          <w:p w14:paraId="1B4B92A9">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3D460B8D">
            <w:pPr>
              <w:spacing w:line="240" w:lineRule="auto"/>
              <w:ind w:firstLine="0" w:firstLineChars="0"/>
              <w:jc w:val="center"/>
              <w:rPr>
                <w:rFonts w:hint="eastAsia"/>
                <w:color w:val="auto"/>
                <w:sz w:val="21"/>
              </w:rPr>
            </w:pPr>
            <w:r>
              <w:rPr>
                <w:rFonts w:hint="eastAsia"/>
                <w:color w:val="auto"/>
                <w:sz w:val="21"/>
              </w:rPr>
              <w:t>生活给水系统管道在交付使用前必须冲洗和消毒，并经有关部门取样检验，符合国家《生活饮用水标准》方可使用。</w:t>
            </w:r>
          </w:p>
        </w:tc>
        <w:tc>
          <w:tcPr>
            <w:tcW w:w="3260" w:type="dxa"/>
            <w:tcBorders>
              <w:top w:val="single" w:color="auto" w:sz="4" w:space="0"/>
              <w:left w:val="single" w:color="auto" w:sz="4" w:space="0"/>
              <w:bottom w:val="single" w:color="auto" w:sz="4" w:space="0"/>
              <w:right w:val="single" w:color="auto" w:sz="4" w:space="0"/>
            </w:tcBorders>
            <w:vAlign w:val="center"/>
          </w:tcPr>
          <w:p w14:paraId="4335F5DE">
            <w:pPr>
              <w:spacing w:line="240" w:lineRule="auto"/>
              <w:ind w:firstLine="0" w:firstLineChars="0"/>
              <w:jc w:val="center"/>
              <w:rPr>
                <w:rFonts w:hint="eastAsia"/>
                <w:color w:val="auto"/>
                <w:sz w:val="21"/>
              </w:rPr>
            </w:pPr>
            <w:r>
              <w:rPr>
                <w:rFonts w:hint="eastAsia"/>
                <w:color w:val="auto"/>
                <w:sz w:val="21"/>
              </w:rPr>
              <w:t>检查有关部门提供的检测报告</w:t>
            </w:r>
          </w:p>
        </w:tc>
      </w:tr>
      <w:tr w14:paraId="550E4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75C898F">
            <w:pPr>
              <w:spacing w:line="240" w:lineRule="auto"/>
              <w:ind w:firstLine="0" w:firstLineChars="0"/>
              <w:jc w:val="center"/>
              <w:rPr>
                <w:rFonts w:hint="eastAsia"/>
                <w:color w:val="auto"/>
                <w:sz w:val="21"/>
              </w:rPr>
            </w:pPr>
            <w:r>
              <w:rPr>
                <w:rFonts w:hint="eastAsia"/>
                <w:color w:val="auto"/>
                <w:sz w:val="21"/>
              </w:rPr>
              <w:t>4</w:t>
            </w:r>
          </w:p>
        </w:tc>
        <w:tc>
          <w:tcPr>
            <w:tcW w:w="709" w:type="dxa"/>
            <w:vMerge w:val="continue"/>
            <w:tcBorders>
              <w:top w:val="nil"/>
              <w:left w:val="single" w:color="auto" w:sz="4" w:space="0"/>
              <w:bottom w:val="single" w:color="auto" w:sz="4" w:space="0"/>
              <w:right w:val="single" w:color="auto" w:sz="4" w:space="0"/>
            </w:tcBorders>
            <w:vAlign w:val="center"/>
          </w:tcPr>
          <w:p w14:paraId="7416128E">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0DD2C91A">
            <w:pPr>
              <w:spacing w:line="240" w:lineRule="auto"/>
              <w:ind w:firstLine="0" w:firstLineChars="0"/>
              <w:jc w:val="center"/>
              <w:rPr>
                <w:rFonts w:hint="eastAsia"/>
                <w:color w:val="auto"/>
                <w:sz w:val="21"/>
              </w:rPr>
            </w:pPr>
            <w:r>
              <w:rPr>
                <w:rFonts w:hint="eastAsia"/>
                <w:color w:val="auto"/>
                <w:sz w:val="21"/>
              </w:rPr>
              <w:t>室内直埋给水管道（塑料管道和复合管道除外）应做防腐处理。埋地管道防腐层材质和结构应符合设计要求。</w:t>
            </w:r>
          </w:p>
        </w:tc>
        <w:tc>
          <w:tcPr>
            <w:tcW w:w="3260" w:type="dxa"/>
            <w:tcBorders>
              <w:top w:val="single" w:color="auto" w:sz="4" w:space="0"/>
              <w:left w:val="single" w:color="auto" w:sz="4" w:space="0"/>
              <w:bottom w:val="single" w:color="auto" w:sz="4" w:space="0"/>
              <w:right w:val="single" w:color="auto" w:sz="4" w:space="0"/>
            </w:tcBorders>
            <w:vAlign w:val="center"/>
          </w:tcPr>
          <w:p w14:paraId="6A799321">
            <w:pPr>
              <w:spacing w:line="240" w:lineRule="auto"/>
              <w:ind w:firstLine="0" w:firstLineChars="0"/>
              <w:jc w:val="center"/>
              <w:rPr>
                <w:rFonts w:hint="eastAsia"/>
                <w:color w:val="auto"/>
                <w:sz w:val="21"/>
              </w:rPr>
            </w:pPr>
            <w:r>
              <w:rPr>
                <w:rFonts w:hint="eastAsia"/>
                <w:color w:val="auto"/>
                <w:sz w:val="21"/>
              </w:rPr>
              <w:t>观察或局部解剖检查</w:t>
            </w:r>
          </w:p>
        </w:tc>
      </w:tr>
      <w:tr w14:paraId="41F31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06136EB">
            <w:pPr>
              <w:spacing w:line="240" w:lineRule="auto"/>
              <w:ind w:firstLine="0" w:firstLineChars="0"/>
              <w:jc w:val="center"/>
              <w:rPr>
                <w:rFonts w:hint="eastAsia"/>
                <w:color w:val="auto"/>
                <w:sz w:val="21"/>
              </w:rPr>
            </w:pPr>
            <w:r>
              <w:rPr>
                <w:rFonts w:hint="eastAsia"/>
                <w:color w:val="auto"/>
                <w:sz w:val="21"/>
              </w:rPr>
              <w:t>5</w:t>
            </w:r>
          </w:p>
        </w:tc>
        <w:tc>
          <w:tcPr>
            <w:tcW w:w="709" w:type="dxa"/>
            <w:vMerge w:val="restart"/>
            <w:tcBorders>
              <w:top w:val="nil"/>
              <w:left w:val="single" w:color="auto" w:sz="4" w:space="0"/>
              <w:bottom w:val="single" w:color="auto" w:sz="4" w:space="0"/>
              <w:right w:val="single" w:color="auto" w:sz="4" w:space="0"/>
            </w:tcBorders>
            <w:vAlign w:val="center"/>
          </w:tcPr>
          <w:p w14:paraId="4C849403">
            <w:pPr>
              <w:spacing w:line="240" w:lineRule="auto"/>
              <w:ind w:firstLine="0" w:firstLineChars="0"/>
              <w:jc w:val="center"/>
              <w:rPr>
                <w:rFonts w:hint="eastAsia"/>
                <w:color w:val="auto"/>
                <w:sz w:val="21"/>
              </w:rPr>
            </w:pPr>
            <w:r>
              <w:rPr>
                <w:rFonts w:hint="eastAsia"/>
                <w:color w:val="auto"/>
                <w:sz w:val="21"/>
              </w:rPr>
              <w:t>一般项目</w:t>
            </w:r>
          </w:p>
        </w:tc>
        <w:tc>
          <w:tcPr>
            <w:tcW w:w="3544" w:type="dxa"/>
            <w:tcBorders>
              <w:top w:val="single" w:color="auto" w:sz="4" w:space="0"/>
              <w:left w:val="single" w:color="auto" w:sz="4" w:space="0"/>
              <w:bottom w:val="single" w:color="auto" w:sz="4" w:space="0"/>
              <w:right w:val="single" w:color="auto" w:sz="4" w:space="0"/>
            </w:tcBorders>
            <w:vAlign w:val="center"/>
          </w:tcPr>
          <w:p w14:paraId="152F0B3D">
            <w:pPr>
              <w:spacing w:line="240" w:lineRule="auto"/>
              <w:ind w:firstLine="0" w:firstLineChars="0"/>
              <w:jc w:val="center"/>
              <w:rPr>
                <w:rFonts w:hint="eastAsia"/>
                <w:color w:val="auto"/>
                <w:sz w:val="21"/>
              </w:rPr>
            </w:pPr>
            <w:r>
              <w:rPr>
                <w:rFonts w:hint="eastAsia"/>
                <w:color w:val="auto"/>
                <w:sz w:val="21"/>
              </w:rPr>
              <w:t>给水引入管与排水排出管的水平净距不得小于1m，室内给水与排水管道平行敷设时，两管间的水平净距不得小于0.5m；交叉铺设时，垂直净距不得小于0.15m。给水管应铺在排水管上面，若给水管必须铺在排水管的下面时，给水管应加套管，其长度不得小于排水管管径的3倍。</w:t>
            </w:r>
          </w:p>
        </w:tc>
        <w:tc>
          <w:tcPr>
            <w:tcW w:w="3260" w:type="dxa"/>
            <w:tcBorders>
              <w:top w:val="single" w:color="auto" w:sz="4" w:space="0"/>
              <w:left w:val="single" w:color="auto" w:sz="4" w:space="0"/>
              <w:bottom w:val="single" w:color="auto" w:sz="4" w:space="0"/>
              <w:right w:val="single" w:color="auto" w:sz="4" w:space="0"/>
            </w:tcBorders>
            <w:vAlign w:val="center"/>
          </w:tcPr>
          <w:p w14:paraId="48CED5F6">
            <w:pPr>
              <w:spacing w:line="240" w:lineRule="auto"/>
              <w:ind w:firstLine="0" w:firstLineChars="0"/>
              <w:jc w:val="center"/>
              <w:rPr>
                <w:rFonts w:hint="eastAsia"/>
                <w:color w:val="auto"/>
                <w:sz w:val="21"/>
              </w:rPr>
            </w:pPr>
            <w:r>
              <w:rPr>
                <w:rFonts w:hint="eastAsia"/>
                <w:color w:val="auto"/>
                <w:sz w:val="21"/>
              </w:rPr>
              <w:t>尺量检查</w:t>
            </w:r>
          </w:p>
        </w:tc>
      </w:tr>
      <w:tr w14:paraId="2BE69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6D4B0D7">
            <w:pPr>
              <w:spacing w:line="240" w:lineRule="auto"/>
              <w:ind w:firstLine="0" w:firstLineChars="0"/>
              <w:jc w:val="center"/>
              <w:rPr>
                <w:rFonts w:hint="eastAsia"/>
                <w:color w:val="auto"/>
                <w:sz w:val="21"/>
              </w:rPr>
            </w:pPr>
            <w:r>
              <w:rPr>
                <w:rFonts w:hint="eastAsia"/>
                <w:color w:val="auto"/>
                <w:sz w:val="21"/>
              </w:rPr>
              <w:t>6</w:t>
            </w:r>
          </w:p>
        </w:tc>
        <w:tc>
          <w:tcPr>
            <w:tcW w:w="709" w:type="dxa"/>
            <w:vMerge w:val="continue"/>
            <w:tcBorders>
              <w:top w:val="nil"/>
              <w:left w:val="single" w:color="auto" w:sz="4" w:space="0"/>
              <w:bottom w:val="single" w:color="auto" w:sz="4" w:space="0"/>
              <w:right w:val="single" w:color="auto" w:sz="4" w:space="0"/>
            </w:tcBorders>
            <w:vAlign w:val="center"/>
          </w:tcPr>
          <w:p w14:paraId="4890F2F5">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7BC58C73">
            <w:pPr>
              <w:spacing w:line="240" w:lineRule="auto"/>
              <w:ind w:firstLine="0" w:firstLineChars="0"/>
              <w:jc w:val="center"/>
              <w:rPr>
                <w:rFonts w:hint="eastAsia"/>
                <w:color w:val="auto"/>
                <w:sz w:val="21"/>
              </w:rPr>
            </w:pPr>
            <w:r>
              <w:rPr>
                <w:rFonts w:hint="eastAsia"/>
                <w:color w:val="auto"/>
                <w:sz w:val="21"/>
              </w:rPr>
              <w:t>管道及管件焊接的焊缝表面质量应符合下列要求：</w:t>
            </w:r>
          </w:p>
          <w:p w14:paraId="64AA03BF">
            <w:pPr>
              <w:spacing w:line="240" w:lineRule="auto"/>
              <w:ind w:firstLine="0" w:firstLineChars="0"/>
              <w:jc w:val="center"/>
              <w:rPr>
                <w:rFonts w:hint="eastAsia"/>
                <w:color w:val="auto"/>
                <w:sz w:val="21"/>
              </w:rPr>
            </w:pPr>
            <w:r>
              <w:rPr>
                <w:rFonts w:hint="eastAsia"/>
                <w:color w:val="auto"/>
                <w:sz w:val="21"/>
              </w:rPr>
              <w:t>焊缝外形尺寸应符合图纸和工艺文件的规定，焊缝高度不得低于母材表面，焊缝与母材应圆滑过渡。</w:t>
            </w:r>
          </w:p>
          <w:p w14:paraId="695EACD9">
            <w:pPr>
              <w:spacing w:line="240" w:lineRule="auto"/>
              <w:ind w:firstLine="0" w:firstLineChars="0"/>
              <w:jc w:val="center"/>
              <w:rPr>
                <w:rFonts w:hint="eastAsia"/>
                <w:color w:val="auto"/>
                <w:sz w:val="21"/>
              </w:rPr>
            </w:pPr>
            <w:r>
              <w:rPr>
                <w:rFonts w:hint="eastAsia"/>
                <w:color w:val="auto"/>
                <w:sz w:val="21"/>
              </w:rPr>
              <w:t>焊缝及热影响区表面应无裂纹、未熔合、未焊透、夹渣、弧坑和气孔等缺陷。</w:t>
            </w:r>
          </w:p>
        </w:tc>
        <w:tc>
          <w:tcPr>
            <w:tcW w:w="3260" w:type="dxa"/>
            <w:tcBorders>
              <w:top w:val="single" w:color="auto" w:sz="4" w:space="0"/>
              <w:left w:val="single" w:color="auto" w:sz="4" w:space="0"/>
              <w:bottom w:val="single" w:color="auto" w:sz="4" w:space="0"/>
              <w:right w:val="single" w:color="auto" w:sz="4" w:space="0"/>
            </w:tcBorders>
            <w:vAlign w:val="center"/>
          </w:tcPr>
          <w:p w14:paraId="7019E156">
            <w:pPr>
              <w:spacing w:line="240" w:lineRule="auto"/>
              <w:ind w:firstLine="0" w:firstLineChars="0"/>
              <w:jc w:val="center"/>
              <w:rPr>
                <w:rFonts w:hint="eastAsia"/>
                <w:color w:val="auto"/>
                <w:sz w:val="21"/>
              </w:rPr>
            </w:pPr>
            <w:r>
              <w:rPr>
                <w:rFonts w:hint="eastAsia"/>
                <w:color w:val="auto"/>
                <w:sz w:val="21"/>
              </w:rPr>
              <w:t>观察检查。</w:t>
            </w:r>
          </w:p>
        </w:tc>
      </w:tr>
      <w:tr w14:paraId="1C38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9610A44">
            <w:pPr>
              <w:spacing w:line="240" w:lineRule="auto"/>
              <w:ind w:firstLine="0" w:firstLineChars="0"/>
              <w:jc w:val="center"/>
              <w:rPr>
                <w:rFonts w:hint="eastAsia"/>
                <w:color w:val="auto"/>
                <w:sz w:val="21"/>
              </w:rPr>
            </w:pPr>
            <w:r>
              <w:rPr>
                <w:rFonts w:hint="eastAsia"/>
                <w:color w:val="auto"/>
                <w:sz w:val="21"/>
              </w:rPr>
              <w:t>7</w:t>
            </w:r>
          </w:p>
        </w:tc>
        <w:tc>
          <w:tcPr>
            <w:tcW w:w="709" w:type="dxa"/>
            <w:vMerge w:val="continue"/>
            <w:tcBorders>
              <w:top w:val="nil"/>
              <w:left w:val="single" w:color="auto" w:sz="4" w:space="0"/>
              <w:bottom w:val="single" w:color="auto" w:sz="4" w:space="0"/>
              <w:right w:val="single" w:color="auto" w:sz="4" w:space="0"/>
            </w:tcBorders>
            <w:vAlign w:val="center"/>
          </w:tcPr>
          <w:p w14:paraId="2AD3A2E1">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141C52DB">
            <w:pPr>
              <w:spacing w:line="240" w:lineRule="auto"/>
              <w:ind w:firstLine="0" w:firstLineChars="0"/>
              <w:jc w:val="center"/>
              <w:rPr>
                <w:rFonts w:hint="eastAsia"/>
                <w:color w:val="auto"/>
                <w:sz w:val="21"/>
              </w:rPr>
            </w:pPr>
            <w:r>
              <w:rPr>
                <w:rFonts w:hint="eastAsia"/>
                <w:color w:val="auto"/>
                <w:sz w:val="21"/>
              </w:rPr>
              <w:t>给水水平管道应有2%～5%的坡度坡向泄水装置。</w:t>
            </w:r>
          </w:p>
        </w:tc>
        <w:tc>
          <w:tcPr>
            <w:tcW w:w="3260" w:type="dxa"/>
            <w:tcBorders>
              <w:top w:val="single" w:color="auto" w:sz="4" w:space="0"/>
              <w:left w:val="single" w:color="auto" w:sz="4" w:space="0"/>
              <w:bottom w:val="single" w:color="auto" w:sz="4" w:space="0"/>
              <w:right w:val="single" w:color="auto" w:sz="4" w:space="0"/>
            </w:tcBorders>
            <w:vAlign w:val="center"/>
          </w:tcPr>
          <w:p w14:paraId="1DA3491E">
            <w:pPr>
              <w:spacing w:line="240" w:lineRule="auto"/>
              <w:ind w:firstLine="0" w:firstLineChars="0"/>
              <w:jc w:val="center"/>
              <w:rPr>
                <w:rFonts w:hint="eastAsia"/>
                <w:color w:val="auto"/>
                <w:sz w:val="21"/>
              </w:rPr>
            </w:pPr>
            <w:r>
              <w:rPr>
                <w:rFonts w:hint="eastAsia"/>
                <w:color w:val="auto"/>
                <w:sz w:val="21"/>
              </w:rPr>
              <w:t>水平尺和尺量检查</w:t>
            </w:r>
          </w:p>
        </w:tc>
      </w:tr>
      <w:tr w14:paraId="0142C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9639294">
            <w:pPr>
              <w:spacing w:line="240" w:lineRule="auto"/>
              <w:ind w:firstLine="0" w:firstLineChars="0"/>
              <w:jc w:val="center"/>
              <w:rPr>
                <w:rFonts w:hint="eastAsia"/>
                <w:color w:val="auto"/>
                <w:sz w:val="21"/>
              </w:rPr>
            </w:pPr>
            <w:r>
              <w:rPr>
                <w:rFonts w:hint="eastAsia"/>
                <w:color w:val="auto"/>
                <w:sz w:val="21"/>
              </w:rPr>
              <w:t>8</w:t>
            </w:r>
          </w:p>
        </w:tc>
        <w:tc>
          <w:tcPr>
            <w:tcW w:w="709" w:type="dxa"/>
            <w:vMerge w:val="continue"/>
            <w:tcBorders>
              <w:top w:val="nil"/>
              <w:left w:val="single" w:color="auto" w:sz="4" w:space="0"/>
              <w:bottom w:val="single" w:color="auto" w:sz="4" w:space="0"/>
              <w:right w:val="single" w:color="auto" w:sz="4" w:space="0"/>
            </w:tcBorders>
            <w:vAlign w:val="center"/>
          </w:tcPr>
          <w:p w14:paraId="0BFB0EC3">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3971FDE5">
            <w:pPr>
              <w:spacing w:line="240" w:lineRule="auto"/>
              <w:ind w:firstLine="0" w:firstLineChars="0"/>
              <w:jc w:val="center"/>
              <w:rPr>
                <w:rFonts w:hint="eastAsia"/>
                <w:color w:val="auto"/>
                <w:sz w:val="21"/>
              </w:rPr>
            </w:pPr>
            <w:r>
              <w:rPr>
                <w:rFonts w:hint="eastAsia"/>
                <w:color w:val="auto"/>
                <w:sz w:val="21"/>
              </w:rPr>
              <w:t>管道的支、吊架安装应平整牢固，其间距应符合规范规定</w:t>
            </w:r>
          </w:p>
        </w:tc>
        <w:tc>
          <w:tcPr>
            <w:tcW w:w="3260" w:type="dxa"/>
            <w:tcBorders>
              <w:top w:val="single" w:color="auto" w:sz="4" w:space="0"/>
              <w:left w:val="single" w:color="auto" w:sz="4" w:space="0"/>
              <w:bottom w:val="single" w:color="auto" w:sz="4" w:space="0"/>
              <w:right w:val="single" w:color="auto" w:sz="4" w:space="0"/>
            </w:tcBorders>
            <w:vAlign w:val="center"/>
          </w:tcPr>
          <w:p w14:paraId="652616BA">
            <w:pPr>
              <w:spacing w:line="240" w:lineRule="auto"/>
              <w:ind w:firstLine="0" w:firstLineChars="0"/>
              <w:jc w:val="center"/>
              <w:rPr>
                <w:rFonts w:hint="eastAsia"/>
                <w:color w:val="auto"/>
                <w:sz w:val="21"/>
              </w:rPr>
            </w:pPr>
            <w:r>
              <w:rPr>
                <w:rFonts w:hint="eastAsia"/>
                <w:color w:val="auto"/>
                <w:sz w:val="21"/>
              </w:rPr>
              <w:t>观察、尺量及手扳检查。</w:t>
            </w:r>
          </w:p>
        </w:tc>
      </w:tr>
      <w:tr w14:paraId="6A403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9631337">
            <w:pPr>
              <w:spacing w:line="240" w:lineRule="auto"/>
              <w:ind w:firstLine="0" w:firstLineChars="0"/>
              <w:jc w:val="center"/>
              <w:rPr>
                <w:rFonts w:hint="eastAsia"/>
                <w:color w:val="auto"/>
                <w:sz w:val="21"/>
              </w:rPr>
            </w:pPr>
            <w:r>
              <w:rPr>
                <w:rFonts w:hint="eastAsia"/>
                <w:color w:val="auto"/>
                <w:sz w:val="21"/>
              </w:rPr>
              <w:t>9</w:t>
            </w:r>
          </w:p>
        </w:tc>
        <w:tc>
          <w:tcPr>
            <w:tcW w:w="709" w:type="dxa"/>
            <w:vMerge w:val="continue"/>
            <w:tcBorders>
              <w:top w:val="nil"/>
              <w:left w:val="single" w:color="auto" w:sz="4" w:space="0"/>
              <w:bottom w:val="single" w:color="auto" w:sz="4" w:space="0"/>
              <w:right w:val="single" w:color="auto" w:sz="4" w:space="0"/>
            </w:tcBorders>
            <w:vAlign w:val="center"/>
          </w:tcPr>
          <w:p w14:paraId="68E5270E">
            <w:pPr>
              <w:spacing w:line="240" w:lineRule="auto"/>
              <w:ind w:firstLine="0" w:firstLineChars="0"/>
              <w:jc w:val="center"/>
              <w:rPr>
                <w:color w:val="auto"/>
                <w:sz w:val="21"/>
              </w:rPr>
            </w:pPr>
          </w:p>
        </w:tc>
        <w:tc>
          <w:tcPr>
            <w:tcW w:w="3544" w:type="dxa"/>
            <w:tcBorders>
              <w:top w:val="single" w:color="auto" w:sz="4" w:space="0"/>
              <w:left w:val="single" w:color="auto" w:sz="4" w:space="0"/>
              <w:bottom w:val="single" w:color="auto" w:sz="4" w:space="0"/>
              <w:right w:val="single" w:color="auto" w:sz="4" w:space="0"/>
            </w:tcBorders>
            <w:vAlign w:val="center"/>
          </w:tcPr>
          <w:p w14:paraId="3A18360D">
            <w:pPr>
              <w:spacing w:line="240" w:lineRule="auto"/>
              <w:ind w:firstLine="0" w:firstLineChars="0"/>
              <w:jc w:val="center"/>
              <w:rPr>
                <w:rFonts w:hint="eastAsia"/>
                <w:color w:val="auto"/>
                <w:sz w:val="21"/>
              </w:rPr>
            </w:pPr>
            <w:r>
              <w:rPr>
                <w:rFonts w:hint="eastAsia"/>
                <w:color w:val="auto"/>
                <w:sz w:val="21"/>
              </w:rPr>
              <w:t>水表应安装在便于检修、不受曝晒、污染和冻结的地方。安装螺翼式水表，表前与阀门应有不小于8倍水表接口直径的直线管段。表外壳距墙表面净距为10～30mm；水表进水口中心标高按设计要求，允许偏差为士10mm。</w:t>
            </w:r>
          </w:p>
        </w:tc>
        <w:tc>
          <w:tcPr>
            <w:tcW w:w="3260" w:type="dxa"/>
            <w:tcBorders>
              <w:top w:val="single" w:color="auto" w:sz="4" w:space="0"/>
              <w:left w:val="single" w:color="auto" w:sz="4" w:space="0"/>
              <w:bottom w:val="single" w:color="auto" w:sz="4" w:space="0"/>
              <w:right w:val="single" w:color="auto" w:sz="4" w:space="0"/>
            </w:tcBorders>
            <w:vAlign w:val="center"/>
          </w:tcPr>
          <w:p w14:paraId="4DDE7520">
            <w:pPr>
              <w:spacing w:line="240" w:lineRule="auto"/>
              <w:ind w:firstLine="0" w:firstLineChars="0"/>
              <w:jc w:val="center"/>
              <w:rPr>
                <w:rFonts w:hint="eastAsia"/>
                <w:color w:val="auto"/>
                <w:sz w:val="21"/>
              </w:rPr>
            </w:pPr>
            <w:r>
              <w:rPr>
                <w:rFonts w:hint="eastAsia"/>
                <w:color w:val="auto"/>
                <w:sz w:val="21"/>
              </w:rPr>
              <w:t>观察和尺量检查。</w:t>
            </w:r>
          </w:p>
        </w:tc>
      </w:tr>
    </w:tbl>
    <w:p w14:paraId="3C5ADA85">
      <w:pPr>
        <w:rPr>
          <w:rFonts w:hint="eastAsia"/>
          <w:color w:val="auto"/>
        </w:rPr>
      </w:pPr>
      <w:r>
        <w:rPr>
          <w:rFonts w:hint="eastAsia"/>
          <w:color w:val="auto"/>
        </w:rPr>
        <w:t>（2）给水设备安装</w:t>
      </w:r>
    </w:p>
    <w:p w14:paraId="047DFD02">
      <w:pPr>
        <w:pStyle w:val="54"/>
        <w:rPr>
          <w:rFonts w:hint="eastAsia"/>
          <w:color w:val="auto"/>
        </w:rPr>
      </w:pPr>
      <w:r>
        <w:rPr>
          <w:rFonts w:hint="eastAsia"/>
          <w:color w:val="auto"/>
        </w:rPr>
        <w:t xml:space="preserve"> 给水设备安装</w:t>
      </w:r>
    </w:p>
    <w:tbl>
      <w:tblPr>
        <w:tblStyle w:val="29"/>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4536"/>
        <w:gridCol w:w="2410"/>
      </w:tblGrid>
      <w:tr w14:paraId="66564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05FDD49">
            <w:pPr>
              <w:spacing w:line="240" w:lineRule="auto"/>
              <w:ind w:firstLine="0" w:firstLineChars="0"/>
              <w:jc w:val="center"/>
              <w:rPr>
                <w:rFonts w:hint="eastAsia"/>
                <w:color w:val="auto"/>
                <w:sz w:val="21"/>
              </w:rPr>
            </w:pPr>
            <w:r>
              <w:rPr>
                <w:rFonts w:hint="eastAsia"/>
                <w:color w:val="auto"/>
                <w:sz w:val="21"/>
              </w:rPr>
              <w:t>序号</w:t>
            </w:r>
          </w:p>
        </w:tc>
        <w:tc>
          <w:tcPr>
            <w:tcW w:w="1134" w:type="dxa"/>
            <w:tcBorders>
              <w:top w:val="single" w:color="auto" w:sz="4" w:space="0"/>
              <w:left w:val="single" w:color="auto" w:sz="4" w:space="0"/>
              <w:bottom w:val="single" w:color="auto" w:sz="4" w:space="0"/>
              <w:right w:val="single" w:color="auto" w:sz="4" w:space="0"/>
            </w:tcBorders>
            <w:vAlign w:val="center"/>
          </w:tcPr>
          <w:p w14:paraId="28B93621">
            <w:pPr>
              <w:spacing w:line="240" w:lineRule="auto"/>
              <w:ind w:firstLine="0" w:firstLineChars="0"/>
              <w:jc w:val="center"/>
              <w:rPr>
                <w:rFonts w:hint="eastAsia"/>
                <w:color w:val="auto"/>
                <w:sz w:val="21"/>
              </w:rPr>
            </w:pPr>
            <w:r>
              <w:rPr>
                <w:rFonts w:hint="eastAsia"/>
                <w:color w:val="auto"/>
                <w:sz w:val="21"/>
              </w:rPr>
              <w:t>项目类型</w:t>
            </w:r>
          </w:p>
        </w:tc>
        <w:tc>
          <w:tcPr>
            <w:tcW w:w="4536" w:type="dxa"/>
            <w:tcBorders>
              <w:top w:val="single" w:color="auto" w:sz="4" w:space="0"/>
              <w:left w:val="single" w:color="auto" w:sz="4" w:space="0"/>
              <w:bottom w:val="single" w:color="auto" w:sz="4" w:space="0"/>
              <w:right w:val="single" w:color="auto" w:sz="4" w:space="0"/>
            </w:tcBorders>
            <w:vAlign w:val="center"/>
          </w:tcPr>
          <w:p w14:paraId="645E4629">
            <w:pPr>
              <w:spacing w:line="240" w:lineRule="auto"/>
              <w:ind w:firstLine="0" w:firstLineChars="0"/>
              <w:jc w:val="center"/>
              <w:rPr>
                <w:rFonts w:hint="eastAsia"/>
                <w:color w:val="auto"/>
                <w:sz w:val="21"/>
              </w:rPr>
            </w:pPr>
            <w:r>
              <w:rPr>
                <w:rFonts w:hint="eastAsia"/>
                <w:color w:val="auto"/>
                <w:sz w:val="21"/>
              </w:rPr>
              <w:t>内容</w:t>
            </w:r>
          </w:p>
        </w:tc>
        <w:tc>
          <w:tcPr>
            <w:tcW w:w="2410" w:type="dxa"/>
            <w:tcBorders>
              <w:top w:val="single" w:color="auto" w:sz="4" w:space="0"/>
              <w:left w:val="single" w:color="auto" w:sz="4" w:space="0"/>
              <w:bottom w:val="single" w:color="auto" w:sz="4" w:space="0"/>
              <w:right w:val="single" w:color="auto" w:sz="4" w:space="0"/>
            </w:tcBorders>
            <w:vAlign w:val="center"/>
          </w:tcPr>
          <w:p w14:paraId="0FB67940">
            <w:pPr>
              <w:spacing w:line="240" w:lineRule="auto"/>
              <w:ind w:firstLine="0" w:firstLineChars="0"/>
              <w:jc w:val="center"/>
              <w:rPr>
                <w:rFonts w:hint="eastAsia"/>
                <w:color w:val="auto"/>
                <w:sz w:val="21"/>
              </w:rPr>
            </w:pPr>
            <w:r>
              <w:rPr>
                <w:rFonts w:hint="eastAsia"/>
                <w:color w:val="auto"/>
                <w:sz w:val="21"/>
              </w:rPr>
              <w:t>检测方法</w:t>
            </w:r>
          </w:p>
        </w:tc>
      </w:tr>
      <w:tr w14:paraId="0531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689CC3A">
            <w:pPr>
              <w:spacing w:line="240" w:lineRule="auto"/>
              <w:ind w:firstLine="0" w:firstLineChars="0"/>
              <w:jc w:val="center"/>
              <w:rPr>
                <w:rFonts w:hint="eastAsia"/>
                <w:color w:val="auto"/>
                <w:sz w:val="21"/>
              </w:rPr>
            </w:pPr>
            <w:r>
              <w:rPr>
                <w:rFonts w:hint="eastAsia"/>
                <w:color w:val="auto"/>
                <w:sz w:val="21"/>
              </w:rPr>
              <w:t>1</w:t>
            </w:r>
          </w:p>
        </w:tc>
        <w:tc>
          <w:tcPr>
            <w:tcW w:w="1134" w:type="dxa"/>
            <w:vMerge w:val="restart"/>
            <w:tcBorders>
              <w:top w:val="nil"/>
              <w:left w:val="single" w:color="auto" w:sz="4" w:space="0"/>
              <w:bottom w:val="single" w:color="auto" w:sz="4" w:space="0"/>
              <w:right w:val="single" w:color="auto" w:sz="4" w:space="0"/>
            </w:tcBorders>
            <w:vAlign w:val="center"/>
          </w:tcPr>
          <w:p w14:paraId="3F6C8D22">
            <w:pPr>
              <w:spacing w:line="240" w:lineRule="auto"/>
              <w:ind w:firstLine="0" w:firstLineChars="0"/>
              <w:jc w:val="center"/>
              <w:rPr>
                <w:rFonts w:hint="eastAsia"/>
                <w:color w:val="auto"/>
                <w:sz w:val="21"/>
              </w:rPr>
            </w:pPr>
            <w:r>
              <w:rPr>
                <w:rFonts w:hint="eastAsia"/>
                <w:color w:val="auto"/>
                <w:sz w:val="21"/>
              </w:rPr>
              <w:t>主控项目</w:t>
            </w:r>
          </w:p>
        </w:tc>
        <w:tc>
          <w:tcPr>
            <w:tcW w:w="4536" w:type="dxa"/>
            <w:tcBorders>
              <w:top w:val="single" w:color="auto" w:sz="4" w:space="0"/>
              <w:left w:val="single" w:color="auto" w:sz="4" w:space="0"/>
              <w:bottom w:val="single" w:color="auto" w:sz="4" w:space="0"/>
              <w:right w:val="single" w:color="auto" w:sz="4" w:space="0"/>
            </w:tcBorders>
            <w:vAlign w:val="center"/>
          </w:tcPr>
          <w:p w14:paraId="426F36CE">
            <w:pPr>
              <w:spacing w:line="240" w:lineRule="auto"/>
              <w:ind w:firstLine="0" w:firstLineChars="0"/>
              <w:jc w:val="center"/>
              <w:rPr>
                <w:rFonts w:hint="eastAsia"/>
                <w:color w:val="auto"/>
                <w:sz w:val="21"/>
              </w:rPr>
            </w:pPr>
            <w:r>
              <w:rPr>
                <w:rFonts w:hint="eastAsia"/>
                <w:color w:val="auto"/>
                <w:sz w:val="21"/>
              </w:rPr>
              <w:t>水泵就位前的基础混凝土强度、坐标、标高、尺寸和螺栓孔位置必须符合设计规定。</w:t>
            </w:r>
          </w:p>
        </w:tc>
        <w:tc>
          <w:tcPr>
            <w:tcW w:w="2410" w:type="dxa"/>
            <w:tcBorders>
              <w:top w:val="single" w:color="auto" w:sz="4" w:space="0"/>
              <w:left w:val="single" w:color="auto" w:sz="4" w:space="0"/>
              <w:bottom w:val="single" w:color="auto" w:sz="4" w:space="0"/>
              <w:right w:val="single" w:color="auto" w:sz="4" w:space="0"/>
            </w:tcBorders>
            <w:vAlign w:val="center"/>
          </w:tcPr>
          <w:p w14:paraId="3F96546D">
            <w:pPr>
              <w:spacing w:line="240" w:lineRule="auto"/>
              <w:ind w:firstLine="0" w:firstLineChars="0"/>
              <w:jc w:val="center"/>
              <w:rPr>
                <w:rFonts w:hint="eastAsia"/>
                <w:color w:val="auto"/>
                <w:sz w:val="21"/>
              </w:rPr>
            </w:pPr>
            <w:r>
              <w:rPr>
                <w:rFonts w:hint="eastAsia"/>
                <w:color w:val="auto"/>
                <w:sz w:val="21"/>
              </w:rPr>
              <w:t>对照图纸用仪器和尺量检查。</w:t>
            </w:r>
          </w:p>
        </w:tc>
      </w:tr>
      <w:tr w14:paraId="7F608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0AEEAFC">
            <w:pPr>
              <w:spacing w:line="240" w:lineRule="auto"/>
              <w:ind w:firstLine="0" w:firstLineChars="0"/>
              <w:jc w:val="center"/>
              <w:rPr>
                <w:rFonts w:hint="eastAsia"/>
                <w:color w:val="auto"/>
                <w:sz w:val="21"/>
              </w:rPr>
            </w:pPr>
            <w:r>
              <w:rPr>
                <w:rFonts w:hint="eastAsia"/>
                <w:color w:val="auto"/>
                <w:sz w:val="21"/>
              </w:rPr>
              <w:t>2</w:t>
            </w:r>
          </w:p>
        </w:tc>
        <w:tc>
          <w:tcPr>
            <w:tcW w:w="1134" w:type="dxa"/>
            <w:vMerge w:val="continue"/>
            <w:tcBorders>
              <w:top w:val="nil"/>
              <w:left w:val="single" w:color="auto" w:sz="4" w:space="0"/>
              <w:bottom w:val="single" w:color="auto" w:sz="4" w:space="0"/>
              <w:right w:val="single" w:color="auto" w:sz="4" w:space="0"/>
            </w:tcBorders>
            <w:vAlign w:val="center"/>
          </w:tcPr>
          <w:p w14:paraId="3179AEE6">
            <w:pPr>
              <w:spacing w:line="240" w:lineRule="auto"/>
              <w:ind w:firstLine="0" w:firstLineChars="0"/>
              <w:jc w:val="center"/>
              <w:rPr>
                <w:color w:val="auto"/>
                <w:sz w:val="21"/>
              </w:rPr>
            </w:pPr>
          </w:p>
        </w:tc>
        <w:tc>
          <w:tcPr>
            <w:tcW w:w="4536" w:type="dxa"/>
            <w:tcBorders>
              <w:top w:val="single" w:color="auto" w:sz="4" w:space="0"/>
              <w:left w:val="single" w:color="auto" w:sz="4" w:space="0"/>
              <w:bottom w:val="single" w:color="auto" w:sz="4" w:space="0"/>
              <w:right w:val="single" w:color="auto" w:sz="4" w:space="0"/>
            </w:tcBorders>
            <w:vAlign w:val="center"/>
          </w:tcPr>
          <w:p w14:paraId="24376FDE">
            <w:pPr>
              <w:spacing w:line="240" w:lineRule="auto"/>
              <w:ind w:firstLine="0" w:firstLineChars="0"/>
              <w:jc w:val="center"/>
              <w:rPr>
                <w:rFonts w:hint="eastAsia"/>
                <w:color w:val="auto"/>
                <w:sz w:val="21"/>
              </w:rPr>
            </w:pPr>
            <w:r>
              <w:rPr>
                <w:rFonts w:hint="eastAsia"/>
                <w:color w:val="auto"/>
                <w:sz w:val="21"/>
              </w:rPr>
              <w:t>水泵试运转的轴承温升必须符合设备说明书的规定。</w:t>
            </w:r>
          </w:p>
        </w:tc>
        <w:tc>
          <w:tcPr>
            <w:tcW w:w="2410" w:type="dxa"/>
            <w:tcBorders>
              <w:top w:val="single" w:color="auto" w:sz="4" w:space="0"/>
              <w:left w:val="single" w:color="auto" w:sz="4" w:space="0"/>
              <w:bottom w:val="single" w:color="auto" w:sz="4" w:space="0"/>
              <w:right w:val="single" w:color="auto" w:sz="4" w:space="0"/>
            </w:tcBorders>
            <w:vAlign w:val="center"/>
          </w:tcPr>
          <w:p w14:paraId="7DCB67F8">
            <w:pPr>
              <w:spacing w:line="240" w:lineRule="auto"/>
              <w:ind w:firstLine="0" w:firstLineChars="0"/>
              <w:jc w:val="center"/>
              <w:rPr>
                <w:rFonts w:hint="eastAsia"/>
                <w:color w:val="auto"/>
                <w:sz w:val="21"/>
              </w:rPr>
            </w:pPr>
            <w:r>
              <w:rPr>
                <w:rFonts w:hint="eastAsia"/>
                <w:color w:val="auto"/>
                <w:sz w:val="21"/>
              </w:rPr>
              <w:t>温度计实测检查</w:t>
            </w:r>
          </w:p>
        </w:tc>
      </w:tr>
      <w:tr w14:paraId="4D7F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5AE68FB">
            <w:pPr>
              <w:spacing w:line="240" w:lineRule="auto"/>
              <w:ind w:firstLine="0" w:firstLineChars="0"/>
              <w:jc w:val="center"/>
              <w:rPr>
                <w:rFonts w:hint="eastAsia"/>
                <w:color w:val="auto"/>
                <w:sz w:val="21"/>
              </w:rPr>
            </w:pPr>
            <w:r>
              <w:rPr>
                <w:rFonts w:hint="eastAsia"/>
                <w:color w:val="auto"/>
                <w:sz w:val="21"/>
              </w:rPr>
              <w:t>3</w:t>
            </w:r>
          </w:p>
        </w:tc>
        <w:tc>
          <w:tcPr>
            <w:tcW w:w="1134" w:type="dxa"/>
            <w:vMerge w:val="continue"/>
            <w:tcBorders>
              <w:top w:val="nil"/>
              <w:left w:val="single" w:color="auto" w:sz="4" w:space="0"/>
              <w:bottom w:val="single" w:color="auto" w:sz="4" w:space="0"/>
              <w:right w:val="single" w:color="auto" w:sz="4" w:space="0"/>
            </w:tcBorders>
            <w:vAlign w:val="center"/>
          </w:tcPr>
          <w:p w14:paraId="7EFE313B">
            <w:pPr>
              <w:spacing w:line="240" w:lineRule="auto"/>
              <w:ind w:firstLine="0" w:firstLineChars="0"/>
              <w:jc w:val="center"/>
              <w:rPr>
                <w:color w:val="auto"/>
                <w:sz w:val="21"/>
              </w:rPr>
            </w:pPr>
          </w:p>
        </w:tc>
        <w:tc>
          <w:tcPr>
            <w:tcW w:w="4536" w:type="dxa"/>
            <w:tcBorders>
              <w:top w:val="single" w:color="auto" w:sz="4" w:space="0"/>
              <w:left w:val="single" w:color="auto" w:sz="4" w:space="0"/>
              <w:bottom w:val="single" w:color="auto" w:sz="4" w:space="0"/>
              <w:right w:val="single" w:color="auto" w:sz="4" w:space="0"/>
            </w:tcBorders>
            <w:vAlign w:val="center"/>
          </w:tcPr>
          <w:p w14:paraId="78B3B2A5">
            <w:pPr>
              <w:spacing w:line="240" w:lineRule="auto"/>
              <w:ind w:firstLine="0" w:firstLineChars="0"/>
              <w:jc w:val="center"/>
              <w:rPr>
                <w:rFonts w:hint="eastAsia"/>
                <w:color w:val="auto"/>
                <w:sz w:val="21"/>
              </w:rPr>
            </w:pPr>
            <w:r>
              <w:rPr>
                <w:rFonts w:hint="eastAsia"/>
                <w:color w:val="auto"/>
                <w:sz w:val="21"/>
              </w:rPr>
              <w:t>敞口水箱的满水试验和密闭水箱（罐）的水压试验必须符合设计与规范规定。</w:t>
            </w:r>
          </w:p>
        </w:tc>
        <w:tc>
          <w:tcPr>
            <w:tcW w:w="2410" w:type="dxa"/>
            <w:tcBorders>
              <w:top w:val="single" w:color="auto" w:sz="4" w:space="0"/>
              <w:left w:val="single" w:color="auto" w:sz="4" w:space="0"/>
              <w:bottom w:val="single" w:color="auto" w:sz="4" w:space="0"/>
              <w:right w:val="single" w:color="auto" w:sz="4" w:space="0"/>
            </w:tcBorders>
            <w:vAlign w:val="center"/>
          </w:tcPr>
          <w:p w14:paraId="20D95ADB">
            <w:pPr>
              <w:spacing w:line="240" w:lineRule="auto"/>
              <w:ind w:firstLine="0" w:firstLineChars="0"/>
              <w:jc w:val="center"/>
              <w:rPr>
                <w:rFonts w:hint="eastAsia"/>
                <w:color w:val="auto"/>
                <w:sz w:val="21"/>
              </w:rPr>
            </w:pPr>
            <w:r>
              <w:rPr>
                <w:rFonts w:hint="eastAsia"/>
                <w:color w:val="auto"/>
                <w:sz w:val="21"/>
              </w:rPr>
              <w:t>满水试验静置24h观察，不渗不漏；水压试验在试验压力下10min压力不降，不渗不漏</w:t>
            </w:r>
          </w:p>
        </w:tc>
      </w:tr>
      <w:tr w14:paraId="40A9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5F6145B">
            <w:pPr>
              <w:spacing w:line="240" w:lineRule="auto"/>
              <w:ind w:firstLine="0" w:firstLineChars="0"/>
              <w:jc w:val="center"/>
              <w:rPr>
                <w:rFonts w:hint="eastAsia"/>
                <w:color w:val="auto"/>
                <w:sz w:val="21"/>
              </w:rPr>
            </w:pPr>
            <w:r>
              <w:rPr>
                <w:rFonts w:hint="eastAsia"/>
                <w:color w:val="auto"/>
                <w:sz w:val="21"/>
              </w:rPr>
              <w:t>4</w:t>
            </w:r>
          </w:p>
        </w:tc>
        <w:tc>
          <w:tcPr>
            <w:tcW w:w="1134" w:type="dxa"/>
            <w:vMerge w:val="restart"/>
            <w:tcBorders>
              <w:top w:val="nil"/>
              <w:left w:val="single" w:color="auto" w:sz="4" w:space="0"/>
              <w:bottom w:val="single" w:color="auto" w:sz="4" w:space="0"/>
              <w:right w:val="single" w:color="auto" w:sz="4" w:space="0"/>
            </w:tcBorders>
            <w:vAlign w:val="center"/>
          </w:tcPr>
          <w:p w14:paraId="6C77A911">
            <w:pPr>
              <w:spacing w:line="240" w:lineRule="auto"/>
              <w:ind w:firstLine="0" w:firstLineChars="0"/>
              <w:jc w:val="center"/>
              <w:rPr>
                <w:rFonts w:hint="eastAsia"/>
                <w:color w:val="auto"/>
                <w:sz w:val="21"/>
              </w:rPr>
            </w:pPr>
            <w:r>
              <w:rPr>
                <w:rFonts w:hint="eastAsia"/>
                <w:color w:val="auto"/>
                <w:sz w:val="21"/>
              </w:rPr>
              <w:t>一般项目</w:t>
            </w:r>
          </w:p>
        </w:tc>
        <w:tc>
          <w:tcPr>
            <w:tcW w:w="4536" w:type="dxa"/>
            <w:tcBorders>
              <w:top w:val="single" w:color="auto" w:sz="4" w:space="0"/>
              <w:left w:val="single" w:color="auto" w:sz="4" w:space="0"/>
              <w:bottom w:val="single" w:color="auto" w:sz="4" w:space="0"/>
              <w:right w:val="single" w:color="auto" w:sz="4" w:space="0"/>
            </w:tcBorders>
            <w:vAlign w:val="center"/>
          </w:tcPr>
          <w:p w14:paraId="459DF25A">
            <w:pPr>
              <w:spacing w:line="240" w:lineRule="auto"/>
              <w:ind w:firstLine="0" w:firstLineChars="0"/>
              <w:jc w:val="center"/>
              <w:rPr>
                <w:rFonts w:hint="eastAsia"/>
                <w:color w:val="auto"/>
                <w:sz w:val="21"/>
              </w:rPr>
            </w:pPr>
            <w:r>
              <w:rPr>
                <w:rFonts w:hint="eastAsia"/>
                <w:color w:val="auto"/>
                <w:sz w:val="21"/>
              </w:rPr>
              <w:t>水箱支架或底座安装，其尺寸及位置应符合设计规定，埋设平整牢固。</w:t>
            </w:r>
          </w:p>
          <w:p w14:paraId="5767463A">
            <w:pPr>
              <w:spacing w:line="240" w:lineRule="auto"/>
              <w:ind w:firstLine="0" w:firstLineChars="0"/>
              <w:jc w:val="center"/>
              <w:rPr>
                <w:rFonts w:hint="eastAsia"/>
                <w:color w:val="auto"/>
                <w:sz w:val="21"/>
              </w:rPr>
            </w:pPr>
            <w:r>
              <w:rPr>
                <w:rFonts w:hint="eastAsia"/>
                <w:color w:val="auto"/>
                <w:sz w:val="21"/>
              </w:rPr>
              <w:t>水箱溢流管和泄放管应设置在排水地点附近但不得与排水管直接连接。</w:t>
            </w:r>
          </w:p>
        </w:tc>
        <w:tc>
          <w:tcPr>
            <w:tcW w:w="2410" w:type="dxa"/>
            <w:tcBorders>
              <w:top w:val="single" w:color="auto" w:sz="4" w:space="0"/>
              <w:left w:val="single" w:color="auto" w:sz="4" w:space="0"/>
              <w:bottom w:val="single" w:color="auto" w:sz="4" w:space="0"/>
              <w:right w:val="single" w:color="auto" w:sz="4" w:space="0"/>
            </w:tcBorders>
            <w:vAlign w:val="center"/>
          </w:tcPr>
          <w:p w14:paraId="2FFE0F9D">
            <w:pPr>
              <w:spacing w:line="240" w:lineRule="auto"/>
              <w:ind w:firstLine="0" w:firstLineChars="0"/>
              <w:jc w:val="center"/>
              <w:rPr>
                <w:rFonts w:hint="eastAsia"/>
                <w:color w:val="auto"/>
                <w:sz w:val="21"/>
              </w:rPr>
            </w:pPr>
            <w:r>
              <w:rPr>
                <w:rFonts w:hint="eastAsia"/>
                <w:color w:val="auto"/>
                <w:sz w:val="21"/>
              </w:rPr>
              <w:t>观察检查</w:t>
            </w:r>
          </w:p>
        </w:tc>
      </w:tr>
      <w:tr w14:paraId="607A1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D2F55B0">
            <w:pPr>
              <w:spacing w:line="240" w:lineRule="auto"/>
              <w:ind w:firstLine="0" w:firstLineChars="0"/>
              <w:jc w:val="center"/>
              <w:rPr>
                <w:rFonts w:hint="eastAsia"/>
                <w:color w:val="auto"/>
                <w:sz w:val="21"/>
              </w:rPr>
            </w:pPr>
            <w:r>
              <w:rPr>
                <w:rFonts w:hint="eastAsia"/>
                <w:color w:val="auto"/>
                <w:sz w:val="21"/>
              </w:rPr>
              <w:t>5</w:t>
            </w:r>
          </w:p>
        </w:tc>
        <w:tc>
          <w:tcPr>
            <w:tcW w:w="1134" w:type="dxa"/>
            <w:vMerge w:val="continue"/>
            <w:tcBorders>
              <w:top w:val="nil"/>
              <w:left w:val="single" w:color="auto" w:sz="4" w:space="0"/>
              <w:bottom w:val="single" w:color="auto" w:sz="4" w:space="0"/>
              <w:right w:val="single" w:color="auto" w:sz="4" w:space="0"/>
            </w:tcBorders>
            <w:vAlign w:val="center"/>
          </w:tcPr>
          <w:p w14:paraId="2BF70D97">
            <w:pPr>
              <w:spacing w:line="240" w:lineRule="auto"/>
              <w:ind w:firstLine="0" w:firstLineChars="0"/>
              <w:jc w:val="center"/>
              <w:rPr>
                <w:color w:val="auto"/>
                <w:sz w:val="21"/>
              </w:rPr>
            </w:pPr>
          </w:p>
        </w:tc>
        <w:tc>
          <w:tcPr>
            <w:tcW w:w="4536" w:type="dxa"/>
            <w:tcBorders>
              <w:top w:val="single" w:color="auto" w:sz="4" w:space="0"/>
              <w:left w:val="single" w:color="auto" w:sz="4" w:space="0"/>
              <w:bottom w:val="single" w:color="auto" w:sz="4" w:space="0"/>
              <w:right w:val="single" w:color="auto" w:sz="4" w:space="0"/>
            </w:tcBorders>
            <w:vAlign w:val="center"/>
          </w:tcPr>
          <w:p w14:paraId="3FD12CBA">
            <w:pPr>
              <w:spacing w:line="240" w:lineRule="auto"/>
              <w:ind w:firstLine="0" w:firstLineChars="0"/>
              <w:jc w:val="center"/>
              <w:rPr>
                <w:rFonts w:hint="eastAsia"/>
                <w:color w:val="auto"/>
                <w:sz w:val="21"/>
              </w:rPr>
            </w:pPr>
            <w:r>
              <w:rPr>
                <w:rFonts w:hint="eastAsia"/>
                <w:color w:val="auto"/>
                <w:sz w:val="21"/>
              </w:rPr>
              <w:t>立式水泵的减振装置不应采用弹簧减振器</w:t>
            </w:r>
          </w:p>
        </w:tc>
        <w:tc>
          <w:tcPr>
            <w:tcW w:w="2410" w:type="dxa"/>
            <w:tcBorders>
              <w:top w:val="single" w:color="auto" w:sz="4" w:space="0"/>
              <w:left w:val="single" w:color="auto" w:sz="4" w:space="0"/>
              <w:bottom w:val="single" w:color="auto" w:sz="4" w:space="0"/>
              <w:right w:val="single" w:color="auto" w:sz="4" w:space="0"/>
            </w:tcBorders>
            <w:vAlign w:val="center"/>
          </w:tcPr>
          <w:p w14:paraId="56ADB15D">
            <w:pPr>
              <w:spacing w:line="240" w:lineRule="auto"/>
              <w:ind w:firstLine="0" w:firstLineChars="0"/>
              <w:jc w:val="center"/>
              <w:rPr>
                <w:rFonts w:hint="eastAsia"/>
                <w:color w:val="auto"/>
                <w:sz w:val="21"/>
              </w:rPr>
            </w:pPr>
            <w:r>
              <w:rPr>
                <w:rFonts w:hint="eastAsia"/>
                <w:color w:val="auto"/>
                <w:sz w:val="21"/>
              </w:rPr>
              <w:t>观察检查</w:t>
            </w:r>
          </w:p>
        </w:tc>
      </w:tr>
    </w:tbl>
    <w:p w14:paraId="46A32B38">
      <w:pPr>
        <w:pStyle w:val="54"/>
        <w:rPr>
          <w:rFonts w:hint="eastAsia"/>
          <w:color w:val="auto"/>
        </w:rPr>
      </w:pPr>
      <w:r>
        <w:rPr>
          <w:rFonts w:hint="eastAsia"/>
          <w:color w:val="auto"/>
        </w:rPr>
        <w:t xml:space="preserve"> 室内给水设备安装的允许偏差和检验方法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1"/>
        <w:gridCol w:w="747"/>
        <w:gridCol w:w="1054"/>
        <w:gridCol w:w="1421"/>
        <w:gridCol w:w="742"/>
        <w:gridCol w:w="4083"/>
        <w:gridCol w:w="222"/>
      </w:tblGrid>
      <w:tr w14:paraId="2FA3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454" w:hRule="atLeast"/>
        </w:trPr>
        <w:tc>
          <w:tcPr>
            <w:tcW w:w="818" w:type="dxa"/>
            <w:tcBorders>
              <w:top w:val="single" w:color="auto" w:sz="4" w:space="0"/>
              <w:left w:val="single" w:color="auto" w:sz="4" w:space="0"/>
              <w:bottom w:val="single" w:color="auto" w:sz="4" w:space="0"/>
              <w:right w:val="single" w:color="auto" w:sz="4" w:space="0"/>
            </w:tcBorders>
            <w:vAlign w:val="center"/>
          </w:tcPr>
          <w:p w14:paraId="7CBDE3B3">
            <w:pPr>
              <w:spacing w:line="240" w:lineRule="auto"/>
              <w:ind w:firstLine="0" w:firstLineChars="0"/>
              <w:jc w:val="center"/>
              <w:rPr>
                <w:rFonts w:hint="eastAsia"/>
                <w:color w:val="auto"/>
                <w:sz w:val="21"/>
              </w:rPr>
            </w:pPr>
            <w:r>
              <w:rPr>
                <w:rFonts w:hint="eastAsia"/>
                <w:color w:val="auto"/>
                <w:sz w:val="21"/>
              </w:rPr>
              <w:t>项次</w:t>
            </w:r>
          </w:p>
        </w:tc>
        <w:tc>
          <w:tcPr>
            <w:tcW w:w="3352" w:type="dxa"/>
            <w:gridSpan w:val="3"/>
            <w:tcBorders>
              <w:top w:val="single" w:color="auto" w:sz="4" w:space="0"/>
              <w:left w:val="single" w:color="auto" w:sz="4" w:space="0"/>
              <w:bottom w:val="single" w:color="auto" w:sz="4" w:space="0"/>
              <w:right w:val="single" w:color="auto" w:sz="4" w:space="0"/>
            </w:tcBorders>
            <w:vAlign w:val="center"/>
          </w:tcPr>
          <w:p w14:paraId="1BD53A7F">
            <w:pPr>
              <w:spacing w:line="240" w:lineRule="auto"/>
              <w:ind w:firstLine="0" w:firstLineChars="0"/>
              <w:jc w:val="center"/>
              <w:rPr>
                <w:rFonts w:hint="eastAsia"/>
                <w:color w:val="auto"/>
                <w:sz w:val="21"/>
              </w:rPr>
            </w:pPr>
            <w:r>
              <w:rPr>
                <w:rFonts w:hint="eastAsia"/>
                <w:color w:val="auto"/>
                <w:sz w:val="21"/>
              </w:rPr>
              <w:t>项目</w:t>
            </w:r>
          </w:p>
        </w:tc>
        <w:tc>
          <w:tcPr>
            <w:tcW w:w="758" w:type="dxa"/>
            <w:tcBorders>
              <w:top w:val="single" w:color="auto" w:sz="4" w:space="0"/>
              <w:left w:val="single" w:color="auto" w:sz="4" w:space="0"/>
              <w:bottom w:val="single" w:color="auto" w:sz="4" w:space="0"/>
              <w:right w:val="single" w:color="auto" w:sz="4" w:space="0"/>
            </w:tcBorders>
            <w:vAlign w:val="center"/>
          </w:tcPr>
          <w:p w14:paraId="5E31E656">
            <w:pPr>
              <w:spacing w:line="240" w:lineRule="auto"/>
              <w:ind w:firstLine="0" w:firstLineChars="0"/>
              <w:jc w:val="center"/>
              <w:rPr>
                <w:rFonts w:hint="eastAsia"/>
                <w:color w:val="auto"/>
                <w:sz w:val="21"/>
              </w:rPr>
            </w:pPr>
            <w:r>
              <w:rPr>
                <w:rFonts w:hint="eastAsia"/>
                <w:color w:val="auto"/>
                <w:sz w:val="21"/>
              </w:rPr>
              <w:t>允许偏差</w:t>
            </w:r>
          </w:p>
        </w:tc>
        <w:tc>
          <w:tcPr>
            <w:tcW w:w="4358" w:type="dxa"/>
            <w:tcBorders>
              <w:top w:val="single" w:color="auto" w:sz="4" w:space="0"/>
              <w:left w:val="single" w:color="auto" w:sz="4" w:space="0"/>
              <w:bottom w:val="single" w:color="auto" w:sz="4" w:space="0"/>
              <w:right w:val="single" w:color="auto" w:sz="4" w:space="0"/>
            </w:tcBorders>
            <w:vAlign w:val="center"/>
          </w:tcPr>
          <w:p w14:paraId="3B5E6708">
            <w:pPr>
              <w:spacing w:line="240" w:lineRule="auto"/>
              <w:ind w:firstLine="0" w:firstLineChars="0"/>
              <w:jc w:val="center"/>
              <w:rPr>
                <w:rFonts w:hint="eastAsia"/>
                <w:color w:val="auto"/>
                <w:sz w:val="21"/>
              </w:rPr>
            </w:pPr>
            <w:r>
              <w:rPr>
                <w:rFonts w:hint="eastAsia"/>
                <w:color w:val="auto"/>
                <w:sz w:val="21"/>
              </w:rPr>
              <w:t>检验方法</w:t>
            </w:r>
          </w:p>
        </w:tc>
      </w:tr>
      <w:tr w14:paraId="172E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454" w:hRule="atLeast"/>
        </w:trPr>
        <w:tc>
          <w:tcPr>
            <w:tcW w:w="818" w:type="dxa"/>
            <w:vMerge w:val="restart"/>
            <w:tcBorders>
              <w:top w:val="nil"/>
              <w:left w:val="single" w:color="auto" w:sz="4" w:space="0"/>
              <w:bottom w:val="single" w:color="auto" w:sz="4" w:space="0"/>
              <w:right w:val="single" w:color="auto" w:sz="4" w:space="0"/>
            </w:tcBorders>
            <w:vAlign w:val="center"/>
          </w:tcPr>
          <w:p w14:paraId="2A8F4A95">
            <w:pPr>
              <w:spacing w:line="240" w:lineRule="auto"/>
              <w:ind w:firstLine="0" w:firstLineChars="0"/>
              <w:jc w:val="center"/>
              <w:rPr>
                <w:rFonts w:hint="eastAsia"/>
                <w:color w:val="auto"/>
                <w:sz w:val="21"/>
              </w:rPr>
            </w:pPr>
            <w:r>
              <w:rPr>
                <w:rFonts w:hint="eastAsia"/>
                <w:color w:val="auto"/>
                <w:sz w:val="21"/>
              </w:rPr>
              <w:t>1</w:t>
            </w:r>
          </w:p>
        </w:tc>
        <w:tc>
          <w:tcPr>
            <w:tcW w:w="771" w:type="dxa"/>
            <w:vMerge w:val="restart"/>
            <w:tcBorders>
              <w:top w:val="nil"/>
              <w:left w:val="single" w:color="auto" w:sz="4" w:space="0"/>
              <w:bottom w:val="single" w:color="auto" w:sz="4" w:space="0"/>
              <w:right w:val="single" w:color="auto" w:sz="4" w:space="0"/>
            </w:tcBorders>
            <w:vAlign w:val="center"/>
          </w:tcPr>
          <w:p w14:paraId="562CF6A4">
            <w:pPr>
              <w:spacing w:line="240" w:lineRule="auto"/>
              <w:ind w:firstLine="0" w:firstLineChars="0"/>
              <w:jc w:val="center"/>
              <w:rPr>
                <w:rFonts w:hint="eastAsia"/>
                <w:color w:val="auto"/>
                <w:sz w:val="21"/>
              </w:rPr>
            </w:pPr>
            <w:r>
              <w:rPr>
                <w:rFonts w:hint="eastAsia"/>
                <w:color w:val="auto"/>
                <w:sz w:val="21"/>
              </w:rPr>
              <w:t>静置设备</w:t>
            </w:r>
          </w:p>
        </w:tc>
        <w:tc>
          <w:tcPr>
            <w:tcW w:w="2581" w:type="dxa"/>
            <w:gridSpan w:val="2"/>
            <w:tcBorders>
              <w:top w:val="single" w:color="auto" w:sz="4" w:space="0"/>
              <w:left w:val="single" w:color="auto" w:sz="4" w:space="0"/>
              <w:bottom w:val="single" w:color="auto" w:sz="4" w:space="0"/>
              <w:right w:val="single" w:color="auto" w:sz="4" w:space="0"/>
            </w:tcBorders>
            <w:vAlign w:val="center"/>
          </w:tcPr>
          <w:p w14:paraId="15FEDA7B">
            <w:pPr>
              <w:spacing w:line="240" w:lineRule="auto"/>
              <w:ind w:firstLine="0" w:firstLineChars="0"/>
              <w:jc w:val="center"/>
              <w:rPr>
                <w:rFonts w:hint="eastAsia"/>
                <w:color w:val="auto"/>
                <w:sz w:val="21"/>
              </w:rPr>
            </w:pPr>
            <w:r>
              <w:rPr>
                <w:rFonts w:hint="eastAsia"/>
                <w:color w:val="auto"/>
                <w:sz w:val="21"/>
              </w:rPr>
              <w:t>坐标</w:t>
            </w:r>
          </w:p>
        </w:tc>
        <w:tc>
          <w:tcPr>
            <w:tcW w:w="758" w:type="dxa"/>
            <w:tcBorders>
              <w:top w:val="single" w:color="auto" w:sz="4" w:space="0"/>
              <w:left w:val="single" w:color="auto" w:sz="4" w:space="0"/>
              <w:bottom w:val="single" w:color="auto" w:sz="4" w:space="0"/>
              <w:right w:val="single" w:color="auto" w:sz="4" w:space="0"/>
            </w:tcBorders>
            <w:vAlign w:val="center"/>
          </w:tcPr>
          <w:p w14:paraId="6D105F8C">
            <w:pPr>
              <w:spacing w:line="240" w:lineRule="auto"/>
              <w:ind w:firstLine="0" w:firstLineChars="0"/>
              <w:jc w:val="center"/>
              <w:rPr>
                <w:rFonts w:hint="eastAsia"/>
                <w:color w:val="auto"/>
                <w:sz w:val="21"/>
              </w:rPr>
            </w:pPr>
            <w:r>
              <w:rPr>
                <w:rFonts w:hint="eastAsia"/>
                <w:color w:val="auto"/>
                <w:sz w:val="21"/>
              </w:rPr>
              <w:t>15</w:t>
            </w:r>
          </w:p>
        </w:tc>
        <w:tc>
          <w:tcPr>
            <w:tcW w:w="4358" w:type="dxa"/>
            <w:tcBorders>
              <w:top w:val="single" w:color="auto" w:sz="4" w:space="0"/>
              <w:left w:val="single" w:color="auto" w:sz="4" w:space="0"/>
              <w:bottom w:val="single" w:color="auto" w:sz="4" w:space="0"/>
              <w:right w:val="single" w:color="auto" w:sz="4" w:space="0"/>
            </w:tcBorders>
            <w:vAlign w:val="center"/>
          </w:tcPr>
          <w:p w14:paraId="282E66E9">
            <w:pPr>
              <w:spacing w:line="240" w:lineRule="auto"/>
              <w:ind w:firstLine="0" w:firstLineChars="0"/>
              <w:jc w:val="center"/>
              <w:rPr>
                <w:rFonts w:hint="eastAsia"/>
                <w:color w:val="auto"/>
                <w:sz w:val="21"/>
              </w:rPr>
            </w:pPr>
            <w:r>
              <w:rPr>
                <w:rFonts w:hint="eastAsia"/>
                <w:color w:val="auto"/>
                <w:sz w:val="21"/>
              </w:rPr>
              <w:t>经纬仪或拉线/尺量</w:t>
            </w:r>
          </w:p>
        </w:tc>
      </w:tr>
      <w:tr w14:paraId="647AD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785F46F6">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A323709">
            <w:pPr>
              <w:spacing w:line="240" w:lineRule="auto"/>
              <w:ind w:firstLine="0" w:firstLineChars="0"/>
              <w:jc w:val="center"/>
              <w:rPr>
                <w:color w:val="auto"/>
                <w:sz w:val="21"/>
              </w:rPr>
            </w:pPr>
          </w:p>
        </w:tc>
        <w:tc>
          <w:tcPr>
            <w:tcW w:w="2581" w:type="dxa"/>
            <w:gridSpan w:val="2"/>
            <w:tcBorders>
              <w:top w:val="single" w:color="auto" w:sz="4" w:space="0"/>
              <w:left w:val="single" w:color="auto" w:sz="4" w:space="0"/>
              <w:bottom w:val="single" w:color="auto" w:sz="4" w:space="0"/>
              <w:right w:val="single" w:color="auto" w:sz="4" w:space="0"/>
            </w:tcBorders>
            <w:vAlign w:val="center"/>
          </w:tcPr>
          <w:p w14:paraId="73765538">
            <w:pPr>
              <w:spacing w:line="240" w:lineRule="auto"/>
              <w:ind w:firstLine="0" w:firstLineChars="0"/>
              <w:jc w:val="center"/>
              <w:rPr>
                <w:rFonts w:hint="eastAsia"/>
                <w:color w:val="auto"/>
                <w:sz w:val="21"/>
              </w:rPr>
            </w:pPr>
            <w:r>
              <w:rPr>
                <w:rFonts w:hint="eastAsia"/>
                <w:color w:val="auto"/>
                <w:sz w:val="21"/>
              </w:rPr>
              <w:t>标高</w:t>
            </w:r>
          </w:p>
        </w:tc>
        <w:tc>
          <w:tcPr>
            <w:tcW w:w="758" w:type="dxa"/>
            <w:tcBorders>
              <w:top w:val="single" w:color="auto" w:sz="4" w:space="0"/>
              <w:left w:val="single" w:color="auto" w:sz="4" w:space="0"/>
              <w:bottom w:val="single" w:color="auto" w:sz="4" w:space="0"/>
              <w:right w:val="single" w:color="auto" w:sz="4" w:space="0"/>
            </w:tcBorders>
            <w:vAlign w:val="center"/>
          </w:tcPr>
          <w:p w14:paraId="1DB0366A">
            <w:pPr>
              <w:spacing w:line="240" w:lineRule="auto"/>
              <w:ind w:firstLine="0" w:firstLineChars="0"/>
              <w:jc w:val="center"/>
              <w:rPr>
                <w:rFonts w:hint="eastAsia"/>
                <w:color w:val="auto"/>
                <w:sz w:val="21"/>
              </w:rPr>
            </w:pPr>
            <w:r>
              <w:rPr>
                <w:rFonts w:hint="eastAsia"/>
                <w:color w:val="auto"/>
                <w:sz w:val="21"/>
              </w:rPr>
              <w:t>±5</w:t>
            </w:r>
          </w:p>
        </w:tc>
        <w:tc>
          <w:tcPr>
            <w:tcW w:w="4358" w:type="dxa"/>
            <w:tcBorders>
              <w:top w:val="single" w:color="auto" w:sz="4" w:space="0"/>
              <w:left w:val="single" w:color="auto" w:sz="4" w:space="0"/>
              <w:bottom w:val="single" w:color="auto" w:sz="4" w:space="0"/>
              <w:right w:val="single" w:color="auto" w:sz="4" w:space="0"/>
            </w:tcBorders>
            <w:vAlign w:val="center"/>
          </w:tcPr>
          <w:p w14:paraId="0C2437BC">
            <w:pPr>
              <w:spacing w:line="240" w:lineRule="auto"/>
              <w:ind w:firstLine="0" w:firstLineChars="0"/>
              <w:jc w:val="center"/>
              <w:rPr>
                <w:rFonts w:hint="eastAsia"/>
                <w:color w:val="auto"/>
                <w:sz w:val="21"/>
              </w:rPr>
            </w:pPr>
            <w:r>
              <w:rPr>
                <w:rFonts w:hint="eastAsia"/>
                <w:color w:val="auto"/>
                <w:sz w:val="21"/>
              </w:rPr>
              <w:t>用水准仪/拉线和尺量检查</w:t>
            </w:r>
          </w:p>
        </w:tc>
      </w:tr>
      <w:tr w14:paraId="0802F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7671844">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91AC9A9">
            <w:pPr>
              <w:spacing w:line="240" w:lineRule="auto"/>
              <w:ind w:firstLine="0" w:firstLineChars="0"/>
              <w:jc w:val="center"/>
              <w:rPr>
                <w:color w:val="auto"/>
                <w:sz w:val="21"/>
              </w:rPr>
            </w:pPr>
          </w:p>
        </w:tc>
        <w:tc>
          <w:tcPr>
            <w:tcW w:w="2581" w:type="dxa"/>
            <w:gridSpan w:val="2"/>
            <w:tcBorders>
              <w:top w:val="single" w:color="auto" w:sz="4" w:space="0"/>
              <w:left w:val="single" w:color="auto" w:sz="4" w:space="0"/>
              <w:bottom w:val="single" w:color="auto" w:sz="4" w:space="0"/>
              <w:right w:val="single" w:color="auto" w:sz="4" w:space="0"/>
            </w:tcBorders>
            <w:vAlign w:val="center"/>
          </w:tcPr>
          <w:p w14:paraId="03B733E3">
            <w:pPr>
              <w:spacing w:line="240" w:lineRule="auto"/>
              <w:ind w:firstLine="0" w:firstLineChars="0"/>
              <w:jc w:val="center"/>
              <w:rPr>
                <w:rFonts w:hint="eastAsia"/>
                <w:color w:val="auto"/>
                <w:sz w:val="21"/>
              </w:rPr>
            </w:pPr>
            <w:r>
              <w:rPr>
                <w:rFonts w:hint="eastAsia"/>
                <w:color w:val="auto"/>
                <w:sz w:val="21"/>
              </w:rPr>
              <w:t>垂直度（每米）</w:t>
            </w:r>
          </w:p>
        </w:tc>
        <w:tc>
          <w:tcPr>
            <w:tcW w:w="758" w:type="dxa"/>
            <w:tcBorders>
              <w:top w:val="single" w:color="auto" w:sz="4" w:space="0"/>
              <w:left w:val="single" w:color="auto" w:sz="4" w:space="0"/>
              <w:bottom w:val="single" w:color="auto" w:sz="4" w:space="0"/>
              <w:right w:val="single" w:color="auto" w:sz="4" w:space="0"/>
            </w:tcBorders>
            <w:vAlign w:val="center"/>
          </w:tcPr>
          <w:p w14:paraId="264E36A0">
            <w:pPr>
              <w:spacing w:line="240" w:lineRule="auto"/>
              <w:ind w:firstLine="0" w:firstLineChars="0"/>
              <w:jc w:val="center"/>
              <w:rPr>
                <w:rFonts w:hint="eastAsia"/>
                <w:color w:val="auto"/>
                <w:sz w:val="21"/>
              </w:rPr>
            </w:pPr>
            <w:r>
              <w:rPr>
                <w:rFonts w:hint="eastAsia"/>
                <w:color w:val="auto"/>
                <w:sz w:val="21"/>
              </w:rPr>
              <w:t>5</w:t>
            </w:r>
          </w:p>
        </w:tc>
        <w:tc>
          <w:tcPr>
            <w:tcW w:w="4358" w:type="dxa"/>
            <w:tcBorders>
              <w:top w:val="single" w:color="auto" w:sz="4" w:space="0"/>
              <w:left w:val="single" w:color="auto" w:sz="4" w:space="0"/>
              <w:bottom w:val="single" w:color="auto" w:sz="4" w:space="0"/>
              <w:right w:val="single" w:color="auto" w:sz="4" w:space="0"/>
            </w:tcBorders>
            <w:vAlign w:val="center"/>
          </w:tcPr>
          <w:p w14:paraId="21926394">
            <w:pPr>
              <w:spacing w:line="240" w:lineRule="auto"/>
              <w:ind w:firstLine="0" w:firstLineChars="0"/>
              <w:jc w:val="center"/>
              <w:rPr>
                <w:rFonts w:hint="eastAsia"/>
                <w:color w:val="auto"/>
                <w:sz w:val="21"/>
              </w:rPr>
            </w:pPr>
            <w:r>
              <w:rPr>
                <w:rFonts w:hint="eastAsia"/>
                <w:color w:val="auto"/>
                <w:sz w:val="21"/>
              </w:rPr>
              <w:t>吊线和尺量检查</w:t>
            </w:r>
          </w:p>
        </w:tc>
      </w:tr>
      <w:tr w14:paraId="79237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454" w:hRule="atLeast"/>
        </w:trPr>
        <w:tc>
          <w:tcPr>
            <w:tcW w:w="818" w:type="dxa"/>
            <w:vMerge w:val="restart"/>
            <w:tcBorders>
              <w:top w:val="nil"/>
              <w:left w:val="single" w:color="auto" w:sz="4" w:space="0"/>
              <w:bottom w:val="single" w:color="auto" w:sz="4" w:space="0"/>
              <w:right w:val="single" w:color="auto" w:sz="4" w:space="0"/>
            </w:tcBorders>
            <w:vAlign w:val="center"/>
          </w:tcPr>
          <w:p w14:paraId="756CF7CC">
            <w:pPr>
              <w:spacing w:line="240" w:lineRule="auto"/>
              <w:ind w:firstLine="0" w:firstLineChars="0"/>
              <w:jc w:val="center"/>
              <w:rPr>
                <w:rFonts w:hint="eastAsia"/>
                <w:color w:val="auto"/>
                <w:sz w:val="21"/>
              </w:rPr>
            </w:pPr>
            <w:r>
              <w:rPr>
                <w:rFonts w:hint="eastAsia"/>
                <w:color w:val="auto"/>
                <w:sz w:val="21"/>
              </w:rPr>
              <w:t>2</w:t>
            </w:r>
          </w:p>
        </w:tc>
        <w:tc>
          <w:tcPr>
            <w:tcW w:w="771" w:type="dxa"/>
            <w:vMerge w:val="restart"/>
            <w:tcBorders>
              <w:top w:val="nil"/>
              <w:left w:val="single" w:color="auto" w:sz="4" w:space="0"/>
              <w:bottom w:val="single" w:color="auto" w:sz="4" w:space="0"/>
              <w:right w:val="single" w:color="auto" w:sz="4" w:space="0"/>
            </w:tcBorders>
            <w:vAlign w:val="center"/>
          </w:tcPr>
          <w:p w14:paraId="706B467E">
            <w:pPr>
              <w:spacing w:line="240" w:lineRule="auto"/>
              <w:ind w:firstLine="0" w:firstLineChars="0"/>
              <w:jc w:val="center"/>
              <w:rPr>
                <w:rFonts w:hint="eastAsia"/>
                <w:color w:val="auto"/>
                <w:sz w:val="21"/>
              </w:rPr>
            </w:pPr>
            <w:r>
              <w:rPr>
                <w:rFonts w:hint="eastAsia"/>
                <w:color w:val="auto"/>
                <w:sz w:val="21"/>
              </w:rPr>
              <w:t>离心式水泵</w:t>
            </w:r>
          </w:p>
        </w:tc>
        <w:tc>
          <w:tcPr>
            <w:tcW w:w="2581" w:type="dxa"/>
            <w:gridSpan w:val="2"/>
            <w:tcBorders>
              <w:top w:val="single" w:color="auto" w:sz="4" w:space="0"/>
              <w:left w:val="single" w:color="auto" w:sz="4" w:space="0"/>
              <w:bottom w:val="single" w:color="auto" w:sz="4" w:space="0"/>
              <w:right w:val="single" w:color="auto" w:sz="4" w:space="0"/>
            </w:tcBorders>
            <w:vAlign w:val="center"/>
          </w:tcPr>
          <w:p w14:paraId="5E7C3380">
            <w:pPr>
              <w:spacing w:line="240" w:lineRule="auto"/>
              <w:ind w:firstLine="0" w:firstLineChars="0"/>
              <w:jc w:val="center"/>
              <w:rPr>
                <w:rFonts w:hint="eastAsia"/>
                <w:color w:val="auto"/>
                <w:sz w:val="21"/>
              </w:rPr>
            </w:pPr>
            <w:r>
              <w:rPr>
                <w:rFonts w:hint="eastAsia"/>
                <w:color w:val="auto"/>
                <w:sz w:val="21"/>
              </w:rPr>
              <w:t>立式泵体垂直度（每米）</w:t>
            </w:r>
          </w:p>
        </w:tc>
        <w:tc>
          <w:tcPr>
            <w:tcW w:w="758" w:type="dxa"/>
            <w:tcBorders>
              <w:top w:val="single" w:color="auto" w:sz="4" w:space="0"/>
              <w:left w:val="single" w:color="auto" w:sz="4" w:space="0"/>
              <w:bottom w:val="single" w:color="auto" w:sz="4" w:space="0"/>
              <w:right w:val="single" w:color="auto" w:sz="4" w:space="0"/>
            </w:tcBorders>
            <w:vAlign w:val="center"/>
          </w:tcPr>
          <w:p w14:paraId="5DD0ACB6">
            <w:pPr>
              <w:spacing w:line="240" w:lineRule="auto"/>
              <w:ind w:firstLine="0" w:firstLineChars="0"/>
              <w:jc w:val="center"/>
              <w:rPr>
                <w:rFonts w:hint="eastAsia"/>
                <w:color w:val="auto"/>
                <w:sz w:val="21"/>
              </w:rPr>
            </w:pPr>
            <w:r>
              <w:rPr>
                <w:rFonts w:hint="eastAsia"/>
                <w:color w:val="auto"/>
                <w:sz w:val="21"/>
              </w:rPr>
              <w:t>0.1</w:t>
            </w:r>
          </w:p>
        </w:tc>
        <w:tc>
          <w:tcPr>
            <w:tcW w:w="4358" w:type="dxa"/>
            <w:tcBorders>
              <w:top w:val="single" w:color="auto" w:sz="4" w:space="0"/>
              <w:left w:val="single" w:color="auto" w:sz="4" w:space="0"/>
              <w:bottom w:val="single" w:color="auto" w:sz="4" w:space="0"/>
              <w:right w:val="single" w:color="auto" w:sz="4" w:space="0"/>
            </w:tcBorders>
            <w:vAlign w:val="center"/>
          </w:tcPr>
          <w:p w14:paraId="297E9B95">
            <w:pPr>
              <w:spacing w:line="240" w:lineRule="auto"/>
              <w:ind w:firstLine="0" w:firstLineChars="0"/>
              <w:jc w:val="center"/>
              <w:rPr>
                <w:rFonts w:hint="eastAsia"/>
                <w:color w:val="auto"/>
                <w:sz w:val="21"/>
              </w:rPr>
            </w:pPr>
            <w:r>
              <w:rPr>
                <w:rFonts w:hint="eastAsia"/>
                <w:color w:val="auto"/>
                <w:sz w:val="21"/>
              </w:rPr>
              <w:t>水平尺和塞尺检查</w:t>
            </w:r>
          </w:p>
        </w:tc>
      </w:tr>
      <w:tr w14:paraId="13A53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0CBCFC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5EF1E60">
            <w:pPr>
              <w:spacing w:line="240" w:lineRule="auto"/>
              <w:ind w:firstLine="0" w:firstLineChars="0"/>
              <w:jc w:val="center"/>
              <w:rPr>
                <w:color w:val="auto"/>
                <w:sz w:val="21"/>
              </w:rPr>
            </w:pPr>
          </w:p>
        </w:tc>
        <w:tc>
          <w:tcPr>
            <w:tcW w:w="2581" w:type="dxa"/>
            <w:gridSpan w:val="2"/>
            <w:tcBorders>
              <w:top w:val="single" w:color="auto" w:sz="4" w:space="0"/>
              <w:left w:val="single" w:color="auto" w:sz="4" w:space="0"/>
              <w:bottom w:val="single" w:color="auto" w:sz="4" w:space="0"/>
              <w:right w:val="single" w:color="auto" w:sz="4" w:space="0"/>
            </w:tcBorders>
            <w:vAlign w:val="center"/>
          </w:tcPr>
          <w:p w14:paraId="416CFFDF">
            <w:pPr>
              <w:spacing w:line="240" w:lineRule="auto"/>
              <w:ind w:firstLine="0" w:firstLineChars="0"/>
              <w:jc w:val="center"/>
              <w:rPr>
                <w:rFonts w:hint="eastAsia"/>
                <w:color w:val="auto"/>
                <w:sz w:val="21"/>
              </w:rPr>
            </w:pPr>
            <w:r>
              <w:rPr>
                <w:rFonts w:hint="eastAsia"/>
                <w:color w:val="auto"/>
                <w:sz w:val="21"/>
              </w:rPr>
              <w:t>卧式泵体垂直度（每米）</w:t>
            </w:r>
          </w:p>
        </w:tc>
        <w:tc>
          <w:tcPr>
            <w:tcW w:w="758" w:type="dxa"/>
            <w:tcBorders>
              <w:top w:val="single" w:color="auto" w:sz="4" w:space="0"/>
              <w:left w:val="single" w:color="auto" w:sz="4" w:space="0"/>
              <w:bottom w:val="single" w:color="auto" w:sz="4" w:space="0"/>
              <w:right w:val="single" w:color="auto" w:sz="4" w:space="0"/>
            </w:tcBorders>
            <w:vAlign w:val="center"/>
          </w:tcPr>
          <w:p w14:paraId="0DA0F44B">
            <w:pPr>
              <w:spacing w:line="240" w:lineRule="auto"/>
              <w:ind w:firstLine="0" w:firstLineChars="0"/>
              <w:jc w:val="center"/>
              <w:rPr>
                <w:rFonts w:hint="eastAsia"/>
                <w:color w:val="auto"/>
                <w:sz w:val="21"/>
              </w:rPr>
            </w:pPr>
            <w:r>
              <w:rPr>
                <w:rFonts w:hint="eastAsia"/>
                <w:color w:val="auto"/>
                <w:sz w:val="21"/>
              </w:rPr>
              <w:t>0.1</w:t>
            </w:r>
          </w:p>
        </w:tc>
        <w:tc>
          <w:tcPr>
            <w:tcW w:w="4358" w:type="dxa"/>
            <w:tcBorders>
              <w:top w:val="single" w:color="auto" w:sz="4" w:space="0"/>
              <w:left w:val="single" w:color="auto" w:sz="4" w:space="0"/>
              <w:bottom w:val="single" w:color="auto" w:sz="4" w:space="0"/>
              <w:right w:val="single" w:color="auto" w:sz="4" w:space="0"/>
            </w:tcBorders>
            <w:vAlign w:val="center"/>
          </w:tcPr>
          <w:p w14:paraId="72C89265">
            <w:pPr>
              <w:spacing w:line="240" w:lineRule="auto"/>
              <w:ind w:firstLine="0" w:firstLineChars="0"/>
              <w:jc w:val="center"/>
              <w:rPr>
                <w:rFonts w:hint="eastAsia"/>
                <w:color w:val="auto"/>
                <w:sz w:val="21"/>
              </w:rPr>
            </w:pPr>
            <w:r>
              <w:rPr>
                <w:rFonts w:hint="eastAsia"/>
                <w:color w:val="auto"/>
                <w:sz w:val="21"/>
              </w:rPr>
              <w:t>水平尺和塞尺检查</w:t>
            </w:r>
          </w:p>
        </w:tc>
      </w:tr>
      <w:tr w14:paraId="7ED2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22" w:type="dxa"/>
          <w:trHeight w:val="973" w:hRule="atLeast"/>
        </w:trPr>
        <w:tc>
          <w:tcPr>
            <w:tcW w:w="0" w:type="auto"/>
            <w:vMerge w:val="continue"/>
            <w:tcBorders>
              <w:top w:val="nil"/>
              <w:left w:val="single" w:color="auto" w:sz="4" w:space="0"/>
              <w:bottom w:val="single" w:color="auto" w:sz="4" w:space="0"/>
              <w:right w:val="single" w:color="auto" w:sz="4" w:space="0"/>
            </w:tcBorders>
            <w:vAlign w:val="center"/>
          </w:tcPr>
          <w:p w14:paraId="439E149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288D4CD">
            <w:pPr>
              <w:spacing w:line="240" w:lineRule="auto"/>
              <w:ind w:firstLine="0" w:firstLineChars="0"/>
              <w:jc w:val="center"/>
              <w:rPr>
                <w:color w:val="auto"/>
                <w:sz w:val="21"/>
              </w:rPr>
            </w:pPr>
          </w:p>
        </w:tc>
        <w:tc>
          <w:tcPr>
            <w:tcW w:w="1101" w:type="dxa"/>
            <w:vMerge w:val="restart"/>
            <w:tcBorders>
              <w:top w:val="nil"/>
              <w:left w:val="single" w:color="auto" w:sz="4" w:space="0"/>
              <w:bottom w:val="single" w:color="auto" w:sz="4" w:space="0"/>
              <w:right w:val="single" w:color="auto" w:sz="4" w:space="0"/>
            </w:tcBorders>
            <w:vAlign w:val="center"/>
          </w:tcPr>
          <w:p w14:paraId="76587E2F">
            <w:pPr>
              <w:spacing w:line="240" w:lineRule="auto"/>
              <w:ind w:firstLine="0" w:firstLineChars="0"/>
              <w:jc w:val="center"/>
              <w:rPr>
                <w:rFonts w:hint="eastAsia"/>
                <w:color w:val="auto"/>
                <w:sz w:val="21"/>
              </w:rPr>
            </w:pPr>
            <w:r>
              <w:rPr>
                <w:rFonts w:hint="eastAsia"/>
                <w:color w:val="auto"/>
                <w:sz w:val="21"/>
              </w:rPr>
              <w:t>联轴器同心度</w:t>
            </w:r>
          </w:p>
        </w:tc>
        <w:tc>
          <w:tcPr>
            <w:tcW w:w="1480" w:type="dxa"/>
            <w:vMerge w:val="restart"/>
            <w:tcBorders>
              <w:top w:val="nil"/>
              <w:left w:val="single" w:color="auto" w:sz="4" w:space="0"/>
              <w:bottom w:val="single" w:color="auto" w:sz="4" w:space="0"/>
              <w:right w:val="single" w:color="auto" w:sz="4" w:space="0"/>
            </w:tcBorders>
            <w:vAlign w:val="center"/>
          </w:tcPr>
          <w:p w14:paraId="3BEDB661">
            <w:pPr>
              <w:spacing w:line="240" w:lineRule="auto"/>
              <w:ind w:firstLine="0" w:firstLineChars="0"/>
              <w:jc w:val="center"/>
              <w:rPr>
                <w:rFonts w:hint="eastAsia"/>
                <w:color w:val="auto"/>
                <w:sz w:val="21"/>
              </w:rPr>
            </w:pPr>
            <w:r>
              <w:rPr>
                <w:rFonts w:hint="eastAsia"/>
                <w:color w:val="auto"/>
                <w:sz w:val="21"/>
              </w:rPr>
              <w:t>轴向倾斜（每米）</w:t>
            </w:r>
          </w:p>
        </w:tc>
        <w:tc>
          <w:tcPr>
            <w:tcW w:w="758" w:type="dxa"/>
            <w:vMerge w:val="restart"/>
            <w:tcBorders>
              <w:top w:val="nil"/>
              <w:left w:val="single" w:color="auto" w:sz="4" w:space="0"/>
              <w:bottom w:val="single" w:color="auto" w:sz="4" w:space="0"/>
              <w:right w:val="single" w:color="auto" w:sz="4" w:space="0"/>
            </w:tcBorders>
            <w:vAlign w:val="center"/>
          </w:tcPr>
          <w:p w14:paraId="297A70E5">
            <w:pPr>
              <w:spacing w:line="240" w:lineRule="auto"/>
              <w:ind w:firstLine="0" w:firstLineChars="0"/>
              <w:jc w:val="center"/>
              <w:rPr>
                <w:rFonts w:hint="eastAsia"/>
                <w:color w:val="auto"/>
                <w:sz w:val="21"/>
              </w:rPr>
            </w:pPr>
            <w:r>
              <w:rPr>
                <w:rFonts w:hint="eastAsia"/>
                <w:color w:val="auto"/>
                <w:sz w:val="21"/>
              </w:rPr>
              <w:t>0.8</w:t>
            </w:r>
          </w:p>
        </w:tc>
        <w:tc>
          <w:tcPr>
            <w:tcW w:w="4358" w:type="dxa"/>
            <w:vMerge w:val="restart"/>
            <w:tcBorders>
              <w:top w:val="single" w:color="auto" w:sz="4" w:space="0"/>
              <w:left w:val="single" w:color="auto" w:sz="4" w:space="0"/>
              <w:bottom w:val="single" w:color="auto" w:sz="4" w:space="0"/>
              <w:right w:val="single" w:color="auto" w:sz="4" w:space="0"/>
            </w:tcBorders>
            <w:vAlign w:val="center"/>
          </w:tcPr>
          <w:p w14:paraId="5949C9DF">
            <w:pPr>
              <w:spacing w:line="240" w:lineRule="auto"/>
              <w:ind w:firstLine="0" w:firstLineChars="0"/>
              <w:jc w:val="center"/>
              <w:rPr>
                <w:rFonts w:hint="eastAsia"/>
                <w:color w:val="auto"/>
                <w:sz w:val="21"/>
              </w:rPr>
            </w:pPr>
            <w:r>
              <w:rPr>
                <w:rFonts w:hint="eastAsia"/>
                <w:color w:val="auto"/>
                <w:sz w:val="21"/>
              </w:rPr>
              <w:t>在联轴器互相垂直的四个位置上用水准仪/百分表或测微螺钉和塞尺检查</w:t>
            </w:r>
          </w:p>
        </w:tc>
      </w:tr>
      <w:tr w14:paraId="08416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trPr>
        <w:tc>
          <w:tcPr>
            <w:tcW w:w="0" w:type="auto"/>
            <w:vMerge w:val="continue"/>
            <w:tcBorders>
              <w:top w:val="nil"/>
              <w:left w:val="single" w:color="auto" w:sz="4" w:space="0"/>
              <w:bottom w:val="single" w:color="auto" w:sz="4" w:space="0"/>
              <w:right w:val="single" w:color="auto" w:sz="4" w:space="0"/>
            </w:tcBorders>
            <w:vAlign w:val="center"/>
          </w:tcPr>
          <w:p w14:paraId="6581B531">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3C110453">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73DFB0BA">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678BC1D5">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779808BA">
            <w:pPr>
              <w:rPr>
                <w:color w:val="auto"/>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E93CD8B">
            <w:pPr>
              <w:rPr>
                <w:color w:val="auto"/>
              </w:rPr>
            </w:pPr>
          </w:p>
        </w:tc>
        <w:tc>
          <w:tcPr>
            <w:tcW w:w="0" w:type="auto"/>
            <w:tcBorders>
              <w:top w:val="outset" w:color="auto" w:sz="6" w:space="0"/>
              <w:left w:val="outset" w:color="auto" w:sz="6" w:space="0"/>
              <w:bottom w:val="outset" w:color="auto" w:sz="6" w:space="0"/>
              <w:right w:val="outset" w:color="auto" w:sz="6" w:space="0"/>
            </w:tcBorders>
            <w:vAlign w:val="center"/>
          </w:tcPr>
          <w:p w14:paraId="27411EA5">
            <w:pPr>
              <w:rPr>
                <w:rFonts w:hint="eastAsia"/>
                <w:color w:val="auto"/>
              </w:rPr>
            </w:pPr>
          </w:p>
        </w:tc>
      </w:tr>
      <w:tr w14:paraId="2683C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5148F214">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767BD8C2">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08376F1C">
            <w:pPr>
              <w:rPr>
                <w:color w:val="auto"/>
              </w:rPr>
            </w:pPr>
          </w:p>
        </w:tc>
        <w:tc>
          <w:tcPr>
            <w:tcW w:w="1480" w:type="dxa"/>
            <w:tcBorders>
              <w:top w:val="single" w:color="auto" w:sz="4" w:space="0"/>
              <w:left w:val="single" w:color="auto" w:sz="4" w:space="0"/>
              <w:bottom w:val="single" w:color="auto" w:sz="4" w:space="0"/>
              <w:right w:val="single" w:color="auto" w:sz="4" w:space="0"/>
            </w:tcBorders>
            <w:vAlign w:val="center"/>
          </w:tcPr>
          <w:p w14:paraId="51AE368D">
            <w:pPr>
              <w:spacing w:line="240" w:lineRule="auto"/>
              <w:ind w:firstLine="0" w:firstLineChars="0"/>
              <w:jc w:val="center"/>
              <w:rPr>
                <w:color w:val="auto"/>
                <w:sz w:val="21"/>
              </w:rPr>
            </w:pPr>
            <w:r>
              <w:rPr>
                <w:rFonts w:hint="eastAsia"/>
                <w:color w:val="auto"/>
                <w:sz w:val="21"/>
              </w:rPr>
              <w:t>径向位移</w:t>
            </w:r>
          </w:p>
        </w:tc>
        <w:tc>
          <w:tcPr>
            <w:tcW w:w="758" w:type="dxa"/>
            <w:tcBorders>
              <w:top w:val="single" w:color="auto" w:sz="4" w:space="0"/>
              <w:left w:val="single" w:color="auto" w:sz="4" w:space="0"/>
              <w:bottom w:val="single" w:color="auto" w:sz="4" w:space="0"/>
              <w:right w:val="single" w:color="auto" w:sz="4" w:space="0"/>
            </w:tcBorders>
            <w:vAlign w:val="center"/>
          </w:tcPr>
          <w:p w14:paraId="236F8D9A">
            <w:pPr>
              <w:spacing w:line="240" w:lineRule="auto"/>
              <w:ind w:firstLine="0" w:firstLineChars="0"/>
              <w:jc w:val="center"/>
              <w:rPr>
                <w:rFonts w:hint="eastAsia"/>
                <w:color w:val="auto"/>
                <w:sz w:val="21"/>
              </w:rPr>
            </w:pPr>
            <w:r>
              <w:rPr>
                <w:rFonts w:hint="eastAsia"/>
                <w:color w:val="auto"/>
                <w:sz w:val="21"/>
              </w:rPr>
              <w:t>0.1</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980046">
            <w:pPr>
              <w:rPr>
                <w:color w:val="auto"/>
              </w:rPr>
            </w:pPr>
          </w:p>
        </w:tc>
        <w:tc>
          <w:tcPr>
            <w:tcW w:w="0" w:type="auto"/>
            <w:vAlign w:val="center"/>
          </w:tcPr>
          <w:p w14:paraId="274F412B">
            <w:pPr>
              <w:rPr>
                <w:color w:val="auto"/>
              </w:rPr>
            </w:pPr>
          </w:p>
        </w:tc>
      </w:tr>
    </w:tbl>
    <w:p w14:paraId="28E4FD4E">
      <w:pPr>
        <w:rPr>
          <w:rFonts w:hint="eastAsia"/>
          <w:color w:val="auto"/>
        </w:rPr>
      </w:pPr>
      <w:r>
        <w:rPr>
          <w:rFonts w:hint="eastAsia"/>
          <w:color w:val="auto"/>
        </w:rPr>
        <w:t>（3）管道及设备保温</w:t>
      </w:r>
    </w:p>
    <w:p w14:paraId="73D66C21">
      <w:pPr>
        <w:rPr>
          <w:rFonts w:hint="eastAsia"/>
          <w:color w:val="auto"/>
        </w:rPr>
      </w:pPr>
      <w:r>
        <w:rPr>
          <w:rFonts w:hint="eastAsia"/>
          <w:color w:val="auto"/>
        </w:rPr>
        <w:t>管道及设备保温层的厚度和平整度的允许偏差应符合下表规定。</w:t>
      </w:r>
    </w:p>
    <w:p w14:paraId="03FF232E">
      <w:pPr>
        <w:pStyle w:val="54"/>
        <w:rPr>
          <w:rFonts w:hint="eastAsia"/>
          <w:color w:val="auto"/>
        </w:rPr>
      </w:pPr>
      <w:r>
        <w:rPr>
          <w:rFonts w:hint="eastAsia"/>
          <w:color w:val="auto"/>
        </w:rPr>
        <w:t xml:space="preserve"> 管道及设备保温的允许偏差和检验方法</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814"/>
        <w:gridCol w:w="891"/>
        <w:gridCol w:w="1781"/>
        <w:gridCol w:w="3908"/>
      </w:tblGrid>
      <w:tr w14:paraId="16AA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 w:type="dxa"/>
            <w:tcBorders>
              <w:top w:val="single" w:color="auto" w:sz="4" w:space="0"/>
              <w:left w:val="single" w:color="auto" w:sz="4" w:space="0"/>
              <w:bottom w:val="single" w:color="auto" w:sz="4" w:space="0"/>
              <w:right w:val="single" w:color="auto" w:sz="4" w:space="0"/>
            </w:tcBorders>
            <w:vAlign w:val="center"/>
          </w:tcPr>
          <w:p w14:paraId="6DF5527B">
            <w:pPr>
              <w:spacing w:line="240" w:lineRule="auto"/>
              <w:ind w:firstLine="0" w:firstLineChars="0"/>
              <w:jc w:val="center"/>
              <w:rPr>
                <w:rFonts w:hint="eastAsia"/>
                <w:color w:val="auto"/>
                <w:sz w:val="21"/>
              </w:rPr>
            </w:pPr>
            <w:r>
              <w:rPr>
                <w:rFonts w:hint="eastAsia"/>
                <w:color w:val="auto"/>
                <w:sz w:val="21"/>
              </w:rPr>
              <w:t>项次</w:t>
            </w:r>
          </w:p>
        </w:tc>
        <w:tc>
          <w:tcPr>
            <w:tcW w:w="2705" w:type="dxa"/>
            <w:gridSpan w:val="2"/>
            <w:tcBorders>
              <w:top w:val="single" w:color="auto" w:sz="4" w:space="0"/>
              <w:left w:val="single" w:color="auto" w:sz="4" w:space="0"/>
              <w:bottom w:val="single" w:color="auto" w:sz="4" w:space="0"/>
              <w:right w:val="single" w:color="auto" w:sz="4" w:space="0"/>
            </w:tcBorders>
            <w:vAlign w:val="center"/>
          </w:tcPr>
          <w:p w14:paraId="776A306A">
            <w:pPr>
              <w:spacing w:line="240" w:lineRule="auto"/>
              <w:ind w:firstLine="0" w:firstLineChars="0"/>
              <w:jc w:val="center"/>
              <w:rPr>
                <w:rFonts w:hint="eastAsia"/>
                <w:color w:val="auto"/>
                <w:sz w:val="21"/>
              </w:rPr>
            </w:pPr>
            <w:r>
              <w:rPr>
                <w:rFonts w:hint="eastAsia"/>
                <w:color w:val="auto"/>
                <w:sz w:val="21"/>
              </w:rPr>
              <w:t>项目</w:t>
            </w:r>
          </w:p>
        </w:tc>
        <w:tc>
          <w:tcPr>
            <w:tcW w:w="1781" w:type="dxa"/>
            <w:tcBorders>
              <w:top w:val="single" w:color="auto" w:sz="4" w:space="0"/>
              <w:left w:val="single" w:color="auto" w:sz="4" w:space="0"/>
              <w:bottom w:val="single" w:color="auto" w:sz="4" w:space="0"/>
              <w:right w:val="single" w:color="auto" w:sz="4" w:space="0"/>
            </w:tcBorders>
            <w:vAlign w:val="center"/>
          </w:tcPr>
          <w:p w14:paraId="3FD05CE7">
            <w:pPr>
              <w:spacing w:line="240" w:lineRule="auto"/>
              <w:ind w:firstLine="0" w:firstLineChars="0"/>
              <w:jc w:val="center"/>
              <w:rPr>
                <w:rFonts w:hint="eastAsia"/>
                <w:color w:val="auto"/>
                <w:sz w:val="21"/>
              </w:rPr>
            </w:pPr>
            <w:r>
              <w:rPr>
                <w:rFonts w:hint="eastAsia"/>
                <w:color w:val="auto"/>
                <w:sz w:val="21"/>
              </w:rPr>
              <w:t>允许偏差</w:t>
            </w:r>
          </w:p>
        </w:tc>
        <w:tc>
          <w:tcPr>
            <w:tcW w:w="3908" w:type="dxa"/>
            <w:tcBorders>
              <w:top w:val="single" w:color="auto" w:sz="4" w:space="0"/>
              <w:left w:val="single" w:color="auto" w:sz="4" w:space="0"/>
              <w:bottom w:val="single" w:color="auto" w:sz="4" w:space="0"/>
              <w:right w:val="single" w:color="auto" w:sz="4" w:space="0"/>
            </w:tcBorders>
            <w:vAlign w:val="center"/>
          </w:tcPr>
          <w:p w14:paraId="3788D047">
            <w:pPr>
              <w:spacing w:line="240" w:lineRule="auto"/>
              <w:ind w:firstLine="0" w:firstLineChars="0"/>
              <w:jc w:val="center"/>
              <w:rPr>
                <w:rFonts w:hint="eastAsia"/>
                <w:color w:val="auto"/>
                <w:sz w:val="21"/>
              </w:rPr>
            </w:pPr>
            <w:r>
              <w:rPr>
                <w:rFonts w:hint="eastAsia"/>
                <w:color w:val="auto"/>
                <w:sz w:val="21"/>
              </w:rPr>
              <w:t>检验方法</w:t>
            </w:r>
          </w:p>
        </w:tc>
      </w:tr>
      <w:tr w14:paraId="3BF5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 w:type="dxa"/>
            <w:tcBorders>
              <w:top w:val="single" w:color="auto" w:sz="4" w:space="0"/>
              <w:left w:val="single" w:color="auto" w:sz="4" w:space="0"/>
              <w:bottom w:val="single" w:color="auto" w:sz="4" w:space="0"/>
              <w:right w:val="single" w:color="auto" w:sz="4" w:space="0"/>
            </w:tcBorders>
            <w:vAlign w:val="center"/>
          </w:tcPr>
          <w:p w14:paraId="38B00E9F">
            <w:pPr>
              <w:spacing w:line="240" w:lineRule="auto"/>
              <w:ind w:firstLine="0" w:firstLineChars="0"/>
              <w:jc w:val="center"/>
              <w:rPr>
                <w:rFonts w:hint="eastAsia"/>
                <w:color w:val="auto"/>
                <w:sz w:val="21"/>
              </w:rPr>
            </w:pPr>
            <w:r>
              <w:rPr>
                <w:rFonts w:hint="eastAsia"/>
                <w:color w:val="auto"/>
                <w:sz w:val="21"/>
              </w:rPr>
              <w:t>1</w:t>
            </w:r>
          </w:p>
        </w:tc>
        <w:tc>
          <w:tcPr>
            <w:tcW w:w="2705" w:type="dxa"/>
            <w:gridSpan w:val="2"/>
            <w:tcBorders>
              <w:top w:val="single" w:color="auto" w:sz="4" w:space="0"/>
              <w:left w:val="single" w:color="auto" w:sz="4" w:space="0"/>
              <w:bottom w:val="single" w:color="auto" w:sz="4" w:space="0"/>
              <w:right w:val="single" w:color="auto" w:sz="4" w:space="0"/>
            </w:tcBorders>
            <w:vAlign w:val="center"/>
          </w:tcPr>
          <w:p w14:paraId="552DC9AB">
            <w:pPr>
              <w:spacing w:line="240" w:lineRule="auto"/>
              <w:ind w:firstLine="0" w:firstLineChars="0"/>
              <w:jc w:val="center"/>
              <w:rPr>
                <w:rFonts w:hint="eastAsia"/>
                <w:color w:val="auto"/>
                <w:sz w:val="21"/>
              </w:rPr>
            </w:pPr>
            <w:r>
              <w:rPr>
                <w:rFonts w:hint="eastAsia"/>
                <w:color w:val="auto"/>
                <w:sz w:val="21"/>
              </w:rPr>
              <w:t>厚度</w:t>
            </w:r>
          </w:p>
        </w:tc>
        <w:tc>
          <w:tcPr>
            <w:tcW w:w="1781" w:type="dxa"/>
            <w:tcBorders>
              <w:top w:val="single" w:color="auto" w:sz="4" w:space="0"/>
              <w:left w:val="single" w:color="auto" w:sz="4" w:space="0"/>
              <w:bottom w:val="single" w:color="auto" w:sz="4" w:space="0"/>
              <w:right w:val="single" w:color="auto" w:sz="4" w:space="0"/>
            </w:tcBorders>
            <w:vAlign w:val="center"/>
          </w:tcPr>
          <w:p w14:paraId="589E9224">
            <w:pPr>
              <w:spacing w:line="240" w:lineRule="auto"/>
              <w:ind w:firstLine="0" w:firstLineChars="0"/>
              <w:jc w:val="center"/>
              <w:rPr>
                <w:rFonts w:hint="eastAsia"/>
                <w:color w:val="auto"/>
                <w:sz w:val="21"/>
              </w:rPr>
            </w:pPr>
            <w:r>
              <w:rPr>
                <w:rFonts w:hint="eastAsia"/>
                <w:color w:val="auto"/>
                <w:sz w:val="21"/>
              </w:rPr>
              <w:t>+0.1h-0.05h</w:t>
            </w:r>
          </w:p>
        </w:tc>
        <w:tc>
          <w:tcPr>
            <w:tcW w:w="3908" w:type="dxa"/>
            <w:tcBorders>
              <w:top w:val="single" w:color="auto" w:sz="4" w:space="0"/>
              <w:left w:val="single" w:color="auto" w:sz="4" w:space="0"/>
              <w:bottom w:val="single" w:color="auto" w:sz="4" w:space="0"/>
              <w:right w:val="single" w:color="auto" w:sz="4" w:space="0"/>
            </w:tcBorders>
            <w:vAlign w:val="center"/>
          </w:tcPr>
          <w:p w14:paraId="565953EE">
            <w:pPr>
              <w:spacing w:line="240" w:lineRule="auto"/>
              <w:ind w:firstLine="0" w:firstLineChars="0"/>
              <w:jc w:val="center"/>
              <w:rPr>
                <w:rFonts w:hint="eastAsia"/>
                <w:color w:val="auto"/>
                <w:sz w:val="21"/>
              </w:rPr>
            </w:pPr>
            <w:r>
              <w:rPr>
                <w:rFonts w:hint="eastAsia"/>
                <w:color w:val="auto"/>
                <w:sz w:val="21"/>
              </w:rPr>
              <w:t>用钢针刺入</w:t>
            </w:r>
          </w:p>
        </w:tc>
      </w:tr>
      <w:tr w14:paraId="2F46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92" w:type="dxa"/>
            <w:vMerge w:val="restart"/>
            <w:tcBorders>
              <w:top w:val="nil"/>
              <w:left w:val="single" w:color="auto" w:sz="4" w:space="0"/>
              <w:bottom w:val="single" w:color="auto" w:sz="4" w:space="0"/>
              <w:right w:val="single" w:color="auto" w:sz="4" w:space="0"/>
            </w:tcBorders>
            <w:vAlign w:val="center"/>
          </w:tcPr>
          <w:p w14:paraId="5D881A50">
            <w:pPr>
              <w:spacing w:line="240" w:lineRule="auto"/>
              <w:ind w:firstLine="0" w:firstLineChars="0"/>
              <w:jc w:val="center"/>
              <w:rPr>
                <w:rFonts w:hint="eastAsia"/>
                <w:color w:val="auto"/>
                <w:sz w:val="21"/>
              </w:rPr>
            </w:pPr>
            <w:r>
              <w:rPr>
                <w:rFonts w:hint="eastAsia"/>
                <w:color w:val="auto"/>
                <w:sz w:val="21"/>
              </w:rPr>
              <w:t>2</w:t>
            </w:r>
          </w:p>
        </w:tc>
        <w:tc>
          <w:tcPr>
            <w:tcW w:w="1814" w:type="dxa"/>
            <w:vMerge w:val="restart"/>
            <w:tcBorders>
              <w:top w:val="nil"/>
              <w:left w:val="single" w:color="auto" w:sz="4" w:space="0"/>
              <w:bottom w:val="single" w:color="auto" w:sz="4" w:space="0"/>
              <w:right w:val="single" w:color="auto" w:sz="4" w:space="0"/>
            </w:tcBorders>
            <w:vAlign w:val="center"/>
          </w:tcPr>
          <w:p w14:paraId="49664DFF">
            <w:pPr>
              <w:spacing w:line="240" w:lineRule="auto"/>
              <w:ind w:firstLine="0" w:firstLineChars="0"/>
              <w:jc w:val="center"/>
              <w:rPr>
                <w:rFonts w:hint="eastAsia"/>
                <w:color w:val="auto"/>
                <w:sz w:val="21"/>
              </w:rPr>
            </w:pPr>
            <w:r>
              <w:rPr>
                <w:rFonts w:hint="eastAsia"/>
                <w:color w:val="auto"/>
                <w:sz w:val="21"/>
              </w:rPr>
              <w:t>表面平整度</w:t>
            </w:r>
          </w:p>
        </w:tc>
        <w:tc>
          <w:tcPr>
            <w:tcW w:w="891" w:type="dxa"/>
            <w:tcBorders>
              <w:top w:val="single" w:color="auto" w:sz="4" w:space="0"/>
              <w:left w:val="single" w:color="auto" w:sz="4" w:space="0"/>
              <w:bottom w:val="single" w:color="auto" w:sz="4" w:space="0"/>
              <w:right w:val="single" w:color="auto" w:sz="4" w:space="0"/>
            </w:tcBorders>
            <w:vAlign w:val="center"/>
          </w:tcPr>
          <w:p w14:paraId="74CB0ECB">
            <w:pPr>
              <w:spacing w:line="240" w:lineRule="auto"/>
              <w:ind w:firstLine="0" w:firstLineChars="0"/>
              <w:jc w:val="center"/>
              <w:rPr>
                <w:rFonts w:hint="eastAsia"/>
                <w:color w:val="auto"/>
                <w:sz w:val="21"/>
              </w:rPr>
            </w:pPr>
            <w:r>
              <w:rPr>
                <w:rFonts w:hint="eastAsia"/>
                <w:color w:val="auto"/>
                <w:sz w:val="21"/>
              </w:rPr>
              <w:t>卷材</w:t>
            </w:r>
          </w:p>
        </w:tc>
        <w:tc>
          <w:tcPr>
            <w:tcW w:w="1781" w:type="dxa"/>
            <w:tcBorders>
              <w:top w:val="single" w:color="auto" w:sz="4" w:space="0"/>
              <w:left w:val="single" w:color="auto" w:sz="4" w:space="0"/>
              <w:bottom w:val="single" w:color="auto" w:sz="4" w:space="0"/>
              <w:right w:val="single" w:color="auto" w:sz="4" w:space="0"/>
            </w:tcBorders>
            <w:vAlign w:val="center"/>
          </w:tcPr>
          <w:p w14:paraId="2D0375D0">
            <w:pPr>
              <w:spacing w:line="240" w:lineRule="auto"/>
              <w:ind w:firstLine="0" w:firstLineChars="0"/>
              <w:jc w:val="center"/>
              <w:rPr>
                <w:rFonts w:hint="eastAsia"/>
                <w:color w:val="auto"/>
                <w:sz w:val="21"/>
              </w:rPr>
            </w:pPr>
            <w:r>
              <w:rPr>
                <w:rFonts w:hint="eastAsia"/>
                <w:color w:val="auto"/>
                <w:sz w:val="21"/>
              </w:rPr>
              <w:t>5</w:t>
            </w:r>
          </w:p>
        </w:tc>
        <w:tc>
          <w:tcPr>
            <w:tcW w:w="3908" w:type="dxa"/>
            <w:vMerge w:val="restart"/>
            <w:tcBorders>
              <w:top w:val="single" w:color="auto" w:sz="4" w:space="0"/>
              <w:left w:val="single" w:color="auto" w:sz="4" w:space="0"/>
              <w:bottom w:val="single" w:color="auto" w:sz="4" w:space="0"/>
              <w:right w:val="single" w:color="auto" w:sz="4" w:space="0"/>
            </w:tcBorders>
            <w:vAlign w:val="center"/>
          </w:tcPr>
          <w:p w14:paraId="78CB6DF9">
            <w:pPr>
              <w:spacing w:line="240" w:lineRule="auto"/>
              <w:ind w:firstLine="0" w:firstLineChars="0"/>
              <w:jc w:val="center"/>
              <w:rPr>
                <w:rFonts w:hint="eastAsia"/>
                <w:color w:val="auto"/>
                <w:sz w:val="21"/>
              </w:rPr>
            </w:pPr>
            <w:r>
              <w:rPr>
                <w:rFonts w:hint="eastAsia"/>
                <w:color w:val="auto"/>
                <w:sz w:val="21"/>
              </w:rPr>
              <w:t>用2m靠尺和楔形塞尺检查</w:t>
            </w:r>
          </w:p>
        </w:tc>
      </w:tr>
      <w:tr w14:paraId="2DA5C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92" w:type="dxa"/>
            <w:vMerge w:val="continue"/>
            <w:tcBorders>
              <w:top w:val="nil"/>
              <w:left w:val="single" w:color="auto" w:sz="4" w:space="0"/>
              <w:bottom w:val="single" w:color="auto" w:sz="4" w:space="0"/>
              <w:right w:val="single" w:color="auto" w:sz="4" w:space="0"/>
            </w:tcBorders>
            <w:vAlign w:val="center"/>
          </w:tcPr>
          <w:p w14:paraId="4C094663">
            <w:pPr>
              <w:rPr>
                <w:color w:val="auto"/>
              </w:rPr>
            </w:pPr>
          </w:p>
        </w:tc>
        <w:tc>
          <w:tcPr>
            <w:tcW w:w="2705" w:type="dxa"/>
            <w:vMerge w:val="continue"/>
            <w:tcBorders>
              <w:top w:val="nil"/>
              <w:left w:val="single" w:color="auto" w:sz="4" w:space="0"/>
              <w:bottom w:val="single" w:color="auto" w:sz="4" w:space="0"/>
              <w:right w:val="single" w:color="auto" w:sz="4" w:space="0"/>
            </w:tcBorders>
            <w:vAlign w:val="center"/>
          </w:tcPr>
          <w:p w14:paraId="1ADE3183">
            <w:pPr>
              <w:rPr>
                <w:color w:val="auto"/>
              </w:rPr>
            </w:pPr>
          </w:p>
        </w:tc>
        <w:tc>
          <w:tcPr>
            <w:tcW w:w="891" w:type="dxa"/>
            <w:tcBorders>
              <w:top w:val="single" w:color="auto" w:sz="4" w:space="0"/>
              <w:left w:val="single" w:color="auto" w:sz="4" w:space="0"/>
              <w:bottom w:val="single" w:color="auto" w:sz="4" w:space="0"/>
              <w:right w:val="single" w:color="auto" w:sz="4" w:space="0"/>
            </w:tcBorders>
            <w:vAlign w:val="center"/>
          </w:tcPr>
          <w:p w14:paraId="591E377E">
            <w:pPr>
              <w:spacing w:line="240" w:lineRule="auto"/>
              <w:ind w:firstLine="0" w:firstLineChars="0"/>
              <w:jc w:val="center"/>
              <w:rPr>
                <w:rFonts w:hint="eastAsia"/>
                <w:color w:val="auto"/>
                <w:sz w:val="21"/>
              </w:rPr>
            </w:pPr>
            <w:r>
              <w:rPr>
                <w:rFonts w:hint="eastAsia"/>
                <w:color w:val="auto"/>
                <w:sz w:val="21"/>
              </w:rPr>
              <w:t>涂抹</w:t>
            </w:r>
          </w:p>
        </w:tc>
        <w:tc>
          <w:tcPr>
            <w:tcW w:w="1781" w:type="dxa"/>
            <w:tcBorders>
              <w:top w:val="single" w:color="auto" w:sz="4" w:space="0"/>
              <w:left w:val="single" w:color="auto" w:sz="4" w:space="0"/>
              <w:bottom w:val="single" w:color="auto" w:sz="4" w:space="0"/>
              <w:right w:val="single" w:color="auto" w:sz="4" w:space="0"/>
            </w:tcBorders>
            <w:vAlign w:val="center"/>
          </w:tcPr>
          <w:p w14:paraId="7743D2DB">
            <w:pPr>
              <w:spacing w:line="240" w:lineRule="auto"/>
              <w:ind w:firstLine="0" w:firstLineChars="0"/>
              <w:jc w:val="center"/>
              <w:rPr>
                <w:rFonts w:hint="eastAsia"/>
                <w:color w:val="auto"/>
                <w:sz w:val="21"/>
              </w:rPr>
            </w:pPr>
            <w:r>
              <w:rPr>
                <w:rFonts w:hint="eastAsia"/>
                <w:color w:val="auto"/>
                <w:sz w:val="21"/>
              </w:rPr>
              <w:t>10</w:t>
            </w:r>
          </w:p>
        </w:tc>
        <w:tc>
          <w:tcPr>
            <w:tcW w:w="3908" w:type="dxa"/>
            <w:vMerge w:val="continue"/>
            <w:tcBorders>
              <w:top w:val="single" w:color="auto" w:sz="4" w:space="0"/>
              <w:left w:val="single" w:color="auto" w:sz="4" w:space="0"/>
              <w:bottom w:val="single" w:color="auto" w:sz="4" w:space="0"/>
              <w:right w:val="single" w:color="auto" w:sz="4" w:space="0"/>
            </w:tcBorders>
            <w:vAlign w:val="center"/>
          </w:tcPr>
          <w:p w14:paraId="7FFD25F3">
            <w:pPr>
              <w:rPr>
                <w:color w:val="auto"/>
              </w:rPr>
            </w:pPr>
          </w:p>
        </w:tc>
      </w:tr>
    </w:tbl>
    <w:p w14:paraId="4BF6710E">
      <w:pPr>
        <w:rPr>
          <w:rFonts w:hint="eastAsia"/>
          <w:color w:val="auto"/>
        </w:rPr>
      </w:pPr>
      <w:r>
        <w:rPr>
          <w:rFonts w:hint="eastAsia"/>
          <w:color w:val="auto"/>
        </w:rPr>
        <w:t>注：h为保温层厚度。</w:t>
      </w:r>
    </w:p>
    <w:p w14:paraId="485C03BF">
      <w:pPr>
        <w:rPr>
          <w:rFonts w:hint="eastAsia"/>
          <w:color w:val="auto"/>
        </w:rPr>
      </w:pPr>
      <w:r>
        <w:rPr>
          <w:rFonts w:hint="eastAsia"/>
          <w:color w:val="auto"/>
        </w:rPr>
        <w:t>（4）排水管道及配件安装</w:t>
      </w:r>
    </w:p>
    <w:p w14:paraId="0D08922D">
      <w:pPr>
        <w:rPr>
          <w:rFonts w:hint="eastAsia"/>
          <w:color w:val="auto"/>
        </w:rPr>
      </w:pPr>
      <w:r>
        <w:rPr>
          <w:rFonts w:hint="eastAsia"/>
          <w:color w:val="auto"/>
        </w:rPr>
        <w:t>1）主控项目：</w:t>
      </w:r>
    </w:p>
    <w:p w14:paraId="1CDC8F62">
      <w:pPr>
        <w:rPr>
          <w:rFonts w:hint="eastAsia"/>
          <w:color w:val="auto"/>
        </w:rPr>
      </w:pPr>
      <w:r>
        <w:rPr>
          <w:rFonts w:hint="eastAsia"/>
          <w:color w:val="auto"/>
        </w:rPr>
        <w:t>隐蔽或埋地的排水管道在隐蔽前作灌水试验，其灌水高度应不低于底层卫生器具的上边缘或底层地面高度。</w:t>
      </w:r>
    </w:p>
    <w:p w14:paraId="54755D92">
      <w:pPr>
        <w:rPr>
          <w:rFonts w:hint="eastAsia"/>
          <w:color w:val="auto"/>
        </w:rPr>
      </w:pPr>
      <w:r>
        <w:rPr>
          <w:rFonts w:hint="eastAsia"/>
          <w:color w:val="auto"/>
        </w:rPr>
        <w:t>检验方法：满水15min水面下降后，再灌满观察5min，液面不降，管道及接口无渗漏为合格。</w:t>
      </w:r>
    </w:p>
    <w:p w14:paraId="35938201">
      <w:pPr>
        <w:rPr>
          <w:rFonts w:hint="eastAsia"/>
          <w:color w:val="auto"/>
        </w:rPr>
      </w:pPr>
      <w:r>
        <w:rPr>
          <w:rFonts w:hint="eastAsia"/>
          <w:color w:val="auto"/>
        </w:rPr>
        <w:t>生活污水铸铁管道的坡度必须符合下表规定：</w:t>
      </w:r>
    </w:p>
    <w:p w14:paraId="76EF43A4">
      <w:pPr>
        <w:pStyle w:val="54"/>
        <w:rPr>
          <w:rFonts w:hint="eastAsia"/>
          <w:color w:val="auto"/>
        </w:rPr>
      </w:pPr>
      <w:r>
        <w:rPr>
          <w:rFonts w:hint="eastAsia"/>
          <w:color w:val="auto"/>
        </w:rPr>
        <w:t xml:space="preserve"> 生活污水铸铁管道的坡度</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0"/>
        <w:gridCol w:w="2396"/>
        <w:gridCol w:w="2910"/>
        <w:gridCol w:w="2910"/>
      </w:tblGrid>
      <w:tr w14:paraId="0D3FF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5402DE44">
            <w:pPr>
              <w:spacing w:line="240" w:lineRule="auto"/>
              <w:ind w:firstLine="0" w:firstLineChars="0"/>
              <w:jc w:val="center"/>
              <w:rPr>
                <w:rFonts w:hint="eastAsia"/>
                <w:color w:val="auto"/>
                <w:sz w:val="21"/>
              </w:rPr>
            </w:pPr>
            <w:r>
              <w:rPr>
                <w:rFonts w:hint="eastAsia"/>
                <w:color w:val="auto"/>
                <w:sz w:val="21"/>
              </w:rPr>
              <w:t>项次</w:t>
            </w:r>
          </w:p>
        </w:tc>
        <w:tc>
          <w:tcPr>
            <w:tcW w:w="2396" w:type="dxa"/>
            <w:tcBorders>
              <w:top w:val="single" w:color="auto" w:sz="4" w:space="0"/>
              <w:left w:val="single" w:color="auto" w:sz="4" w:space="0"/>
              <w:bottom w:val="single" w:color="auto" w:sz="4" w:space="0"/>
              <w:right w:val="single" w:color="auto" w:sz="4" w:space="0"/>
            </w:tcBorders>
            <w:vAlign w:val="center"/>
          </w:tcPr>
          <w:p w14:paraId="0D15C1EE">
            <w:pPr>
              <w:spacing w:line="240" w:lineRule="auto"/>
              <w:ind w:firstLine="0" w:firstLineChars="0"/>
              <w:jc w:val="center"/>
              <w:rPr>
                <w:rFonts w:hint="eastAsia"/>
                <w:color w:val="auto"/>
                <w:sz w:val="21"/>
              </w:rPr>
            </w:pPr>
            <w:r>
              <w:rPr>
                <w:rFonts w:hint="eastAsia"/>
                <w:color w:val="auto"/>
                <w:sz w:val="21"/>
              </w:rPr>
              <w:t>管径（mm）</w:t>
            </w:r>
          </w:p>
        </w:tc>
        <w:tc>
          <w:tcPr>
            <w:tcW w:w="2910" w:type="dxa"/>
            <w:tcBorders>
              <w:top w:val="single" w:color="auto" w:sz="4" w:space="0"/>
              <w:left w:val="single" w:color="auto" w:sz="4" w:space="0"/>
              <w:bottom w:val="single" w:color="auto" w:sz="4" w:space="0"/>
              <w:right w:val="single" w:color="auto" w:sz="4" w:space="0"/>
            </w:tcBorders>
            <w:vAlign w:val="center"/>
          </w:tcPr>
          <w:p w14:paraId="16BD782B">
            <w:pPr>
              <w:spacing w:line="240" w:lineRule="auto"/>
              <w:ind w:firstLine="0" w:firstLineChars="0"/>
              <w:jc w:val="center"/>
              <w:rPr>
                <w:rFonts w:hint="eastAsia"/>
                <w:color w:val="auto"/>
                <w:sz w:val="21"/>
              </w:rPr>
            </w:pPr>
            <w:r>
              <w:rPr>
                <w:rFonts w:hint="eastAsia"/>
                <w:color w:val="auto"/>
                <w:sz w:val="21"/>
              </w:rPr>
              <w:t>标准坡度（‰）</w:t>
            </w:r>
          </w:p>
        </w:tc>
        <w:tc>
          <w:tcPr>
            <w:tcW w:w="2910" w:type="dxa"/>
            <w:tcBorders>
              <w:top w:val="single" w:color="auto" w:sz="4" w:space="0"/>
              <w:left w:val="single" w:color="auto" w:sz="4" w:space="0"/>
              <w:bottom w:val="single" w:color="auto" w:sz="4" w:space="0"/>
              <w:right w:val="single" w:color="auto" w:sz="4" w:space="0"/>
            </w:tcBorders>
            <w:vAlign w:val="center"/>
          </w:tcPr>
          <w:p w14:paraId="7DB7BFA4">
            <w:pPr>
              <w:spacing w:line="240" w:lineRule="auto"/>
              <w:ind w:firstLine="0" w:firstLineChars="0"/>
              <w:jc w:val="center"/>
              <w:rPr>
                <w:rFonts w:hint="eastAsia"/>
                <w:color w:val="auto"/>
                <w:sz w:val="21"/>
              </w:rPr>
            </w:pPr>
            <w:r>
              <w:rPr>
                <w:rFonts w:hint="eastAsia"/>
                <w:color w:val="auto"/>
                <w:sz w:val="21"/>
              </w:rPr>
              <w:t>最小坡度（‰）</w:t>
            </w:r>
          </w:p>
        </w:tc>
      </w:tr>
      <w:tr w14:paraId="3F27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69B48AC8">
            <w:pPr>
              <w:spacing w:line="240" w:lineRule="auto"/>
              <w:ind w:firstLine="0" w:firstLineChars="0"/>
              <w:jc w:val="center"/>
              <w:rPr>
                <w:rFonts w:hint="eastAsia"/>
                <w:color w:val="auto"/>
                <w:sz w:val="21"/>
              </w:rPr>
            </w:pPr>
            <w:r>
              <w:rPr>
                <w:rFonts w:hint="eastAsia"/>
                <w:color w:val="auto"/>
                <w:sz w:val="21"/>
              </w:rPr>
              <w:t>1</w:t>
            </w:r>
          </w:p>
        </w:tc>
        <w:tc>
          <w:tcPr>
            <w:tcW w:w="2396" w:type="dxa"/>
            <w:tcBorders>
              <w:top w:val="single" w:color="auto" w:sz="4" w:space="0"/>
              <w:left w:val="single" w:color="auto" w:sz="4" w:space="0"/>
              <w:bottom w:val="single" w:color="auto" w:sz="4" w:space="0"/>
              <w:right w:val="single" w:color="auto" w:sz="4" w:space="0"/>
            </w:tcBorders>
            <w:vAlign w:val="center"/>
          </w:tcPr>
          <w:p w14:paraId="4E3D1BFB">
            <w:pPr>
              <w:spacing w:line="240" w:lineRule="auto"/>
              <w:ind w:firstLine="0" w:firstLineChars="0"/>
              <w:jc w:val="center"/>
              <w:rPr>
                <w:rFonts w:hint="eastAsia"/>
                <w:color w:val="auto"/>
                <w:sz w:val="21"/>
              </w:rPr>
            </w:pPr>
            <w:r>
              <w:rPr>
                <w:rFonts w:hint="eastAsia"/>
                <w:color w:val="auto"/>
                <w:sz w:val="21"/>
              </w:rPr>
              <w:t>50</w:t>
            </w:r>
          </w:p>
        </w:tc>
        <w:tc>
          <w:tcPr>
            <w:tcW w:w="2910" w:type="dxa"/>
            <w:tcBorders>
              <w:top w:val="single" w:color="auto" w:sz="4" w:space="0"/>
              <w:left w:val="single" w:color="auto" w:sz="4" w:space="0"/>
              <w:bottom w:val="single" w:color="auto" w:sz="4" w:space="0"/>
              <w:right w:val="single" w:color="auto" w:sz="4" w:space="0"/>
            </w:tcBorders>
            <w:vAlign w:val="center"/>
          </w:tcPr>
          <w:p w14:paraId="196759A8">
            <w:pPr>
              <w:spacing w:line="240" w:lineRule="auto"/>
              <w:ind w:firstLine="0" w:firstLineChars="0"/>
              <w:jc w:val="center"/>
              <w:rPr>
                <w:rFonts w:hint="eastAsia"/>
                <w:color w:val="auto"/>
                <w:sz w:val="21"/>
              </w:rPr>
            </w:pPr>
            <w:r>
              <w:rPr>
                <w:rFonts w:hint="eastAsia"/>
                <w:color w:val="auto"/>
                <w:sz w:val="21"/>
              </w:rPr>
              <w:t>35</w:t>
            </w:r>
          </w:p>
        </w:tc>
        <w:tc>
          <w:tcPr>
            <w:tcW w:w="2910" w:type="dxa"/>
            <w:tcBorders>
              <w:top w:val="single" w:color="auto" w:sz="4" w:space="0"/>
              <w:left w:val="single" w:color="auto" w:sz="4" w:space="0"/>
              <w:bottom w:val="single" w:color="auto" w:sz="4" w:space="0"/>
              <w:right w:val="single" w:color="auto" w:sz="4" w:space="0"/>
            </w:tcBorders>
            <w:vAlign w:val="center"/>
          </w:tcPr>
          <w:p w14:paraId="2CE743F8">
            <w:pPr>
              <w:spacing w:line="240" w:lineRule="auto"/>
              <w:ind w:firstLine="0" w:firstLineChars="0"/>
              <w:jc w:val="center"/>
              <w:rPr>
                <w:rFonts w:hint="eastAsia"/>
                <w:color w:val="auto"/>
                <w:sz w:val="21"/>
              </w:rPr>
            </w:pPr>
            <w:r>
              <w:rPr>
                <w:rFonts w:hint="eastAsia"/>
                <w:color w:val="auto"/>
                <w:sz w:val="21"/>
              </w:rPr>
              <w:t>25</w:t>
            </w:r>
          </w:p>
        </w:tc>
      </w:tr>
      <w:tr w14:paraId="190FB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62F25ED7">
            <w:pPr>
              <w:spacing w:line="240" w:lineRule="auto"/>
              <w:ind w:firstLine="0" w:firstLineChars="0"/>
              <w:jc w:val="center"/>
              <w:rPr>
                <w:rFonts w:hint="eastAsia"/>
                <w:color w:val="auto"/>
                <w:sz w:val="21"/>
              </w:rPr>
            </w:pPr>
            <w:r>
              <w:rPr>
                <w:rFonts w:hint="eastAsia"/>
                <w:color w:val="auto"/>
                <w:sz w:val="21"/>
              </w:rPr>
              <w:t>2</w:t>
            </w:r>
          </w:p>
        </w:tc>
        <w:tc>
          <w:tcPr>
            <w:tcW w:w="2396" w:type="dxa"/>
            <w:tcBorders>
              <w:top w:val="single" w:color="auto" w:sz="4" w:space="0"/>
              <w:left w:val="single" w:color="auto" w:sz="4" w:space="0"/>
              <w:bottom w:val="single" w:color="auto" w:sz="4" w:space="0"/>
              <w:right w:val="single" w:color="auto" w:sz="4" w:space="0"/>
            </w:tcBorders>
            <w:vAlign w:val="center"/>
          </w:tcPr>
          <w:p w14:paraId="072D4E47">
            <w:pPr>
              <w:spacing w:line="240" w:lineRule="auto"/>
              <w:ind w:firstLine="0" w:firstLineChars="0"/>
              <w:jc w:val="center"/>
              <w:rPr>
                <w:rFonts w:hint="eastAsia"/>
                <w:color w:val="auto"/>
                <w:sz w:val="21"/>
              </w:rPr>
            </w:pPr>
            <w:r>
              <w:rPr>
                <w:rFonts w:hint="eastAsia"/>
                <w:color w:val="auto"/>
                <w:sz w:val="21"/>
              </w:rPr>
              <w:t>75</w:t>
            </w:r>
          </w:p>
        </w:tc>
        <w:tc>
          <w:tcPr>
            <w:tcW w:w="2910" w:type="dxa"/>
            <w:tcBorders>
              <w:top w:val="single" w:color="auto" w:sz="4" w:space="0"/>
              <w:left w:val="single" w:color="auto" w:sz="4" w:space="0"/>
              <w:bottom w:val="single" w:color="auto" w:sz="4" w:space="0"/>
              <w:right w:val="single" w:color="auto" w:sz="4" w:space="0"/>
            </w:tcBorders>
            <w:vAlign w:val="center"/>
          </w:tcPr>
          <w:p w14:paraId="7020AA0B">
            <w:pPr>
              <w:spacing w:line="240" w:lineRule="auto"/>
              <w:ind w:firstLine="0" w:firstLineChars="0"/>
              <w:jc w:val="center"/>
              <w:rPr>
                <w:rFonts w:hint="eastAsia"/>
                <w:color w:val="auto"/>
                <w:sz w:val="21"/>
              </w:rPr>
            </w:pPr>
            <w:r>
              <w:rPr>
                <w:rFonts w:hint="eastAsia"/>
                <w:color w:val="auto"/>
                <w:sz w:val="21"/>
              </w:rPr>
              <w:t>25</w:t>
            </w:r>
          </w:p>
        </w:tc>
        <w:tc>
          <w:tcPr>
            <w:tcW w:w="2910" w:type="dxa"/>
            <w:tcBorders>
              <w:top w:val="single" w:color="auto" w:sz="4" w:space="0"/>
              <w:left w:val="single" w:color="auto" w:sz="4" w:space="0"/>
              <w:bottom w:val="single" w:color="auto" w:sz="4" w:space="0"/>
              <w:right w:val="single" w:color="auto" w:sz="4" w:space="0"/>
            </w:tcBorders>
            <w:vAlign w:val="center"/>
          </w:tcPr>
          <w:p w14:paraId="3028674D">
            <w:pPr>
              <w:spacing w:line="240" w:lineRule="auto"/>
              <w:ind w:firstLine="0" w:firstLineChars="0"/>
              <w:jc w:val="center"/>
              <w:rPr>
                <w:rFonts w:hint="eastAsia"/>
                <w:color w:val="auto"/>
                <w:sz w:val="21"/>
              </w:rPr>
            </w:pPr>
            <w:r>
              <w:rPr>
                <w:rFonts w:hint="eastAsia"/>
                <w:color w:val="auto"/>
                <w:sz w:val="21"/>
              </w:rPr>
              <w:t>15</w:t>
            </w:r>
          </w:p>
        </w:tc>
      </w:tr>
      <w:tr w14:paraId="7E5AE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0C3EED1A">
            <w:pPr>
              <w:spacing w:line="240" w:lineRule="auto"/>
              <w:ind w:firstLine="0" w:firstLineChars="0"/>
              <w:jc w:val="center"/>
              <w:rPr>
                <w:rFonts w:hint="eastAsia"/>
                <w:color w:val="auto"/>
                <w:sz w:val="21"/>
              </w:rPr>
            </w:pPr>
            <w:r>
              <w:rPr>
                <w:rFonts w:hint="eastAsia"/>
                <w:color w:val="auto"/>
                <w:sz w:val="21"/>
              </w:rPr>
              <w:t>3</w:t>
            </w:r>
          </w:p>
        </w:tc>
        <w:tc>
          <w:tcPr>
            <w:tcW w:w="2396" w:type="dxa"/>
            <w:tcBorders>
              <w:top w:val="single" w:color="auto" w:sz="4" w:space="0"/>
              <w:left w:val="single" w:color="auto" w:sz="4" w:space="0"/>
              <w:bottom w:val="single" w:color="auto" w:sz="4" w:space="0"/>
              <w:right w:val="single" w:color="auto" w:sz="4" w:space="0"/>
            </w:tcBorders>
            <w:vAlign w:val="center"/>
          </w:tcPr>
          <w:p w14:paraId="651AC40D">
            <w:pPr>
              <w:spacing w:line="240" w:lineRule="auto"/>
              <w:ind w:firstLine="0" w:firstLineChars="0"/>
              <w:jc w:val="center"/>
              <w:rPr>
                <w:rFonts w:hint="eastAsia"/>
                <w:color w:val="auto"/>
                <w:sz w:val="21"/>
              </w:rPr>
            </w:pPr>
            <w:r>
              <w:rPr>
                <w:rFonts w:hint="eastAsia"/>
                <w:color w:val="auto"/>
                <w:sz w:val="21"/>
              </w:rPr>
              <w:t>100</w:t>
            </w:r>
          </w:p>
        </w:tc>
        <w:tc>
          <w:tcPr>
            <w:tcW w:w="2910" w:type="dxa"/>
            <w:tcBorders>
              <w:top w:val="single" w:color="auto" w:sz="4" w:space="0"/>
              <w:left w:val="single" w:color="auto" w:sz="4" w:space="0"/>
              <w:bottom w:val="single" w:color="auto" w:sz="4" w:space="0"/>
              <w:right w:val="single" w:color="auto" w:sz="4" w:space="0"/>
            </w:tcBorders>
            <w:vAlign w:val="center"/>
          </w:tcPr>
          <w:p w14:paraId="4EE01D1C">
            <w:pPr>
              <w:spacing w:line="240" w:lineRule="auto"/>
              <w:ind w:firstLine="0" w:firstLineChars="0"/>
              <w:jc w:val="center"/>
              <w:rPr>
                <w:rFonts w:hint="eastAsia"/>
                <w:color w:val="auto"/>
                <w:sz w:val="21"/>
              </w:rPr>
            </w:pPr>
            <w:r>
              <w:rPr>
                <w:rFonts w:hint="eastAsia"/>
                <w:color w:val="auto"/>
                <w:sz w:val="21"/>
              </w:rPr>
              <w:t>20</w:t>
            </w:r>
          </w:p>
        </w:tc>
        <w:tc>
          <w:tcPr>
            <w:tcW w:w="2910" w:type="dxa"/>
            <w:tcBorders>
              <w:top w:val="single" w:color="auto" w:sz="4" w:space="0"/>
              <w:left w:val="single" w:color="auto" w:sz="4" w:space="0"/>
              <w:bottom w:val="single" w:color="auto" w:sz="4" w:space="0"/>
              <w:right w:val="single" w:color="auto" w:sz="4" w:space="0"/>
            </w:tcBorders>
            <w:vAlign w:val="center"/>
          </w:tcPr>
          <w:p w14:paraId="06C994B7">
            <w:pPr>
              <w:spacing w:line="240" w:lineRule="auto"/>
              <w:ind w:firstLine="0" w:firstLineChars="0"/>
              <w:jc w:val="center"/>
              <w:rPr>
                <w:rFonts w:hint="eastAsia"/>
                <w:color w:val="auto"/>
                <w:sz w:val="21"/>
              </w:rPr>
            </w:pPr>
            <w:r>
              <w:rPr>
                <w:rFonts w:hint="eastAsia"/>
                <w:color w:val="auto"/>
                <w:sz w:val="21"/>
              </w:rPr>
              <w:t>12</w:t>
            </w:r>
          </w:p>
        </w:tc>
      </w:tr>
      <w:tr w14:paraId="06453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00411BAC">
            <w:pPr>
              <w:spacing w:line="240" w:lineRule="auto"/>
              <w:ind w:firstLine="0" w:firstLineChars="0"/>
              <w:jc w:val="center"/>
              <w:rPr>
                <w:rFonts w:hint="eastAsia"/>
                <w:color w:val="auto"/>
                <w:sz w:val="21"/>
              </w:rPr>
            </w:pPr>
            <w:r>
              <w:rPr>
                <w:rFonts w:hint="eastAsia"/>
                <w:color w:val="auto"/>
                <w:sz w:val="21"/>
              </w:rPr>
              <w:t>4</w:t>
            </w:r>
          </w:p>
        </w:tc>
        <w:tc>
          <w:tcPr>
            <w:tcW w:w="2396" w:type="dxa"/>
            <w:tcBorders>
              <w:top w:val="single" w:color="auto" w:sz="4" w:space="0"/>
              <w:left w:val="single" w:color="auto" w:sz="4" w:space="0"/>
              <w:bottom w:val="single" w:color="auto" w:sz="4" w:space="0"/>
              <w:right w:val="single" w:color="auto" w:sz="4" w:space="0"/>
            </w:tcBorders>
            <w:vAlign w:val="center"/>
          </w:tcPr>
          <w:p w14:paraId="5CCF3BEC">
            <w:pPr>
              <w:spacing w:line="240" w:lineRule="auto"/>
              <w:ind w:firstLine="0" w:firstLineChars="0"/>
              <w:jc w:val="center"/>
              <w:rPr>
                <w:rFonts w:hint="eastAsia"/>
                <w:color w:val="auto"/>
                <w:sz w:val="21"/>
              </w:rPr>
            </w:pPr>
            <w:r>
              <w:rPr>
                <w:rFonts w:hint="eastAsia"/>
                <w:color w:val="auto"/>
                <w:sz w:val="21"/>
              </w:rPr>
              <w:t>125</w:t>
            </w:r>
          </w:p>
        </w:tc>
        <w:tc>
          <w:tcPr>
            <w:tcW w:w="2910" w:type="dxa"/>
            <w:tcBorders>
              <w:top w:val="single" w:color="auto" w:sz="4" w:space="0"/>
              <w:left w:val="single" w:color="auto" w:sz="4" w:space="0"/>
              <w:bottom w:val="single" w:color="auto" w:sz="4" w:space="0"/>
              <w:right w:val="single" w:color="auto" w:sz="4" w:space="0"/>
            </w:tcBorders>
            <w:vAlign w:val="center"/>
          </w:tcPr>
          <w:p w14:paraId="153AAD8C">
            <w:pPr>
              <w:spacing w:line="240" w:lineRule="auto"/>
              <w:ind w:firstLine="0" w:firstLineChars="0"/>
              <w:jc w:val="center"/>
              <w:rPr>
                <w:rFonts w:hint="eastAsia"/>
                <w:color w:val="auto"/>
                <w:sz w:val="21"/>
              </w:rPr>
            </w:pPr>
            <w:r>
              <w:rPr>
                <w:rFonts w:hint="eastAsia"/>
                <w:color w:val="auto"/>
                <w:sz w:val="21"/>
              </w:rPr>
              <w:t>15</w:t>
            </w:r>
          </w:p>
        </w:tc>
        <w:tc>
          <w:tcPr>
            <w:tcW w:w="2910" w:type="dxa"/>
            <w:tcBorders>
              <w:top w:val="single" w:color="auto" w:sz="4" w:space="0"/>
              <w:left w:val="single" w:color="auto" w:sz="4" w:space="0"/>
              <w:bottom w:val="single" w:color="auto" w:sz="4" w:space="0"/>
              <w:right w:val="single" w:color="auto" w:sz="4" w:space="0"/>
            </w:tcBorders>
            <w:vAlign w:val="center"/>
          </w:tcPr>
          <w:p w14:paraId="07208970">
            <w:pPr>
              <w:spacing w:line="240" w:lineRule="auto"/>
              <w:ind w:firstLine="0" w:firstLineChars="0"/>
              <w:jc w:val="center"/>
              <w:rPr>
                <w:rFonts w:hint="eastAsia"/>
                <w:color w:val="auto"/>
                <w:sz w:val="21"/>
              </w:rPr>
            </w:pPr>
            <w:r>
              <w:rPr>
                <w:rFonts w:hint="eastAsia"/>
                <w:color w:val="auto"/>
                <w:sz w:val="21"/>
              </w:rPr>
              <w:t>10</w:t>
            </w:r>
          </w:p>
        </w:tc>
      </w:tr>
      <w:tr w14:paraId="19E9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2926E256">
            <w:pPr>
              <w:spacing w:line="240" w:lineRule="auto"/>
              <w:ind w:firstLine="0" w:firstLineChars="0"/>
              <w:jc w:val="center"/>
              <w:rPr>
                <w:rFonts w:hint="eastAsia"/>
                <w:color w:val="auto"/>
                <w:sz w:val="21"/>
              </w:rPr>
            </w:pPr>
            <w:r>
              <w:rPr>
                <w:rFonts w:hint="eastAsia"/>
                <w:color w:val="auto"/>
                <w:sz w:val="21"/>
              </w:rPr>
              <w:t>5</w:t>
            </w:r>
          </w:p>
        </w:tc>
        <w:tc>
          <w:tcPr>
            <w:tcW w:w="2396" w:type="dxa"/>
            <w:tcBorders>
              <w:top w:val="single" w:color="auto" w:sz="4" w:space="0"/>
              <w:left w:val="single" w:color="auto" w:sz="4" w:space="0"/>
              <w:bottom w:val="single" w:color="auto" w:sz="4" w:space="0"/>
              <w:right w:val="single" w:color="auto" w:sz="4" w:space="0"/>
            </w:tcBorders>
            <w:vAlign w:val="center"/>
          </w:tcPr>
          <w:p w14:paraId="53C5D5F5">
            <w:pPr>
              <w:spacing w:line="240" w:lineRule="auto"/>
              <w:ind w:firstLine="0" w:firstLineChars="0"/>
              <w:jc w:val="center"/>
              <w:rPr>
                <w:rFonts w:hint="eastAsia"/>
                <w:color w:val="auto"/>
                <w:sz w:val="21"/>
              </w:rPr>
            </w:pPr>
            <w:r>
              <w:rPr>
                <w:rFonts w:hint="eastAsia"/>
                <w:color w:val="auto"/>
                <w:sz w:val="21"/>
              </w:rPr>
              <w:t>150</w:t>
            </w:r>
          </w:p>
        </w:tc>
        <w:tc>
          <w:tcPr>
            <w:tcW w:w="2910" w:type="dxa"/>
            <w:tcBorders>
              <w:top w:val="single" w:color="auto" w:sz="4" w:space="0"/>
              <w:left w:val="single" w:color="auto" w:sz="4" w:space="0"/>
              <w:bottom w:val="single" w:color="auto" w:sz="4" w:space="0"/>
              <w:right w:val="single" w:color="auto" w:sz="4" w:space="0"/>
            </w:tcBorders>
            <w:vAlign w:val="center"/>
          </w:tcPr>
          <w:p w14:paraId="67ADF43D">
            <w:pPr>
              <w:spacing w:line="240" w:lineRule="auto"/>
              <w:ind w:firstLine="0" w:firstLineChars="0"/>
              <w:jc w:val="center"/>
              <w:rPr>
                <w:rFonts w:hint="eastAsia"/>
                <w:color w:val="auto"/>
                <w:sz w:val="21"/>
              </w:rPr>
            </w:pPr>
            <w:r>
              <w:rPr>
                <w:rFonts w:hint="eastAsia"/>
                <w:color w:val="auto"/>
                <w:sz w:val="21"/>
              </w:rPr>
              <w:t>10</w:t>
            </w:r>
          </w:p>
        </w:tc>
        <w:tc>
          <w:tcPr>
            <w:tcW w:w="2910" w:type="dxa"/>
            <w:tcBorders>
              <w:top w:val="single" w:color="auto" w:sz="4" w:space="0"/>
              <w:left w:val="single" w:color="auto" w:sz="4" w:space="0"/>
              <w:bottom w:val="single" w:color="auto" w:sz="4" w:space="0"/>
              <w:right w:val="single" w:color="auto" w:sz="4" w:space="0"/>
            </w:tcBorders>
            <w:vAlign w:val="center"/>
          </w:tcPr>
          <w:p w14:paraId="177FB901">
            <w:pPr>
              <w:spacing w:line="240" w:lineRule="auto"/>
              <w:ind w:firstLine="0" w:firstLineChars="0"/>
              <w:jc w:val="center"/>
              <w:rPr>
                <w:rFonts w:hint="eastAsia"/>
                <w:color w:val="auto"/>
                <w:sz w:val="21"/>
              </w:rPr>
            </w:pPr>
            <w:r>
              <w:rPr>
                <w:rFonts w:hint="eastAsia"/>
                <w:color w:val="auto"/>
                <w:sz w:val="21"/>
              </w:rPr>
              <w:t>7</w:t>
            </w:r>
          </w:p>
        </w:tc>
      </w:tr>
      <w:tr w14:paraId="6ED2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70" w:type="dxa"/>
            <w:tcBorders>
              <w:top w:val="single" w:color="auto" w:sz="4" w:space="0"/>
              <w:left w:val="single" w:color="auto" w:sz="4" w:space="0"/>
              <w:bottom w:val="single" w:color="auto" w:sz="4" w:space="0"/>
              <w:right w:val="single" w:color="auto" w:sz="4" w:space="0"/>
            </w:tcBorders>
            <w:vAlign w:val="center"/>
          </w:tcPr>
          <w:p w14:paraId="2015BB4F">
            <w:pPr>
              <w:spacing w:line="240" w:lineRule="auto"/>
              <w:ind w:firstLine="0" w:firstLineChars="0"/>
              <w:jc w:val="center"/>
              <w:rPr>
                <w:rFonts w:hint="eastAsia"/>
                <w:color w:val="auto"/>
                <w:sz w:val="21"/>
              </w:rPr>
            </w:pPr>
            <w:r>
              <w:rPr>
                <w:rFonts w:hint="eastAsia"/>
                <w:color w:val="auto"/>
                <w:sz w:val="21"/>
              </w:rPr>
              <w:t>6</w:t>
            </w:r>
          </w:p>
        </w:tc>
        <w:tc>
          <w:tcPr>
            <w:tcW w:w="2396" w:type="dxa"/>
            <w:tcBorders>
              <w:top w:val="single" w:color="auto" w:sz="4" w:space="0"/>
              <w:left w:val="single" w:color="auto" w:sz="4" w:space="0"/>
              <w:bottom w:val="single" w:color="auto" w:sz="4" w:space="0"/>
              <w:right w:val="single" w:color="auto" w:sz="4" w:space="0"/>
            </w:tcBorders>
            <w:vAlign w:val="center"/>
          </w:tcPr>
          <w:p w14:paraId="7CBF93D9">
            <w:pPr>
              <w:spacing w:line="240" w:lineRule="auto"/>
              <w:ind w:firstLine="0" w:firstLineChars="0"/>
              <w:jc w:val="center"/>
              <w:rPr>
                <w:rFonts w:hint="eastAsia"/>
                <w:color w:val="auto"/>
                <w:sz w:val="21"/>
              </w:rPr>
            </w:pPr>
            <w:r>
              <w:rPr>
                <w:rFonts w:hint="eastAsia"/>
                <w:color w:val="auto"/>
                <w:sz w:val="21"/>
              </w:rPr>
              <w:t>200</w:t>
            </w:r>
          </w:p>
        </w:tc>
        <w:tc>
          <w:tcPr>
            <w:tcW w:w="2910" w:type="dxa"/>
            <w:tcBorders>
              <w:top w:val="single" w:color="auto" w:sz="4" w:space="0"/>
              <w:left w:val="single" w:color="auto" w:sz="4" w:space="0"/>
              <w:bottom w:val="single" w:color="auto" w:sz="4" w:space="0"/>
              <w:right w:val="single" w:color="auto" w:sz="4" w:space="0"/>
            </w:tcBorders>
            <w:vAlign w:val="center"/>
          </w:tcPr>
          <w:p w14:paraId="5C97D6FA">
            <w:pPr>
              <w:spacing w:line="240" w:lineRule="auto"/>
              <w:ind w:firstLine="0" w:firstLineChars="0"/>
              <w:jc w:val="center"/>
              <w:rPr>
                <w:rFonts w:hint="eastAsia"/>
                <w:color w:val="auto"/>
                <w:sz w:val="21"/>
              </w:rPr>
            </w:pPr>
            <w:r>
              <w:rPr>
                <w:rFonts w:hint="eastAsia"/>
                <w:color w:val="auto"/>
                <w:sz w:val="21"/>
              </w:rPr>
              <w:t>8</w:t>
            </w:r>
          </w:p>
        </w:tc>
        <w:tc>
          <w:tcPr>
            <w:tcW w:w="2910" w:type="dxa"/>
            <w:tcBorders>
              <w:top w:val="single" w:color="auto" w:sz="4" w:space="0"/>
              <w:left w:val="single" w:color="auto" w:sz="4" w:space="0"/>
              <w:bottom w:val="single" w:color="auto" w:sz="4" w:space="0"/>
              <w:right w:val="single" w:color="auto" w:sz="4" w:space="0"/>
            </w:tcBorders>
            <w:vAlign w:val="center"/>
          </w:tcPr>
          <w:p w14:paraId="481F2B6E">
            <w:pPr>
              <w:spacing w:line="240" w:lineRule="auto"/>
              <w:ind w:firstLine="0" w:firstLineChars="0"/>
              <w:jc w:val="center"/>
              <w:rPr>
                <w:rFonts w:hint="eastAsia"/>
                <w:color w:val="auto"/>
                <w:sz w:val="21"/>
              </w:rPr>
            </w:pPr>
            <w:r>
              <w:rPr>
                <w:rFonts w:hint="eastAsia"/>
                <w:color w:val="auto"/>
                <w:sz w:val="21"/>
              </w:rPr>
              <w:t>5</w:t>
            </w:r>
          </w:p>
        </w:tc>
      </w:tr>
    </w:tbl>
    <w:p w14:paraId="0ABFAA95">
      <w:pPr>
        <w:rPr>
          <w:rFonts w:hint="eastAsia"/>
          <w:color w:val="auto"/>
        </w:rPr>
      </w:pPr>
      <w:r>
        <w:rPr>
          <w:rFonts w:hint="eastAsia"/>
          <w:color w:val="auto"/>
        </w:rPr>
        <w:t>检验方法：水平尺/拉线尺量检查。</w:t>
      </w:r>
    </w:p>
    <w:p w14:paraId="75FFDAD6">
      <w:pPr>
        <w:rPr>
          <w:rFonts w:hint="eastAsia"/>
          <w:color w:val="auto"/>
        </w:rPr>
      </w:pPr>
      <w:r>
        <w:rPr>
          <w:rFonts w:hint="eastAsia"/>
          <w:color w:val="auto"/>
        </w:rPr>
        <w:t>生活污水塑料管道的坡度必须符合下表规定：</w:t>
      </w:r>
    </w:p>
    <w:p w14:paraId="737B333C">
      <w:pPr>
        <w:pStyle w:val="54"/>
        <w:rPr>
          <w:rFonts w:hint="eastAsia"/>
          <w:color w:val="auto"/>
        </w:rPr>
      </w:pPr>
      <w:r>
        <w:rPr>
          <w:rFonts w:hint="eastAsia"/>
          <w:color w:val="auto"/>
        </w:rPr>
        <w:t>生活污水塑料管道的坡度</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2165"/>
        <w:gridCol w:w="2791"/>
        <w:gridCol w:w="2788"/>
      </w:tblGrid>
      <w:tr w14:paraId="5F139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2" w:type="dxa"/>
            <w:tcBorders>
              <w:top w:val="single" w:color="auto" w:sz="4" w:space="0"/>
              <w:left w:val="single" w:color="auto" w:sz="4" w:space="0"/>
              <w:bottom w:val="single" w:color="auto" w:sz="4" w:space="0"/>
              <w:right w:val="single" w:color="auto" w:sz="4" w:space="0"/>
            </w:tcBorders>
            <w:vAlign w:val="center"/>
          </w:tcPr>
          <w:p w14:paraId="5869696D">
            <w:pPr>
              <w:spacing w:line="240" w:lineRule="auto"/>
              <w:ind w:firstLine="0" w:firstLineChars="0"/>
              <w:jc w:val="center"/>
              <w:rPr>
                <w:rFonts w:hint="eastAsia"/>
                <w:color w:val="auto"/>
                <w:sz w:val="21"/>
              </w:rPr>
            </w:pPr>
            <w:r>
              <w:rPr>
                <w:rFonts w:hint="eastAsia"/>
                <w:color w:val="auto"/>
                <w:sz w:val="21"/>
              </w:rPr>
              <w:t>项次</w:t>
            </w:r>
          </w:p>
        </w:tc>
        <w:tc>
          <w:tcPr>
            <w:tcW w:w="2165" w:type="dxa"/>
            <w:tcBorders>
              <w:top w:val="single" w:color="auto" w:sz="4" w:space="0"/>
              <w:left w:val="single" w:color="auto" w:sz="4" w:space="0"/>
              <w:bottom w:val="single" w:color="auto" w:sz="4" w:space="0"/>
              <w:right w:val="single" w:color="auto" w:sz="4" w:space="0"/>
            </w:tcBorders>
            <w:vAlign w:val="center"/>
          </w:tcPr>
          <w:p w14:paraId="5EFE5256">
            <w:pPr>
              <w:spacing w:line="240" w:lineRule="auto"/>
              <w:ind w:firstLine="0" w:firstLineChars="0"/>
              <w:jc w:val="center"/>
              <w:rPr>
                <w:rFonts w:hint="eastAsia"/>
                <w:color w:val="auto"/>
                <w:sz w:val="21"/>
              </w:rPr>
            </w:pPr>
            <w:r>
              <w:rPr>
                <w:rFonts w:hint="eastAsia"/>
                <w:color w:val="auto"/>
                <w:sz w:val="21"/>
              </w:rPr>
              <w:t>管径（mm）</w:t>
            </w:r>
          </w:p>
        </w:tc>
        <w:tc>
          <w:tcPr>
            <w:tcW w:w="2791" w:type="dxa"/>
            <w:tcBorders>
              <w:top w:val="single" w:color="auto" w:sz="4" w:space="0"/>
              <w:left w:val="single" w:color="auto" w:sz="4" w:space="0"/>
              <w:bottom w:val="single" w:color="auto" w:sz="4" w:space="0"/>
              <w:right w:val="single" w:color="auto" w:sz="4" w:space="0"/>
            </w:tcBorders>
            <w:vAlign w:val="center"/>
          </w:tcPr>
          <w:p w14:paraId="5DA9A1FB">
            <w:pPr>
              <w:spacing w:line="240" w:lineRule="auto"/>
              <w:ind w:firstLine="0" w:firstLineChars="0"/>
              <w:jc w:val="center"/>
              <w:rPr>
                <w:rFonts w:hint="eastAsia"/>
                <w:color w:val="auto"/>
                <w:sz w:val="21"/>
              </w:rPr>
            </w:pPr>
            <w:r>
              <w:rPr>
                <w:rFonts w:hint="eastAsia"/>
                <w:color w:val="auto"/>
                <w:sz w:val="21"/>
              </w:rPr>
              <w:t>标准坡度（‰）</w:t>
            </w:r>
          </w:p>
        </w:tc>
        <w:tc>
          <w:tcPr>
            <w:tcW w:w="2788" w:type="dxa"/>
            <w:tcBorders>
              <w:top w:val="single" w:color="auto" w:sz="4" w:space="0"/>
              <w:left w:val="single" w:color="auto" w:sz="4" w:space="0"/>
              <w:bottom w:val="single" w:color="auto" w:sz="4" w:space="0"/>
              <w:right w:val="single" w:color="auto" w:sz="4" w:space="0"/>
            </w:tcBorders>
            <w:vAlign w:val="center"/>
          </w:tcPr>
          <w:p w14:paraId="4FB7F3DF">
            <w:pPr>
              <w:spacing w:line="240" w:lineRule="auto"/>
              <w:ind w:firstLine="0" w:firstLineChars="0"/>
              <w:jc w:val="center"/>
              <w:rPr>
                <w:rFonts w:hint="eastAsia"/>
                <w:color w:val="auto"/>
                <w:sz w:val="21"/>
              </w:rPr>
            </w:pPr>
            <w:r>
              <w:rPr>
                <w:rFonts w:hint="eastAsia"/>
                <w:color w:val="auto"/>
                <w:sz w:val="21"/>
              </w:rPr>
              <w:t>最小坡度（‰）</w:t>
            </w:r>
          </w:p>
        </w:tc>
      </w:tr>
      <w:tr w14:paraId="04061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2" w:type="dxa"/>
            <w:tcBorders>
              <w:top w:val="single" w:color="auto" w:sz="4" w:space="0"/>
              <w:left w:val="single" w:color="auto" w:sz="4" w:space="0"/>
              <w:bottom w:val="single" w:color="auto" w:sz="4" w:space="0"/>
              <w:right w:val="single" w:color="auto" w:sz="4" w:space="0"/>
            </w:tcBorders>
            <w:vAlign w:val="center"/>
          </w:tcPr>
          <w:p w14:paraId="0E58BFCF">
            <w:pPr>
              <w:spacing w:line="240" w:lineRule="auto"/>
              <w:ind w:firstLine="0" w:firstLineChars="0"/>
              <w:jc w:val="center"/>
              <w:rPr>
                <w:rFonts w:hint="eastAsia"/>
                <w:color w:val="auto"/>
                <w:sz w:val="21"/>
              </w:rPr>
            </w:pPr>
            <w:r>
              <w:rPr>
                <w:rFonts w:hint="eastAsia"/>
                <w:color w:val="auto"/>
                <w:sz w:val="21"/>
              </w:rPr>
              <w:t>1</w:t>
            </w:r>
          </w:p>
        </w:tc>
        <w:tc>
          <w:tcPr>
            <w:tcW w:w="2165" w:type="dxa"/>
            <w:tcBorders>
              <w:top w:val="single" w:color="auto" w:sz="4" w:space="0"/>
              <w:left w:val="single" w:color="auto" w:sz="4" w:space="0"/>
              <w:bottom w:val="single" w:color="auto" w:sz="4" w:space="0"/>
              <w:right w:val="single" w:color="auto" w:sz="4" w:space="0"/>
            </w:tcBorders>
            <w:vAlign w:val="center"/>
          </w:tcPr>
          <w:p w14:paraId="7DC30F4F">
            <w:pPr>
              <w:spacing w:line="240" w:lineRule="auto"/>
              <w:ind w:firstLine="0" w:firstLineChars="0"/>
              <w:jc w:val="center"/>
              <w:rPr>
                <w:rFonts w:hint="eastAsia"/>
                <w:color w:val="auto"/>
                <w:sz w:val="21"/>
              </w:rPr>
            </w:pPr>
            <w:r>
              <w:rPr>
                <w:rFonts w:hint="eastAsia"/>
                <w:color w:val="auto"/>
                <w:sz w:val="21"/>
              </w:rPr>
              <w:t>50</w:t>
            </w:r>
          </w:p>
        </w:tc>
        <w:tc>
          <w:tcPr>
            <w:tcW w:w="2791" w:type="dxa"/>
            <w:tcBorders>
              <w:top w:val="single" w:color="auto" w:sz="4" w:space="0"/>
              <w:left w:val="single" w:color="auto" w:sz="4" w:space="0"/>
              <w:bottom w:val="single" w:color="auto" w:sz="4" w:space="0"/>
              <w:right w:val="single" w:color="auto" w:sz="4" w:space="0"/>
            </w:tcBorders>
            <w:vAlign w:val="center"/>
          </w:tcPr>
          <w:p w14:paraId="3F2F42DC">
            <w:pPr>
              <w:spacing w:line="240" w:lineRule="auto"/>
              <w:ind w:firstLine="0" w:firstLineChars="0"/>
              <w:jc w:val="center"/>
              <w:rPr>
                <w:rFonts w:hint="eastAsia"/>
                <w:color w:val="auto"/>
                <w:sz w:val="21"/>
              </w:rPr>
            </w:pPr>
            <w:r>
              <w:rPr>
                <w:rFonts w:hint="eastAsia"/>
                <w:color w:val="auto"/>
                <w:sz w:val="21"/>
              </w:rPr>
              <w:t>25</w:t>
            </w:r>
          </w:p>
        </w:tc>
        <w:tc>
          <w:tcPr>
            <w:tcW w:w="2788" w:type="dxa"/>
            <w:tcBorders>
              <w:top w:val="single" w:color="auto" w:sz="4" w:space="0"/>
              <w:left w:val="single" w:color="auto" w:sz="4" w:space="0"/>
              <w:bottom w:val="single" w:color="auto" w:sz="4" w:space="0"/>
              <w:right w:val="single" w:color="auto" w:sz="4" w:space="0"/>
            </w:tcBorders>
            <w:vAlign w:val="center"/>
          </w:tcPr>
          <w:p w14:paraId="1324C0D3">
            <w:pPr>
              <w:spacing w:line="240" w:lineRule="auto"/>
              <w:ind w:firstLine="0" w:firstLineChars="0"/>
              <w:jc w:val="center"/>
              <w:rPr>
                <w:rFonts w:hint="eastAsia"/>
                <w:color w:val="auto"/>
                <w:sz w:val="21"/>
              </w:rPr>
            </w:pPr>
            <w:r>
              <w:rPr>
                <w:rFonts w:hint="eastAsia"/>
                <w:color w:val="auto"/>
                <w:sz w:val="21"/>
              </w:rPr>
              <w:t>12</w:t>
            </w:r>
          </w:p>
        </w:tc>
      </w:tr>
      <w:tr w14:paraId="5AFF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2" w:type="dxa"/>
            <w:tcBorders>
              <w:top w:val="single" w:color="auto" w:sz="4" w:space="0"/>
              <w:left w:val="single" w:color="auto" w:sz="4" w:space="0"/>
              <w:bottom w:val="single" w:color="auto" w:sz="4" w:space="0"/>
              <w:right w:val="single" w:color="auto" w:sz="4" w:space="0"/>
            </w:tcBorders>
            <w:vAlign w:val="center"/>
          </w:tcPr>
          <w:p w14:paraId="797C1BF0">
            <w:pPr>
              <w:spacing w:line="240" w:lineRule="auto"/>
              <w:ind w:firstLine="0" w:firstLineChars="0"/>
              <w:jc w:val="center"/>
              <w:rPr>
                <w:rFonts w:hint="eastAsia"/>
                <w:color w:val="auto"/>
                <w:sz w:val="21"/>
              </w:rPr>
            </w:pPr>
            <w:r>
              <w:rPr>
                <w:rFonts w:hint="eastAsia"/>
                <w:color w:val="auto"/>
                <w:sz w:val="21"/>
              </w:rPr>
              <w:t>2</w:t>
            </w:r>
          </w:p>
        </w:tc>
        <w:tc>
          <w:tcPr>
            <w:tcW w:w="2165" w:type="dxa"/>
            <w:tcBorders>
              <w:top w:val="single" w:color="auto" w:sz="4" w:space="0"/>
              <w:left w:val="single" w:color="auto" w:sz="4" w:space="0"/>
              <w:bottom w:val="single" w:color="auto" w:sz="4" w:space="0"/>
              <w:right w:val="single" w:color="auto" w:sz="4" w:space="0"/>
            </w:tcBorders>
            <w:vAlign w:val="center"/>
          </w:tcPr>
          <w:p w14:paraId="2948D0CE">
            <w:pPr>
              <w:spacing w:line="240" w:lineRule="auto"/>
              <w:ind w:firstLine="0" w:firstLineChars="0"/>
              <w:jc w:val="center"/>
              <w:rPr>
                <w:rFonts w:hint="eastAsia"/>
                <w:color w:val="auto"/>
                <w:sz w:val="21"/>
              </w:rPr>
            </w:pPr>
            <w:r>
              <w:rPr>
                <w:rFonts w:hint="eastAsia"/>
                <w:color w:val="auto"/>
                <w:sz w:val="21"/>
              </w:rPr>
              <w:t>75</w:t>
            </w:r>
          </w:p>
        </w:tc>
        <w:tc>
          <w:tcPr>
            <w:tcW w:w="2791" w:type="dxa"/>
            <w:tcBorders>
              <w:top w:val="single" w:color="auto" w:sz="4" w:space="0"/>
              <w:left w:val="single" w:color="auto" w:sz="4" w:space="0"/>
              <w:bottom w:val="single" w:color="auto" w:sz="4" w:space="0"/>
              <w:right w:val="single" w:color="auto" w:sz="4" w:space="0"/>
            </w:tcBorders>
            <w:vAlign w:val="center"/>
          </w:tcPr>
          <w:p w14:paraId="697F4A2C">
            <w:pPr>
              <w:spacing w:line="240" w:lineRule="auto"/>
              <w:ind w:firstLine="0" w:firstLineChars="0"/>
              <w:jc w:val="center"/>
              <w:rPr>
                <w:rFonts w:hint="eastAsia"/>
                <w:color w:val="auto"/>
                <w:sz w:val="21"/>
              </w:rPr>
            </w:pPr>
            <w:r>
              <w:rPr>
                <w:rFonts w:hint="eastAsia"/>
                <w:color w:val="auto"/>
                <w:sz w:val="21"/>
              </w:rPr>
              <w:t>15</w:t>
            </w:r>
          </w:p>
        </w:tc>
        <w:tc>
          <w:tcPr>
            <w:tcW w:w="2788" w:type="dxa"/>
            <w:tcBorders>
              <w:top w:val="single" w:color="auto" w:sz="4" w:space="0"/>
              <w:left w:val="single" w:color="auto" w:sz="4" w:space="0"/>
              <w:bottom w:val="single" w:color="auto" w:sz="4" w:space="0"/>
              <w:right w:val="single" w:color="auto" w:sz="4" w:space="0"/>
            </w:tcBorders>
            <w:vAlign w:val="center"/>
          </w:tcPr>
          <w:p w14:paraId="534D63EF">
            <w:pPr>
              <w:spacing w:line="240" w:lineRule="auto"/>
              <w:ind w:firstLine="0" w:firstLineChars="0"/>
              <w:jc w:val="center"/>
              <w:rPr>
                <w:rFonts w:hint="eastAsia"/>
                <w:color w:val="auto"/>
                <w:sz w:val="21"/>
              </w:rPr>
            </w:pPr>
            <w:r>
              <w:rPr>
                <w:rFonts w:hint="eastAsia"/>
                <w:color w:val="auto"/>
                <w:sz w:val="21"/>
              </w:rPr>
              <w:t>8</w:t>
            </w:r>
          </w:p>
        </w:tc>
      </w:tr>
      <w:tr w14:paraId="3188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2" w:type="dxa"/>
            <w:tcBorders>
              <w:top w:val="single" w:color="auto" w:sz="4" w:space="0"/>
              <w:left w:val="single" w:color="auto" w:sz="4" w:space="0"/>
              <w:bottom w:val="single" w:color="auto" w:sz="4" w:space="0"/>
              <w:right w:val="single" w:color="auto" w:sz="4" w:space="0"/>
            </w:tcBorders>
            <w:vAlign w:val="center"/>
          </w:tcPr>
          <w:p w14:paraId="1AFE1309">
            <w:pPr>
              <w:spacing w:line="240" w:lineRule="auto"/>
              <w:ind w:firstLine="0" w:firstLineChars="0"/>
              <w:jc w:val="center"/>
              <w:rPr>
                <w:rFonts w:hint="eastAsia"/>
                <w:color w:val="auto"/>
                <w:sz w:val="21"/>
              </w:rPr>
            </w:pPr>
            <w:r>
              <w:rPr>
                <w:rFonts w:hint="eastAsia"/>
                <w:color w:val="auto"/>
                <w:sz w:val="21"/>
              </w:rPr>
              <w:t>3</w:t>
            </w:r>
          </w:p>
        </w:tc>
        <w:tc>
          <w:tcPr>
            <w:tcW w:w="2165" w:type="dxa"/>
            <w:tcBorders>
              <w:top w:val="single" w:color="auto" w:sz="4" w:space="0"/>
              <w:left w:val="single" w:color="auto" w:sz="4" w:space="0"/>
              <w:bottom w:val="single" w:color="auto" w:sz="4" w:space="0"/>
              <w:right w:val="single" w:color="auto" w:sz="4" w:space="0"/>
            </w:tcBorders>
            <w:vAlign w:val="center"/>
          </w:tcPr>
          <w:p w14:paraId="202D1251">
            <w:pPr>
              <w:spacing w:line="240" w:lineRule="auto"/>
              <w:ind w:firstLine="0" w:firstLineChars="0"/>
              <w:jc w:val="center"/>
              <w:rPr>
                <w:rFonts w:hint="eastAsia"/>
                <w:color w:val="auto"/>
                <w:sz w:val="21"/>
              </w:rPr>
            </w:pPr>
            <w:r>
              <w:rPr>
                <w:rFonts w:hint="eastAsia"/>
                <w:color w:val="auto"/>
                <w:sz w:val="21"/>
              </w:rPr>
              <w:t>100</w:t>
            </w:r>
          </w:p>
        </w:tc>
        <w:tc>
          <w:tcPr>
            <w:tcW w:w="2791" w:type="dxa"/>
            <w:tcBorders>
              <w:top w:val="single" w:color="auto" w:sz="4" w:space="0"/>
              <w:left w:val="single" w:color="auto" w:sz="4" w:space="0"/>
              <w:bottom w:val="single" w:color="auto" w:sz="4" w:space="0"/>
              <w:right w:val="single" w:color="auto" w:sz="4" w:space="0"/>
            </w:tcBorders>
            <w:vAlign w:val="center"/>
          </w:tcPr>
          <w:p w14:paraId="7C24834A">
            <w:pPr>
              <w:spacing w:line="240" w:lineRule="auto"/>
              <w:ind w:firstLine="0" w:firstLineChars="0"/>
              <w:jc w:val="center"/>
              <w:rPr>
                <w:rFonts w:hint="eastAsia"/>
                <w:color w:val="auto"/>
                <w:sz w:val="21"/>
              </w:rPr>
            </w:pPr>
            <w:r>
              <w:rPr>
                <w:rFonts w:hint="eastAsia"/>
                <w:color w:val="auto"/>
                <w:sz w:val="21"/>
              </w:rPr>
              <w:t>12</w:t>
            </w:r>
          </w:p>
        </w:tc>
        <w:tc>
          <w:tcPr>
            <w:tcW w:w="2788" w:type="dxa"/>
            <w:tcBorders>
              <w:top w:val="single" w:color="auto" w:sz="4" w:space="0"/>
              <w:left w:val="single" w:color="auto" w:sz="4" w:space="0"/>
              <w:bottom w:val="single" w:color="auto" w:sz="4" w:space="0"/>
              <w:right w:val="single" w:color="auto" w:sz="4" w:space="0"/>
            </w:tcBorders>
            <w:vAlign w:val="center"/>
          </w:tcPr>
          <w:p w14:paraId="1FCDB43B">
            <w:pPr>
              <w:spacing w:line="240" w:lineRule="auto"/>
              <w:ind w:firstLine="0" w:firstLineChars="0"/>
              <w:jc w:val="center"/>
              <w:rPr>
                <w:rFonts w:hint="eastAsia"/>
                <w:color w:val="auto"/>
                <w:sz w:val="21"/>
              </w:rPr>
            </w:pPr>
            <w:r>
              <w:rPr>
                <w:rFonts w:hint="eastAsia"/>
                <w:color w:val="auto"/>
                <w:sz w:val="21"/>
              </w:rPr>
              <w:t>6</w:t>
            </w:r>
          </w:p>
        </w:tc>
      </w:tr>
      <w:tr w14:paraId="12D4B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2" w:type="dxa"/>
            <w:tcBorders>
              <w:top w:val="single" w:color="auto" w:sz="4" w:space="0"/>
              <w:left w:val="single" w:color="auto" w:sz="4" w:space="0"/>
              <w:bottom w:val="single" w:color="auto" w:sz="4" w:space="0"/>
              <w:right w:val="single" w:color="auto" w:sz="4" w:space="0"/>
            </w:tcBorders>
            <w:vAlign w:val="center"/>
          </w:tcPr>
          <w:p w14:paraId="4AD3450D">
            <w:pPr>
              <w:spacing w:line="240" w:lineRule="auto"/>
              <w:ind w:firstLine="0" w:firstLineChars="0"/>
              <w:jc w:val="center"/>
              <w:rPr>
                <w:rFonts w:hint="eastAsia"/>
                <w:color w:val="auto"/>
                <w:sz w:val="21"/>
              </w:rPr>
            </w:pPr>
            <w:r>
              <w:rPr>
                <w:rFonts w:hint="eastAsia"/>
                <w:color w:val="auto"/>
                <w:sz w:val="21"/>
              </w:rPr>
              <w:t>4</w:t>
            </w:r>
          </w:p>
        </w:tc>
        <w:tc>
          <w:tcPr>
            <w:tcW w:w="2165" w:type="dxa"/>
            <w:tcBorders>
              <w:top w:val="single" w:color="auto" w:sz="4" w:space="0"/>
              <w:left w:val="single" w:color="auto" w:sz="4" w:space="0"/>
              <w:bottom w:val="single" w:color="auto" w:sz="4" w:space="0"/>
              <w:right w:val="single" w:color="auto" w:sz="4" w:space="0"/>
            </w:tcBorders>
            <w:vAlign w:val="center"/>
          </w:tcPr>
          <w:p w14:paraId="260CEC8D">
            <w:pPr>
              <w:spacing w:line="240" w:lineRule="auto"/>
              <w:ind w:firstLine="0" w:firstLineChars="0"/>
              <w:jc w:val="center"/>
              <w:rPr>
                <w:rFonts w:hint="eastAsia"/>
                <w:color w:val="auto"/>
                <w:sz w:val="21"/>
              </w:rPr>
            </w:pPr>
            <w:r>
              <w:rPr>
                <w:rFonts w:hint="eastAsia"/>
                <w:color w:val="auto"/>
                <w:sz w:val="21"/>
              </w:rPr>
              <w:t>125</w:t>
            </w:r>
          </w:p>
        </w:tc>
        <w:tc>
          <w:tcPr>
            <w:tcW w:w="2791" w:type="dxa"/>
            <w:tcBorders>
              <w:top w:val="single" w:color="auto" w:sz="4" w:space="0"/>
              <w:left w:val="single" w:color="auto" w:sz="4" w:space="0"/>
              <w:bottom w:val="single" w:color="auto" w:sz="4" w:space="0"/>
              <w:right w:val="single" w:color="auto" w:sz="4" w:space="0"/>
            </w:tcBorders>
            <w:vAlign w:val="center"/>
          </w:tcPr>
          <w:p w14:paraId="58DB951E">
            <w:pPr>
              <w:spacing w:line="240" w:lineRule="auto"/>
              <w:ind w:firstLine="0" w:firstLineChars="0"/>
              <w:jc w:val="center"/>
              <w:rPr>
                <w:rFonts w:hint="eastAsia"/>
                <w:color w:val="auto"/>
                <w:sz w:val="21"/>
              </w:rPr>
            </w:pPr>
            <w:r>
              <w:rPr>
                <w:rFonts w:hint="eastAsia"/>
                <w:color w:val="auto"/>
                <w:sz w:val="21"/>
              </w:rPr>
              <w:t>10</w:t>
            </w:r>
          </w:p>
        </w:tc>
        <w:tc>
          <w:tcPr>
            <w:tcW w:w="2788" w:type="dxa"/>
            <w:tcBorders>
              <w:top w:val="single" w:color="auto" w:sz="4" w:space="0"/>
              <w:left w:val="single" w:color="auto" w:sz="4" w:space="0"/>
              <w:bottom w:val="single" w:color="auto" w:sz="4" w:space="0"/>
              <w:right w:val="single" w:color="auto" w:sz="4" w:space="0"/>
            </w:tcBorders>
            <w:vAlign w:val="center"/>
          </w:tcPr>
          <w:p w14:paraId="7AF48D11">
            <w:pPr>
              <w:spacing w:line="240" w:lineRule="auto"/>
              <w:ind w:firstLine="0" w:firstLineChars="0"/>
              <w:jc w:val="center"/>
              <w:rPr>
                <w:rFonts w:hint="eastAsia"/>
                <w:color w:val="auto"/>
                <w:sz w:val="21"/>
              </w:rPr>
            </w:pPr>
            <w:r>
              <w:rPr>
                <w:rFonts w:hint="eastAsia"/>
                <w:color w:val="auto"/>
                <w:sz w:val="21"/>
              </w:rPr>
              <w:t>5</w:t>
            </w:r>
          </w:p>
        </w:tc>
      </w:tr>
      <w:tr w14:paraId="36B7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42" w:type="dxa"/>
            <w:tcBorders>
              <w:top w:val="single" w:color="auto" w:sz="4" w:space="0"/>
              <w:left w:val="single" w:color="auto" w:sz="4" w:space="0"/>
              <w:bottom w:val="single" w:color="auto" w:sz="4" w:space="0"/>
              <w:right w:val="single" w:color="auto" w:sz="4" w:space="0"/>
            </w:tcBorders>
            <w:vAlign w:val="center"/>
          </w:tcPr>
          <w:p w14:paraId="05A26310">
            <w:pPr>
              <w:spacing w:line="240" w:lineRule="auto"/>
              <w:ind w:firstLine="0" w:firstLineChars="0"/>
              <w:jc w:val="center"/>
              <w:rPr>
                <w:rFonts w:hint="eastAsia"/>
                <w:color w:val="auto"/>
                <w:sz w:val="21"/>
              </w:rPr>
            </w:pPr>
            <w:r>
              <w:rPr>
                <w:rFonts w:hint="eastAsia"/>
                <w:color w:val="auto"/>
                <w:sz w:val="21"/>
              </w:rPr>
              <w:t>5</w:t>
            </w:r>
          </w:p>
        </w:tc>
        <w:tc>
          <w:tcPr>
            <w:tcW w:w="2165" w:type="dxa"/>
            <w:tcBorders>
              <w:top w:val="single" w:color="auto" w:sz="4" w:space="0"/>
              <w:left w:val="single" w:color="auto" w:sz="4" w:space="0"/>
              <w:bottom w:val="single" w:color="auto" w:sz="4" w:space="0"/>
              <w:right w:val="single" w:color="auto" w:sz="4" w:space="0"/>
            </w:tcBorders>
            <w:vAlign w:val="center"/>
          </w:tcPr>
          <w:p w14:paraId="41BF189B">
            <w:pPr>
              <w:spacing w:line="240" w:lineRule="auto"/>
              <w:ind w:firstLine="0" w:firstLineChars="0"/>
              <w:jc w:val="center"/>
              <w:rPr>
                <w:rFonts w:hint="eastAsia"/>
                <w:color w:val="auto"/>
                <w:sz w:val="21"/>
              </w:rPr>
            </w:pPr>
            <w:r>
              <w:rPr>
                <w:rFonts w:hint="eastAsia"/>
                <w:color w:val="auto"/>
                <w:sz w:val="21"/>
              </w:rPr>
              <w:t>160</w:t>
            </w:r>
          </w:p>
        </w:tc>
        <w:tc>
          <w:tcPr>
            <w:tcW w:w="2791" w:type="dxa"/>
            <w:tcBorders>
              <w:top w:val="single" w:color="auto" w:sz="4" w:space="0"/>
              <w:left w:val="single" w:color="auto" w:sz="4" w:space="0"/>
              <w:bottom w:val="single" w:color="auto" w:sz="4" w:space="0"/>
              <w:right w:val="single" w:color="auto" w:sz="4" w:space="0"/>
            </w:tcBorders>
            <w:vAlign w:val="center"/>
          </w:tcPr>
          <w:p w14:paraId="5B1FCA33">
            <w:pPr>
              <w:spacing w:line="240" w:lineRule="auto"/>
              <w:ind w:firstLine="0" w:firstLineChars="0"/>
              <w:jc w:val="center"/>
              <w:rPr>
                <w:rFonts w:hint="eastAsia"/>
                <w:color w:val="auto"/>
                <w:sz w:val="21"/>
              </w:rPr>
            </w:pPr>
            <w:r>
              <w:rPr>
                <w:rFonts w:hint="eastAsia"/>
                <w:color w:val="auto"/>
                <w:sz w:val="21"/>
              </w:rPr>
              <w:t>7</w:t>
            </w:r>
          </w:p>
        </w:tc>
        <w:tc>
          <w:tcPr>
            <w:tcW w:w="2788" w:type="dxa"/>
            <w:tcBorders>
              <w:top w:val="single" w:color="auto" w:sz="4" w:space="0"/>
              <w:left w:val="single" w:color="auto" w:sz="4" w:space="0"/>
              <w:bottom w:val="single" w:color="auto" w:sz="4" w:space="0"/>
              <w:right w:val="single" w:color="auto" w:sz="4" w:space="0"/>
            </w:tcBorders>
            <w:vAlign w:val="center"/>
          </w:tcPr>
          <w:p w14:paraId="6D9CE2D6">
            <w:pPr>
              <w:spacing w:line="240" w:lineRule="auto"/>
              <w:ind w:firstLine="0" w:firstLineChars="0"/>
              <w:jc w:val="center"/>
              <w:rPr>
                <w:rFonts w:hint="eastAsia"/>
                <w:color w:val="auto"/>
                <w:sz w:val="21"/>
              </w:rPr>
            </w:pPr>
            <w:r>
              <w:rPr>
                <w:rFonts w:hint="eastAsia"/>
                <w:color w:val="auto"/>
                <w:sz w:val="21"/>
              </w:rPr>
              <w:t>4</w:t>
            </w:r>
          </w:p>
        </w:tc>
      </w:tr>
    </w:tbl>
    <w:p w14:paraId="2ADBC326">
      <w:pPr>
        <w:rPr>
          <w:rFonts w:hint="eastAsia"/>
          <w:color w:val="auto"/>
        </w:rPr>
      </w:pPr>
      <w:r>
        <w:rPr>
          <w:rFonts w:hint="eastAsia"/>
          <w:color w:val="auto"/>
        </w:rPr>
        <w:t>检验方法：水平尺/拉线尺量检查。</w:t>
      </w:r>
    </w:p>
    <w:p w14:paraId="4BDA43FF">
      <w:pPr>
        <w:rPr>
          <w:rFonts w:hint="eastAsia"/>
          <w:color w:val="auto"/>
        </w:rPr>
      </w:pPr>
      <w:r>
        <w:rPr>
          <w:rFonts w:hint="eastAsia"/>
          <w:color w:val="auto"/>
        </w:rPr>
        <w:t>排水塑料管必须按设计要求及位置装设伸缩节。如设计无要求时，伸缩节间距不得大于4m。</w:t>
      </w:r>
    </w:p>
    <w:p w14:paraId="0F6F7A83">
      <w:pPr>
        <w:rPr>
          <w:rFonts w:hint="eastAsia"/>
          <w:color w:val="auto"/>
        </w:rPr>
      </w:pPr>
      <w:r>
        <w:rPr>
          <w:rFonts w:hint="eastAsia"/>
          <w:color w:val="auto"/>
        </w:rPr>
        <w:t>高层建筑中明设排水塑料管道应按设计要求设置阻火圈或防火套管。</w:t>
      </w:r>
    </w:p>
    <w:p w14:paraId="42BBA425">
      <w:pPr>
        <w:rPr>
          <w:rFonts w:hint="eastAsia"/>
          <w:color w:val="auto"/>
        </w:rPr>
      </w:pPr>
      <w:r>
        <w:rPr>
          <w:rFonts w:hint="eastAsia"/>
          <w:color w:val="auto"/>
        </w:rPr>
        <w:t>检验方法：观察检查。</w:t>
      </w:r>
    </w:p>
    <w:p w14:paraId="3394EDE4">
      <w:pPr>
        <w:rPr>
          <w:rFonts w:hint="eastAsia"/>
          <w:color w:val="auto"/>
        </w:rPr>
      </w:pPr>
      <w:r>
        <w:rPr>
          <w:rFonts w:hint="eastAsia"/>
          <w:color w:val="auto"/>
        </w:rPr>
        <w:t>排水主立管及水平干管管道均应做通球试验，通球球径不小于排水管道管的2/3，通球必须达到100%。</w:t>
      </w:r>
    </w:p>
    <w:p w14:paraId="7377247C">
      <w:pPr>
        <w:rPr>
          <w:rFonts w:hint="eastAsia"/>
          <w:color w:val="auto"/>
        </w:rPr>
      </w:pPr>
      <w:r>
        <w:rPr>
          <w:rFonts w:hint="eastAsia"/>
          <w:color w:val="auto"/>
        </w:rPr>
        <w:t>检查方法：通球检查（排水管道做通球和灌水试验）。</w:t>
      </w:r>
    </w:p>
    <w:p w14:paraId="3CBF8F06">
      <w:pPr>
        <w:rPr>
          <w:rFonts w:hint="eastAsia"/>
          <w:color w:val="auto"/>
        </w:rPr>
      </w:pPr>
      <w:r>
        <w:rPr>
          <w:rFonts w:hint="eastAsia"/>
          <w:color w:val="auto"/>
        </w:rPr>
        <w:t>2）一般项目：</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7417"/>
        <w:gridCol w:w="1071"/>
      </w:tblGrid>
      <w:tr w14:paraId="114C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1BDEBB43">
            <w:pPr>
              <w:spacing w:line="240" w:lineRule="auto"/>
              <w:ind w:firstLine="0" w:firstLineChars="0"/>
              <w:jc w:val="center"/>
              <w:rPr>
                <w:rFonts w:hint="eastAsia"/>
                <w:color w:val="auto"/>
                <w:sz w:val="21"/>
              </w:rPr>
            </w:pPr>
            <w:r>
              <w:rPr>
                <w:rFonts w:hint="eastAsia"/>
                <w:color w:val="auto"/>
                <w:sz w:val="21"/>
              </w:rPr>
              <w:t>序号</w:t>
            </w:r>
          </w:p>
        </w:tc>
        <w:tc>
          <w:tcPr>
            <w:tcW w:w="4093" w:type="pct"/>
            <w:tcBorders>
              <w:top w:val="single" w:color="auto" w:sz="4" w:space="0"/>
              <w:left w:val="single" w:color="auto" w:sz="4" w:space="0"/>
              <w:bottom w:val="single" w:color="auto" w:sz="4" w:space="0"/>
              <w:right w:val="single" w:color="auto" w:sz="4" w:space="0"/>
            </w:tcBorders>
            <w:vAlign w:val="center"/>
          </w:tcPr>
          <w:p w14:paraId="4AC2CA43">
            <w:pPr>
              <w:spacing w:line="240" w:lineRule="auto"/>
              <w:ind w:firstLine="0" w:firstLineChars="0"/>
              <w:jc w:val="center"/>
              <w:rPr>
                <w:rFonts w:hint="eastAsia"/>
                <w:color w:val="auto"/>
                <w:sz w:val="21"/>
              </w:rPr>
            </w:pPr>
            <w:r>
              <w:rPr>
                <w:rFonts w:hint="eastAsia"/>
                <w:color w:val="auto"/>
                <w:sz w:val="21"/>
              </w:rPr>
              <w:t>项目</w:t>
            </w:r>
          </w:p>
        </w:tc>
        <w:tc>
          <w:tcPr>
            <w:tcW w:w="591" w:type="pct"/>
            <w:tcBorders>
              <w:top w:val="single" w:color="auto" w:sz="4" w:space="0"/>
              <w:left w:val="single" w:color="auto" w:sz="4" w:space="0"/>
              <w:bottom w:val="single" w:color="auto" w:sz="4" w:space="0"/>
              <w:right w:val="single" w:color="auto" w:sz="4" w:space="0"/>
            </w:tcBorders>
            <w:vAlign w:val="center"/>
          </w:tcPr>
          <w:p w14:paraId="2DD64CC6">
            <w:pPr>
              <w:spacing w:line="240" w:lineRule="auto"/>
              <w:ind w:firstLine="0" w:firstLineChars="0"/>
              <w:jc w:val="center"/>
              <w:rPr>
                <w:rFonts w:hint="eastAsia"/>
                <w:color w:val="auto"/>
                <w:sz w:val="21"/>
              </w:rPr>
            </w:pPr>
            <w:r>
              <w:rPr>
                <w:rFonts w:hint="eastAsia"/>
                <w:color w:val="auto"/>
                <w:sz w:val="21"/>
              </w:rPr>
              <w:t>检查方法</w:t>
            </w:r>
          </w:p>
        </w:tc>
      </w:tr>
      <w:tr w14:paraId="1866A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2F68035F">
            <w:pPr>
              <w:spacing w:line="240" w:lineRule="auto"/>
              <w:ind w:firstLine="0" w:firstLineChars="0"/>
              <w:jc w:val="center"/>
              <w:rPr>
                <w:rFonts w:hint="eastAsia"/>
                <w:color w:val="auto"/>
                <w:sz w:val="21"/>
              </w:rPr>
            </w:pPr>
            <w:r>
              <w:rPr>
                <w:rFonts w:hint="eastAsia"/>
                <w:color w:val="auto"/>
                <w:sz w:val="21"/>
              </w:rPr>
              <w:t>1</w:t>
            </w:r>
          </w:p>
        </w:tc>
        <w:tc>
          <w:tcPr>
            <w:tcW w:w="4093" w:type="pct"/>
            <w:tcBorders>
              <w:top w:val="single" w:color="auto" w:sz="4" w:space="0"/>
              <w:left w:val="single" w:color="auto" w:sz="4" w:space="0"/>
              <w:bottom w:val="single" w:color="auto" w:sz="4" w:space="0"/>
              <w:right w:val="single" w:color="auto" w:sz="4" w:space="0"/>
            </w:tcBorders>
            <w:vAlign w:val="center"/>
          </w:tcPr>
          <w:p w14:paraId="44561C58">
            <w:pPr>
              <w:spacing w:line="240" w:lineRule="auto"/>
              <w:ind w:firstLine="420"/>
              <w:jc w:val="left"/>
              <w:rPr>
                <w:rFonts w:hint="eastAsia"/>
                <w:color w:val="auto"/>
                <w:sz w:val="21"/>
              </w:rPr>
            </w:pPr>
            <w:r>
              <w:rPr>
                <w:rFonts w:hint="eastAsia"/>
                <w:color w:val="auto"/>
                <w:sz w:val="21"/>
              </w:rPr>
              <w:t>在生活污水管道上设置的检查口或清扫口，当设计无要求时应符合下列规定：</w:t>
            </w:r>
          </w:p>
          <w:p w14:paraId="368A24BA">
            <w:pPr>
              <w:spacing w:line="240" w:lineRule="auto"/>
              <w:ind w:firstLine="420"/>
              <w:jc w:val="left"/>
              <w:rPr>
                <w:rFonts w:hint="eastAsia"/>
                <w:color w:val="auto"/>
                <w:sz w:val="21"/>
              </w:rPr>
            </w:pPr>
            <w:r>
              <w:rPr>
                <w:rFonts w:hint="eastAsia"/>
                <w:color w:val="auto"/>
                <w:sz w:val="21"/>
              </w:rPr>
              <w:t>在立管上应每隔一层设置一个检查口，但在最底层和有卫生器具的最高层必须设置。如为两层建筑时，可仅在底层设置立管检查口；如有乙字弯管时，则在该层乙字弯管的上部设置检查口。检查口中心高度距操作地面—般为lm，允许偏差±20mm；检查口的朝向应便于检修。暗装立管，在检查口处应安装检修门。</w:t>
            </w:r>
          </w:p>
          <w:p w14:paraId="6CAFB55B">
            <w:pPr>
              <w:spacing w:line="240" w:lineRule="auto"/>
              <w:ind w:firstLine="420"/>
              <w:jc w:val="left"/>
              <w:rPr>
                <w:rFonts w:hint="eastAsia"/>
                <w:color w:val="auto"/>
                <w:sz w:val="21"/>
              </w:rPr>
            </w:pPr>
            <w:r>
              <w:rPr>
                <w:rFonts w:hint="eastAsia"/>
                <w:color w:val="auto"/>
                <w:sz w:val="21"/>
              </w:rPr>
              <w:t>在连接2个及2个以上大便器或3个及3个以上卫生器具的污水横管上应设置清扫口。</w:t>
            </w:r>
          </w:p>
          <w:p w14:paraId="2BCD5055">
            <w:pPr>
              <w:spacing w:line="240" w:lineRule="auto"/>
              <w:ind w:firstLine="420"/>
              <w:jc w:val="left"/>
              <w:rPr>
                <w:rFonts w:hint="eastAsia"/>
                <w:color w:val="auto"/>
                <w:sz w:val="21"/>
              </w:rPr>
            </w:pPr>
            <w:r>
              <w:rPr>
                <w:rFonts w:hint="eastAsia"/>
                <w:color w:val="auto"/>
                <w:sz w:val="21"/>
              </w:rPr>
              <w:t>当污水管在楼板下悬吊敷设时，可将清扫口设在上一层楼地面上，污水管起点的清扫口与管道相垂直的墙面距离不得小于200mm；若污水管起点设置堵头代替清扫口时，与墙面距离不得小于400mm。</w:t>
            </w:r>
          </w:p>
          <w:p w14:paraId="7E8F927C">
            <w:pPr>
              <w:spacing w:line="240" w:lineRule="auto"/>
              <w:ind w:firstLine="420"/>
              <w:jc w:val="left"/>
              <w:rPr>
                <w:rFonts w:hint="eastAsia"/>
                <w:color w:val="auto"/>
                <w:sz w:val="21"/>
              </w:rPr>
            </w:pPr>
            <w:r>
              <w:rPr>
                <w:rFonts w:hint="eastAsia"/>
                <w:color w:val="auto"/>
                <w:sz w:val="21"/>
              </w:rPr>
              <w:t>在转角小于135°的污水横管上，应设置检查口或清扫口。</w:t>
            </w:r>
          </w:p>
          <w:p w14:paraId="64F3956F">
            <w:pPr>
              <w:spacing w:line="240" w:lineRule="auto"/>
              <w:ind w:firstLine="420"/>
              <w:jc w:val="left"/>
              <w:rPr>
                <w:rFonts w:hint="eastAsia"/>
                <w:color w:val="auto"/>
                <w:sz w:val="21"/>
              </w:rPr>
            </w:pPr>
            <w:r>
              <w:rPr>
                <w:rFonts w:hint="eastAsia"/>
                <w:color w:val="auto"/>
                <w:sz w:val="21"/>
              </w:rPr>
              <w:t>污水横管的直线管段，应按设计要求的距离设置检查口或清扫口。</w:t>
            </w:r>
          </w:p>
        </w:tc>
        <w:tc>
          <w:tcPr>
            <w:tcW w:w="591" w:type="pct"/>
            <w:tcBorders>
              <w:top w:val="single" w:color="auto" w:sz="4" w:space="0"/>
              <w:left w:val="single" w:color="auto" w:sz="4" w:space="0"/>
              <w:bottom w:val="single" w:color="auto" w:sz="4" w:space="0"/>
              <w:right w:val="single" w:color="auto" w:sz="4" w:space="0"/>
            </w:tcBorders>
            <w:vAlign w:val="center"/>
          </w:tcPr>
          <w:p w14:paraId="6FB89CDC">
            <w:pPr>
              <w:spacing w:line="240" w:lineRule="auto"/>
              <w:ind w:firstLine="0" w:firstLineChars="0"/>
              <w:jc w:val="center"/>
              <w:rPr>
                <w:rFonts w:hint="eastAsia"/>
                <w:color w:val="auto"/>
                <w:sz w:val="21"/>
              </w:rPr>
            </w:pPr>
            <w:r>
              <w:rPr>
                <w:rFonts w:hint="eastAsia"/>
                <w:color w:val="auto"/>
                <w:sz w:val="21"/>
              </w:rPr>
              <w:t>观察和尺量检查</w:t>
            </w:r>
          </w:p>
        </w:tc>
      </w:tr>
      <w:tr w14:paraId="403BE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350C4D70">
            <w:pPr>
              <w:spacing w:line="240" w:lineRule="auto"/>
              <w:ind w:firstLine="0" w:firstLineChars="0"/>
              <w:jc w:val="center"/>
              <w:rPr>
                <w:rFonts w:hint="eastAsia"/>
                <w:color w:val="auto"/>
                <w:sz w:val="21"/>
              </w:rPr>
            </w:pPr>
            <w:r>
              <w:rPr>
                <w:rFonts w:hint="eastAsia"/>
                <w:color w:val="auto"/>
                <w:sz w:val="21"/>
              </w:rPr>
              <w:t>2</w:t>
            </w:r>
          </w:p>
        </w:tc>
        <w:tc>
          <w:tcPr>
            <w:tcW w:w="4093" w:type="pct"/>
            <w:tcBorders>
              <w:top w:val="single" w:color="auto" w:sz="4" w:space="0"/>
              <w:left w:val="single" w:color="auto" w:sz="4" w:space="0"/>
              <w:bottom w:val="single" w:color="auto" w:sz="4" w:space="0"/>
              <w:right w:val="single" w:color="auto" w:sz="4" w:space="0"/>
            </w:tcBorders>
            <w:vAlign w:val="center"/>
          </w:tcPr>
          <w:p w14:paraId="34039C5A">
            <w:pPr>
              <w:spacing w:line="240" w:lineRule="auto"/>
              <w:ind w:firstLine="420"/>
              <w:jc w:val="left"/>
              <w:rPr>
                <w:rFonts w:hint="eastAsia"/>
                <w:color w:val="auto"/>
                <w:sz w:val="21"/>
              </w:rPr>
            </w:pPr>
            <w:r>
              <w:rPr>
                <w:rFonts w:hint="eastAsia"/>
                <w:color w:val="auto"/>
                <w:sz w:val="21"/>
              </w:rPr>
              <w:t>埋在地下或地板下的排水管道的检查口，应设在检查井内。井底表面标高与检查口的法兰相平，井底表面应有5%坡度，坡向检查口。</w:t>
            </w:r>
          </w:p>
        </w:tc>
        <w:tc>
          <w:tcPr>
            <w:tcW w:w="591" w:type="pct"/>
            <w:tcBorders>
              <w:top w:val="single" w:color="auto" w:sz="4" w:space="0"/>
              <w:left w:val="single" w:color="auto" w:sz="4" w:space="0"/>
              <w:bottom w:val="single" w:color="auto" w:sz="4" w:space="0"/>
              <w:right w:val="single" w:color="auto" w:sz="4" w:space="0"/>
            </w:tcBorders>
            <w:vAlign w:val="center"/>
          </w:tcPr>
          <w:p w14:paraId="0991FA4C">
            <w:pPr>
              <w:spacing w:line="240" w:lineRule="auto"/>
              <w:ind w:firstLine="0" w:firstLineChars="0"/>
              <w:jc w:val="center"/>
              <w:rPr>
                <w:rFonts w:hint="eastAsia"/>
                <w:color w:val="auto"/>
                <w:sz w:val="21"/>
              </w:rPr>
            </w:pPr>
            <w:r>
              <w:rPr>
                <w:rFonts w:hint="eastAsia"/>
                <w:color w:val="auto"/>
                <w:sz w:val="21"/>
              </w:rPr>
              <w:t>尺量检查</w:t>
            </w:r>
          </w:p>
        </w:tc>
      </w:tr>
      <w:tr w14:paraId="5767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544D2F77">
            <w:pPr>
              <w:spacing w:line="240" w:lineRule="auto"/>
              <w:ind w:firstLine="0" w:firstLineChars="0"/>
              <w:jc w:val="center"/>
              <w:rPr>
                <w:rFonts w:hint="eastAsia"/>
                <w:color w:val="auto"/>
                <w:sz w:val="21"/>
              </w:rPr>
            </w:pPr>
            <w:r>
              <w:rPr>
                <w:rFonts w:hint="eastAsia"/>
                <w:color w:val="auto"/>
                <w:sz w:val="21"/>
              </w:rPr>
              <w:t>3</w:t>
            </w:r>
          </w:p>
        </w:tc>
        <w:tc>
          <w:tcPr>
            <w:tcW w:w="4093" w:type="pct"/>
            <w:tcBorders>
              <w:top w:val="single" w:color="auto" w:sz="4" w:space="0"/>
              <w:left w:val="single" w:color="auto" w:sz="4" w:space="0"/>
              <w:bottom w:val="single" w:color="auto" w:sz="4" w:space="0"/>
              <w:right w:val="single" w:color="auto" w:sz="4" w:space="0"/>
            </w:tcBorders>
            <w:vAlign w:val="center"/>
          </w:tcPr>
          <w:p w14:paraId="3022D9F9">
            <w:pPr>
              <w:spacing w:line="240" w:lineRule="auto"/>
              <w:ind w:firstLine="420"/>
              <w:jc w:val="left"/>
              <w:rPr>
                <w:rFonts w:hint="eastAsia"/>
                <w:color w:val="auto"/>
                <w:sz w:val="21"/>
              </w:rPr>
            </w:pPr>
            <w:r>
              <w:rPr>
                <w:rFonts w:hint="eastAsia"/>
                <w:color w:val="auto"/>
                <w:sz w:val="21"/>
              </w:rPr>
              <w:t>金属排水管道上的吊钩或卡箍应固定在承重结构上，固定件间距：横管不大于2m；立管不大于3m。</w:t>
            </w:r>
          </w:p>
          <w:p w14:paraId="4410F4F5">
            <w:pPr>
              <w:spacing w:line="240" w:lineRule="auto"/>
              <w:ind w:firstLine="420"/>
              <w:jc w:val="left"/>
              <w:rPr>
                <w:rFonts w:hint="eastAsia"/>
                <w:color w:val="auto"/>
                <w:sz w:val="21"/>
              </w:rPr>
            </w:pPr>
            <w:r>
              <w:rPr>
                <w:rFonts w:hint="eastAsia"/>
                <w:color w:val="auto"/>
                <w:sz w:val="21"/>
              </w:rPr>
              <w:t>楼层高度小于或等于4m，立管可安装1个固定件。立管底部的弯管处应设支墩或采取固定措施。</w:t>
            </w:r>
          </w:p>
        </w:tc>
        <w:tc>
          <w:tcPr>
            <w:tcW w:w="591" w:type="pct"/>
            <w:tcBorders>
              <w:top w:val="single" w:color="auto" w:sz="4" w:space="0"/>
              <w:left w:val="single" w:color="auto" w:sz="4" w:space="0"/>
              <w:bottom w:val="single" w:color="auto" w:sz="4" w:space="0"/>
              <w:right w:val="single" w:color="auto" w:sz="4" w:space="0"/>
            </w:tcBorders>
            <w:vAlign w:val="center"/>
          </w:tcPr>
          <w:p w14:paraId="59922A20">
            <w:pPr>
              <w:spacing w:line="240" w:lineRule="auto"/>
              <w:ind w:firstLine="0" w:firstLineChars="0"/>
              <w:jc w:val="center"/>
              <w:rPr>
                <w:rFonts w:hint="eastAsia"/>
                <w:color w:val="auto"/>
                <w:sz w:val="21"/>
              </w:rPr>
            </w:pPr>
            <w:r>
              <w:rPr>
                <w:rFonts w:hint="eastAsia"/>
                <w:color w:val="auto"/>
                <w:sz w:val="21"/>
              </w:rPr>
              <w:t>观察和尺量检查</w:t>
            </w:r>
          </w:p>
        </w:tc>
      </w:tr>
      <w:tr w14:paraId="7A36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26765C1B">
            <w:pPr>
              <w:spacing w:line="240" w:lineRule="auto"/>
              <w:ind w:firstLine="0" w:firstLineChars="0"/>
              <w:jc w:val="center"/>
              <w:rPr>
                <w:rFonts w:hint="eastAsia"/>
                <w:color w:val="auto"/>
                <w:sz w:val="21"/>
              </w:rPr>
            </w:pPr>
            <w:r>
              <w:rPr>
                <w:rFonts w:hint="eastAsia"/>
                <w:color w:val="auto"/>
                <w:sz w:val="21"/>
              </w:rPr>
              <w:t>4</w:t>
            </w:r>
          </w:p>
        </w:tc>
        <w:tc>
          <w:tcPr>
            <w:tcW w:w="4093" w:type="pct"/>
            <w:tcBorders>
              <w:top w:val="single" w:color="auto" w:sz="4" w:space="0"/>
              <w:left w:val="single" w:color="auto" w:sz="4" w:space="0"/>
              <w:bottom w:val="single" w:color="auto" w:sz="4" w:space="0"/>
              <w:right w:val="single" w:color="auto" w:sz="4" w:space="0"/>
            </w:tcBorders>
            <w:vAlign w:val="center"/>
          </w:tcPr>
          <w:p w14:paraId="25B836D3">
            <w:pPr>
              <w:spacing w:line="240" w:lineRule="auto"/>
              <w:ind w:firstLine="420"/>
              <w:jc w:val="left"/>
              <w:rPr>
                <w:rFonts w:hint="eastAsia"/>
                <w:color w:val="auto"/>
                <w:sz w:val="21"/>
              </w:rPr>
            </w:pPr>
            <w:r>
              <w:rPr>
                <w:rFonts w:hint="eastAsia"/>
                <w:color w:val="auto"/>
                <w:sz w:val="21"/>
              </w:rPr>
              <w:t>排水塑料管道支、吊架间距应符合排水塑料管道支吊架最大间距表</w:t>
            </w:r>
          </w:p>
        </w:tc>
        <w:tc>
          <w:tcPr>
            <w:tcW w:w="591" w:type="pct"/>
            <w:tcBorders>
              <w:top w:val="single" w:color="auto" w:sz="4" w:space="0"/>
              <w:left w:val="single" w:color="auto" w:sz="4" w:space="0"/>
              <w:bottom w:val="single" w:color="auto" w:sz="4" w:space="0"/>
              <w:right w:val="single" w:color="auto" w:sz="4" w:space="0"/>
            </w:tcBorders>
            <w:vAlign w:val="center"/>
          </w:tcPr>
          <w:p w14:paraId="271C0D47">
            <w:pPr>
              <w:spacing w:line="240" w:lineRule="auto"/>
              <w:ind w:firstLine="0" w:firstLineChars="0"/>
              <w:jc w:val="center"/>
              <w:rPr>
                <w:rFonts w:hint="eastAsia"/>
                <w:color w:val="auto"/>
                <w:sz w:val="21"/>
              </w:rPr>
            </w:pPr>
            <w:r>
              <w:rPr>
                <w:rFonts w:hint="eastAsia"/>
                <w:color w:val="auto"/>
                <w:sz w:val="21"/>
              </w:rPr>
              <w:t>尺量检查</w:t>
            </w:r>
          </w:p>
        </w:tc>
      </w:tr>
      <w:tr w14:paraId="13A86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09AA5B41">
            <w:pPr>
              <w:spacing w:line="240" w:lineRule="auto"/>
              <w:ind w:firstLine="0" w:firstLineChars="0"/>
              <w:jc w:val="center"/>
              <w:rPr>
                <w:rFonts w:hint="eastAsia"/>
                <w:color w:val="auto"/>
                <w:sz w:val="21"/>
              </w:rPr>
            </w:pPr>
            <w:r>
              <w:rPr>
                <w:rFonts w:hint="eastAsia"/>
                <w:color w:val="auto"/>
                <w:sz w:val="21"/>
              </w:rPr>
              <w:t>5</w:t>
            </w:r>
          </w:p>
        </w:tc>
        <w:tc>
          <w:tcPr>
            <w:tcW w:w="4093" w:type="pct"/>
            <w:tcBorders>
              <w:top w:val="single" w:color="auto" w:sz="4" w:space="0"/>
              <w:left w:val="single" w:color="auto" w:sz="4" w:space="0"/>
              <w:bottom w:val="single" w:color="auto" w:sz="4" w:space="0"/>
              <w:right w:val="single" w:color="auto" w:sz="4" w:space="0"/>
            </w:tcBorders>
            <w:vAlign w:val="center"/>
          </w:tcPr>
          <w:p w14:paraId="677B9345">
            <w:pPr>
              <w:spacing w:line="240" w:lineRule="auto"/>
              <w:ind w:firstLine="420"/>
              <w:jc w:val="left"/>
              <w:rPr>
                <w:rFonts w:hint="eastAsia"/>
                <w:color w:val="auto"/>
                <w:sz w:val="21"/>
              </w:rPr>
            </w:pPr>
            <w:r>
              <w:rPr>
                <w:rFonts w:hint="eastAsia"/>
                <w:color w:val="auto"/>
                <w:sz w:val="21"/>
              </w:rPr>
              <w:t>排水通气管不得与风道或烟道连接，具应符合下列规定：</w:t>
            </w:r>
          </w:p>
          <w:p w14:paraId="0ACDA2EC">
            <w:pPr>
              <w:spacing w:line="240" w:lineRule="auto"/>
              <w:ind w:firstLine="420"/>
              <w:jc w:val="left"/>
              <w:rPr>
                <w:rFonts w:hint="eastAsia"/>
                <w:color w:val="auto"/>
                <w:sz w:val="21"/>
              </w:rPr>
            </w:pPr>
            <w:r>
              <w:rPr>
                <w:rFonts w:hint="eastAsia"/>
                <w:color w:val="auto"/>
                <w:sz w:val="21"/>
              </w:rPr>
              <w:t>通气管应高出屋面300mm。</w:t>
            </w:r>
          </w:p>
          <w:p w14:paraId="0DEFFDF2">
            <w:pPr>
              <w:spacing w:line="240" w:lineRule="auto"/>
              <w:ind w:firstLine="420"/>
              <w:jc w:val="left"/>
              <w:rPr>
                <w:rFonts w:hint="eastAsia"/>
                <w:color w:val="auto"/>
                <w:sz w:val="21"/>
              </w:rPr>
            </w:pPr>
            <w:r>
              <w:rPr>
                <w:rFonts w:hint="eastAsia"/>
                <w:color w:val="auto"/>
                <w:sz w:val="21"/>
              </w:rPr>
              <w:t>在通气管出口4m以内有门、窗时，通气管应高出门、窗顶600mm或引向无门、窗一侧。</w:t>
            </w:r>
          </w:p>
          <w:p w14:paraId="4AEDE7F5">
            <w:pPr>
              <w:spacing w:line="240" w:lineRule="auto"/>
              <w:ind w:firstLine="420"/>
              <w:jc w:val="left"/>
              <w:rPr>
                <w:rFonts w:hint="eastAsia"/>
                <w:color w:val="auto"/>
                <w:sz w:val="21"/>
              </w:rPr>
            </w:pPr>
            <w:r>
              <w:rPr>
                <w:rFonts w:hint="eastAsia"/>
                <w:color w:val="auto"/>
                <w:sz w:val="21"/>
              </w:rPr>
              <w:t>在经常有人停留的平屋顶上，通气管应高出屋面2m，并应根据防雷要求设置防雷装置。</w:t>
            </w:r>
          </w:p>
          <w:p w14:paraId="23E880F1">
            <w:pPr>
              <w:spacing w:line="240" w:lineRule="auto"/>
              <w:ind w:firstLine="420"/>
              <w:jc w:val="left"/>
              <w:rPr>
                <w:rFonts w:hint="eastAsia"/>
                <w:color w:val="auto"/>
                <w:sz w:val="21"/>
              </w:rPr>
            </w:pPr>
            <w:r>
              <w:rPr>
                <w:rFonts w:hint="eastAsia"/>
                <w:color w:val="auto"/>
                <w:sz w:val="21"/>
              </w:rPr>
              <w:t>屋顶有隔热层应从隔热层板面算起。</w:t>
            </w:r>
          </w:p>
        </w:tc>
        <w:tc>
          <w:tcPr>
            <w:tcW w:w="591" w:type="pct"/>
            <w:tcBorders>
              <w:top w:val="single" w:color="auto" w:sz="4" w:space="0"/>
              <w:left w:val="single" w:color="auto" w:sz="4" w:space="0"/>
              <w:bottom w:val="single" w:color="auto" w:sz="4" w:space="0"/>
              <w:right w:val="single" w:color="auto" w:sz="4" w:space="0"/>
            </w:tcBorders>
            <w:vAlign w:val="center"/>
          </w:tcPr>
          <w:p w14:paraId="29A75659">
            <w:pPr>
              <w:spacing w:line="240" w:lineRule="auto"/>
              <w:ind w:firstLine="0" w:firstLineChars="0"/>
              <w:jc w:val="center"/>
              <w:rPr>
                <w:rFonts w:hint="eastAsia"/>
                <w:color w:val="auto"/>
                <w:sz w:val="21"/>
              </w:rPr>
            </w:pPr>
            <w:r>
              <w:rPr>
                <w:rFonts w:hint="eastAsia"/>
                <w:color w:val="auto"/>
                <w:sz w:val="21"/>
              </w:rPr>
              <w:t>观察和尺量检查</w:t>
            </w:r>
          </w:p>
        </w:tc>
      </w:tr>
      <w:tr w14:paraId="3AE1A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3DC5B49C">
            <w:pPr>
              <w:spacing w:line="240" w:lineRule="auto"/>
              <w:ind w:firstLine="0" w:firstLineChars="0"/>
              <w:jc w:val="center"/>
              <w:rPr>
                <w:rFonts w:hint="eastAsia"/>
                <w:color w:val="auto"/>
                <w:sz w:val="21"/>
              </w:rPr>
            </w:pPr>
            <w:r>
              <w:rPr>
                <w:rFonts w:hint="eastAsia"/>
                <w:color w:val="auto"/>
                <w:sz w:val="21"/>
              </w:rPr>
              <w:t>6</w:t>
            </w:r>
          </w:p>
        </w:tc>
        <w:tc>
          <w:tcPr>
            <w:tcW w:w="4093" w:type="pct"/>
            <w:tcBorders>
              <w:top w:val="single" w:color="auto" w:sz="4" w:space="0"/>
              <w:left w:val="single" w:color="auto" w:sz="4" w:space="0"/>
              <w:bottom w:val="single" w:color="auto" w:sz="4" w:space="0"/>
              <w:right w:val="single" w:color="auto" w:sz="4" w:space="0"/>
            </w:tcBorders>
            <w:vAlign w:val="center"/>
          </w:tcPr>
          <w:p w14:paraId="64AE8722">
            <w:pPr>
              <w:spacing w:line="240" w:lineRule="auto"/>
              <w:ind w:firstLine="420"/>
              <w:jc w:val="left"/>
              <w:rPr>
                <w:rFonts w:hint="eastAsia"/>
                <w:color w:val="auto"/>
                <w:sz w:val="21"/>
              </w:rPr>
            </w:pPr>
            <w:r>
              <w:rPr>
                <w:rFonts w:hint="eastAsia"/>
                <w:color w:val="auto"/>
                <w:sz w:val="21"/>
              </w:rPr>
              <w:t>通向室外的排水管，穿过墙壁或基础必须下返时，应采用45°三通和45°弯头连接，并应在垂直管段顶部设置清扫口。</w:t>
            </w:r>
          </w:p>
        </w:tc>
        <w:tc>
          <w:tcPr>
            <w:tcW w:w="591" w:type="pct"/>
            <w:tcBorders>
              <w:top w:val="single" w:color="auto" w:sz="4" w:space="0"/>
              <w:left w:val="single" w:color="auto" w:sz="4" w:space="0"/>
              <w:bottom w:val="single" w:color="auto" w:sz="4" w:space="0"/>
              <w:right w:val="single" w:color="auto" w:sz="4" w:space="0"/>
            </w:tcBorders>
            <w:vAlign w:val="center"/>
          </w:tcPr>
          <w:p w14:paraId="1683019D">
            <w:pPr>
              <w:spacing w:line="240" w:lineRule="auto"/>
              <w:ind w:firstLine="0" w:firstLineChars="0"/>
              <w:jc w:val="center"/>
              <w:rPr>
                <w:rFonts w:hint="eastAsia"/>
                <w:color w:val="auto"/>
                <w:sz w:val="21"/>
              </w:rPr>
            </w:pPr>
            <w:r>
              <w:rPr>
                <w:rFonts w:hint="eastAsia"/>
                <w:color w:val="auto"/>
                <w:sz w:val="21"/>
              </w:rPr>
              <w:t>观察和尺量检查</w:t>
            </w:r>
          </w:p>
        </w:tc>
      </w:tr>
      <w:tr w14:paraId="1E72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7E63ECE4">
            <w:pPr>
              <w:spacing w:line="240" w:lineRule="auto"/>
              <w:ind w:firstLine="0" w:firstLineChars="0"/>
              <w:jc w:val="center"/>
              <w:rPr>
                <w:rFonts w:hint="eastAsia"/>
                <w:color w:val="auto"/>
                <w:sz w:val="21"/>
              </w:rPr>
            </w:pPr>
            <w:r>
              <w:rPr>
                <w:rFonts w:hint="eastAsia"/>
                <w:color w:val="auto"/>
                <w:sz w:val="21"/>
              </w:rPr>
              <w:t>7</w:t>
            </w:r>
          </w:p>
        </w:tc>
        <w:tc>
          <w:tcPr>
            <w:tcW w:w="4093" w:type="pct"/>
            <w:tcBorders>
              <w:top w:val="single" w:color="auto" w:sz="4" w:space="0"/>
              <w:left w:val="single" w:color="auto" w:sz="4" w:space="0"/>
              <w:bottom w:val="single" w:color="auto" w:sz="4" w:space="0"/>
              <w:right w:val="single" w:color="auto" w:sz="4" w:space="0"/>
            </w:tcBorders>
            <w:vAlign w:val="center"/>
          </w:tcPr>
          <w:p w14:paraId="5A83F185">
            <w:pPr>
              <w:spacing w:line="240" w:lineRule="auto"/>
              <w:ind w:firstLine="420"/>
              <w:jc w:val="left"/>
              <w:rPr>
                <w:rFonts w:hint="eastAsia"/>
                <w:color w:val="auto"/>
                <w:sz w:val="21"/>
              </w:rPr>
            </w:pPr>
            <w:r>
              <w:rPr>
                <w:rFonts w:hint="eastAsia"/>
                <w:color w:val="auto"/>
                <w:sz w:val="21"/>
              </w:rPr>
              <w:t>由室内通向室外排水检查井的排水管，井内引入管应高于排出管或两管顶相平，并有不小于90°的水流转角，如跌落差大于300mm可不受角度限制。</w:t>
            </w:r>
          </w:p>
        </w:tc>
        <w:tc>
          <w:tcPr>
            <w:tcW w:w="591" w:type="pct"/>
            <w:tcBorders>
              <w:top w:val="single" w:color="auto" w:sz="4" w:space="0"/>
              <w:left w:val="single" w:color="auto" w:sz="4" w:space="0"/>
              <w:bottom w:val="single" w:color="auto" w:sz="4" w:space="0"/>
              <w:right w:val="single" w:color="auto" w:sz="4" w:space="0"/>
            </w:tcBorders>
            <w:vAlign w:val="center"/>
          </w:tcPr>
          <w:p w14:paraId="12D55D8D">
            <w:pPr>
              <w:spacing w:line="240" w:lineRule="auto"/>
              <w:ind w:firstLine="0" w:firstLineChars="0"/>
              <w:jc w:val="center"/>
              <w:rPr>
                <w:rFonts w:hint="eastAsia"/>
                <w:color w:val="auto"/>
                <w:sz w:val="21"/>
              </w:rPr>
            </w:pPr>
            <w:r>
              <w:rPr>
                <w:rFonts w:hint="eastAsia"/>
                <w:color w:val="auto"/>
                <w:sz w:val="21"/>
              </w:rPr>
              <w:t>观察和尺量检查</w:t>
            </w:r>
          </w:p>
        </w:tc>
      </w:tr>
      <w:tr w14:paraId="2D527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2ED94509">
            <w:pPr>
              <w:spacing w:line="240" w:lineRule="auto"/>
              <w:ind w:firstLine="0" w:firstLineChars="0"/>
              <w:jc w:val="center"/>
              <w:rPr>
                <w:rFonts w:hint="eastAsia"/>
                <w:color w:val="auto"/>
                <w:sz w:val="21"/>
              </w:rPr>
            </w:pPr>
            <w:r>
              <w:rPr>
                <w:rFonts w:hint="eastAsia"/>
                <w:color w:val="auto"/>
                <w:sz w:val="21"/>
              </w:rPr>
              <w:t>8</w:t>
            </w:r>
          </w:p>
        </w:tc>
        <w:tc>
          <w:tcPr>
            <w:tcW w:w="4093" w:type="pct"/>
            <w:tcBorders>
              <w:top w:val="single" w:color="auto" w:sz="4" w:space="0"/>
              <w:left w:val="single" w:color="auto" w:sz="4" w:space="0"/>
              <w:bottom w:val="single" w:color="auto" w:sz="4" w:space="0"/>
              <w:right w:val="single" w:color="auto" w:sz="4" w:space="0"/>
            </w:tcBorders>
            <w:vAlign w:val="center"/>
          </w:tcPr>
          <w:p w14:paraId="603A3C17">
            <w:pPr>
              <w:spacing w:line="240" w:lineRule="auto"/>
              <w:ind w:firstLine="420"/>
              <w:jc w:val="left"/>
              <w:rPr>
                <w:rFonts w:hint="eastAsia"/>
                <w:color w:val="auto"/>
                <w:sz w:val="21"/>
              </w:rPr>
            </w:pPr>
            <w:r>
              <w:rPr>
                <w:rFonts w:hint="eastAsia"/>
                <w:color w:val="auto"/>
                <w:sz w:val="21"/>
              </w:rPr>
              <w:t>用于室内排水的水平管道与水平管道、水平管道与立管的连接，应采用45°三通和45°四通和90°斜三通或90°斜四通。立管与排出管端部的连接，应采用两个45°弯头或曲率半径不小于4倍管径的90°弯头。</w:t>
            </w:r>
          </w:p>
        </w:tc>
        <w:tc>
          <w:tcPr>
            <w:tcW w:w="591" w:type="pct"/>
            <w:tcBorders>
              <w:top w:val="single" w:color="auto" w:sz="4" w:space="0"/>
              <w:left w:val="single" w:color="auto" w:sz="4" w:space="0"/>
              <w:bottom w:val="single" w:color="auto" w:sz="4" w:space="0"/>
              <w:right w:val="single" w:color="auto" w:sz="4" w:space="0"/>
            </w:tcBorders>
            <w:vAlign w:val="center"/>
          </w:tcPr>
          <w:p w14:paraId="352025AF">
            <w:pPr>
              <w:spacing w:line="240" w:lineRule="auto"/>
              <w:ind w:firstLine="0" w:firstLineChars="0"/>
              <w:jc w:val="center"/>
              <w:rPr>
                <w:rFonts w:hint="eastAsia"/>
                <w:color w:val="auto"/>
                <w:sz w:val="21"/>
              </w:rPr>
            </w:pPr>
            <w:r>
              <w:rPr>
                <w:rFonts w:hint="eastAsia"/>
                <w:color w:val="auto"/>
                <w:sz w:val="21"/>
              </w:rPr>
              <w:t>观察和尺量检查</w:t>
            </w:r>
          </w:p>
        </w:tc>
      </w:tr>
      <w:tr w14:paraId="29BA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6" w:type="pct"/>
            <w:tcBorders>
              <w:top w:val="single" w:color="auto" w:sz="4" w:space="0"/>
              <w:left w:val="single" w:color="auto" w:sz="4" w:space="0"/>
              <w:bottom w:val="single" w:color="auto" w:sz="4" w:space="0"/>
              <w:right w:val="single" w:color="auto" w:sz="4" w:space="0"/>
            </w:tcBorders>
            <w:vAlign w:val="center"/>
          </w:tcPr>
          <w:p w14:paraId="4EB4EA73">
            <w:pPr>
              <w:spacing w:line="240" w:lineRule="auto"/>
              <w:ind w:firstLine="0" w:firstLineChars="0"/>
              <w:jc w:val="center"/>
              <w:rPr>
                <w:rFonts w:hint="eastAsia"/>
                <w:color w:val="auto"/>
                <w:sz w:val="21"/>
              </w:rPr>
            </w:pPr>
            <w:r>
              <w:rPr>
                <w:rFonts w:hint="eastAsia"/>
                <w:color w:val="auto"/>
                <w:sz w:val="21"/>
              </w:rPr>
              <w:t>9</w:t>
            </w:r>
          </w:p>
        </w:tc>
        <w:tc>
          <w:tcPr>
            <w:tcW w:w="4093" w:type="pct"/>
            <w:tcBorders>
              <w:top w:val="single" w:color="auto" w:sz="4" w:space="0"/>
              <w:left w:val="single" w:color="auto" w:sz="4" w:space="0"/>
              <w:bottom w:val="single" w:color="auto" w:sz="4" w:space="0"/>
              <w:right w:val="single" w:color="auto" w:sz="4" w:space="0"/>
            </w:tcBorders>
            <w:vAlign w:val="center"/>
          </w:tcPr>
          <w:p w14:paraId="0D932914">
            <w:pPr>
              <w:spacing w:line="240" w:lineRule="auto"/>
              <w:ind w:firstLine="420"/>
              <w:jc w:val="left"/>
              <w:rPr>
                <w:rFonts w:hint="eastAsia"/>
                <w:color w:val="auto"/>
                <w:sz w:val="21"/>
              </w:rPr>
            </w:pPr>
            <w:r>
              <w:rPr>
                <w:rFonts w:hint="eastAsia"/>
                <w:color w:val="auto"/>
                <w:sz w:val="21"/>
              </w:rPr>
              <w:t>室内排水管道安装的允许偏差应符合室内排水和雨水管道安装的允许偏差和检验方法。</w:t>
            </w:r>
          </w:p>
        </w:tc>
        <w:tc>
          <w:tcPr>
            <w:tcW w:w="591" w:type="pct"/>
            <w:tcBorders>
              <w:top w:val="single" w:color="auto" w:sz="4" w:space="0"/>
              <w:left w:val="single" w:color="auto" w:sz="4" w:space="0"/>
              <w:bottom w:val="single" w:color="auto" w:sz="4" w:space="0"/>
              <w:right w:val="single" w:color="auto" w:sz="4" w:space="0"/>
            </w:tcBorders>
            <w:vAlign w:val="center"/>
          </w:tcPr>
          <w:p w14:paraId="619B9BF0">
            <w:pPr>
              <w:spacing w:line="240" w:lineRule="auto"/>
              <w:ind w:firstLine="0" w:firstLineChars="0"/>
              <w:jc w:val="center"/>
              <w:rPr>
                <w:rFonts w:hint="eastAsia"/>
                <w:color w:val="auto"/>
                <w:sz w:val="21"/>
              </w:rPr>
            </w:pPr>
            <w:r>
              <w:rPr>
                <w:rFonts w:hint="eastAsia"/>
                <w:color w:val="auto"/>
                <w:sz w:val="21"/>
              </w:rPr>
              <w:t>尺量检查</w:t>
            </w:r>
          </w:p>
        </w:tc>
      </w:tr>
    </w:tbl>
    <w:p w14:paraId="642F20EE">
      <w:pPr>
        <w:rPr>
          <w:rFonts w:hint="eastAsia"/>
          <w:color w:val="auto"/>
        </w:rPr>
      </w:pPr>
      <w:r>
        <w:rPr>
          <w:rFonts w:hint="eastAsia"/>
          <w:color w:val="auto"/>
        </w:rPr>
        <w:t>排水塑料管道支吊架最大间距（单位：mm）</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3"/>
        <w:gridCol w:w="1261"/>
        <w:gridCol w:w="1564"/>
        <w:gridCol w:w="1564"/>
        <w:gridCol w:w="1564"/>
        <w:gridCol w:w="1414"/>
      </w:tblGrid>
      <w:tr w14:paraId="398F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4" w:type="pct"/>
            <w:tcBorders>
              <w:top w:val="single" w:color="auto" w:sz="4" w:space="0"/>
              <w:left w:val="single" w:color="auto" w:sz="4" w:space="0"/>
              <w:bottom w:val="single" w:color="auto" w:sz="4" w:space="0"/>
              <w:right w:val="single" w:color="auto" w:sz="4" w:space="0"/>
            </w:tcBorders>
            <w:vAlign w:val="center"/>
          </w:tcPr>
          <w:p w14:paraId="7F0F2DAA">
            <w:pPr>
              <w:spacing w:line="240" w:lineRule="auto"/>
              <w:ind w:firstLine="0" w:firstLineChars="0"/>
              <w:jc w:val="center"/>
              <w:rPr>
                <w:rFonts w:hint="eastAsia"/>
                <w:color w:val="auto"/>
                <w:sz w:val="21"/>
              </w:rPr>
            </w:pPr>
            <w:r>
              <w:rPr>
                <w:rFonts w:hint="eastAsia"/>
                <w:color w:val="auto"/>
                <w:sz w:val="21"/>
              </w:rPr>
              <w:t>管径</w:t>
            </w:r>
          </w:p>
        </w:tc>
        <w:tc>
          <w:tcPr>
            <w:tcW w:w="696" w:type="pct"/>
            <w:tcBorders>
              <w:top w:val="single" w:color="auto" w:sz="4" w:space="0"/>
              <w:left w:val="single" w:color="auto" w:sz="4" w:space="0"/>
              <w:bottom w:val="single" w:color="auto" w:sz="4" w:space="0"/>
              <w:right w:val="single" w:color="auto" w:sz="4" w:space="0"/>
            </w:tcBorders>
            <w:vAlign w:val="center"/>
          </w:tcPr>
          <w:p w14:paraId="0457BF7C">
            <w:pPr>
              <w:spacing w:line="240" w:lineRule="auto"/>
              <w:ind w:firstLine="0" w:firstLineChars="0"/>
              <w:jc w:val="center"/>
              <w:rPr>
                <w:rFonts w:hint="eastAsia"/>
                <w:color w:val="auto"/>
                <w:sz w:val="21"/>
              </w:rPr>
            </w:pPr>
            <w:r>
              <w:rPr>
                <w:rFonts w:hint="eastAsia"/>
                <w:color w:val="auto"/>
                <w:sz w:val="21"/>
              </w:rPr>
              <w:t>50</w:t>
            </w:r>
          </w:p>
        </w:tc>
        <w:tc>
          <w:tcPr>
            <w:tcW w:w="863" w:type="pct"/>
            <w:tcBorders>
              <w:top w:val="single" w:color="auto" w:sz="4" w:space="0"/>
              <w:left w:val="single" w:color="auto" w:sz="4" w:space="0"/>
              <w:bottom w:val="single" w:color="auto" w:sz="4" w:space="0"/>
              <w:right w:val="single" w:color="auto" w:sz="4" w:space="0"/>
            </w:tcBorders>
            <w:vAlign w:val="center"/>
          </w:tcPr>
          <w:p w14:paraId="35599ABD">
            <w:pPr>
              <w:spacing w:line="240" w:lineRule="auto"/>
              <w:ind w:firstLine="0" w:firstLineChars="0"/>
              <w:jc w:val="center"/>
              <w:rPr>
                <w:rFonts w:hint="eastAsia"/>
                <w:color w:val="auto"/>
                <w:sz w:val="21"/>
              </w:rPr>
            </w:pPr>
            <w:r>
              <w:rPr>
                <w:rFonts w:hint="eastAsia"/>
                <w:color w:val="auto"/>
                <w:sz w:val="21"/>
              </w:rPr>
              <w:t>75</w:t>
            </w:r>
          </w:p>
        </w:tc>
        <w:tc>
          <w:tcPr>
            <w:tcW w:w="863" w:type="pct"/>
            <w:tcBorders>
              <w:top w:val="single" w:color="auto" w:sz="4" w:space="0"/>
              <w:left w:val="single" w:color="auto" w:sz="4" w:space="0"/>
              <w:bottom w:val="single" w:color="auto" w:sz="4" w:space="0"/>
              <w:right w:val="single" w:color="auto" w:sz="4" w:space="0"/>
            </w:tcBorders>
            <w:vAlign w:val="center"/>
          </w:tcPr>
          <w:p w14:paraId="49922252">
            <w:pPr>
              <w:spacing w:line="240" w:lineRule="auto"/>
              <w:ind w:firstLine="0" w:firstLineChars="0"/>
              <w:jc w:val="center"/>
              <w:rPr>
                <w:rFonts w:hint="eastAsia"/>
                <w:color w:val="auto"/>
                <w:sz w:val="21"/>
              </w:rPr>
            </w:pPr>
            <w:r>
              <w:rPr>
                <w:rFonts w:hint="eastAsia"/>
                <w:color w:val="auto"/>
                <w:sz w:val="21"/>
              </w:rPr>
              <w:t>110</w:t>
            </w:r>
          </w:p>
        </w:tc>
        <w:tc>
          <w:tcPr>
            <w:tcW w:w="863" w:type="pct"/>
            <w:tcBorders>
              <w:top w:val="single" w:color="auto" w:sz="4" w:space="0"/>
              <w:left w:val="single" w:color="auto" w:sz="4" w:space="0"/>
              <w:bottom w:val="single" w:color="auto" w:sz="4" w:space="0"/>
              <w:right w:val="single" w:color="auto" w:sz="4" w:space="0"/>
            </w:tcBorders>
            <w:vAlign w:val="center"/>
          </w:tcPr>
          <w:p w14:paraId="063B7F94">
            <w:pPr>
              <w:spacing w:line="240" w:lineRule="auto"/>
              <w:ind w:firstLine="0" w:firstLineChars="0"/>
              <w:jc w:val="center"/>
              <w:rPr>
                <w:rFonts w:hint="eastAsia"/>
                <w:color w:val="auto"/>
                <w:sz w:val="21"/>
              </w:rPr>
            </w:pPr>
            <w:r>
              <w:rPr>
                <w:rFonts w:hint="eastAsia"/>
                <w:color w:val="auto"/>
                <w:sz w:val="21"/>
              </w:rPr>
              <w:t>125</w:t>
            </w:r>
          </w:p>
        </w:tc>
        <w:tc>
          <w:tcPr>
            <w:tcW w:w="780" w:type="pct"/>
            <w:tcBorders>
              <w:top w:val="single" w:color="auto" w:sz="4" w:space="0"/>
              <w:left w:val="single" w:color="auto" w:sz="4" w:space="0"/>
              <w:bottom w:val="single" w:color="auto" w:sz="4" w:space="0"/>
              <w:right w:val="single" w:color="auto" w:sz="4" w:space="0"/>
            </w:tcBorders>
            <w:vAlign w:val="center"/>
          </w:tcPr>
          <w:p w14:paraId="339A17CC">
            <w:pPr>
              <w:spacing w:line="240" w:lineRule="auto"/>
              <w:ind w:firstLine="0" w:firstLineChars="0"/>
              <w:jc w:val="center"/>
              <w:rPr>
                <w:rFonts w:hint="eastAsia"/>
                <w:color w:val="auto"/>
                <w:sz w:val="21"/>
              </w:rPr>
            </w:pPr>
            <w:r>
              <w:rPr>
                <w:rFonts w:hint="eastAsia"/>
                <w:color w:val="auto"/>
                <w:sz w:val="21"/>
              </w:rPr>
              <w:t>160</w:t>
            </w:r>
          </w:p>
        </w:tc>
      </w:tr>
      <w:tr w14:paraId="16067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4" w:type="pct"/>
            <w:tcBorders>
              <w:top w:val="single" w:color="auto" w:sz="4" w:space="0"/>
              <w:left w:val="single" w:color="auto" w:sz="4" w:space="0"/>
              <w:bottom w:val="single" w:color="auto" w:sz="4" w:space="0"/>
              <w:right w:val="single" w:color="auto" w:sz="4" w:space="0"/>
            </w:tcBorders>
            <w:vAlign w:val="center"/>
          </w:tcPr>
          <w:p w14:paraId="5CEF9D04">
            <w:pPr>
              <w:spacing w:line="240" w:lineRule="auto"/>
              <w:ind w:firstLine="0" w:firstLineChars="0"/>
              <w:jc w:val="center"/>
              <w:rPr>
                <w:rFonts w:hint="eastAsia"/>
                <w:color w:val="auto"/>
                <w:sz w:val="21"/>
              </w:rPr>
            </w:pPr>
            <w:r>
              <w:rPr>
                <w:rFonts w:hint="eastAsia"/>
                <w:color w:val="auto"/>
                <w:sz w:val="21"/>
              </w:rPr>
              <w:t>立管</w:t>
            </w:r>
          </w:p>
        </w:tc>
        <w:tc>
          <w:tcPr>
            <w:tcW w:w="696" w:type="pct"/>
            <w:tcBorders>
              <w:top w:val="single" w:color="auto" w:sz="4" w:space="0"/>
              <w:left w:val="single" w:color="auto" w:sz="4" w:space="0"/>
              <w:bottom w:val="single" w:color="auto" w:sz="4" w:space="0"/>
              <w:right w:val="single" w:color="auto" w:sz="4" w:space="0"/>
            </w:tcBorders>
            <w:vAlign w:val="center"/>
          </w:tcPr>
          <w:p w14:paraId="6F6785BB">
            <w:pPr>
              <w:spacing w:line="240" w:lineRule="auto"/>
              <w:ind w:firstLine="0" w:firstLineChars="0"/>
              <w:jc w:val="center"/>
              <w:rPr>
                <w:rFonts w:hint="eastAsia"/>
                <w:color w:val="auto"/>
                <w:sz w:val="21"/>
              </w:rPr>
            </w:pPr>
            <w:r>
              <w:rPr>
                <w:rFonts w:hint="eastAsia"/>
                <w:color w:val="auto"/>
                <w:sz w:val="21"/>
              </w:rPr>
              <w:t>1.2</w:t>
            </w:r>
          </w:p>
        </w:tc>
        <w:tc>
          <w:tcPr>
            <w:tcW w:w="863" w:type="pct"/>
            <w:tcBorders>
              <w:top w:val="single" w:color="auto" w:sz="4" w:space="0"/>
              <w:left w:val="single" w:color="auto" w:sz="4" w:space="0"/>
              <w:bottom w:val="single" w:color="auto" w:sz="4" w:space="0"/>
              <w:right w:val="single" w:color="auto" w:sz="4" w:space="0"/>
            </w:tcBorders>
            <w:vAlign w:val="center"/>
          </w:tcPr>
          <w:p w14:paraId="71824A9F">
            <w:pPr>
              <w:spacing w:line="240" w:lineRule="auto"/>
              <w:ind w:firstLine="0" w:firstLineChars="0"/>
              <w:jc w:val="center"/>
              <w:rPr>
                <w:rFonts w:hint="eastAsia"/>
                <w:color w:val="auto"/>
                <w:sz w:val="21"/>
              </w:rPr>
            </w:pPr>
            <w:r>
              <w:rPr>
                <w:rFonts w:hint="eastAsia"/>
                <w:color w:val="auto"/>
                <w:sz w:val="21"/>
              </w:rPr>
              <w:t>1.5</w:t>
            </w:r>
          </w:p>
        </w:tc>
        <w:tc>
          <w:tcPr>
            <w:tcW w:w="863" w:type="pct"/>
            <w:tcBorders>
              <w:top w:val="single" w:color="auto" w:sz="4" w:space="0"/>
              <w:left w:val="single" w:color="auto" w:sz="4" w:space="0"/>
              <w:bottom w:val="single" w:color="auto" w:sz="4" w:space="0"/>
              <w:right w:val="single" w:color="auto" w:sz="4" w:space="0"/>
            </w:tcBorders>
            <w:vAlign w:val="center"/>
          </w:tcPr>
          <w:p w14:paraId="2E75A0FC">
            <w:pPr>
              <w:spacing w:line="240" w:lineRule="auto"/>
              <w:ind w:firstLine="0" w:firstLineChars="0"/>
              <w:jc w:val="center"/>
              <w:rPr>
                <w:rFonts w:hint="eastAsia"/>
                <w:color w:val="auto"/>
                <w:sz w:val="21"/>
              </w:rPr>
            </w:pPr>
            <w:r>
              <w:rPr>
                <w:rFonts w:hint="eastAsia"/>
                <w:color w:val="auto"/>
                <w:sz w:val="21"/>
              </w:rPr>
              <w:t>2.0</w:t>
            </w:r>
          </w:p>
        </w:tc>
        <w:tc>
          <w:tcPr>
            <w:tcW w:w="863" w:type="pct"/>
            <w:tcBorders>
              <w:top w:val="single" w:color="auto" w:sz="4" w:space="0"/>
              <w:left w:val="single" w:color="auto" w:sz="4" w:space="0"/>
              <w:bottom w:val="single" w:color="auto" w:sz="4" w:space="0"/>
              <w:right w:val="single" w:color="auto" w:sz="4" w:space="0"/>
            </w:tcBorders>
            <w:vAlign w:val="center"/>
          </w:tcPr>
          <w:p w14:paraId="71ADBAB0">
            <w:pPr>
              <w:spacing w:line="240" w:lineRule="auto"/>
              <w:ind w:firstLine="0" w:firstLineChars="0"/>
              <w:jc w:val="center"/>
              <w:rPr>
                <w:rFonts w:hint="eastAsia"/>
                <w:color w:val="auto"/>
                <w:sz w:val="21"/>
              </w:rPr>
            </w:pPr>
            <w:r>
              <w:rPr>
                <w:rFonts w:hint="eastAsia"/>
                <w:color w:val="auto"/>
                <w:sz w:val="21"/>
              </w:rPr>
              <w:t>2.0</w:t>
            </w:r>
          </w:p>
        </w:tc>
        <w:tc>
          <w:tcPr>
            <w:tcW w:w="780" w:type="pct"/>
            <w:tcBorders>
              <w:top w:val="single" w:color="auto" w:sz="4" w:space="0"/>
              <w:left w:val="single" w:color="auto" w:sz="4" w:space="0"/>
              <w:bottom w:val="single" w:color="auto" w:sz="4" w:space="0"/>
              <w:right w:val="single" w:color="auto" w:sz="4" w:space="0"/>
            </w:tcBorders>
            <w:vAlign w:val="center"/>
          </w:tcPr>
          <w:p w14:paraId="30DFD54B">
            <w:pPr>
              <w:spacing w:line="240" w:lineRule="auto"/>
              <w:ind w:firstLine="0" w:firstLineChars="0"/>
              <w:jc w:val="center"/>
              <w:rPr>
                <w:rFonts w:hint="eastAsia"/>
                <w:color w:val="auto"/>
                <w:sz w:val="21"/>
              </w:rPr>
            </w:pPr>
            <w:r>
              <w:rPr>
                <w:rFonts w:hint="eastAsia"/>
                <w:color w:val="auto"/>
                <w:sz w:val="21"/>
              </w:rPr>
              <w:t>2.0</w:t>
            </w:r>
          </w:p>
        </w:tc>
      </w:tr>
      <w:tr w14:paraId="1C23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4" w:type="pct"/>
            <w:tcBorders>
              <w:top w:val="single" w:color="auto" w:sz="4" w:space="0"/>
              <w:left w:val="single" w:color="auto" w:sz="4" w:space="0"/>
              <w:bottom w:val="single" w:color="auto" w:sz="4" w:space="0"/>
              <w:right w:val="single" w:color="auto" w:sz="4" w:space="0"/>
            </w:tcBorders>
            <w:vAlign w:val="center"/>
          </w:tcPr>
          <w:p w14:paraId="106ABEFB">
            <w:pPr>
              <w:spacing w:line="240" w:lineRule="auto"/>
              <w:ind w:firstLine="0" w:firstLineChars="0"/>
              <w:jc w:val="center"/>
              <w:rPr>
                <w:rFonts w:hint="eastAsia"/>
                <w:color w:val="auto"/>
                <w:sz w:val="21"/>
              </w:rPr>
            </w:pPr>
            <w:r>
              <w:rPr>
                <w:rFonts w:hint="eastAsia"/>
                <w:color w:val="auto"/>
                <w:sz w:val="21"/>
              </w:rPr>
              <w:t>横管</w:t>
            </w:r>
          </w:p>
        </w:tc>
        <w:tc>
          <w:tcPr>
            <w:tcW w:w="696" w:type="pct"/>
            <w:tcBorders>
              <w:top w:val="single" w:color="auto" w:sz="4" w:space="0"/>
              <w:left w:val="single" w:color="auto" w:sz="4" w:space="0"/>
              <w:bottom w:val="single" w:color="auto" w:sz="4" w:space="0"/>
              <w:right w:val="single" w:color="auto" w:sz="4" w:space="0"/>
            </w:tcBorders>
            <w:vAlign w:val="center"/>
          </w:tcPr>
          <w:p w14:paraId="6A2D4C04">
            <w:pPr>
              <w:spacing w:line="240" w:lineRule="auto"/>
              <w:ind w:firstLine="0" w:firstLineChars="0"/>
              <w:jc w:val="center"/>
              <w:rPr>
                <w:rFonts w:hint="eastAsia"/>
                <w:color w:val="auto"/>
                <w:sz w:val="21"/>
              </w:rPr>
            </w:pPr>
            <w:r>
              <w:rPr>
                <w:rFonts w:hint="eastAsia"/>
                <w:color w:val="auto"/>
                <w:sz w:val="21"/>
              </w:rPr>
              <w:t>0.5</w:t>
            </w:r>
          </w:p>
        </w:tc>
        <w:tc>
          <w:tcPr>
            <w:tcW w:w="863" w:type="pct"/>
            <w:tcBorders>
              <w:top w:val="single" w:color="auto" w:sz="4" w:space="0"/>
              <w:left w:val="single" w:color="auto" w:sz="4" w:space="0"/>
              <w:bottom w:val="single" w:color="auto" w:sz="4" w:space="0"/>
              <w:right w:val="single" w:color="auto" w:sz="4" w:space="0"/>
            </w:tcBorders>
            <w:vAlign w:val="center"/>
          </w:tcPr>
          <w:p w14:paraId="66CA356E">
            <w:pPr>
              <w:spacing w:line="240" w:lineRule="auto"/>
              <w:ind w:firstLine="0" w:firstLineChars="0"/>
              <w:jc w:val="center"/>
              <w:rPr>
                <w:rFonts w:hint="eastAsia"/>
                <w:color w:val="auto"/>
                <w:sz w:val="21"/>
              </w:rPr>
            </w:pPr>
            <w:r>
              <w:rPr>
                <w:rFonts w:hint="eastAsia"/>
                <w:color w:val="auto"/>
                <w:sz w:val="21"/>
              </w:rPr>
              <w:t>0.75</w:t>
            </w:r>
          </w:p>
        </w:tc>
        <w:tc>
          <w:tcPr>
            <w:tcW w:w="863" w:type="pct"/>
            <w:tcBorders>
              <w:top w:val="single" w:color="auto" w:sz="4" w:space="0"/>
              <w:left w:val="single" w:color="auto" w:sz="4" w:space="0"/>
              <w:bottom w:val="single" w:color="auto" w:sz="4" w:space="0"/>
              <w:right w:val="single" w:color="auto" w:sz="4" w:space="0"/>
            </w:tcBorders>
            <w:vAlign w:val="center"/>
          </w:tcPr>
          <w:p w14:paraId="7670A017">
            <w:pPr>
              <w:spacing w:line="240" w:lineRule="auto"/>
              <w:ind w:firstLine="0" w:firstLineChars="0"/>
              <w:jc w:val="center"/>
              <w:rPr>
                <w:rFonts w:hint="eastAsia"/>
                <w:color w:val="auto"/>
                <w:sz w:val="21"/>
              </w:rPr>
            </w:pPr>
            <w:r>
              <w:rPr>
                <w:rFonts w:hint="eastAsia"/>
                <w:color w:val="auto"/>
                <w:sz w:val="21"/>
              </w:rPr>
              <w:t>1.10</w:t>
            </w:r>
          </w:p>
        </w:tc>
        <w:tc>
          <w:tcPr>
            <w:tcW w:w="863" w:type="pct"/>
            <w:tcBorders>
              <w:top w:val="single" w:color="auto" w:sz="4" w:space="0"/>
              <w:left w:val="single" w:color="auto" w:sz="4" w:space="0"/>
              <w:bottom w:val="single" w:color="auto" w:sz="4" w:space="0"/>
              <w:right w:val="single" w:color="auto" w:sz="4" w:space="0"/>
            </w:tcBorders>
            <w:vAlign w:val="center"/>
          </w:tcPr>
          <w:p w14:paraId="59BA781B">
            <w:pPr>
              <w:spacing w:line="240" w:lineRule="auto"/>
              <w:ind w:firstLine="0" w:firstLineChars="0"/>
              <w:jc w:val="center"/>
              <w:rPr>
                <w:rFonts w:hint="eastAsia"/>
                <w:color w:val="auto"/>
                <w:sz w:val="21"/>
              </w:rPr>
            </w:pPr>
            <w:r>
              <w:rPr>
                <w:rFonts w:hint="eastAsia"/>
                <w:color w:val="auto"/>
                <w:sz w:val="21"/>
              </w:rPr>
              <w:t>1.30</w:t>
            </w:r>
          </w:p>
        </w:tc>
        <w:tc>
          <w:tcPr>
            <w:tcW w:w="780" w:type="pct"/>
            <w:tcBorders>
              <w:top w:val="single" w:color="auto" w:sz="4" w:space="0"/>
              <w:left w:val="single" w:color="auto" w:sz="4" w:space="0"/>
              <w:bottom w:val="single" w:color="auto" w:sz="4" w:space="0"/>
              <w:right w:val="single" w:color="auto" w:sz="4" w:space="0"/>
            </w:tcBorders>
            <w:vAlign w:val="center"/>
          </w:tcPr>
          <w:p w14:paraId="619E976C">
            <w:pPr>
              <w:spacing w:line="240" w:lineRule="auto"/>
              <w:ind w:firstLine="0" w:firstLineChars="0"/>
              <w:jc w:val="center"/>
              <w:rPr>
                <w:rFonts w:hint="eastAsia"/>
                <w:color w:val="auto"/>
                <w:sz w:val="21"/>
              </w:rPr>
            </w:pPr>
            <w:r>
              <w:rPr>
                <w:rFonts w:hint="eastAsia"/>
                <w:color w:val="auto"/>
                <w:sz w:val="21"/>
              </w:rPr>
              <w:t>1.6</w:t>
            </w:r>
          </w:p>
        </w:tc>
      </w:tr>
    </w:tbl>
    <w:p w14:paraId="29810C99">
      <w:pPr>
        <w:rPr>
          <w:rFonts w:hint="eastAsia"/>
          <w:color w:val="auto"/>
        </w:rPr>
      </w:pPr>
      <w:r>
        <w:rPr>
          <w:rFonts w:hint="eastAsia"/>
          <w:color w:val="auto"/>
        </w:rPr>
        <w:t>室内排水和雨水管道安装的允许偏差和检验方法如下：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805"/>
        <w:gridCol w:w="636"/>
        <w:gridCol w:w="1553"/>
        <w:gridCol w:w="1593"/>
        <w:gridCol w:w="1448"/>
        <w:gridCol w:w="2229"/>
      </w:tblGrid>
      <w:tr w14:paraId="0AC71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56CD2598">
            <w:pPr>
              <w:spacing w:line="240" w:lineRule="auto"/>
              <w:ind w:firstLine="0" w:firstLineChars="0"/>
              <w:jc w:val="center"/>
              <w:rPr>
                <w:rFonts w:hint="eastAsia"/>
                <w:color w:val="auto"/>
                <w:sz w:val="21"/>
              </w:rPr>
            </w:pPr>
            <w:r>
              <w:rPr>
                <w:rFonts w:hint="eastAsia"/>
                <w:color w:val="auto"/>
                <w:sz w:val="21"/>
              </w:rPr>
              <w:t>项次</w:t>
            </w:r>
          </w:p>
        </w:tc>
        <w:tc>
          <w:tcPr>
            <w:tcW w:w="2531" w:type="pct"/>
            <w:gridSpan w:val="4"/>
            <w:tcBorders>
              <w:top w:val="single" w:color="auto" w:sz="4" w:space="0"/>
              <w:left w:val="single" w:color="auto" w:sz="4" w:space="0"/>
              <w:bottom w:val="single" w:color="auto" w:sz="4" w:space="0"/>
              <w:right w:val="single" w:color="auto" w:sz="4" w:space="0"/>
            </w:tcBorders>
            <w:vAlign w:val="center"/>
          </w:tcPr>
          <w:p w14:paraId="17281429">
            <w:pPr>
              <w:spacing w:line="240" w:lineRule="auto"/>
              <w:ind w:firstLine="0" w:firstLineChars="0"/>
              <w:jc w:val="center"/>
              <w:rPr>
                <w:rFonts w:hint="eastAsia"/>
                <w:color w:val="auto"/>
                <w:sz w:val="21"/>
              </w:rPr>
            </w:pPr>
            <w:r>
              <w:rPr>
                <w:rFonts w:hint="eastAsia"/>
                <w:color w:val="auto"/>
                <w:sz w:val="21"/>
              </w:rPr>
              <w:t>项目</w:t>
            </w:r>
          </w:p>
        </w:tc>
        <w:tc>
          <w:tcPr>
            <w:tcW w:w="799" w:type="pct"/>
            <w:tcBorders>
              <w:top w:val="single" w:color="auto" w:sz="4" w:space="0"/>
              <w:left w:val="single" w:color="auto" w:sz="4" w:space="0"/>
              <w:bottom w:val="single" w:color="auto" w:sz="4" w:space="0"/>
              <w:right w:val="single" w:color="auto" w:sz="4" w:space="0"/>
            </w:tcBorders>
            <w:vAlign w:val="center"/>
          </w:tcPr>
          <w:p w14:paraId="779A177F">
            <w:pPr>
              <w:spacing w:line="240" w:lineRule="auto"/>
              <w:ind w:firstLine="0" w:firstLineChars="0"/>
              <w:jc w:val="center"/>
              <w:rPr>
                <w:rFonts w:hint="eastAsia"/>
                <w:color w:val="auto"/>
                <w:sz w:val="21"/>
              </w:rPr>
            </w:pPr>
            <w:r>
              <w:rPr>
                <w:rFonts w:hint="eastAsia"/>
                <w:color w:val="auto"/>
                <w:sz w:val="21"/>
              </w:rPr>
              <w:t>允许偏差（mm）</w:t>
            </w:r>
          </w:p>
        </w:tc>
        <w:tc>
          <w:tcPr>
            <w:tcW w:w="1230" w:type="pct"/>
            <w:tcBorders>
              <w:top w:val="single" w:color="auto" w:sz="4" w:space="0"/>
              <w:left w:val="single" w:color="auto" w:sz="4" w:space="0"/>
              <w:bottom w:val="single" w:color="auto" w:sz="4" w:space="0"/>
              <w:right w:val="single" w:color="auto" w:sz="4" w:space="0"/>
            </w:tcBorders>
            <w:vAlign w:val="center"/>
          </w:tcPr>
          <w:p w14:paraId="6D846296">
            <w:pPr>
              <w:spacing w:line="240" w:lineRule="auto"/>
              <w:ind w:firstLine="0" w:firstLineChars="0"/>
              <w:jc w:val="center"/>
              <w:rPr>
                <w:rFonts w:hint="eastAsia"/>
                <w:color w:val="auto"/>
                <w:sz w:val="21"/>
              </w:rPr>
            </w:pPr>
            <w:r>
              <w:rPr>
                <w:rFonts w:hint="eastAsia"/>
                <w:color w:val="auto"/>
                <w:sz w:val="21"/>
              </w:rPr>
              <w:t>检验方法</w:t>
            </w:r>
          </w:p>
        </w:tc>
      </w:tr>
      <w:tr w14:paraId="5EE20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12498439">
            <w:pPr>
              <w:spacing w:line="240" w:lineRule="auto"/>
              <w:ind w:firstLine="0" w:firstLineChars="0"/>
              <w:jc w:val="center"/>
              <w:rPr>
                <w:rFonts w:hint="eastAsia"/>
                <w:color w:val="auto"/>
                <w:sz w:val="21"/>
              </w:rPr>
            </w:pPr>
            <w:r>
              <w:rPr>
                <w:rFonts w:hint="eastAsia"/>
                <w:color w:val="auto"/>
                <w:sz w:val="21"/>
              </w:rPr>
              <w:t>1</w:t>
            </w:r>
          </w:p>
        </w:tc>
        <w:tc>
          <w:tcPr>
            <w:tcW w:w="2531" w:type="pct"/>
            <w:gridSpan w:val="4"/>
            <w:tcBorders>
              <w:top w:val="single" w:color="auto" w:sz="4" w:space="0"/>
              <w:left w:val="single" w:color="auto" w:sz="4" w:space="0"/>
              <w:bottom w:val="single" w:color="auto" w:sz="4" w:space="0"/>
              <w:right w:val="single" w:color="auto" w:sz="4" w:space="0"/>
            </w:tcBorders>
            <w:vAlign w:val="center"/>
          </w:tcPr>
          <w:p w14:paraId="29624C09">
            <w:pPr>
              <w:spacing w:line="240" w:lineRule="auto"/>
              <w:ind w:firstLine="0" w:firstLineChars="0"/>
              <w:jc w:val="center"/>
              <w:rPr>
                <w:rFonts w:hint="eastAsia"/>
                <w:color w:val="auto"/>
                <w:sz w:val="21"/>
              </w:rPr>
            </w:pPr>
            <w:r>
              <w:rPr>
                <w:rFonts w:hint="eastAsia"/>
                <w:color w:val="auto"/>
                <w:sz w:val="21"/>
              </w:rPr>
              <w:t>坐标</w:t>
            </w:r>
          </w:p>
        </w:tc>
        <w:tc>
          <w:tcPr>
            <w:tcW w:w="799" w:type="pct"/>
            <w:tcBorders>
              <w:top w:val="single" w:color="auto" w:sz="4" w:space="0"/>
              <w:left w:val="single" w:color="auto" w:sz="4" w:space="0"/>
              <w:bottom w:val="single" w:color="auto" w:sz="4" w:space="0"/>
              <w:right w:val="single" w:color="auto" w:sz="4" w:space="0"/>
            </w:tcBorders>
            <w:vAlign w:val="center"/>
          </w:tcPr>
          <w:p w14:paraId="3B0BBA21">
            <w:pPr>
              <w:spacing w:line="240" w:lineRule="auto"/>
              <w:ind w:firstLine="0" w:firstLineChars="0"/>
              <w:jc w:val="center"/>
              <w:rPr>
                <w:rFonts w:hint="eastAsia"/>
                <w:color w:val="auto"/>
                <w:sz w:val="21"/>
              </w:rPr>
            </w:pPr>
            <w:r>
              <w:rPr>
                <w:rFonts w:hint="eastAsia"/>
                <w:color w:val="auto"/>
                <w:sz w:val="21"/>
              </w:rPr>
              <w:t>15</w:t>
            </w:r>
          </w:p>
        </w:tc>
        <w:tc>
          <w:tcPr>
            <w:tcW w:w="1230" w:type="pct"/>
            <w:vMerge w:val="restart"/>
            <w:tcBorders>
              <w:top w:val="nil"/>
              <w:left w:val="single" w:color="auto" w:sz="4" w:space="0"/>
              <w:bottom w:val="single" w:color="auto" w:sz="4" w:space="0"/>
              <w:right w:val="single" w:color="auto" w:sz="4" w:space="0"/>
            </w:tcBorders>
            <w:vAlign w:val="center"/>
          </w:tcPr>
          <w:p w14:paraId="4BF05B0E">
            <w:pPr>
              <w:spacing w:line="240" w:lineRule="auto"/>
              <w:ind w:firstLine="0" w:firstLineChars="0"/>
              <w:jc w:val="center"/>
              <w:rPr>
                <w:rFonts w:hint="eastAsia"/>
                <w:color w:val="auto"/>
                <w:sz w:val="21"/>
              </w:rPr>
            </w:pPr>
            <w:r>
              <w:rPr>
                <w:rFonts w:hint="eastAsia"/>
                <w:color w:val="auto"/>
                <w:sz w:val="21"/>
              </w:rPr>
              <w:t>用水准仪（水平尺）、直尺、拉线和尺量检查</w:t>
            </w:r>
          </w:p>
        </w:tc>
      </w:tr>
      <w:tr w14:paraId="47AC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1FD26E60">
            <w:pPr>
              <w:spacing w:line="240" w:lineRule="auto"/>
              <w:ind w:firstLine="0" w:firstLineChars="0"/>
              <w:jc w:val="center"/>
              <w:rPr>
                <w:rFonts w:hint="eastAsia"/>
                <w:color w:val="auto"/>
                <w:sz w:val="21"/>
              </w:rPr>
            </w:pPr>
            <w:r>
              <w:rPr>
                <w:rFonts w:hint="eastAsia"/>
                <w:color w:val="auto"/>
                <w:sz w:val="21"/>
              </w:rPr>
              <w:t>2</w:t>
            </w:r>
          </w:p>
        </w:tc>
        <w:tc>
          <w:tcPr>
            <w:tcW w:w="2531" w:type="pct"/>
            <w:gridSpan w:val="4"/>
            <w:tcBorders>
              <w:top w:val="single" w:color="auto" w:sz="4" w:space="0"/>
              <w:left w:val="single" w:color="auto" w:sz="4" w:space="0"/>
              <w:bottom w:val="single" w:color="auto" w:sz="4" w:space="0"/>
              <w:right w:val="single" w:color="auto" w:sz="4" w:space="0"/>
            </w:tcBorders>
            <w:vAlign w:val="center"/>
          </w:tcPr>
          <w:p w14:paraId="66E1193D">
            <w:pPr>
              <w:spacing w:line="240" w:lineRule="auto"/>
              <w:ind w:firstLine="0" w:firstLineChars="0"/>
              <w:jc w:val="center"/>
              <w:rPr>
                <w:rFonts w:hint="eastAsia"/>
                <w:color w:val="auto"/>
                <w:sz w:val="21"/>
              </w:rPr>
            </w:pPr>
            <w:r>
              <w:rPr>
                <w:rFonts w:hint="eastAsia"/>
                <w:color w:val="auto"/>
                <w:sz w:val="21"/>
              </w:rPr>
              <w:t>标高</w:t>
            </w:r>
          </w:p>
        </w:tc>
        <w:tc>
          <w:tcPr>
            <w:tcW w:w="799" w:type="pct"/>
            <w:tcBorders>
              <w:top w:val="single" w:color="auto" w:sz="4" w:space="0"/>
              <w:left w:val="single" w:color="auto" w:sz="4" w:space="0"/>
              <w:bottom w:val="single" w:color="auto" w:sz="4" w:space="0"/>
              <w:right w:val="single" w:color="auto" w:sz="4" w:space="0"/>
            </w:tcBorders>
            <w:vAlign w:val="center"/>
          </w:tcPr>
          <w:p w14:paraId="6492141F">
            <w:pPr>
              <w:spacing w:line="240" w:lineRule="auto"/>
              <w:ind w:firstLine="0" w:firstLineChars="0"/>
              <w:jc w:val="center"/>
              <w:rPr>
                <w:rFonts w:hint="eastAsia"/>
                <w:color w:val="auto"/>
                <w:sz w:val="21"/>
              </w:rPr>
            </w:pPr>
            <w:r>
              <w:rPr>
                <w:rFonts w:hint="eastAsia"/>
                <w:color w:val="auto"/>
                <w:sz w:val="21"/>
              </w:rPr>
              <w:t>±15</w:t>
            </w:r>
          </w:p>
        </w:tc>
        <w:tc>
          <w:tcPr>
            <w:tcW w:w="0" w:type="auto"/>
            <w:vMerge w:val="continue"/>
            <w:tcBorders>
              <w:top w:val="nil"/>
              <w:left w:val="single" w:color="auto" w:sz="4" w:space="0"/>
              <w:bottom w:val="single" w:color="auto" w:sz="4" w:space="0"/>
              <w:right w:val="single" w:color="auto" w:sz="4" w:space="0"/>
            </w:tcBorders>
            <w:vAlign w:val="center"/>
          </w:tcPr>
          <w:p w14:paraId="531AD6BB">
            <w:pPr>
              <w:spacing w:line="240" w:lineRule="auto"/>
              <w:ind w:firstLine="0" w:firstLineChars="0"/>
              <w:jc w:val="center"/>
              <w:rPr>
                <w:color w:val="auto"/>
                <w:sz w:val="21"/>
              </w:rPr>
            </w:pPr>
          </w:p>
        </w:tc>
      </w:tr>
      <w:tr w14:paraId="2F9A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vMerge w:val="restart"/>
            <w:tcBorders>
              <w:top w:val="nil"/>
              <w:left w:val="single" w:color="auto" w:sz="4" w:space="0"/>
              <w:bottom w:val="single" w:color="auto" w:sz="4" w:space="0"/>
              <w:right w:val="single" w:color="auto" w:sz="4" w:space="0"/>
            </w:tcBorders>
            <w:vAlign w:val="center"/>
          </w:tcPr>
          <w:p w14:paraId="46584DA4">
            <w:pPr>
              <w:spacing w:line="240" w:lineRule="auto"/>
              <w:ind w:firstLine="0" w:firstLineChars="0"/>
              <w:jc w:val="center"/>
              <w:rPr>
                <w:rFonts w:hint="eastAsia"/>
                <w:color w:val="auto"/>
                <w:sz w:val="21"/>
              </w:rPr>
            </w:pPr>
            <w:r>
              <w:rPr>
                <w:rFonts w:hint="eastAsia"/>
                <w:color w:val="auto"/>
                <w:sz w:val="21"/>
              </w:rPr>
              <w:t>3</w:t>
            </w:r>
          </w:p>
        </w:tc>
        <w:tc>
          <w:tcPr>
            <w:tcW w:w="444" w:type="pct"/>
            <w:vMerge w:val="restart"/>
            <w:tcBorders>
              <w:top w:val="nil"/>
              <w:left w:val="single" w:color="auto" w:sz="4" w:space="0"/>
              <w:bottom w:val="single" w:color="auto" w:sz="4" w:space="0"/>
              <w:right w:val="single" w:color="auto" w:sz="4" w:space="0"/>
            </w:tcBorders>
            <w:vAlign w:val="center"/>
          </w:tcPr>
          <w:p w14:paraId="44A7703C">
            <w:pPr>
              <w:spacing w:line="240" w:lineRule="auto"/>
              <w:ind w:firstLine="0" w:firstLineChars="0"/>
              <w:jc w:val="center"/>
              <w:rPr>
                <w:rFonts w:hint="eastAsia"/>
                <w:color w:val="auto"/>
                <w:sz w:val="21"/>
              </w:rPr>
            </w:pPr>
            <w:r>
              <w:rPr>
                <w:rFonts w:hint="eastAsia"/>
                <w:color w:val="auto"/>
                <w:sz w:val="21"/>
              </w:rPr>
              <w:t>横管纵横方向弯曲</w:t>
            </w:r>
          </w:p>
        </w:tc>
        <w:tc>
          <w:tcPr>
            <w:tcW w:w="351" w:type="pct"/>
            <w:vMerge w:val="restart"/>
            <w:tcBorders>
              <w:top w:val="nil"/>
              <w:left w:val="single" w:color="auto" w:sz="4" w:space="0"/>
              <w:bottom w:val="single" w:color="auto" w:sz="4" w:space="0"/>
              <w:right w:val="single" w:color="auto" w:sz="4" w:space="0"/>
            </w:tcBorders>
            <w:vAlign w:val="center"/>
          </w:tcPr>
          <w:p w14:paraId="66897799">
            <w:pPr>
              <w:spacing w:line="240" w:lineRule="auto"/>
              <w:ind w:firstLine="0" w:firstLineChars="0"/>
              <w:jc w:val="center"/>
              <w:rPr>
                <w:rFonts w:hint="eastAsia"/>
                <w:color w:val="auto"/>
                <w:sz w:val="21"/>
              </w:rPr>
            </w:pPr>
            <w:r>
              <w:rPr>
                <w:rFonts w:hint="eastAsia"/>
                <w:color w:val="auto"/>
                <w:sz w:val="21"/>
              </w:rPr>
              <w:t>铸铁管</w:t>
            </w: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42BE2590">
            <w:pPr>
              <w:spacing w:line="240" w:lineRule="auto"/>
              <w:ind w:firstLine="0" w:firstLineChars="0"/>
              <w:jc w:val="center"/>
              <w:rPr>
                <w:rFonts w:hint="eastAsia"/>
                <w:color w:val="auto"/>
                <w:sz w:val="21"/>
              </w:rPr>
            </w:pPr>
            <w:r>
              <w:rPr>
                <w:rFonts w:hint="eastAsia"/>
                <w:color w:val="auto"/>
                <w:sz w:val="21"/>
              </w:rPr>
              <w:t>每1m</w:t>
            </w:r>
          </w:p>
        </w:tc>
        <w:tc>
          <w:tcPr>
            <w:tcW w:w="799" w:type="pct"/>
            <w:tcBorders>
              <w:top w:val="single" w:color="auto" w:sz="4" w:space="0"/>
              <w:left w:val="single" w:color="auto" w:sz="4" w:space="0"/>
              <w:bottom w:val="single" w:color="auto" w:sz="4" w:space="0"/>
              <w:right w:val="single" w:color="auto" w:sz="4" w:space="0"/>
            </w:tcBorders>
            <w:vAlign w:val="center"/>
          </w:tcPr>
          <w:p w14:paraId="13B3DE41">
            <w:pPr>
              <w:spacing w:line="240" w:lineRule="auto"/>
              <w:ind w:firstLine="0" w:firstLineChars="0"/>
              <w:jc w:val="center"/>
              <w:rPr>
                <w:rFonts w:hint="eastAsia"/>
                <w:color w:val="auto"/>
                <w:sz w:val="21"/>
              </w:rPr>
            </w:pPr>
            <w:r>
              <w:rPr>
                <w:rFonts w:hint="eastAsia"/>
                <w:color w:val="auto"/>
                <w:sz w:val="21"/>
              </w:rPr>
              <w:t>≤1</w:t>
            </w:r>
          </w:p>
        </w:tc>
        <w:tc>
          <w:tcPr>
            <w:tcW w:w="0" w:type="auto"/>
            <w:vMerge w:val="continue"/>
            <w:tcBorders>
              <w:top w:val="nil"/>
              <w:left w:val="single" w:color="auto" w:sz="4" w:space="0"/>
              <w:bottom w:val="single" w:color="auto" w:sz="4" w:space="0"/>
              <w:right w:val="single" w:color="auto" w:sz="4" w:space="0"/>
            </w:tcBorders>
            <w:vAlign w:val="center"/>
          </w:tcPr>
          <w:p w14:paraId="76622E64">
            <w:pPr>
              <w:spacing w:line="240" w:lineRule="auto"/>
              <w:ind w:firstLine="0" w:firstLineChars="0"/>
              <w:jc w:val="center"/>
              <w:rPr>
                <w:color w:val="auto"/>
                <w:sz w:val="21"/>
              </w:rPr>
            </w:pPr>
          </w:p>
        </w:tc>
      </w:tr>
      <w:tr w14:paraId="09287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8984D01">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5CEF5FA">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FBF771F">
            <w:pPr>
              <w:spacing w:line="240" w:lineRule="auto"/>
              <w:ind w:firstLine="0" w:firstLineChars="0"/>
              <w:jc w:val="center"/>
              <w:rPr>
                <w:color w:val="auto"/>
                <w:sz w:val="21"/>
              </w:rPr>
            </w:pP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7F49D166">
            <w:pPr>
              <w:spacing w:line="240" w:lineRule="auto"/>
              <w:ind w:firstLine="0" w:firstLineChars="0"/>
              <w:jc w:val="center"/>
              <w:rPr>
                <w:rFonts w:hint="eastAsia"/>
                <w:color w:val="auto"/>
                <w:sz w:val="21"/>
              </w:rPr>
            </w:pPr>
            <w:r>
              <w:rPr>
                <w:rFonts w:hint="eastAsia"/>
                <w:color w:val="auto"/>
                <w:sz w:val="21"/>
              </w:rPr>
              <w:t>全长（25mm以上）</w:t>
            </w:r>
          </w:p>
        </w:tc>
        <w:tc>
          <w:tcPr>
            <w:tcW w:w="799" w:type="pct"/>
            <w:tcBorders>
              <w:top w:val="single" w:color="auto" w:sz="4" w:space="0"/>
              <w:left w:val="single" w:color="auto" w:sz="4" w:space="0"/>
              <w:bottom w:val="single" w:color="auto" w:sz="4" w:space="0"/>
              <w:right w:val="single" w:color="auto" w:sz="4" w:space="0"/>
            </w:tcBorders>
            <w:vAlign w:val="center"/>
          </w:tcPr>
          <w:p w14:paraId="4DF340E5">
            <w:pPr>
              <w:spacing w:line="240" w:lineRule="auto"/>
              <w:ind w:firstLine="0" w:firstLineChars="0"/>
              <w:jc w:val="center"/>
              <w:rPr>
                <w:rFonts w:hint="eastAsia"/>
                <w:color w:val="auto"/>
                <w:sz w:val="21"/>
              </w:rPr>
            </w:pPr>
            <w:r>
              <w:rPr>
                <w:rFonts w:hint="eastAsia"/>
                <w:color w:val="auto"/>
                <w:sz w:val="21"/>
              </w:rPr>
              <w:t>≤25</w:t>
            </w:r>
          </w:p>
        </w:tc>
        <w:tc>
          <w:tcPr>
            <w:tcW w:w="0" w:type="auto"/>
            <w:vMerge w:val="continue"/>
            <w:tcBorders>
              <w:top w:val="nil"/>
              <w:left w:val="single" w:color="auto" w:sz="4" w:space="0"/>
              <w:bottom w:val="single" w:color="auto" w:sz="4" w:space="0"/>
              <w:right w:val="single" w:color="auto" w:sz="4" w:space="0"/>
            </w:tcBorders>
            <w:vAlign w:val="center"/>
          </w:tcPr>
          <w:p w14:paraId="080D815D">
            <w:pPr>
              <w:spacing w:line="240" w:lineRule="auto"/>
              <w:ind w:firstLine="0" w:firstLineChars="0"/>
              <w:jc w:val="center"/>
              <w:rPr>
                <w:color w:val="auto"/>
                <w:sz w:val="21"/>
              </w:rPr>
            </w:pPr>
          </w:p>
        </w:tc>
      </w:tr>
      <w:tr w14:paraId="10D7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7151C19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87BEF2E">
            <w:pPr>
              <w:spacing w:line="240" w:lineRule="auto"/>
              <w:ind w:firstLine="0" w:firstLineChars="0"/>
              <w:jc w:val="center"/>
              <w:rPr>
                <w:color w:val="auto"/>
                <w:sz w:val="21"/>
              </w:rPr>
            </w:pPr>
          </w:p>
        </w:tc>
        <w:tc>
          <w:tcPr>
            <w:tcW w:w="351" w:type="pct"/>
            <w:vMerge w:val="restart"/>
            <w:tcBorders>
              <w:top w:val="nil"/>
              <w:left w:val="single" w:color="auto" w:sz="4" w:space="0"/>
              <w:bottom w:val="single" w:color="auto" w:sz="4" w:space="0"/>
              <w:right w:val="single" w:color="auto" w:sz="4" w:space="0"/>
            </w:tcBorders>
            <w:vAlign w:val="center"/>
          </w:tcPr>
          <w:p w14:paraId="75939C56">
            <w:pPr>
              <w:spacing w:line="240" w:lineRule="auto"/>
              <w:ind w:firstLine="0" w:firstLineChars="0"/>
              <w:jc w:val="center"/>
              <w:rPr>
                <w:rFonts w:hint="eastAsia"/>
                <w:color w:val="auto"/>
                <w:sz w:val="21"/>
              </w:rPr>
            </w:pPr>
            <w:r>
              <w:rPr>
                <w:rFonts w:hint="eastAsia"/>
                <w:color w:val="auto"/>
                <w:sz w:val="21"/>
              </w:rPr>
              <w:t>钢管</w:t>
            </w:r>
          </w:p>
        </w:tc>
        <w:tc>
          <w:tcPr>
            <w:tcW w:w="857" w:type="pct"/>
            <w:vMerge w:val="restart"/>
            <w:tcBorders>
              <w:top w:val="nil"/>
              <w:left w:val="single" w:color="auto" w:sz="4" w:space="0"/>
              <w:bottom w:val="single" w:color="auto" w:sz="4" w:space="0"/>
              <w:right w:val="single" w:color="auto" w:sz="4" w:space="0"/>
            </w:tcBorders>
            <w:vAlign w:val="center"/>
          </w:tcPr>
          <w:p w14:paraId="3AE18D46">
            <w:pPr>
              <w:spacing w:line="240" w:lineRule="auto"/>
              <w:ind w:firstLine="0" w:firstLineChars="0"/>
              <w:jc w:val="center"/>
              <w:rPr>
                <w:rFonts w:hint="eastAsia"/>
                <w:color w:val="auto"/>
                <w:sz w:val="21"/>
              </w:rPr>
            </w:pPr>
            <w:r>
              <w:rPr>
                <w:rFonts w:hint="eastAsia"/>
                <w:color w:val="auto"/>
                <w:sz w:val="21"/>
              </w:rPr>
              <w:t>每1m</w:t>
            </w:r>
          </w:p>
        </w:tc>
        <w:tc>
          <w:tcPr>
            <w:tcW w:w="879" w:type="pct"/>
            <w:tcBorders>
              <w:top w:val="single" w:color="auto" w:sz="4" w:space="0"/>
              <w:left w:val="single" w:color="auto" w:sz="4" w:space="0"/>
              <w:bottom w:val="single" w:color="auto" w:sz="4" w:space="0"/>
              <w:right w:val="single" w:color="auto" w:sz="4" w:space="0"/>
            </w:tcBorders>
            <w:vAlign w:val="center"/>
          </w:tcPr>
          <w:p w14:paraId="79F57DFC">
            <w:pPr>
              <w:spacing w:line="240" w:lineRule="auto"/>
              <w:ind w:firstLine="0" w:firstLineChars="0"/>
              <w:jc w:val="center"/>
              <w:rPr>
                <w:rFonts w:hint="eastAsia"/>
                <w:color w:val="auto"/>
                <w:sz w:val="21"/>
              </w:rPr>
            </w:pPr>
            <w:r>
              <w:rPr>
                <w:rFonts w:hint="eastAsia"/>
                <w:color w:val="auto"/>
                <w:sz w:val="21"/>
              </w:rPr>
              <w:t>管径小于或等于100mm</w:t>
            </w:r>
          </w:p>
        </w:tc>
        <w:tc>
          <w:tcPr>
            <w:tcW w:w="799" w:type="pct"/>
            <w:tcBorders>
              <w:top w:val="single" w:color="auto" w:sz="4" w:space="0"/>
              <w:left w:val="single" w:color="auto" w:sz="4" w:space="0"/>
              <w:bottom w:val="single" w:color="auto" w:sz="4" w:space="0"/>
              <w:right w:val="single" w:color="auto" w:sz="4" w:space="0"/>
            </w:tcBorders>
            <w:vAlign w:val="center"/>
          </w:tcPr>
          <w:p w14:paraId="59EF184B">
            <w:pPr>
              <w:spacing w:line="240" w:lineRule="auto"/>
              <w:ind w:firstLine="0" w:firstLineChars="0"/>
              <w:jc w:val="center"/>
              <w:rPr>
                <w:rFonts w:hint="eastAsia"/>
                <w:color w:val="auto"/>
                <w:sz w:val="21"/>
              </w:rPr>
            </w:pPr>
            <w:r>
              <w:rPr>
                <w:rFonts w:hint="eastAsia"/>
                <w:color w:val="auto"/>
                <w:sz w:val="21"/>
              </w:rPr>
              <w:t>1</w:t>
            </w:r>
          </w:p>
        </w:tc>
        <w:tc>
          <w:tcPr>
            <w:tcW w:w="0" w:type="auto"/>
            <w:vMerge w:val="continue"/>
            <w:tcBorders>
              <w:top w:val="nil"/>
              <w:left w:val="single" w:color="auto" w:sz="4" w:space="0"/>
              <w:bottom w:val="single" w:color="auto" w:sz="4" w:space="0"/>
              <w:right w:val="single" w:color="auto" w:sz="4" w:space="0"/>
            </w:tcBorders>
            <w:vAlign w:val="center"/>
          </w:tcPr>
          <w:p w14:paraId="4483D6E1">
            <w:pPr>
              <w:spacing w:line="240" w:lineRule="auto"/>
              <w:ind w:firstLine="0" w:firstLineChars="0"/>
              <w:jc w:val="center"/>
              <w:rPr>
                <w:color w:val="auto"/>
                <w:sz w:val="21"/>
              </w:rPr>
            </w:pPr>
          </w:p>
        </w:tc>
      </w:tr>
      <w:tr w14:paraId="132C9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D3A67C7">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4AC0C1E">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759B809">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57F602A4">
            <w:pPr>
              <w:spacing w:line="240" w:lineRule="auto"/>
              <w:ind w:firstLine="0" w:firstLineChars="0"/>
              <w:jc w:val="center"/>
              <w:rPr>
                <w:color w:val="auto"/>
                <w:sz w:val="21"/>
              </w:rPr>
            </w:pPr>
          </w:p>
        </w:tc>
        <w:tc>
          <w:tcPr>
            <w:tcW w:w="879" w:type="pct"/>
            <w:tcBorders>
              <w:top w:val="single" w:color="auto" w:sz="4" w:space="0"/>
              <w:left w:val="single" w:color="auto" w:sz="4" w:space="0"/>
              <w:bottom w:val="single" w:color="auto" w:sz="4" w:space="0"/>
              <w:right w:val="single" w:color="auto" w:sz="4" w:space="0"/>
            </w:tcBorders>
            <w:vAlign w:val="center"/>
          </w:tcPr>
          <w:p w14:paraId="13D03176">
            <w:pPr>
              <w:spacing w:line="240" w:lineRule="auto"/>
              <w:ind w:firstLine="0" w:firstLineChars="0"/>
              <w:jc w:val="center"/>
              <w:rPr>
                <w:rFonts w:hint="eastAsia"/>
                <w:color w:val="auto"/>
                <w:sz w:val="21"/>
              </w:rPr>
            </w:pPr>
            <w:r>
              <w:rPr>
                <w:rFonts w:hint="eastAsia"/>
                <w:color w:val="auto"/>
                <w:sz w:val="21"/>
              </w:rPr>
              <w:t>管径大于100mm</w:t>
            </w:r>
          </w:p>
        </w:tc>
        <w:tc>
          <w:tcPr>
            <w:tcW w:w="799" w:type="pct"/>
            <w:tcBorders>
              <w:top w:val="single" w:color="auto" w:sz="4" w:space="0"/>
              <w:left w:val="single" w:color="auto" w:sz="4" w:space="0"/>
              <w:bottom w:val="single" w:color="auto" w:sz="4" w:space="0"/>
              <w:right w:val="single" w:color="auto" w:sz="4" w:space="0"/>
            </w:tcBorders>
            <w:vAlign w:val="center"/>
          </w:tcPr>
          <w:p w14:paraId="35063437">
            <w:pPr>
              <w:spacing w:line="240" w:lineRule="auto"/>
              <w:ind w:firstLine="0" w:firstLineChars="0"/>
              <w:jc w:val="center"/>
              <w:rPr>
                <w:rFonts w:hint="eastAsia"/>
                <w:color w:val="auto"/>
                <w:sz w:val="21"/>
              </w:rPr>
            </w:pPr>
            <w:r>
              <w:rPr>
                <w:rFonts w:hint="eastAsia"/>
                <w:color w:val="auto"/>
                <w:sz w:val="21"/>
              </w:rPr>
              <w:t>1.5</w:t>
            </w:r>
          </w:p>
        </w:tc>
        <w:tc>
          <w:tcPr>
            <w:tcW w:w="0" w:type="auto"/>
            <w:vMerge w:val="continue"/>
            <w:tcBorders>
              <w:top w:val="nil"/>
              <w:left w:val="single" w:color="auto" w:sz="4" w:space="0"/>
              <w:bottom w:val="single" w:color="auto" w:sz="4" w:space="0"/>
              <w:right w:val="single" w:color="auto" w:sz="4" w:space="0"/>
            </w:tcBorders>
            <w:vAlign w:val="center"/>
          </w:tcPr>
          <w:p w14:paraId="4A0DEC3C">
            <w:pPr>
              <w:spacing w:line="240" w:lineRule="auto"/>
              <w:ind w:firstLine="0" w:firstLineChars="0"/>
              <w:jc w:val="center"/>
              <w:rPr>
                <w:color w:val="auto"/>
                <w:sz w:val="21"/>
              </w:rPr>
            </w:pPr>
          </w:p>
        </w:tc>
      </w:tr>
      <w:tr w14:paraId="7A0A8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0314580">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D440C86">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6A16664">
            <w:pPr>
              <w:spacing w:line="240" w:lineRule="auto"/>
              <w:ind w:firstLine="0" w:firstLineChars="0"/>
              <w:jc w:val="center"/>
              <w:rPr>
                <w:color w:val="auto"/>
                <w:sz w:val="21"/>
              </w:rPr>
            </w:pPr>
          </w:p>
        </w:tc>
        <w:tc>
          <w:tcPr>
            <w:tcW w:w="857" w:type="pct"/>
            <w:vMerge w:val="restart"/>
            <w:tcBorders>
              <w:top w:val="nil"/>
              <w:left w:val="single" w:color="auto" w:sz="4" w:space="0"/>
              <w:bottom w:val="single" w:color="auto" w:sz="4" w:space="0"/>
              <w:right w:val="single" w:color="auto" w:sz="4" w:space="0"/>
            </w:tcBorders>
            <w:vAlign w:val="center"/>
          </w:tcPr>
          <w:p w14:paraId="58E1F1F4">
            <w:pPr>
              <w:spacing w:line="240" w:lineRule="auto"/>
              <w:ind w:firstLine="0" w:firstLineChars="0"/>
              <w:jc w:val="center"/>
              <w:rPr>
                <w:rFonts w:hint="eastAsia"/>
                <w:color w:val="auto"/>
                <w:sz w:val="21"/>
              </w:rPr>
            </w:pPr>
            <w:r>
              <w:rPr>
                <w:rFonts w:hint="eastAsia"/>
                <w:color w:val="auto"/>
                <w:sz w:val="21"/>
              </w:rPr>
              <w:t>全长（25mm以上）</w:t>
            </w:r>
          </w:p>
        </w:tc>
        <w:tc>
          <w:tcPr>
            <w:tcW w:w="879" w:type="pct"/>
            <w:tcBorders>
              <w:top w:val="single" w:color="auto" w:sz="4" w:space="0"/>
              <w:left w:val="single" w:color="auto" w:sz="4" w:space="0"/>
              <w:bottom w:val="single" w:color="auto" w:sz="4" w:space="0"/>
              <w:right w:val="single" w:color="auto" w:sz="4" w:space="0"/>
            </w:tcBorders>
            <w:vAlign w:val="center"/>
          </w:tcPr>
          <w:p w14:paraId="6F0BFF7F">
            <w:pPr>
              <w:spacing w:line="240" w:lineRule="auto"/>
              <w:ind w:firstLine="0" w:firstLineChars="0"/>
              <w:jc w:val="center"/>
              <w:rPr>
                <w:rFonts w:hint="eastAsia"/>
                <w:color w:val="auto"/>
                <w:sz w:val="21"/>
              </w:rPr>
            </w:pPr>
            <w:r>
              <w:rPr>
                <w:rFonts w:hint="eastAsia"/>
                <w:color w:val="auto"/>
                <w:sz w:val="21"/>
              </w:rPr>
              <w:t>管径小于或等于100mm</w:t>
            </w:r>
          </w:p>
        </w:tc>
        <w:tc>
          <w:tcPr>
            <w:tcW w:w="799" w:type="pct"/>
            <w:tcBorders>
              <w:top w:val="single" w:color="auto" w:sz="4" w:space="0"/>
              <w:left w:val="single" w:color="auto" w:sz="4" w:space="0"/>
              <w:bottom w:val="single" w:color="auto" w:sz="4" w:space="0"/>
              <w:right w:val="single" w:color="auto" w:sz="4" w:space="0"/>
            </w:tcBorders>
            <w:vAlign w:val="center"/>
          </w:tcPr>
          <w:p w14:paraId="3A558D85">
            <w:pPr>
              <w:spacing w:line="240" w:lineRule="auto"/>
              <w:ind w:firstLine="0" w:firstLineChars="0"/>
              <w:jc w:val="center"/>
              <w:rPr>
                <w:rFonts w:hint="eastAsia"/>
                <w:color w:val="auto"/>
                <w:sz w:val="21"/>
              </w:rPr>
            </w:pPr>
            <w:r>
              <w:rPr>
                <w:rFonts w:hint="eastAsia"/>
                <w:color w:val="auto"/>
                <w:sz w:val="21"/>
              </w:rPr>
              <w:t>≤25</w:t>
            </w:r>
          </w:p>
        </w:tc>
        <w:tc>
          <w:tcPr>
            <w:tcW w:w="0" w:type="auto"/>
            <w:vMerge w:val="continue"/>
            <w:tcBorders>
              <w:top w:val="nil"/>
              <w:left w:val="single" w:color="auto" w:sz="4" w:space="0"/>
              <w:bottom w:val="single" w:color="auto" w:sz="4" w:space="0"/>
              <w:right w:val="single" w:color="auto" w:sz="4" w:space="0"/>
            </w:tcBorders>
            <w:vAlign w:val="center"/>
          </w:tcPr>
          <w:p w14:paraId="7F22EDD2">
            <w:pPr>
              <w:spacing w:line="240" w:lineRule="auto"/>
              <w:ind w:firstLine="0" w:firstLineChars="0"/>
              <w:jc w:val="center"/>
              <w:rPr>
                <w:color w:val="auto"/>
                <w:sz w:val="21"/>
              </w:rPr>
            </w:pPr>
          </w:p>
        </w:tc>
      </w:tr>
      <w:tr w14:paraId="2816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020C457E">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BD2AD25">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C492B07">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E047A12">
            <w:pPr>
              <w:spacing w:line="240" w:lineRule="auto"/>
              <w:ind w:firstLine="0" w:firstLineChars="0"/>
              <w:jc w:val="center"/>
              <w:rPr>
                <w:color w:val="auto"/>
                <w:sz w:val="21"/>
              </w:rPr>
            </w:pPr>
          </w:p>
        </w:tc>
        <w:tc>
          <w:tcPr>
            <w:tcW w:w="879" w:type="pct"/>
            <w:tcBorders>
              <w:top w:val="single" w:color="auto" w:sz="4" w:space="0"/>
              <w:left w:val="single" w:color="auto" w:sz="4" w:space="0"/>
              <w:bottom w:val="single" w:color="auto" w:sz="4" w:space="0"/>
              <w:right w:val="single" w:color="auto" w:sz="4" w:space="0"/>
            </w:tcBorders>
            <w:vAlign w:val="center"/>
          </w:tcPr>
          <w:p w14:paraId="7CCBC5CC">
            <w:pPr>
              <w:spacing w:line="240" w:lineRule="auto"/>
              <w:ind w:firstLine="0" w:firstLineChars="0"/>
              <w:jc w:val="center"/>
              <w:rPr>
                <w:rFonts w:hint="eastAsia"/>
                <w:color w:val="auto"/>
                <w:sz w:val="21"/>
              </w:rPr>
            </w:pPr>
            <w:r>
              <w:rPr>
                <w:rFonts w:hint="eastAsia"/>
                <w:color w:val="auto"/>
                <w:sz w:val="21"/>
              </w:rPr>
              <w:t>管径大于100mm</w:t>
            </w:r>
          </w:p>
        </w:tc>
        <w:tc>
          <w:tcPr>
            <w:tcW w:w="799" w:type="pct"/>
            <w:tcBorders>
              <w:top w:val="single" w:color="auto" w:sz="4" w:space="0"/>
              <w:left w:val="single" w:color="auto" w:sz="4" w:space="0"/>
              <w:bottom w:val="nil"/>
              <w:right w:val="single" w:color="auto" w:sz="4" w:space="0"/>
            </w:tcBorders>
            <w:vAlign w:val="center"/>
          </w:tcPr>
          <w:p w14:paraId="30702B55">
            <w:pPr>
              <w:spacing w:line="240" w:lineRule="auto"/>
              <w:ind w:firstLine="0" w:firstLineChars="0"/>
              <w:jc w:val="center"/>
              <w:rPr>
                <w:rFonts w:hint="eastAsia"/>
                <w:color w:val="auto"/>
                <w:sz w:val="21"/>
              </w:rPr>
            </w:pPr>
            <w:r>
              <w:rPr>
                <w:rFonts w:hint="eastAsia"/>
                <w:color w:val="auto"/>
                <w:sz w:val="21"/>
              </w:rPr>
              <w:t>≤308</w:t>
            </w:r>
          </w:p>
        </w:tc>
        <w:tc>
          <w:tcPr>
            <w:tcW w:w="0" w:type="auto"/>
            <w:vMerge w:val="continue"/>
            <w:tcBorders>
              <w:top w:val="nil"/>
              <w:left w:val="single" w:color="auto" w:sz="4" w:space="0"/>
              <w:bottom w:val="single" w:color="auto" w:sz="4" w:space="0"/>
              <w:right w:val="single" w:color="auto" w:sz="4" w:space="0"/>
            </w:tcBorders>
            <w:vAlign w:val="center"/>
          </w:tcPr>
          <w:p w14:paraId="5A3B180C">
            <w:pPr>
              <w:spacing w:line="240" w:lineRule="auto"/>
              <w:ind w:firstLine="0" w:firstLineChars="0"/>
              <w:jc w:val="center"/>
              <w:rPr>
                <w:color w:val="auto"/>
                <w:sz w:val="21"/>
              </w:rPr>
            </w:pPr>
          </w:p>
        </w:tc>
      </w:tr>
      <w:tr w14:paraId="67DF5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7C56C5A3">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7E8F7E6">
            <w:pPr>
              <w:spacing w:line="240" w:lineRule="auto"/>
              <w:ind w:firstLine="0" w:firstLineChars="0"/>
              <w:jc w:val="center"/>
              <w:rPr>
                <w:color w:val="auto"/>
                <w:sz w:val="21"/>
              </w:rPr>
            </w:pPr>
          </w:p>
        </w:tc>
        <w:tc>
          <w:tcPr>
            <w:tcW w:w="351" w:type="pct"/>
            <w:vMerge w:val="restart"/>
            <w:tcBorders>
              <w:top w:val="nil"/>
              <w:left w:val="single" w:color="auto" w:sz="4" w:space="0"/>
              <w:bottom w:val="single" w:color="auto" w:sz="4" w:space="0"/>
              <w:right w:val="single" w:color="auto" w:sz="4" w:space="0"/>
            </w:tcBorders>
            <w:vAlign w:val="center"/>
          </w:tcPr>
          <w:p w14:paraId="2F7B0BCC">
            <w:pPr>
              <w:spacing w:line="240" w:lineRule="auto"/>
              <w:ind w:firstLine="0" w:firstLineChars="0"/>
              <w:jc w:val="center"/>
              <w:rPr>
                <w:rFonts w:hint="eastAsia"/>
                <w:color w:val="auto"/>
                <w:sz w:val="21"/>
              </w:rPr>
            </w:pPr>
            <w:r>
              <w:rPr>
                <w:rFonts w:hint="eastAsia"/>
                <w:color w:val="auto"/>
                <w:sz w:val="21"/>
              </w:rPr>
              <w:t>塑料管</w:t>
            </w: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1E805166">
            <w:pPr>
              <w:spacing w:line="240" w:lineRule="auto"/>
              <w:ind w:firstLine="0" w:firstLineChars="0"/>
              <w:jc w:val="center"/>
              <w:rPr>
                <w:rFonts w:hint="eastAsia"/>
                <w:color w:val="auto"/>
                <w:sz w:val="21"/>
              </w:rPr>
            </w:pPr>
            <w:r>
              <w:rPr>
                <w:rFonts w:hint="eastAsia"/>
                <w:color w:val="auto"/>
                <w:sz w:val="21"/>
              </w:rPr>
              <w:t>每1m</w:t>
            </w:r>
          </w:p>
        </w:tc>
        <w:tc>
          <w:tcPr>
            <w:tcW w:w="799" w:type="pct"/>
            <w:tcBorders>
              <w:top w:val="single" w:color="auto" w:sz="4" w:space="0"/>
              <w:left w:val="single" w:color="auto" w:sz="4" w:space="0"/>
              <w:bottom w:val="single" w:color="auto" w:sz="4" w:space="0"/>
              <w:right w:val="single" w:color="auto" w:sz="4" w:space="0"/>
            </w:tcBorders>
            <w:vAlign w:val="center"/>
          </w:tcPr>
          <w:p w14:paraId="3BBF8A0D">
            <w:pPr>
              <w:spacing w:line="240" w:lineRule="auto"/>
              <w:ind w:firstLine="0" w:firstLineChars="0"/>
              <w:jc w:val="center"/>
              <w:rPr>
                <w:rFonts w:hint="eastAsia"/>
                <w:color w:val="auto"/>
                <w:sz w:val="21"/>
              </w:rPr>
            </w:pPr>
            <w:r>
              <w:rPr>
                <w:rFonts w:hint="eastAsia"/>
                <w:color w:val="auto"/>
                <w:sz w:val="21"/>
              </w:rPr>
              <w:t>1.5</w:t>
            </w:r>
          </w:p>
        </w:tc>
        <w:tc>
          <w:tcPr>
            <w:tcW w:w="0" w:type="auto"/>
            <w:vMerge w:val="continue"/>
            <w:tcBorders>
              <w:top w:val="nil"/>
              <w:left w:val="single" w:color="auto" w:sz="4" w:space="0"/>
              <w:bottom w:val="single" w:color="auto" w:sz="4" w:space="0"/>
              <w:right w:val="single" w:color="auto" w:sz="4" w:space="0"/>
            </w:tcBorders>
            <w:vAlign w:val="center"/>
          </w:tcPr>
          <w:p w14:paraId="3E1FDFF3">
            <w:pPr>
              <w:spacing w:line="240" w:lineRule="auto"/>
              <w:ind w:firstLine="0" w:firstLineChars="0"/>
              <w:jc w:val="center"/>
              <w:rPr>
                <w:color w:val="auto"/>
                <w:sz w:val="21"/>
              </w:rPr>
            </w:pPr>
          </w:p>
        </w:tc>
      </w:tr>
      <w:tr w14:paraId="49571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7DD48341">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5CBC4CD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EDDF562">
            <w:pPr>
              <w:spacing w:line="240" w:lineRule="auto"/>
              <w:ind w:firstLine="0" w:firstLineChars="0"/>
              <w:jc w:val="center"/>
              <w:rPr>
                <w:color w:val="auto"/>
                <w:sz w:val="21"/>
              </w:rPr>
            </w:pP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641B796E">
            <w:pPr>
              <w:spacing w:line="240" w:lineRule="auto"/>
              <w:ind w:firstLine="0" w:firstLineChars="0"/>
              <w:jc w:val="center"/>
              <w:rPr>
                <w:rFonts w:hint="eastAsia"/>
                <w:color w:val="auto"/>
                <w:sz w:val="21"/>
              </w:rPr>
            </w:pPr>
            <w:r>
              <w:rPr>
                <w:rFonts w:hint="eastAsia"/>
                <w:color w:val="auto"/>
                <w:sz w:val="21"/>
              </w:rPr>
              <w:t>全长（25mm以上）</w:t>
            </w:r>
          </w:p>
        </w:tc>
        <w:tc>
          <w:tcPr>
            <w:tcW w:w="799" w:type="pct"/>
            <w:tcBorders>
              <w:top w:val="single" w:color="auto" w:sz="4" w:space="0"/>
              <w:left w:val="single" w:color="auto" w:sz="4" w:space="0"/>
              <w:bottom w:val="single" w:color="auto" w:sz="4" w:space="0"/>
              <w:right w:val="single" w:color="auto" w:sz="4" w:space="0"/>
            </w:tcBorders>
            <w:vAlign w:val="center"/>
          </w:tcPr>
          <w:p w14:paraId="0D0E6015">
            <w:pPr>
              <w:spacing w:line="240" w:lineRule="auto"/>
              <w:ind w:firstLine="0" w:firstLineChars="0"/>
              <w:jc w:val="center"/>
              <w:rPr>
                <w:rFonts w:hint="eastAsia"/>
                <w:color w:val="auto"/>
                <w:sz w:val="21"/>
              </w:rPr>
            </w:pPr>
            <w:r>
              <w:rPr>
                <w:rFonts w:hint="eastAsia"/>
                <w:color w:val="auto"/>
                <w:sz w:val="21"/>
              </w:rPr>
              <w:t>≤38</w:t>
            </w:r>
          </w:p>
        </w:tc>
        <w:tc>
          <w:tcPr>
            <w:tcW w:w="0" w:type="auto"/>
            <w:vMerge w:val="continue"/>
            <w:tcBorders>
              <w:top w:val="nil"/>
              <w:left w:val="single" w:color="auto" w:sz="4" w:space="0"/>
              <w:bottom w:val="single" w:color="auto" w:sz="4" w:space="0"/>
              <w:right w:val="single" w:color="auto" w:sz="4" w:space="0"/>
            </w:tcBorders>
            <w:vAlign w:val="center"/>
          </w:tcPr>
          <w:p w14:paraId="7B88C76A">
            <w:pPr>
              <w:spacing w:line="240" w:lineRule="auto"/>
              <w:ind w:firstLine="0" w:firstLineChars="0"/>
              <w:jc w:val="center"/>
              <w:rPr>
                <w:color w:val="auto"/>
                <w:sz w:val="21"/>
              </w:rPr>
            </w:pPr>
          </w:p>
        </w:tc>
      </w:tr>
      <w:tr w14:paraId="42FD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vMerge w:val="restart"/>
            <w:tcBorders>
              <w:top w:val="nil"/>
              <w:left w:val="single" w:color="auto" w:sz="4" w:space="0"/>
              <w:bottom w:val="single" w:color="auto" w:sz="4" w:space="0"/>
              <w:right w:val="single" w:color="auto" w:sz="4" w:space="0"/>
            </w:tcBorders>
            <w:vAlign w:val="center"/>
          </w:tcPr>
          <w:p w14:paraId="2D84D344">
            <w:pPr>
              <w:spacing w:line="240" w:lineRule="auto"/>
              <w:ind w:firstLine="0" w:firstLineChars="0"/>
              <w:jc w:val="center"/>
              <w:rPr>
                <w:rFonts w:hint="eastAsia"/>
                <w:color w:val="auto"/>
                <w:sz w:val="21"/>
              </w:rPr>
            </w:pPr>
            <w:r>
              <w:rPr>
                <w:rFonts w:hint="eastAsia"/>
                <w:color w:val="auto"/>
                <w:sz w:val="21"/>
              </w:rPr>
              <w:t>4</w:t>
            </w:r>
          </w:p>
        </w:tc>
        <w:tc>
          <w:tcPr>
            <w:tcW w:w="444" w:type="pct"/>
            <w:vMerge w:val="restart"/>
            <w:tcBorders>
              <w:top w:val="nil"/>
              <w:left w:val="single" w:color="auto" w:sz="4" w:space="0"/>
              <w:bottom w:val="single" w:color="auto" w:sz="4" w:space="0"/>
              <w:right w:val="single" w:color="auto" w:sz="4" w:space="0"/>
            </w:tcBorders>
            <w:vAlign w:val="center"/>
          </w:tcPr>
          <w:p w14:paraId="5BA9A7BA">
            <w:pPr>
              <w:spacing w:line="240" w:lineRule="auto"/>
              <w:ind w:firstLine="0" w:firstLineChars="0"/>
              <w:jc w:val="center"/>
              <w:rPr>
                <w:rFonts w:hint="eastAsia"/>
                <w:color w:val="auto"/>
                <w:sz w:val="21"/>
              </w:rPr>
            </w:pPr>
            <w:r>
              <w:rPr>
                <w:rFonts w:hint="eastAsia"/>
                <w:color w:val="auto"/>
                <w:sz w:val="21"/>
              </w:rPr>
              <w:t>立管垂直度</w:t>
            </w:r>
          </w:p>
        </w:tc>
        <w:tc>
          <w:tcPr>
            <w:tcW w:w="351" w:type="pct"/>
            <w:vMerge w:val="restart"/>
            <w:tcBorders>
              <w:top w:val="nil"/>
              <w:left w:val="single" w:color="auto" w:sz="4" w:space="0"/>
              <w:bottom w:val="single" w:color="auto" w:sz="4" w:space="0"/>
              <w:right w:val="single" w:color="auto" w:sz="4" w:space="0"/>
            </w:tcBorders>
            <w:vAlign w:val="center"/>
          </w:tcPr>
          <w:p w14:paraId="1694641D">
            <w:pPr>
              <w:spacing w:line="240" w:lineRule="auto"/>
              <w:ind w:firstLine="0" w:firstLineChars="0"/>
              <w:jc w:val="center"/>
              <w:rPr>
                <w:rFonts w:hint="eastAsia"/>
                <w:color w:val="auto"/>
                <w:sz w:val="21"/>
              </w:rPr>
            </w:pPr>
            <w:r>
              <w:rPr>
                <w:rFonts w:hint="eastAsia"/>
                <w:color w:val="auto"/>
                <w:sz w:val="21"/>
              </w:rPr>
              <w:t>钢管</w:t>
            </w: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55D16255">
            <w:pPr>
              <w:spacing w:line="240" w:lineRule="auto"/>
              <w:ind w:firstLine="0" w:firstLineChars="0"/>
              <w:jc w:val="center"/>
              <w:rPr>
                <w:rFonts w:hint="eastAsia"/>
                <w:color w:val="auto"/>
                <w:sz w:val="21"/>
              </w:rPr>
            </w:pPr>
            <w:r>
              <w:rPr>
                <w:rFonts w:hint="eastAsia"/>
                <w:color w:val="auto"/>
                <w:sz w:val="21"/>
              </w:rPr>
              <w:t>每1m</w:t>
            </w:r>
          </w:p>
        </w:tc>
        <w:tc>
          <w:tcPr>
            <w:tcW w:w="799" w:type="pct"/>
            <w:tcBorders>
              <w:top w:val="single" w:color="auto" w:sz="4" w:space="0"/>
              <w:left w:val="single" w:color="auto" w:sz="4" w:space="0"/>
              <w:bottom w:val="single" w:color="auto" w:sz="4" w:space="0"/>
              <w:right w:val="single" w:color="auto" w:sz="4" w:space="0"/>
            </w:tcBorders>
            <w:vAlign w:val="center"/>
          </w:tcPr>
          <w:p w14:paraId="5CB640C0">
            <w:pPr>
              <w:spacing w:line="240" w:lineRule="auto"/>
              <w:ind w:firstLine="0" w:firstLineChars="0"/>
              <w:jc w:val="center"/>
              <w:rPr>
                <w:rFonts w:hint="eastAsia"/>
                <w:color w:val="auto"/>
                <w:sz w:val="21"/>
              </w:rPr>
            </w:pPr>
            <w:r>
              <w:rPr>
                <w:rFonts w:hint="eastAsia"/>
                <w:color w:val="auto"/>
                <w:sz w:val="21"/>
              </w:rPr>
              <w:t>3</w:t>
            </w:r>
          </w:p>
        </w:tc>
        <w:tc>
          <w:tcPr>
            <w:tcW w:w="1230" w:type="pct"/>
            <w:vMerge w:val="restart"/>
            <w:tcBorders>
              <w:top w:val="nil"/>
              <w:left w:val="single" w:color="auto" w:sz="4" w:space="0"/>
              <w:bottom w:val="single" w:color="auto" w:sz="4" w:space="0"/>
              <w:right w:val="single" w:color="auto" w:sz="4" w:space="0"/>
            </w:tcBorders>
            <w:vAlign w:val="center"/>
          </w:tcPr>
          <w:p w14:paraId="56DEF8D7">
            <w:pPr>
              <w:spacing w:line="240" w:lineRule="auto"/>
              <w:ind w:firstLine="0" w:firstLineChars="0"/>
              <w:jc w:val="center"/>
              <w:rPr>
                <w:rFonts w:hint="eastAsia"/>
                <w:color w:val="auto"/>
                <w:sz w:val="21"/>
              </w:rPr>
            </w:pPr>
            <w:r>
              <w:rPr>
                <w:rFonts w:hint="eastAsia"/>
                <w:color w:val="auto"/>
                <w:sz w:val="21"/>
              </w:rPr>
              <w:t>吊线和尺量检查</w:t>
            </w:r>
          </w:p>
        </w:tc>
      </w:tr>
      <w:tr w14:paraId="33A6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0" w:type="auto"/>
            <w:vMerge w:val="continue"/>
            <w:tcBorders>
              <w:top w:val="nil"/>
              <w:left w:val="single" w:color="auto" w:sz="4" w:space="0"/>
              <w:bottom w:val="single" w:color="auto" w:sz="4" w:space="0"/>
              <w:right w:val="single" w:color="auto" w:sz="4" w:space="0"/>
            </w:tcBorders>
            <w:vAlign w:val="center"/>
          </w:tcPr>
          <w:p w14:paraId="053EFA97">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5C2025E1">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585A1D53">
            <w:pPr>
              <w:spacing w:line="240" w:lineRule="auto"/>
              <w:ind w:firstLine="0" w:firstLineChars="0"/>
              <w:jc w:val="center"/>
              <w:rPr>
                <w:color w:val="auto"/>
                <w:sz w:val="21"/>
              </w:rPr>
            </w:pP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1423EB45">
            <w:pPr>
              <w:spacing w:line="240" w:lineRule="auto"/>
              <w:ind w:firstLine="0" w:firstLineChars="0"/>
              <w:jc w:val="center"/>
              <w:rPr>
                <w:rFonts w:hint="eastAsia"/>
                <w:color w:val="auto"/>
                <w:sz w:val="21"/>
              </w:rPr>
            </w:pPr>
            <w:r>
              <w:rPr>
                <w:rFonts w:hint="eastAsia"/>
                <w:color w:val="auto"/>
                <w:sz w:val="21"/>
              </w:rPr>
              <w:t>全长（25mm以上）</w:t>
            </w:r>
          </w:p>
        </w:tc>
        <w:tc>
          <w:tcPr>
            <w:tcW w:w="799" w:type="pct"/>
            <w:tcBorders>
              <w:top w:val="single" w:color="auto" w:sz="4" w:space="0"/>
              <w:left w:val="single" w:color="auto" w:sz="4" w:space="0"/>
              <w:bottom w:val="single" w:color="auto" w:sz="4" w:space="0"/>
              <w:right w:val="single" w:color="auto" w:sz="4" w:space="0"/>
            </w:tcBorders>
            <w:vAlign w:val="center"/>
          </w:tcPr>
          <w:p w14:paraId="4105820B">
            <w:pPr>
              <w:spacing w:line="240" w:lineRule="auto"/>
              <w:ind w:firstLine="0" w:firstLineChars="0"/>
              <w:jc w:val="center"/>
              <w:rPr>
                <w:rFonts w:hint="eastAsia"/>
                <w:color w:val="auto"/>
                <w:sz w:val="21"/>
              </w:rPr>
            </w:pPr>
            <w:r>
              <w:rPr>
                <w:rFonts w:hint="eastAsia"/>
                <w:color w:val="auto"/>
                <w:sz w:val="21"/>
              </w:rPr>
              <w:t>≤10</w:t>
            </w:r>
          </w:p>
        </w:tc>
        <w:tc>
          <w:tcPr>
            <w:tcW w:w="0" w:type="auto"/>
            <w:vMerge w:val="continue"/>
            <w:tcBorders>
              <w:top w:val="nil"/>
              <w:left w:val="single" w:color="auto" w:sz="4" w:space="0"/>
              <w:bottom w:val="single" w:color="auto" w:sz="4" w:space="0"/>
              <w:right w:val="single" w:color="auto" w:sz="4" w:space="0"/>
            </w:tcBorders>
            <w:vAlign w:val="center"/>
          </w:tcPr>
          <w:p w14:paraId="0B5AC0E2">
            <w:pPr>
              <w:rPr>
                <w:color w:val="auto"/>
              </w:rPr>
            </w:pPr>
          </w:p>
        </w:tc>
      </w:tr>
      <w:tr w14:paraId="16689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0" w:type="auto"/>
            <w:vMerge w:val="continue"/>
            <w:tcBorders>
              <w:top w:val="nil"/>
              <w:left w:val="single" w:color="auto" w:sz="4" w:space="0"/>
              <w:bottom w:val="single" w:color="auto" w:sz="4" w:space="0"/>
              <w:right w:val="single" w:color="auto" w:sz="4" w:space="0"/>
            </w:tcBorders>
            <w:vAlign w:val="center"/>
          </w:tcPr>
          <w:p w14:paraId="0DC8559F">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59897FD7">
            <w:pPr>
              <w:rPr>
                <w:color w:val="auto"/>
              </w:rPr>
            </w:pPr>
          </w:p>
        </w:tc>
        <w:tc>
          <w:tcPr>
            <w:tcW w:w="351" w:type="pct"/>
            <w:vMerge w:val="restart"/>
            <w:tcBorders>
              <w:top w:val="nil"/>
              <w:left w:val="single" w:color="auto" w:sz="4" w:space="0"/>
              <w:bottom w:val="single" w:color="auto" w:sz="4" w:space="0"/>
              <w:right w:val="single" w:color="auto" w:sz="4" w:space="0"/>
            </w:tcBorders>
            <w:vAlign w:val="center"/>
          </w:tcPr>
          <w:p w14:paraId="0AFA3519">
            <w:pPr>
              <w:spacing w:line="240" w:lineRule="auto"/>
              <w:ind w:firstLine="0" w:firstLineChars="0"/>
              <w:jc w:val="center"/>
              <w:rPr>
                <w:rFonts w:hint="eastAsia"/>
                <w:color w:val="auto"/>
                <w:sz w:val="21"/>
              </w:rPr>
            </w:pPr>
            <w:r>
              <w:rPr>
                <w:rFonts w:hint="eastAsia"/>
                <w:color w:val="auto"/>
                <w:sz w:val="21"/>
              </w:rPr>
              <w:t>塑料管</w:t>
            </w: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3BD3B954">
            <w:pPr>
              <w:spacing w:line="240" w:lineRule="auto"/>
              <w:ind w:firstLine="0" w:firstLineChars="0"/>
              <w:jc w:val="center"/>
              <w:rPr>
                <w:rFonts w:hint="eastAsia"/>
                <w:color w:val="auto"/>
                <w:sz w:val="21"/>
              </w:rPr>
            </w:pPr>
            <w:r>
              <w:rPr>
                <w:rFonts w:hint="eastAsia"/>
                <w:color w:val="auto"/>
                <w:sz w:val="21"/>
              </w:rPr>
              <w:t>每1m</w:t>
            </w:r>
          </w:p>
        </w:tc>
        <w:tc>
          <w:tcPr>
            <w:tcW w:w="799" w:type="pct"/>
            <w:tcBorders>
              <w:top w:val="single" w:color="auto" w:sz="4" w:space="0"/>
              <w:left w:val="single" w:color="auto" w:sz="4" w:space="0"/>
              <w:bottom w:val="single" w:color="auto" w:sz="4" w:space="0"/>
              <w:right w:val="single" w:color="auto" w:sz="4" w:space="0"/>
            </w:tcBorders>
            <w:vAlign w:val="center"/>
          </w:tcPr>
          <w:p w14:paraId="44799CAA">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087BF4BC">
            <w:pPr>
              <w:rPr>
                <w:color w:val="auto"/>
              </w:rPr>
            </w:pPr>
          </w:p>
        </w:tc>
      </w:tr>
      <w:tr w14:paraId="7A427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0" w:type="auto"/>
            <w:vMerge w:val="continue"/>
            <w:tcBorders>
              <w:top w:val="nil"/>
              <w:left w:val="single" w:color="auto" w:sz="4" w:space="0"/>
              <w:bottom w:val="single" w:color="auto" w:sz="4" w:space="0"/>
              <w:right w:val="single" w:color="auto" w:sz="4" w:space="0"/>
            </w:tcBorders>
            <w:vAlign w:val="center"/>
          </w:tcPr>
          <w:p w14:paraId="452936DB">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592A5430">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47EC8D1A">
            <w:pPr>
              <w:spacing w:line="240" w:lineRule="auto"/>
              <w:ind w:firstLine="0" w:firstLineChars="0"/>
              <w:jc w:val="center"/>
              <w:rPr>
                <w:color w:val="auto"/>
                <w:sz w:val="21"/>
              </w:rPr>
            </w:pPr>
          </w:p>
        </w:tc>
        <w:tc>
          <w:tcPr>
            <w:tcW w:w="1736" w:type="pct"/>
            <w:gridSpan w:val="2"/>
            <w:tcBorders>
              <w:top w:val="single" w:color="auto" w:sz="4" w:space="0"/>
              <w:left w:val="single" w:color="auto" w:sz="4" w:space="0"/>
              <w:bottom w:val="single" w:color="auto" w:sz="4" w:space="0"/>
              <w:right w:val="single" w:color="auto" w:sz="4" w:space="0"/>
            </w:tcBorders>
            <w:vAlign w:val="center"/>
          </w:tcPr>
          <w:p w14:paraId="58EE0C37">
            <w:pPr>
              <w:spacing w:line="240" w:lineRule="auto"/>
              <w:ind w:firstLine="0" w:firstLineChars="0"/>
              <w:jc w:val="center"/>
              <w:rPr>
                <w:rFonts w:hint="eastAsia"/>
                <w:color w:val="auto"/>
                <w:sz w:val="21"/>
              </w:rPr>
            </w:pPr>
            <w:r>
              <w:rPr>
                <w:rFonts w:hint="eastAsia"/>
                <w:color w:val="auto"/>
                <w:sz w:val="21"/>
              </w:rPr>
              <w:t>全长（25mm以上）</w:t>
            </w:r>
          </w:p>
        </w:tc>
        <w:tc>
          <w:tcPr>
            <w:tcW w:w="799" w:type="pct"/>
            <w:tcBorders>
              <w:top w:val="single" w:color="auto" w:sz="4" w:space="0"/>
              <w:left w:val="single" w:color="auto" w:sz="4" w:space="0"/>
              <w:bottom w:val="single" w:color="auto" w:sz="4" w:space="0"/>
              <w:right w:val="single" w:color="auto" w:sz="4" w:space="0"/>
            </w:tcBorders>
            <w:vAlign w:val="center"/>
          </w:tcPr>
          <w:p w14:paraId="3F5777CB">
            <w:pPr>
              <w:spacing w:line="240" w:lineRule="auto"/>
              <w:ind w:firstLine="0" w:firstLineChars="0"/>
              <w:jc w:val="center"/>
              <w:rPr>
                <w:rFonts w:hint="eastAsia"/>
                <w:color w:val="auto"/>
                <w:sz w:val="21"/>
              </w:rPr>
            </w:pPr>
            <w:r>
              <w:rPr>
                <w:rFonts w:hint="eastAsia"/>
                <w:color w:val="auto"/>
                <w:sz w:val="21"/>
              </w:rPr>
              <w:t>≤15</w:t>
            </w:r>
          </w:p>
        </w:tc>
        <w:tc>
          <w:tcPr>
            <w:tcW w:w="0" w:type="auto"/>
            <w:vMerge w:val="continue"/>
            <w:tcBorders>
              <w:top w:val="nil"/>
              <w:left w:val="single" w:color="auto" w:sz="4" w:space="0"/>
              <w:bottom w:val="single" w:color="auto" w:sz="4" w:space="0"/>
              <w:right w:val="single" w:color="auto" w:sz="4" w:space="0"/>
            </w:tcBorders>
            <w:vAlign w:val="center"/>
          </w:tcPr>
          <w:p w14:paraId="199B6A1C">
            <w:pPr>
              <w:rPr>
                <w:color w:val="auto"/>
              </w:rPr>
            </w:pPr>
          </w:p>
        </w:tc>
      </w:tr>
    </w:tbl>
    <w:p w14:paraId="62412972">
      <w:pPr>
        <w:rPr>
          <w:rFonts w:hint="eastAsia"/>
          <w:color w:val="auto"/>
        </w:rPr>
      </w:pPr>
      <w:r>
        <w:rPr>
          <w:rFonts w:hint="eastAsia"/>
          <w:color w:val="auto"/>
        </w:rPr>
        <w:t>（5）雨水管道及配件安装（灌水试验）</w:t>
      </w:r>
    </w:p>
    <w:p w14:paraId="78DFF1C6">
      <w:pPr>
        <w:rPr>
          <w:rFonts w:hint="eastAsia"/>
          <w:color w:val="auto"/>
        </w:rPr>
      </w:pPr>
      <w:r>
        <w:rPr>
          <w:rFonts w:hint="eastAsia"/>
          <w:color w:val="auto"/>
        </w:rPr>
        <w:t>1）主控项目：</w:t>
      </w:r>
    </w:p>
    <w:p w14:paraId="424B2055">
      <w:pPr>
        <w:rPr>
          <w:rFonts w:hint="eastAsia"/>
          <w:color w:val="auto"/>
        </w:rPr>
      </w:pPr>
      <w:r>
        <w:rPr>
          <w:rFonts w:hint="eastAsia"/>
          <w:color w:val="auto"/>
        </w:rPr>
        <w:t>安装在室内的雨水管道安装后应做灌水试验，灌水高度必须到每根立管的雨水斗。</w:t>
      </w:r>
    </w:p>
    <w:p w14:paraId="572429D4">
      <w:pPr>
        <w:rPr>
          <w:rFonts w:hint="eastAsia"/>
          <w:color w:val="auto"/>
        </w:rPr>
      </w:pPr>
      <w:r>
        <w:rPr>
          <w:rFonts w:hint="eastAsia"/>
          <w:color w:val="auto"/>
        </w:rPr>
        <w:t>检验方法：灌水试验持续1h，不渗不漏。</w:t>
      </w:r>
    </w:p>
    <w:p w14:paraId="216598C3">
      <w:pPr>
        <w:rPr>
          <w:rFonts w:hint="eastAsia"/>
          <w:color w:val="auto"/>
        </w:rPr>
      </w:pPr>
      <w:r>
        <w:rPr>
          <w:rFonts w:hint="eastAsia"/>
          <w:color w:val="auto"/>
        </w:rPr>
        <w:t>雨水管道如采用塑料管，其伸缩节安装应符合设计要求。</w:t>
      </w:r>
    </w:p>
    <w:p w14:paraId="51A23626">
      <w:pPr>
        <w:rPr>
          <w:rFonts w:hint="eastAsia"/>
          <w:color w:val="auto"/>
        </w:rPr>
      </w:pPr>
      <w:r>
        <w:rPr>
          <w:rFonts w:hint="eastAsia"/>
          <w:color w:val="auto"/>
        </w:rPr>
        <w:t>检验方法：对照图纸检查。</w:t>
      </w:r>
    </w:p>
    <w:p w14:paraId="57042A51">
      <w:pPr>
        <w:rPr>
          <w:rFonts w:hint="eastAsia"/>
          <w:color w:val="auto"/>
        </w:rPr>
      </w:pPr>
      <w:r>
        <w:rPr>
          <w:rFonts w:hint="eastAsia"/>
          <w:color w:val="auto"/>
        </w:rPr>
        <w:t>悬吊式雨水管道的敷设坡度不得小于5‰；埋地雨水管道的最小坡度应符合下表中的要求。</w:t>
      </w:r>
    </w:p>
    <w:p w14:paraId="55D84F73">
      <w:pPr>
        <w:pStyle w:val="54"/>
        <w:rPr>
          <w:rFonts w:hint="eastAsia"/>
          <w:color w:val="auto"/>
        </w:rPr>
      </w:pPr>
      <w:r>
        <w:rPr>
          <w:rFonts w:hint="eastAsia"/>
          <w:color w:val="auto"/>
        </w:rPr>
        <w:t>插表 地下埋设雨水排水管道的最小坡度</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3405"/>
        <w:gridCol w:w="4137"/>
      </w:tblGrid>
      <w:tr w14:paraId="398A0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666CC970">
            <w:pPr>
              <w:spacing w:line="240" w:lineRule="auto"/>
              <w:ind w:firstLine="0" w:firstLineChars="0"/>
              <w:jc w:val="center"/>
              <w:rPr>
                <w:rFonts w:hint="eastAsia"/>
                <w:color w:val="auto"/>
                <w:sz w:val="21"/>
              </w:rPr>
            </w:pPr>
            <w:r>
              <w:rPr>
                <w:rFonts w:hint="eastAsia"/>
                <w:color w:val="auto"/>
                <w:sz w:val="21"/>
              </w:rPr>
              <w:t>项次</w:t>
            </w:r>
          </w:p>
        </w:tc>
        <w:tc>
          <w:tcPr>
            <w:tcW w:w="1879" w:type="pct"/>
            <w:tcBorders>
              <w:top w:val="single" w:color="auto" w:sz="4" w:space="0"/>
              <w:left w:val="single" w:color="auto" w:sz="4" w:space="0"/>
              <w:bottom w:val="single" w:color="auto" w:sz="4" w:space="0"/>
              <w:right w:val="single" w:color="auto" w:sz="4" w:space="0"/>
            </w:tcBorders>
            <w:vAlign w:val="center"/>
          </w:tcPr>
          <w:p w14:paraId="7678C5A5">
            <w:pPr>
              <w:spacing w:line="240" w:lineRule="auto"/>
              <w:ind w:firstLine="0" w:firstLineChars="0"/>
              <w:jc w:val="center"/>
              <w:rPr>
                <w:rFonts w:hint="eastAsia"/>
                <w:color w:val="auto"/>
                <w:sz w:val="21"/>
              </w:rPr>
            </w:pPr>
            <w:r>
              <w:rPr>
                <w:rFonts w:hint="eastAsia"/>
                <w:color w:val="auto"/>
                <w:sz w:val="21"/>
              </w:rPr>
              <w:t>管径（mm）</w:t>
            </w:r>
          </w:p>
        </w:tc>
        <w:tc>
          <w:tcPr>
            <w:tcW w:w="2283" w:type="pct"/>
            <w:tcBorders>
              <w:top w:val="single" w:color="auto" w:sz="4" w:space="0"/>
              <w:left w:val="single" w:color="auto" w:sz="4" w:space="0"/>
              <w:bottom w:val="single" w:color="auto" w:sz="4" w:space="0"/>
              <w:right w:val="single" w:color="auto" w:sz="4" w:space="0"/>
            </w:tcBorders>
            <w:vAlign w:val="center"/>
          </w:tcPr>
          <w:p w14:paraId="124343BB">
            <w:pPr>
              <w:spacing w:line="240" w:lineRule="auto"/>
              <w:ind w:firstLine="0" w:firstLineChars="0"/>
              <w:jc w:val="center"/>
              <w:rPr>
                <w:rFonts w:hint="eastAsia"/>
                <w:color w:val="auto"/>
                <w:sz w:val="21"/>
              </w:rPr>
            </w:pPr>
            <w:r>
              <w:rPr>
                <w:rFonts w:hint="eastAsia"/>
                <w:color w:val="auto"/>
                <w:sz w:val="21"/>
              </w:rPr>
              <w:t>最小坡度（‰）</w:t>
            </w:r>
          </w:p>
        </w:tc>
      </w:tr>
      <w:tr w14:paraId="2974B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7F84EABF">
            <w:pPr>
              <w:spacing w:line="240" w:lineRule="auto"/>
              <w:ind w:firstLine="0" w:firstLineChars="0"/>
              <w:jc w:val="center"/>
              <w:rPr>
                <w:rFonts w:hint="eastAsia"/>
                <w:color w:val="auto"/>
                <w:sz w:val="21"/>
              </w:rPr>
            </w:pPr>
            <w:r>
              <w:rPr>
                <w:rFonts w:hint="eastAsia"/>
                <w:color w:val="auto"/>
                <w:sz w:val="21"/>
              </w:rPr>
              <w:t>1</w:t>
            </w:r>
          </w:p>
        </w:tc>
        <w:tc>
          <w:tcPr>
            <w:tcW w:w="1879" w:type="pct"/>
            <w:tcBorders>
              <w:top w:val="single" w:color="auto" w:sz="4" w:space="0"/>
              <w:left w:val="single" w:color="auto" w:sz="4" w:space="0"/>
              <w:bottom w:val="single" w:color="auto" w:sz="4" w:space="0"/>
              <w:right w:val="single" w:color="auto" w:sz="4" w:space="0"/>
            </w:tcBorders>
            <w:vAlign w:val="center"/>
          </w:tcPr>
          <w:p w14:paraId="292E9740">
            <w:pPr>
              <w:spacing w:line="240" w:lineRule="auto"/>
              <w:ind w:firstLine="0" w:firstLineChars="0"/>
              <w:jc w:val="center"/>
              <w:rPr>
                <w:rFonts w:hint="eastAsia"/>
                <w:color w:val="auto"/>
                <w:sz w:val="21"/>
              </w:rPr>
            </w:pPr>
            <w:r>
              <w:rPr>
                <w:rFonts w:hint="eastAsia"/>
                <w:color w:val="auto"/>
                <w:sz w:val="21"/>
              </w:rPr>
              <w:t>50</w:t>
            </w:r>
          </w:p>
        </w:tc>
        <w:tc>
          <w:tcPr>
            <w:tcW w:w="2283" w:type="pct"/>
            <w:tcBorders>
              <w:top w:val="single" w:color="auto" w:sz="4" w:space="0"/>
              <w:left w:val="single" w:color="auto" w:sz="4" w:space="0"/>
              <w:bottom w:val="single" w:color="auto" w:sz="4" w:space="0"/>
              <w:right w:val="single" w:color="auto" w:sz="4" w:space="0"/>
            </w:tcBorders>
            <w:vAlign w:val="center"/>
          </w:tcPr>
          <w:p w14:paraId="7B6D4172">
            <w:pPr>
              <w:spacing w:line="240" w:lineRule="auto"/>
              <w:ind w:firstLine="0" w:firstLineChars="0"/>
              <w:jc w:val="center"/>
              <w:rPr>
                <w:rFonts w:hint="eastAsia"/>
                <w:color w:val="auto"/>
                <w:sz w:val="21"/>
              </w:rPr>
            </w:pPr>
            <w:r>
              <w:rPr>
                <w:rFonts w:hint="eastAsia"/>
                <w:color w:val="auto"/>
                <w:sz w:val="21"/>
              </w:rPr>
              <w:t>20</w:t>
            </w:r>
          </w:p>
        </w:tc>
      </w:tr>
      <w:tr w14:paraId="4B5AE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7CEC8974">
            <w:pPr>
              <w:spacing w:line="240" w:lineRule="auto"/>
              <w:ind w:firstLine="0" w:firstLineChars="0"/>
              <w:jc w:val="center"/>
              <w:rPr>
                <w:rFonts w:hint="eastAsia"/>
                <w:color w:val="auto"/>
                <w:sz w:val="21"/>
              </w:rPr>
            </w:pPr>
            <w:r>
              <w:rPr>
                <w:rFonts w:hint="eastAsia"/>
                <w:color w:val="auto"/>
                <w:sz w:val="21"/>
              </w:rPr>
              <w:t>2</w:t>
            </w:r>
          </w:p>
        </w:tc>
        <w:tc>
          <w:tcPr>
            <w:tcW w:w="1879" w:type="pct"/>
            <w:tcBorders>
              <w:top w:val="single" w:color="auto" w:sz="4" w:space="0"/>
              <w:left w:val="single" w:color="auto" w:sz="4" w:space="0"/>
              <w:bottom w:val="single" w:color="auto" w:sz="4" w:space="0"/>
              <w:right w:val="single" w:color="auto" w:sz="4" w:space="0"/>
            </w:tcBorders>
            <w:vAlign w:val="center"/>
          </w:tcPr>
          <w:p w14:paraId="19623342">
            <w:pPr>
              <w:spacing w:line="240" w:lineRule="auto"/>
              <w:ind w:firstLine="0" w:firstLineChars="0"/>
              <w:jc w:val="center"/>
              <w:rPr>
                <w:rFonts w:hint="eastAsia"/>
                <w:color w:val="auto"/>
                <w:sz w:val="21"/>
              </w:rPr>
            </w:pPr>
            <w:r>
              <w:rPr>
                <w:rFonts w:hint="eastAsia"/>
                <w:color w:val="auto"/>
                <w:sz w:val="21"/>
              </w:rPr>
              <w:t>75</w:t>
            </w:r>
          </w:p>
        </w:tc>
        <w:tc>
          <w:tcPr>
            <w:tcW w:w="2283" w:type="pct"/>
            <w:tcBorders>
              <w:top w:val="single" w:color="auto" w:sz="4" w:space="0"/>
              <w:left w:val="single" w:color="auto" w:sz="4" w:space="0"/>
              <w:bottom w:val="single" w:color="auto" w:sz="4" w:space="0"/>
              <w:right w:val="single" w:color="auto" w:sz="4" w:space="0"/>
            </w:tcBorders>
            <w:vAlign w:val="center"/>
          </w:tcPr>
          <w:p w14:paraId="6755383A">
            <w:pPr>
              <w:spacing w:line="240" w:lineRule="auto"/>
              <w:ind w:firstLine="0" w:firstLineChars="0"/>
              <w:jc w:val="center"/>
              <w:rPr>
                <w:rFonts w:hint="eastAsia"/>
                <w:color w:val="auto"/>
                <w:sz w:val="21"/>
              </w:rPr>
            </w:pPr>
            <w:r>
              <w:rPr>
                <w:rFonts w:hint="eastAsia"/>
                <w:color w:val="auto"/>
                <w:sz w:val="21"/>
              </w:rPr>
              <w:t>15</w:t>
            </w:r>
          </w:p>
        </w:tc>
      </w:tr>
      <w:tr w14:paraId="79C8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7A4F6456">
            <w:pPr>
              <w:spacing w:line="240" w:lineRule="auto"/>
              <w:ind w:firstLine="0" w:firstLineChars="0"/>
              <w:jc w:val="center"/>
              <w:rPr>
                <w:rFonts w:hint="eastAsia"/>
                <w:color w:val="auto"/>
                <w:sz w:val="21"/>
              </w:rPr>
            </w:pPr>
            <w:r>
              <w:rPr>
                <w:rFonts w:hint="eastAsia"/>
                <w:color w:val="auto"/>
                <w:sz w:val="21"/>
              </w:rPr>
              <w:t>3</w:t>
            </w:r>
          </w:p>
        </w:tc>
        <w:tc>
          <w:tcPr>
            <w:tcW w:w="1879" w:type="pct"/>
            <w:tcBorders>
              <w:top w:val="single" w:color="auto" w:sz="4" w:space="0"/>
              <w:left w:val="single" w:color="auto" w:sz="4" w:space="0"/>
              <w:bottom w:val="single" w:color="auto" w:sz="4" w:space="0"/>
              <w:right w:val="single" w:color="auto" w:sz="4" w:space="0"/>
            </w:tcBorders>
            <w:vAlign w:val="center"/>
          </w:tcPr>
          <w:p w14:paraId="52C9399E">
            <w:pPr>
              <w:spacing w:line="240" w:lineRule="auto"/>
              <w:ind w:firstLine="0" w:firstLineChars="0"/>
              <w:jc w:val="center"/>
              <w:rPr>
                <w:rFonts w:hint="eastAsia"/>
                <w:color w:val="auto"/>
                <w:sz w:val="21"/>
              </w:rPr>
            </w:pPr>
            <w:r>
              <w:rPr>
                <w:rFonts w:hint="eastAsia"/>
                <w:color w:val="auto"/>
                <w:sz w:val="21"/>
              </w:rPr>
              <w:t>100</w:t>
            </w:r>
          </w:p>
        </w:tc>
        <w:tc>
          <w:tcPr>
            <w:tcW w:w="2283" w:type="pct"/>
            <w:tcBorders>
              <w:top w:val="single" w:color="auto" w:sz="4" w:space="0"/>
              <w:left w:val="single" w:color="auto" w:sz="4" w:space="0"/>
              <w:bottom w:val="single" w:color="auto" w:sz="4" w:space="0"/>
              <w:right w:val="single" w:color="auto" w:sz="4" w:space="0"/>
            </w:tcBorders>
            <w:vAlign w:val="center"/>
          </w:tcPr>
          <w:p w14:paraId="0CB43E57">
            <w:pPr>
              <w:spacing w:line="240" w:lineRule="auto"/>
              <w:ind w:firstLine="0" w:firstLineChars="0"/>
              <w:jc w:val="center"/>
              <w:rPr>
                <w:rFonts w:hint="eastAsia"/>
                <w:color w:val="auto"/>
                <w:sz w:val="21"/>
              </w:rPr>
            </w:pPr>
            <w:r>
              <w:rPr>
                <w:rFonts w:hint="eastAsia"/>
                <w:color w:val="auto"/>
                <w:sz w:val="21"/>
              </w:rPr>
              <w:t>8</w:t>
            </w:r>
          </w:p>
        </w:tc>
      </w:tr>
      <w:tr w14:paraId="44604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120776B6">
            <w:pPr>
              <w:spacing w:line="240" w:lineRule="auto"/>
              <w:ind w:firstLine="0" w:firstLineChars="0"/>
              <w:jc w:val="center"/>
              <w:rPr>
                <w:rFonts w:hint="eastAsia"/>
                <w:color w:val="auto"/>
                <w:sz w:val="21"/>
              </w:rPr>
            </w:pPr>
            <w:r>
              <w:rPr>
                <w:rFonts w:hint="eastAsia"/>
                <w:color w:val="auto"/>
                <w:sz w:val="21"/>
              </w:rPr>
              <w:t>4</w:t>
            </w:r>
          </w:p>
        </w:tc>
        <w:tc>
          <w:tcPr>
            <w:tcW w:w="1879" w:type="pct"/>
            <w:tcBorders>
              <w:top w:val="single" w:color="auto" w:sz="4" w:space="0"/>
              <w:left w:val="single" w:color="auto" w:sz="4" w:space="0"/>
              <w:bottom w:val="single" w:color="auto" w:sz="4" w:space="0"/>
              <w:right w:val="single" w:color="auto" w:sz="4" w:space="0"/>
            </w:tcBorders>
            <w:vAlign w:val="center"/>
          </w:tcPr>
          <w:p w14:paraId="4361D68B">
            <w:pPr>
              <w:spacing w:line="240" w:lineRule="auto"/>
              <w:ind w:firstLine="0" w:firstLineChars="0"/>
              <w:jc w:val="center"/>
              <w:rPr>
                <w:rFonts w:hint="eastAsia"/>
                <w:color w:val="auto"/>
                <w:sz w:val="21"/>
              </w:rPr>
            </w:pPr>
            <w:r>
              <w:rPr>
                <w:rFonts w:hint="eastAsia"/>
                <w:color w:val="auto"/>
                <w:sz w:val="21"/>
              </w:rPr>
              <w:t>125</w:t>
            </w:r>
          </w:p>
        </w:tc>
        <w:tc>
          <w:tcPr>
            <w:tcW w:w="2283" w:type="pct"/>
            <w:tcBorders>
              <w:top w:val="single" w:color="auto" w:sz="4" w:space="0"/>
              <w:left w:val="single" w:color="auto" w:sz="4" w:space="0"/>
              <w:bottom w:val="single" w:color="auto" w:sz="4" w:space="0"/>
              <w:right w:val="single" w:color="auto" w:sz="4" w:space="0"/>
            </w:tcBorders>
            <w:vAlign w:val="center"/>
          </w:tcPr>
          <w:p w14:paraId="1B7075B4">
            <w:pPr>
              <w:spacing w:line="240" w:lineRule="auto"/>
              <w:ind w:firstLine="0" w:firstLineChars="0"/>
              <w:jc w:val="center"/>
              <w:rPr>
                <w:rFonts w:hint="eastAsia"/>
                <w:color w:val="auto"/>
                <w:sz w:val="21"/>
              </w:rPr>
            </w:pPr>
            <w:r>
              <w:rPr>
                <w:rFonts w:hint="eastAsia"/>
                <w:color w:val="auto"/>
                <w:sz w:val="21"/>
              </w:rPr>
              <w:t>6</w:t>
            </w:r>
          </w:p>
        </w:tc>
      </w:tr>
      <w:tr w14:paraId="26621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3BA0CEBB">
            <w:pPr>
              <w:spacing w:line="240" w:lineRule="auto"/>
              <w:ind w:firstLine="0" w:firstLineChars="0"/>
              <w:jc w:val="center"/>
              <w:rPr>
                <w:rFonts w:hint="eastAsia"/>
                <w:color w:val="auto"/>
                <w:sz w:val="21"/>
              </w:rPr>
            </w:pPr>
            <w:r>
              <w:rPr>
                <w:rFonts w:hint="eastAsia"/>
                <w:color w:val="auto"/>
                <w:sz w:val="21"/>
              </w:rPr>
              <w:t>5</w:t>
            </w:r>
          </w:p>
        </w:tc>
        <w:tc>
          <w:tcPr>
            <w:tcW w:w="1879" w:type="pct"/>
            <w:tcBorders>
              <w:top w:val="single" w:color="auto" w:sz="4" w:space="0"/>
              <w:left w:val="single" w:color="auto" w:sz="4" w:space="0"/>
              <w:bottom w:val="single" w:color="auto" w:sz="4" w:space="0"/>
              <w:right w:val="single" w:color="auto" w:sz="4" w:space="0"/>
            </w:tcBorders>
            <w:vAlign w:val="center"/>
          </w:tcPr>
          <w:p w14:paraId="2327B2A1">
            <w:pPr>
              <w:spacing w:line="240" w:lineRule="auto"/>
              <w:ind w:firstLine="0" w:firstLineChars="0"/>
              <w:jc w:val="center"/>
              <w:rPr>
                <w:rFonts w:hint="eastAsia"/>
                <w:color w:val="auto"/>
                <w:sz w:val="21"/>
              </w:rPr>
            </w:pPr>
            <w:r>
              <w:rPr>
                <w:rFonts w:hint="eastAsia"/>
                <w:color w:val="auto"/>
                <w:sz w:val="21"/>
              </w:rPr>
              <w:t>150</w:t>
            </w:r>
          </w:p>
        </w:tc>
        <w:tc>
          <w:tcPr>
            <w:tcW w:w="2283" w:type="pct"/>
            <w:tcBorders>
              <w:top w:val="single" w:color="auto" w:sz="4" w:space="0"/>
              <w:left w:val="single" w:color="auto" w:sz="4" w:space="0"/>
              <w:bottom w:val="single" w:color="auto" w:sz="4" w:space="0"/>
              <w:right w:val="single" w:color="auto" w:sz="4" w:space="0"/>
            </w:tcBorders>
            <w:vAlign w:val="center"/>
          </w:tcPr>
          <w:p w14:paraId="44FC8409">
            <w:pPr>
              <w:spacing w:line="240" w:lineRule="auto"/>
              <w:ind w:firstLine="0" w:firstLineChars="0"/>
              <w:jc w:val="center"/>
              <w:rPr>
                <w:rFonts w:hint="eastAsia"/>
                <w:color w:val="auto"/>
                <w:sz w:val="21"/>
              </w:rPr>
            </w:pPr>
            <w:r>
              <w:rPr>
                <w:rFonts w:hint="eastAsia"/>
                <w:color w:val="auto"/>
                <w:sz w:val="21"/>
              </w:rPr>
              <w:t>5</w:t>
            </w:r>
          </w:p>
        </w:tc>
      </w:tr>
      <w:tr w14:paraId="64DB2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38" w:type="pct"/>
            <w:tcBorders>
              <w:top w:val="single" w:color="auto" w:sz="4" w:space="0"/>
              <w:left w:val="single" w:color="auto" w:sz="4" w:space="0"/>
              <w:bottom w:val="single" w:color="auto" w:sz="4" w:space="0"/>
              <w:right w:val="single" w:color="auto" w:sz="4" w:space="0"/>
            </w:tcBorders>
            <w:vAlign w:val="center"/>
          </w:tcPr>
          <w:p w14:paraId="1BA34FF4">
            <w:pPr>
              <w:spacing w:line="240" w:lineRule="auto"/>
              <w:ind w:firstLine="0" w:firstLineChars="0"/>
              <w:jc w:val="center"/>
              <w:rPr>
                <w:rFonts w:hint="eastAsia"/>
                <w:color w:val="auto"/>
                <w:sz w:val="21"/>
              </w:rPr>
            </w:pPr>
            <w:r>
              <w:rPr>
                <w:rFonts w:hint="eastAsia"/>
                <w:color w:val="auto"/>
                <w:sz w:val="21"/>
              </w:rPr>
              <w:t>6</w:t>
            </w:r>
          </w:p>
        </w:tc>
        <w:tc>
          <w:tcPr>
            <w:tcW w:w="1879" w:type="pct"/>
            <w:tcBorders>
              <w:top w:val="single" w:color="auto" w:sz="4" w:space="0"/>
              <w:left w:val="single" w:color="auto" w:sz="4" w:space="0"/>
              <w:bottom w:val="single" w:color="auto" w:sz="4" w:space="0"/>
              <w:right w:val="single" w:color="auto" w:sz="4" w:space="0"/>
            </w:tcBorders>
            <w:vAlign w:val="center"/>
          </w:tcPr>
          <w:p w14:paraId="633F09D9">
            <w:pPr>
              <w:spacing w:line="240" w:lineRule="auto"/>
              <w:ind w:firstLine="0" w:firstLineChars="0"/>
              <w:jc w:val="center"/>
              <w:rPr>
                <w:rFonts w:hint="eastAsia"/>
                <w:color w:val="auto"/>
                <w:sz w:val="21"/>
              </w:rPr>
            </w:pPr>
            <w:r>
              <w:rPr>
                <w:rFonts w:hint="eastAsia"/>
                <w:color w:val="auto"/>
                <w:sz w:val="21"/>
              </w:rPr>
              <w:t>200～400</w:t>
            </w:r>
          </w:p>
        </w:tc>
        <w:tc>
          <w:tcPr>
            <w:tcW w:w="2283" w:type="pct"/>
            <w:tcBorders>
              <w:top w:val="single" w:color="auto" w:sz="4" w:space="0"/>
              <w:left w:val="single" w:color="auto" w:sz="4" w:space="0"/>
              <w:bottom w:val="single" w:color="auto" w:sz="4" w:space="0"/>
              <w:right w:val="single" w:color="auto" w:sz="4" w:space="0"/>
            </w:tcBorders>
            <w:vAlign w:val="center"/>
          </w:tcPr>
          <w:p w14:paraId="0469AB3E">
            <w:pPr>
              <w:spacing w:line="240" w:lineRule="auto"/>
              <w:ind w:firstLine="0" w:firstLineChars="0"/>
              <w:jc w:val="center"/>
              <w:rPr>
                <w:rFonts w:hint="eastAsia"/>
                <w:color w:val="auto"/>
                <w:sz w:val="21"/>
              </w:rPr>
            </w:pPr>
            <w:r>
              <w:rPr>
                <w:rFonts w:hint="eastAsia"/>
                <w:color w:val="auto"/>
                <w:sz w:val="21"/>
              </w:rPr>
              <w:t>4</w:t>
            </w:r>
          </w:p>
        </w:tc>
      </w:tr>
    </w:tbl>
    <w:p w14:paraId="45B7D1E1">
      <w:pPr>
        <w:rPr>
          <w:rFonts w:hint="eastAsia"/>
          <w:color w:val="auto"/>
        </w:rPr>
      </w:pPr>
      <w:r>
        <w:rPr>
          <w:rFonts w:hint="eastAsia"/>
          <w:color w:val="auto"/>
        </w:rPr>
        <w:t>检验方法：水平尺、拉线尺量检查。</w:t>
      </w:r>
    </w:p>
    <w:p w14:paraId="37FB7271">
      <w:pPr>
        <w:rPr>
          <w:rFonts w:hint="eastAsia"/>
          <w:color w:val="auto"/>
        </w:rPr>
      </w:pPr>
      <w:r>
        <w:rPr>
          <w:rFonts w:hint="eastAsia"/>
          <w:color w:val="auto"/>
        </w:rPr>
        <w:t>2）一般项目：</w:t>
      </w:r>
    </w:p>
    <w:p w14:paraId="44621A63">
      <w:pPr>
        <w:rPr>
          <w:rFonts w:hint="eastAsia"/>
          <w:color w:val="auto"/>
        </w:rPr>
      </w:pPr>
      <w:r>
        <w:rPr>
          <w:rFonts w:hint="eastAsia"/>
          <w:color w:val="auto"/>
        </w:rPr>
        <w:t>雨水管道不得与生活污水管道相连接。</w:t>
      </w:r>
    </w:p>
    <w:p w14:paraId="029B30CB">
      <w:pPr>
        <w:rPr>
          <w:rFonts w:hint="eastAsia"/>
          <w:color w:val="auto"/>
        </w:rPr>
      </w:pPr>
      <w:r>
        <w:rPr>
          <w:rFonts w:hint="eastAsia"/>
          <w:color w:val="auto"/>
        </w:rPr>
        <w:t>检验方法：观察检查。</w:t>
      </w:r>
    </w:p>
    <w:p w14:paraId="16AB93A5">
      <w:pPr>
        <w:rPr>
          <w:rFonts w:hint="eastAsia"/>
          <w:color w:val="auto"/>
        </w:rPr>
      </w:pPr>
      <w:r>
        <w:rPr>
          <w:rFonts w:hint="eastAsia"/>
          <w:color w:val="auto"/>
        </w:rPr>
        <w:t>雨水斗管的连接应固定在屋面承重结构上。雨水斗边缘与屋面相连处应严密不漏。连接管管径当设计无要求时，不得小于100mm。</w:t>
      </w:r>
    </w:p>
    <w:p w14:paraId="4F4BE7C0">
      <w:pPr>
        <w:rPr>
          <w:rFonts w:hint="eastAsia"/>
          <w:color w:val="auto"/>
        </w:rPr>
      </w:pPr>
      <w:r>
        <w:rPr>
          <w:rFonts w:hint="eastAsia"/>
          <w:color w:val="auto"/>
        </w:rPr>
        <w:t>检验方法：观察和尺量检查。</w:t>
      </w:r>
    </w:p>
    <w:p w14:paraId="2E06942E">
      <w:pPr>
        <w:rPr>
          <w:rFonts w:hint="eastAsia"/>
          <w:color w:val="auto"/>
        </w:rPr>
      </w:pPr>
      <w:r>
        <w:rPr>
          <w:rFonts w:hint="eastAsia"/>
          <w:color w:val="auto"/>
        </w:rPr>
        <w:t>悬吊式雨水管道的检查口或带法兰堵口的三通的间距不得大于下表规定。</w:t>
      </w:r>
    </w:p>
    <w:p w14:paraId="4D6F83F9">
      <w:pPr>
        <w:ind w:firstLine="482"/>
        <w:jc w:val="center"/>
        <w:rPr>
          <w:rFonts w:hint="eastAsia"/>
          <w:b/>
          <w:bCs/>
          <w:color w:val="auto"/>
        </w:rPr>
      </w:pPr>
      <w:r>
        <w:rPr>
          <w:rFonts w:hint="eastAsia"/>
          <w:b/>
          <w:bCs/>
          <w:color w:val="auto"/>
        </w:rPr>
        <w:t>插表 悬吊管检查口间距</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5"/>
        <w:gridCol w:w="4079"/>
        <w:gridCol w:w="3736"/>
      </w:tblGrid>
      <w:tr w14:paraId="03F49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687" w:type="pct"/>
            <w:tcBorders>
              <w:top w:val="single" w:color="auto" w:sz="4" w:space="0"/>
              <w:left w:val="single" w:color="auto" w:sz="4" w:space="0"/>
              <w:bottom w:val="single" w:color="auto" w:sz="4" w:space="0"/>
              <w:right w:val="single" w:color="auto" w:sz="4" w:space="0"/>
            </w:tcBorders>
            <w:vAlign w:val="center"/>
          </w:tcPr>
          <w:p w14:paraId="4A26CA70">
            <w:pPr>
              <w:spacing w:line="240" w:lineRule="auto"/>
              <w:ind w:firstLine="0" w:firstLineChars="0"/>
              <w:jc w:val="center"/>
              <w:rPr>
                <w:rFonts w:hint="eastAsia"/>
                <w:color w:val="auto"/>
                <w:sz w:val="21"/>
              </w:rPr>
            </w:pPr>
            <w:r>
              <w:rPr>
                <w:rFonts w:hint="eastAsia"/>
                <w:color w:val="auto"/>
                <w:sz w:val="21"/>
              </w:rPr>
              <w:t>项次</w:t>
            </w:r>
          </w:p>
        </w:tc>
        <w:tc>
          <w:tcPr>
            <w:tcW w:w="2251" w:type="pct"/>
            <w:tcBorders>
              <w:top w:val="single" w:color="auto" w:sz="4" w:space="0"/>
              <w:left w:val="single" w:color="auto" w:sz="4" w:space="0"/>
              <w:bottom w:val="single" w:color="auto" w:sz="4" w:space="0"/>
              <w:right w:val="single" w:color="auto" w:sz="4" w:space="0"/>
            </w:tcBorders>
            <w:vAlign w:val="center"/>
          </w:tcPr>
          <w:p w14:paraId="4D310281">
            <w:pPr>
              <w:spacing w:line="240" w:lineRule="auto"/>
              <w:ind w:firstLine="0" w:firstLineChars="0"/>
              <w:jc w:val="center"/>
              <w:rPr>
                <w:rFonts w:hint="eastAsia"/>
                <w:color w:val="auto"/>
                <w:sz w:val="21"/>
              </w:rPr>
            </w:pPr>
            <w:r>
              <w:rPr>
                <w:rFonts w:hint="eastAsia"/>
                <w:color w:val="auto"/>
                <w:sz w:val="21"/>
              </w:rPr>
              <w:t>悬吊管直径（mm）</w:t>
            </w:r>
          </w:p>
        </w:tc>
        <w:tc>
          <w:tcPr>
            <w:tcW w:w="2062" w:type="pct"/>
            <w:tcBorders>
              <w:top w:val="single" w:color="auto" w:sz="4" w:space="0"/>
              <w:left w:val="single" w:color="auto" w:sz="4" w:space="0"/>
              <w:bottom w:val="single" w:color="auto" w:sz="4" w:space="0"/>
              <w:right w:val="single" w:color="auto" w:sz="4" w:space="0"/>
            </w:tcBorders>
            <w:vAlign w:val="center"/>
          </w:tcPr>
          <w:p w14:paraId="6C39E434">
            <w:pPr>
              <w:spacing w:line="240" w:lineRule="auto"/>
              <w:ind w:firstLine="0" w:firstLineChars="0"/>
              <w:jc w:val="center"/>
              <w:rPr>
                <w:rFonts w:hint="eastAsia"/>
                <w:color w:val="auto"/>
                <w:sz w:val="21"/>
              </w:rPr>
            </w:pPr>
            <w:r>
              <w:rPr>
                <w:rFonts w:hint="eastAsia"/>
                <w:color w:val="auto"/>
                <w:sz w:val="21"/>
              </w:rPr>
              <w:t>检查口间距（m）</w:t>
            </w:r>
          </w:p>
        </w:tc>
      </w:tr>
      <w:tr w14:paraId="02D5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pct"/>
            <w:tcBorders>
              <w:top w:val="single" w:color="auto" w:sz="4" w:space="0"/>
              <w:left w:val="single" w:color="auto" w:sz="4" w:space="0"/>
              <w:bottom w:val="single" w:color="auto" w:sz="4" w:space="0"/>
              <w:right w:val="single" w:color="auto" w:sz="4" w:space="0"/>
            </w:tcBorders>
            <w:vAlign w:val="center"/>
          </w:tcPr>
          <w:p w14:paraId="59E454E9">
            <w:pPr>
              <w:spacing w:line="240" w:lineRule="auto"/>
              <w:ind w:firstLine="0" w:firstLineChars="0"/>
              <w:jc w:val="center"/>
              <w:rPr>
                <w:rFonts w:hint="eastAsia"/>
                <w:color w:val="auto"/>
                <w:sz w:val="21"/>
              </w:rPr>
            </w:pPr>
            <w:r>
              <w:rPr>
                <w:rFonts w:hint="eastAsia"/>
                <w:color w:val="auto"/>
                <w:sz w:val="21"/>
              </w:rPr>
              <w:t>1</w:t>
            </w:r>
          </w:p>
        </w:tc>
        <w:tc>
          <w:tcPr>
            <w:tcW w:w="2251" w:type="pct"/>
            <w:tcBorders>
              <w:top w:val="single" w:color="auto" w:sz="4" w:space="0"/>
              <w:left w:val="single" w:color="auto" w:sz="4" w:space="0"/>
              <w:bottom w:val="single" w:color="auto" w:sz="4" w:space="0"/>
              <w:right w:val="single" w:color="auto" w:sz="4" w:space="0"/>
            </w:tcBorders>
            <w:vAlign w:val="center"/>
          </w:tcPr>
          <w:p w14:paraId="279A5AB1">
            <w:pPr>
              <w:spacing w:line="240" w:lineRule="auto"/>
              <w:ind w:firstLine="0" w:firstLineChars="0"/>
              <w:jc w:val="center"/>
              <w:rPr>
                <w:rFonts w:hint="eastAsia"/>
                <w:color w:val="auto"/>
                <w:sz w:val="21"/>
              </w:rPr>
            </w:pPr>
            <w:r>
              <w:rPr>
                <w:rFonts w:hint="eastAsia"/>
                <w:color w:val="auto"/>
                <w:sz w:val="21"/>
              </w:rPr>
              <w:t>≤150</w:t>
            </w:r>
          </w:p>
        </w:tc>
        <w:tc>
          <w:tcPr>
            <w:tcW w:w="2062" w:type="pct"/>
            <w:tcBorders>
              <w:top w:val="single" w:color="auto" w:sz="4" w:space="0"/>
              <w:left w:val="single" w:color="auto" w:sz="4" w:space="0"/>
              <w:bottom w:val="single" w:color="auto" w:sz="4" w:space="0"/>
              <w:right w:val="single" w:color="auto" w:sz="4" w:space="0"/>
            </w:tcBorders>
            <w:vAlign w:val="center"/>
          </w:tcPr>
          <w:p w14:paraId="67960F4A">
            <w:pPr>
              <w:spacing w:line="240" w:lineRule="auto"/>
              <w:ind w:firstLine="0" w:firstLineChars="0"/>
              <w:jc w:val="center"/>
              <w:rPr>
                <w:rFonts w:hint="eastAsia"/>
                <w:color w:val="auto"/>
                <w:sz w:val="21"/>
              </w:rPr>
            </w:pPr>
            <w:r>
              <w:rPr>
                <w:rFonts w:hint="eastAsia"/>
                <w:color w:val="auto"/>
                <w:sz w:val="21"/>
              </w:rPr>
              <w:t>≤15</w:t>
            </w:r>
          </w:p>
        </w:tc>
      </w:tr>
      <w:tr w14:paraId="3559B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87" w:type="pct"/>
            <w:tcBorders>
              <w:top w:val="single" w:color="auto" w:sz="4" w:space="0"/>
              <w:left w:val="single" w:color="auto" w:sz="4" w:space="0"/>
              <w:bottom w:val="single" w:color="auto" w:sz="4" w:space="0"/>
              <w:right w:val="single" w:color="auto" w:sz="4" w:space="0"/>
            </w:tcBorders>
            <w:vAlign w:val="center"/>
          </w:tcPr>
          <w:p w14:paraId="5475A74B">
            <w:pPr>
              <w:spacing w:line="240" w:lineRule="auto"/>
              <w:ind w:firstLine="0" w:firstLineChars="0"/>
              <w:jc w:val="center"/>
              <w:rPr>
                <w:rFonts w:hint="eastAsia"/>
                <w:color w:val="auto"/>
                <w:sz w:val="21"/>
              </w:rPr>
            </w:pPr>
            <w:r>
              <w:rPr>
                <w:rFonts w:hint="eastAsia"/>
                <w:color w:val="auto"/>
                <w:sz w:val="21"/>
              </w:rPr>
              <w:t>2</w:t>
            </w:r>
          </w:p>
        </w:tc>
        <w:tc>
          <w:tcPr>
            <w:tcW w:w="2251" w:type="pct"/>
            <w:tcBorders>
              <w:top w:val="single" w:color="auto" w:sz="4" w:space="0"/>
              <w:left w:val="single" w:color="auto" w:sz="4" w:space="0"/>
              <w:bottom w:val="single" w:color="auto" w:sz="4" w:space="0"/>
              <w:right w:val="single" w:color="auto" w:sz="4" w:space="0"/>
            </w:tcBorders>
            <w:vAlign w:val="center"/>
          </w:tcPr>
          <w:p w14:paraId="409FCE9A">
            <w:pPr>
              <w:spacing w:line="240" w:lineRule="auto"/>
              <w:ind w:firstLine="0" w:firstLineChars="0"/>
              <w:jc w:val="center"/>
              <w:rPr>
                <w:rFonts w:hint="eastAsia"/>
                <w:color w:val="auto"/>
                <w:sz w:val="21"/>
              </w:rPr>
            </w:pPr>
            <w:r>
              <w:rPr>
                <w:rFonts w:hint="eastAsia"/>
                <w:color w:val="auto"/>
                <w:sz w:val="21"/>
              </w:rPr>
              <w:t>≥200</w:t>
            </w:r>
          </w:p>
        </w:tc>
        <w:tc>
          <w:tcPr>
            <w:tcW w:w="2062" w:type="pct"/>
            <w:tcBorders>
              <w:top w:val="single" w:color="auto" w:sz="4" w:space="0"/>
              <w:left w:val="single" w:color="auto" w:sz="4" w:space="0"/>
              <w:bottom w:val="single" w:color="auto" w:sz="4" w:space="0"/>
              <w:right w:val="single" w:color="auto" w:sz="4" w:space="0"/>
            </w:tcBorders>
            <w:vAlign w:val="center"/>
          </w:tcPr>
          <w:p w14:paraId="4DC5B912">
            <w:pPr>
              <w:spacing w:line="240" w:lineRule="auto"/>
              <w:ind w:firstLine="0" w:firstLineChars="0"/>
              <w:jc w:val="center"/>
              <w:rPr>
                <w:rFonts w:hint="eastAsia"/>
                <w:color w:val="auto"/>
                <w:sz w:val="21"/>
              </w:rPr>
            </w:pPr>
            <w:r>
              <w:rPr>
                <w:rFonts w:hint="eastAsia"/>
                <w:color w:val="auto"/>
                <w:sz w:val="21"/>
              </w:rPr>
              <w:t>≤20</w:t>
            </w:r>
          </w:p>
        </w:tc>
      </w:tr>
    </w:tbl>
    <w:p w14:paraId="4E488453">
      <w:pPr>
        <w:rPr>
          <w:rFonts w:hint="eastAsia"/>
          <w:color w:val="auto"/>
        </w:rPr>
      </w:pPr>
      <w:r>
        <w:rPr>
          <w:rFonts w:hint="eastAsia"/>
          <w:color w:val="auto"/>
        </w:rPr>
        <w:t>检验方法：拉线、尺量检查。</w:t>
      </w:r>
    </w:p>
    <w:p w14:paraId="4F094988">
      <w:pPr>
        <w:rPr>
          <w:rFonts w:hint="eastAsia"/>
          <w:color w:val="auto"/>
        </w:rPr>
      </w:pPr>
      <w:r>
        <w:rPr>
          <w:rFonts w:hint="eastAsia"/>
          <w:color w:val="auto"/>
        </w:rPr>
        <w:t>雨水钢管管道焊接的焊口允许偏差应符合下表规定。</w:t>
      </w:r>
    </w:p>
    <w:p w14:paraId="3256B708">
      <w:pPr>
        <w:pStyle w:val="54"/>
        <w:rPr>
          <w:rFonts w:hint="eastAsia"/>
          <w:color w:val="auto"/>
        </w:rPr>
      </w:pPr>
      <w:r>
        <w:rPr>
          <w:rFonts w:hint="eastAsia"/>
          <w:color w:val="auto"/>
        </w:rPr>
        <w:t>钢管管道焊口允许偏差和检验方法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5"/>
        <w:gridCol w:w="1221"/>
        <w:gridCol w:w="756"/>
        <w:gridCol w:w="1645"/>
        <w:gridCol w:w="2336"/>
        <w:gridCol w:w="2167"/>
      </w:tblGrid>
      <w:tr w14:paraId="0D8A0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tcBorders>
              <w:top w:val="single" w:color="auto" w:sz="4" w:space="0"/>
              <w:left w:val="single" w:color="auto" w:sz="4" w:space="0"/>
              <w:bottom w:val="single" w:color="auto" w:sz="4" w:space="0"/>
              <w:right w:val="single" w:color="auto" w:sz="4" w:space="0"/>
            </w:tcBorders>
            <w:vAlign w:val="center"/>
          </w:tcPr>
          <w:p w14:paraId="43B87277">
            <w:pPr>
              <w:spacing w:line="240" w:lineRule="auto"/>
              <w:ind w:firstLine="0" w:firstLineChars="0"/>
              <w:jc w:val="center"/>
              <w:rPr>
                <w:rFonts w:hint="eastAsia"/>
                <w:color w:val="auto"/>
                <w:sz w:val="21"/>
              </w:rPr>
            </w:pPr>
            <w:r>
              <w:rPr>
                <w:rFonts w:hint="eastAsia"/>
                <w:color w:val="auto"/>
                <w:sz w:val="21"/>
              </w:rPr>
              <w:t>项次</w:t>
            </w:r>
          </w:p>
        </w:tc>
        <w:tc>
          <w:tcPr>
            <w:tcW w:w="1999" w:type="pct"/>
            <w:gridSpan w:val="3"/>
            <w:tcBorders>
              <w:top w:val="single" w:color="auto" w:sz="4" w:space="0"/>
              <w:left w:val="single" w:color="auto" w:sz="4" w:space="0"/>
              <w:bottom w:val="single" w:color="auto" w:sz="4" w:space="0"/>
              <w:right w:val="single" w:color="auto" w:sz="4" w:space="0"/>
            </w:tcBorders>
            <w:vAlign w:val="center"/>
          </w:tcPr>
          <w:p w14:paraId="160C20CA">
            <w:pPr>
              <w:spacing w:line="240" w:lineRule="auto"/>
              <w:ind w:firstLine="0" w:firstLineChars="0"/>
              <w:jc w:val="center"/>
              <w:rPr>
                <w:rFonts w:hint="eastAsia"/>
                <w:color w:val="auto"/>
                <w:sz w:val="21"/>
              </w:rPr>
            </w:pPr>
            <w:r>
              <w:rPr>
                <w:rFonts w:hint="eastAsia"/>
                <w:color w:val="auto"/>
                <w:sz w:val="21"/>
              </w:rPr>
              <w:t>项目</w:t>
            </w:r>
          </w:p>
        </w:tc>
        <w:tc>
          <w:tcPr>
            <w:tcW w:w="1289" w:type="pct"/>
            <w:tcBorders>
              <w:top w:val="single" w:color="auto" w:sz="4" w:space="0"/>
              <w:left w:val="single" w:color="auto" w:sz="4" w:space="0"/>
              <w:bottom w:val="single" w:color="auto" w:sz="4" w:space="0"/>
              <w:right w:val="single" w:color="auto" w:sz="4" w:space="0"/>
            </w:tcBorders>
            <w:vAlign w:val="center"/>
          </w:tcPr>
          <w:p w14:paraId="6A52ABE3">
            <w:pPr>
              <w:spacing w:line="240" w:lineRule="auto"/>
              <w:ind w:firstLine="0" w:firstLineChars="0"/>
              <w:jc w:val="center"/>
              <w:rPr>
                <w:rFonts w:hint="eastAsia"/>
                <w:color w:val="auto"/>
                <w:sz w:val="21"/>
              </w:rPr>
            </w:pPr>
            <w:r>
              <w:rPr>
                <w:rFonts w:hint="eastAsia"/>
                <w:color w:val="auto"/>
                <w:sz w:val="21"/>
              </w:rPr>
              <w:t>允许偏差</w:t>
            </w:r>
          </w:p>
        </w:tc>
        <w:tc>
          <w:tcPr>
            <w:tcW w:w="1196" w:type="pct"/>
            <w:tcBorders>
              <w:top w:val="single" w:color="auto" w:sz="4" w:space="0"/>
              <w:left w:val="single" w:color="auto" w:sz="4" w:space="0"/>
              <w:bottom w:val="single" w:color="auto" w:sz="4" w:space="0"/>
              <w:right w:val="single" w:color="auto" w:sz="4" w:space="0"/>
            </w:tcBorders>
            <w:vAlign w:val="center"/>
          </w:tcPr>
          <w:p w14:paraId="009920C0">
            <w:pPr>
              <w:spacing w:line="240" w:lineRule="auto"/>
              <w:ind w:firstLine="0" w:firstLineChars="0"/>
              <w:jc w:val="center"/>
              <w:rPr>
                <w:rFonts w:hint="eastAsia"/>
                <w:color w:val="auto"/>
                <w:sz w:val="21"/>
              </w:rPr>
            </w:pPr>
            <w:r>
              <w:rPr>
                <w:rFonts w:hint="eastAsia"/>
                <w:color w:val="auto"/>
                <w:sz w:val="21"/>
              </w:rPr>
              <w:t>检验方法</w:t>
            </w:r>
          </w:p>
        </w:tc>
      </w:tr>
      <w:tr w14:paraId="33EC7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tcBorders>
              <w:top w:val="single" w:color="auto" w:sz="4" w:space="0"/>
              <w:left w:val="single" w:color="auto" w:sz="4" w:space="0"/>
              <w:bottom w:val="single" w:color="auto" w:sz="4" w:space="0"/>
              <w:right w:val="single" w:color="auto" w:sz="4" w:space="0"/>
            </w:tcBorders>
            <w:vAlign w:val="center"/>
          </w:tcPr>
          <w:p w14:paraId="0441AB68">
            <w:pPr>
              <w:spacing w:line="240" w:lineRule="auto"/>
              <w:ind w:firstLine="0" w:firstLineChars="0"/>
              <w:jc w:val="center"/>
              <w:rPr>
                <w:rFonts w:hint="eastAsia"/>
                <w:color w:val="auto"/>
                <w:sz w:val="21"/>
              </w:rPr>
            </w:pPr>
            <w:r>
              <w:rPr>
                <w:rFonts w:hint="eastAsia"/>
                <w:color w:val="auto"/>
                <w:sz w:val="21"/>
              </w:rPr>
              <w:t>1</w:t>
            </w:r>
          </w:p>
        </w:tc>
        <w:tc>
          <w:tcPr>
            <w:tcW w:w="674" w:type="pct"/>
            <w:tcBorders>
              <w:top w:val="single" w:color="auto" w:sz="4" w:space="0"/>
              <w:left w:val="single" w:color="auto" w:sz="4" w:space="0"/>
              <w:bottom w:val="single" w:color="auto" w:sz="4" w:space="0"/>
              <w:right w:val="single" w:color="auto" w:sz="4" w:space="0"/>
            </w:tcBorders>
            <w:vAlign w:val="center"/>
          </w:tcPr>
          <w:p w14:paraId="66595988">
            <w:pPr>
              <w:spacing w:line="240" w:lineRule="auto"/>
              <w:ind w:firstLine="0" w:firstLineChars="0"/>
              <w:jc w:val="center"/>
              <w:rPr>
                <w:rFonts w:hint="eastAsia"/>
                <w:color w:val="auto"/>
                <w:sz w:val="21"/>
              </w:rPr>
            </w:pPr>
            <w:r>
              <w:rPr>
                <w:rFonts w:hint="eastAsia"/>
                <w:color w:val="auto"/>
                <w:sz w:val="21"/>
              </w:rPr>
              <w:t>焊口平直度</w:t>
            </w:r>
          </w:p>
        </w:tc>
        <w:tc>
          <w:tcPr>
            <w:tcW w:w="1325" w:type="pct"/>
            <w:gridSpan w:val="2"/>
            <w:tcBorders>
              <w:top w:val="single" w:color="auto" w:sz="4" w:space="0"/>
              <w:left w:val="single" w:color="auto" w:sz="4" w:space="0"/>
              <w:bottom w:val="single" w:color="auto" w:sz="4" w:space="0"/>
              <w:right w:val="single" w:color="auto" w:sz="4" w:space="0"/>
            </w:tcBorders>
            <w:vAlign w:val="center"/>
          </w:tcPr>
          <w:p w14:paraId="0CCCA710">
            <w:pPr>
              <w:spacing w:line="240" w:lineRule="auto"/>
              <w:ind w:firstLine="0" w:firstLineChars="0"/>
              <w:jc w:val="center"/>
              <w:rPr>
                <w:rFonts w:hint="eastAsia"/>
                <w:color w:val="auto"/>
                <w:sz w:val="21"/>
              </w:rPr>
            </w:pPr>
            <w:r>
              <w:rPr>
                <w:rFonts w:hint="eastAsia"/>
                <w:color w:val="auto"/>
                <w:sz w:val="21"/>
              </w:rPr>
              <w:t>管壁厚10mm以内</w:t>
            </w:r>
          </w:p>
        </w:tc>
        <w:tc>
          <w:tcPr>
            <w:tcW w:w="1289" w:type="pct"/>
            <w:tcBorders>
              <w:top w:val="single" w:color="auto" w:sz="4" w:space="0"/>
              <w:left w:val="single" w:color="auto" w:sz="4" w:space="0"/>
              <w:bottom w:val="single" w:color="auto" w:sz="4" w:space="0"/>
              <w:right w:val="single" w:color="auto" w:sz="4" w:space="0"/>
            </w:tcBorders>
            <w:vAlign w:val="center"/>
          </w:tcPr>
          <w:p w14:paraId="2231DB25">
            <w:pPr>
              <w:spacing w:line="240" w:lineRule="auto"/>
              <w:ind w:firstLine="0" w:firstLineChars="0"/>
              <w:jc w:val="center"/>
              <w:rPr>
                <w:rFonts w:hint="eastAsia"/>
                <w:color w:val="auto"/>
                <w:sz w:val="21"/>
              </w:rPr>
            </w:pPr>
            <w:r>
              <w:rPr>
                <w:rFonts w:hint="eastAsia"/>
                <w:color w:val="auto"/>
                <w:sz w:val="21"/>
              </w:rPr>
              <w:t>管壁厚1/4</w:t>
            </w:r>
          </w:p>
        </w:tc>
        <w:tc>
          <w:tcPr>
            <w:tcW w:w="1196" w:type="pct"/>
            <w:vMerge w:val="restart"/>
            <w:tcBorders>
              <w:top w:val="single" w:color="auto" w:sz="4" w:space="0"/>
              <w:left w:val="single" w:color="auto" w:sz="4" w:space="0"/>
              <w:bottom w:val="single" w:color="auto" w:sz="4" w:space="0"/>
              <w:right w:val="single" w:color="auto" w:sz="4" w:space="0"/>
            </w:tcBorders>
            <w:vAlign w:val="center"/>
          </w:tcPr>
          <w:p w14:paraId="6DB0D51C">
            <w:pPr>
              <w:spacing w:line="240" w:lineRule="auto"/>
              <w:ind w:firstLine="0" w:firstLineChars="0"/>
              <w:jc w:val="center"/>
              <w:rPr>
                <w:rFonts w:hint="eastAsia"/>
                <w:color w:val="auto"/>
                <w:sz w:val="21"/>
              </w:rPr>
            </w:pPr>
            <w:r>
              <w:rPr>
                <w:rFonts w:hint="eastAsia"/>
                <w:color w:val="auto"/>
                <w:sz w:val="21"/>
              </w:rPr>
              <w:t>焊接检验尺和游标卡尺检查</w:t>
            </w:r>
          </w:p>
        </w:tc>
      </w:tr>
      <w:tr w14:paraId="3829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vMerge w:val="restart"/>
            <w:tcBorders>
              <w:top w:val="nil"/>
              <w:left w:val="single" w:color="auto" w:sz="4" w:space="0"/>
              <w:bottom w:val="single" w:color="auto" w:sz="4" w:space="0"/>
              <w:right w:val="single" w:color="auto" w:sz="4" w:space="0"/>
            </w:tcBorders>
            <w:vAlign w:val="center"/>
          </w:tcPr>
          <w:p w14:paraId="11696F0B">
            <w:pPr>
              <w:spacing w:line="240" w:lineRule="auto"/>
              <w:ind w:firstLine="0" w:firstLineChars="0"/>
              <w:jc w:val="center"/>
              <w:rPr>
                <w:rFonts w:hint="eastAsia"/>
                <w:color w:val="auto"/>
                <w:sz w:val="21"/>
              </w:rPr>
            </w:pPr>
            <w:r>
              <w:rPr>
                <w:rFonts w:hint="eastAsia"/>
                <w:color w:val="auto"/>
                <w:sz w:val="21"/>
              </w:rPr>
              <w:t>2</w:t>
            </w:r>
          </w:p>
        </w:tc>
        <w:tc>
          <w:tcPr>
            <w:tcW w:w="674" w:type="pct"/>
            <w:vMerge w:val="restart"/>
            <w:tcBorders>
              <w:top w:val="nil"/>
              <w:left w:val="single" w:color="auto" w:sz="4" w:space="0"/>
              <w:bottom w:val="single" w:color="auto" w:sz="4" w:space="0"/>
              <w:right w:val="single" w:color="auto" w:sz="4" w:space="0"/>
            </w:tcBorders>
            <w:vAlign w:val="center"/>
          </w:tcPr>
          <w:p w14:paraId="14D5AC66">
            <w:pPr>
              <w:spacing w:line="240" w:lineRule="auto"/>
              <w:ind w:firstLine="0" w:firstLineChars="0"/>
              <w:jc w:val="center"/>
              <w:rPr>
                <w:rFonts w:hint="eastAsia"/>
                <w:color w:val="auto"/>
                <w:sz w:val="21"/>
              </w:rPr>
            </w:pPr>
            <w:r>
              <w:rPr>
                <w:rFonts w:hint="eastAsia"/>
                <w:color w:val="auto"/>
                <w:sz w:val="21"/>
              </w:rPr>
              <w:t>焊缝加强面</w:t>
            </w:r>
          </w:p>
        </w:tc>
        <w:tc>
          <w:tcPr>
            <w:tcW w:w="1325" w:type="pct"/>
            <w:gridSpan w:val="2"/>
            <w:tcBorders>
              <w:top w:val="single" w:color="auto" w:sz="4" w:space="0"/>
              <w:left w:val="single" w:color="auto" w:sz="4" w:space="0"/>
              <w:bottom w:val="single" w:color="auto" w:sz="4" w:space="0"/>
              <w:right w:val="single" w:color="auto" w:sz="4" w:space="0"/>
            </w:tcBorders>
            <w:vAlign w:val="center"/>
          </w:tcPr>
          <w:p w14:paraId="64438FC2">
            <w:pPr>
              <w:spacing w:line="240" w:lineRule="auto"/>
              <w:ind w:firstLine="0" w:firstLineChars="0"/>
              <w:jc w:val="center"/>
              <w:rPr>
                <w:rFonts w:hint="eastAsia"/>
                <w:color w:val="auto"/>
                <w:sz w:val="21"/>
              </w:rPr>
            </w:pPr>
            <w:r>
              <w:rPr>
                <w:rFonts w:hint="eastAsia"/>
                <w:color w:val="auto"/>
                <w:sz w:val="21"/>
              </w:rPr>
              <w:t>高度</w:t>
            </w:r>
          </w:p>
        </w:tc>
        <w:tc>
          <w:tcPr>
            <w:tcW w:w="1289" w:type="pct"/>
            <w:tcBorders>
              <w:top w:val="single" w:color="auto" w:sz="4" w:space="0"/>
              <w:left w:val="single" w:color="auto" w:sz="4" w:space="0"/>
              <w:bottom w:val="single" w:color="auto" w:sz="4" w:space="0"/>
              <w:right w:val="single" w:color="auto" w:sz="4" w:space="0"/>
            </w:tcBorders>
            <w:vAlign w:val="center"/>
          </w:tcPr>
          <w:p w14:paraId="0EEEE2FE">
            <w:pPr>
              <w:spacing w:line="240" w:lineRule="auto"/>
              <w:ind w:firstLine="0" w:firstLineChars="0"/>
              <w:jc w:val="center"/>
              <w:rPr>
                <w:rFonts w:hint="eastAsia"/>
                <w:color w:val="auto"/>
                <w:sz w:val="21"/>
              </w:rPr>
            </w:pPr>
            <w:r>
              <w:rPr>
                <w:rFonts w:hint="eastAsia"/>
                <w:color w:val="auto"/>
                <w:sz w:val="21"/>
              </w:rPr>
              <w:t>+1mm</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86D1C2">
            <w:pPr>
              <w:spacing w:line="240" w:lineRule="auto"/>
              <w:ind w:firstLine="0" w:firstLineChars="0"/>
              <w:jc w:val="center"/>
              <w:rPr>
                <w:color w:val="auto"/>
                <w:sz w:val="21"/>
              </w:rPr>
            </w:pPr>
          </w:p>
        </w:tc>
      </w:tr>
      <w:tr w14:paraId="0B6F1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CAD3A45">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5CA12FA6">
            <w:pPr>
              <w:spacing w:line="240" w:lineRule="auto"/>
              <w:ind w:firstLine="0" w:firstLineChars="0"/>
              <w:jc w:val="center"/>
              <w:rPr>
                <w:color w:val="auto"/>
                <w:sz w:val="21"/>
              </w:rPr>
            </w:pPr>
          </w:p>
        </w:tc>
        <w:tc>
          <w:tcPr>
            <w:tcW w:w="1325" w:type="pct"/>
            <w:gridSpan w:val="2"/>
            <w:tcBorders>
              <w:top w:val="single" w:color="auto" w:sz="4" w:space="0"/>
              <w:left w:val="single" w:color="auto" w:sz="4" w:space="0"/>
              <w:bottom w:val="single" w:color="auto" w:sz="4" w:space="0"/>
              <w:right w:val="single" w:color="auto" w:sz="4" w:space="0"/>
            </w:tcBorders>
            <w:vAlign w:val="center"/>
          </w:tcPr>
          <w:p w14:paraId="2EADD131">
            <w:pPr>
              <w:spacing w:line="240" w:lineRule="auto"/>
              <w:ind w:firstLine="0" w:firstLineChars="0"/>
              <w:jc w:val="center"/>
              <w:rPr>
                <w:rFonts w:hint="eastAsia"/>
                <w:color w:val="auto"/>
                <w:sz w:val="21"/>
              </w:rPr>
            </w:pPr>
            <w:r>
              <w:rPr>
                <w:rFonts w:hint="eastAsia"/>
                <w:color w:val="auto"/>
                <w:sz w:val="21"/>
              </w:rPr>
              <w:t>宽度</w:t>
            </w:r>
          </w:p>
        </w:tc>
        <w:tc>
          <w:tcPr>
            <w:tcW w:w="1289" w:type="pct"/>
            <w:tcBorders>
              <w:top w:val="single" w:color="auto" w:sz="4" w:space="0"/>
              <w:left w:val="single" w:color="auto" w:sz="4" w:space="0"/>
              <w:bottom w:val="single" w:color="auto" w:sz="4" w:space="0"/>
              <w:right w:val="single" w:color="auto" w:sz="4" w:space="0"/>
            </w:tcBorders>
            <w:vAlign w:val="center"/>
          </w:tcPr>
          <w:p w14:paraId="5D3F0F21">
            <w:pPr>
              <w:spacing w:line="240" w:lineRule="auto"/>
              <w:ind w:firstLine="0" w:firstLineChars="0"/>
              <w:jc w:val="center"/>
              <w:rPr>
                <w:rFonts w:hint="eastAsia"/>
                <w:color w:val="auto"/>
                <w:sz w:val="21"/>
              </w:rPr>
            </w:pPr>
            <w:r>
              <w:rPr>
                <w:rFonts w:hint="eastAsia"/>
                <w:color w:val="auto"/>
                <w:sz w:val="21"/>
              </w:rPr>
              <w:t>+1mm</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7344605">
            <w:pPr>
              <w:spacing w:line="240" w:lineRule="auto"/>
              <w:ind w:firstLine="0" w:firstLineChars="0"/>
              <w:jc w:val="center"/>
              <w:rPr>
                <w:color w:val="auto"/>
                <w:sz w:val="21"/>
              </w:rPr>
            </w:pPr>
          </w:p>
        </w:tc>
      </w:tr>
      <w:tr w14:paraId="24835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vMerge w:val="restart"/>
            <w:tcBorders>
              <w:top w:val="nil"/>
              <w:left w:val="single" w:color="auto" w:sz="4" w:space="0"/>
              <w:bottom w:val="single" w:color="auto" w:sz="4" w:space="0"/>
              <w:right w:val="single" w:color="auto" w:sz="4" w:space="0"/>
            </w:tcBorders>
            <w:vAlign w:val="center"/>
          </w:tcPr>
          <w:p w14:paraId="3ED01AD5">
            <w:pPr>
              <w:spacing w:line="240" w:lineRule="auto"/>
              <w:ind w:firstLine="0" w:firstLineChars="0"/>
              <w:jc w:val="center"/>
              <w:rPr>
                <w:rFonts w:hint="eastAsia"/>
                <w:color w:val="auto"/>
                <w:sz w:val="21"/>
              </w:rPr>
            </w:pPr>
            <w:r>
              <w:rPr>
                <w:rFonts w:hint="eastAsia"/>
                <w:color w:val="auto"/>
                <w:sz w:val="21"/>
              </w:rPr>
              <w:t>3</w:t>
            </w:r>
          </w:p>
        </w:tc>
        <w:tc>
          <w:tcPr>
            <w:tcW w:w="674" w:type="pct"/>
            <w:vMerge w:val="restart"/>
            <w:tcBorders>
              <w:top w:val="nil"/>
              <w:left w:val="single" w:color="auto" w:sz="4" w:space="0"/>
              <w:bottom w:val="single" w:color="auto" w:sz="4" w:space="0"/>
              <w:right w:val="single" w:color="auto" w:sz="4" w:space="0"/>
            </w:tcBorders>
            <w:vAlign w:val="center"/>
          </w:tcPr>
          <w:p w14:paraId="50A22935">
            <w:pPr>
              <w:spacing w:line="240" w:lineRule="auto"/>
              <w:ind w:firstLine="0" w:firstLineChars="0"/>
              <w:jc w:val="center"/>
              <w:rPr>
                <w:rFonts w:hint="eastAsia"/>
                <w:color w:val="auto"/>
                <w:sz w:val="21"/>
              </w:rPr>
            </w:pPr>
            <w:r>
              <w:rPr>
                <w:rFonts w:hint="eastAsia"/>
                <w:color w:val="auto"/>
                <w:sz w:val="21"/>
              </w:rPr>
              <w:t>咬边</w:t>
            </w:r>
          </w:p>
        </w:tc>
        <w:tc>
          <w:tcPr>
            <w:tcW w:w="1325" w:type="pct"/>
            <w:gridSpan w:val="2"/>
            <w:tcBorders>
              <w:top w:val="single" w:color="auto" w:sz="4" w:space="0"/>
              <w:left w:val="single" w:color="auto" w:sz="4" w:space="0"/>
              <w:bottom w:val="single" w:color="auto" w:sz="4" w:space="0"/>
              <w:right w:val="single" w:color="auto" w:sz="4" w:space="0"/>
            </w:tcBorders>
            <w:vAlign w:val="center"/>
          </w:tcPr>
          <w:p w14:paraId="7813A932">
            <w:pPr>
              <w:spacing w:line="240" w:lineRule="auto"/>
              <w:ind w:firstLine="0" w:firstLineChars="0"/>
              <w:jc w:val="center"/>
              <w:rPr>
                <w:rFonts w:hint="eastAsia"/>
                <w:color w:val="auto"/>
                <w:sz w:val="21"/>
              </w:rPr>
            </w:pPr>
            <w:r>
              <w:rPr>
                <w:rFonts w:hint="eastAsia"/>
                <w:color w:val="auto"/>
                <w:sz w:val="21"/>
              </w:rPr>
              <w:t>深度</w:t>
            </w:r>
          </w:p>
        </w:tc>
        <w:tc>
          <w:tcPr>
            <w:tcW w:w="1289" w:type="pct"/>
            <w:tcBorders>
              <w:top w:val="single" w:color="auto" w:sz="4" w:space="0"/>
              <w:left w:val="single" w:color="auto" w:sz="4" w:space="0"/>
              <w:bottom w:val="single" w:color="auto" w:sz="4" w:space="0"/>
              <w:right w:val="single" w:color="auto" w:sz="4" w:space="0"/>
            </w:tcBorders>
            <w:vAlign w:val="center"/>
          </w:tcPr>
          <w:p w14:paraId="254EE64A">
            <w:pPr>
              <w:spacing w:line="240" w:lineRule="auto"/>
              <w:ind w:firstLine="0" w:firstLineChars="0"/>
              <w:jc w:val="center"/>
              <w:rPr>
                <w:rFonts w:hint="eastAsia"/>
                <w:color w:val="auto"/>
                <w:sz w:val="21"/>
              </w:rPr>
            </w:pPr>
            <w:r>
              <w:rPr>
                <w:rFonts w:hint="eastAsia"/>
                <w:color w:val="auto"/>
                <w:sz w:val="21"/>
              </w:rPr>
              <w:t>小于0.5mm</w:t>
            </w:r>
          </w:p>
        </w:tc>
        <w:tc>
          <w:tcPr>
            <w:tcW w:w="1196" w:type="pct"/>
            <w:vMerge w:val="restart"/>
            <w:tcBorders>
              <w:top w:val="nil"/>
              <w:left w:val="single" w:color="auto" w:sz="4" w:space="0"/>
              <w:bottom w:val="single" w:color="auto" w:sz="4" w:space="0"/>
              <w:right w:val="single" w:color="auto" w:sz="4" w:space="0"/>
            </w:tcBorders>
            <w:vAlign w:val="center"/>
          </w:tcPr>
          <w:p w14:paraId="5EE579ED">
            <w:pPr>
              <w:spacing w:line="240" w:lineRule="auto"/>
              <w:ind w:firstLine="0" w:firstLineChars="0"/>
              <w:jc w:val="center"/>
              <w:rPr>
                <w:rFonts w:hint="eastAsia"/>
                <w:color w:val="auto"/>
                <w:sz w:val="21"/>
              </w:rPr>
            </w:pPr>
            <w:r>
              <w:rPr>
                <w:rFonts w:hint="eastAsia"/>
                <w:color w:val="auto"/>
                <w:sz w:val="21"/>
              </w:rPr>
              <w:t>直尺检查</w:t>
            </w:r>
          </w:p>
        </w:tc>
      </w:tr>
      <w:tr w14:paraId="1D631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5E002820">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710303C">
            <w:pPr>
              <w:spacing w:line="240" w:lineRule="auto"/>
              <w:ind w:firstLine="0" w:firstLineChars="0"/>
              <w:jc w:val="center"/>
              <w:rPr>
                <w:color w:val="auto"/>
                <w:sz w:val="21"/>
              </w:rPr>
            </w:pPr>
          </w:p>
        </w:tc>
        <w:tc>
          <w:tcPr>
            <w:tcW w:w="417" w:type="pct"/>
            <w:vMerge w:val="restart"/>
            <w:tcBorders>
              <w:top w:val="nil"/>
              <w:left w:val="single" w:color="auto" w:sz="4" w:space="0"/>
              <w:bottom w:val="single" w:color="auto" w:sz="4" w:space="0"/>
              <w:right w:val="single" w:color="auto" w:sz="4" w:space="0"/>
            </w:tcBorders>
            <w:vAlign w:val="center"/>
          </w:tcPr>
          <w:p w14:paraId="53175B1E">
            <w:pPr>
              <w:spacing w:line="240" w:lineRule="auto"/>
              <w:ind w:firstLine="0" w:firstLineChars="0"/>
              <w:jc w:val="center"/>
              <w:rPr>
                <w:rFonts w:hint="eastAsia"/>
                <w:color w:val="auto"/>
                <w:sz w:val="21"/>
              </w:rPr>
            </w:pPr>
            <w:r>
              <w:rPr>
                <w:rFonts w:hint="eastAsia"/>
                <w:color w:val="auto"/>
                <w:sz w:val="21"/>
              </w:rPr>
              <w:t>长度</w:t>
            </w:r>
          </w:p>
        </w:tc>
        <w:tc>
          <w:tcPr>
            <w:tcW w:w="908" w:type="pct"/>
            <w:tcBorders>
              <w:top w:val="single" w:color="auto" w:sz="4" w:space="0"/>
              <w:left w:val="single" w:color="auto" w:sz="4" w:space="0"/>
              <w:bottom w:val="single" w:color="auto" w:sz="4" w:space="0"/>
              <w:right w:val="single" w:color="auto" w:sz="4" w:space="0"/>
            </w:tcBorders>
            <w:vAlign w:val="center"/>
          </w:tcPr>
          <w:p w14:paraId="420F6843">
            <w:pPr>
              <w:spacing w:line="240" w:lineRule="auto"/>
              <w:ind w:firstLine="0" w:firstLineChars="0"/>
              <w:jc w:val="center"/>
              <w:rPr>
                <w:rFonts w:hint="eastAsia"/>
                <w:color w:val="auto"/>
                <w:sz w:val="21"/>
              </w:rPr>
            </w:pPr>
            <w:r>
              <w:rPr>
                <w:rFonts w:hint="eastAsia"/>
                <w:color w:val="auto"/>
                <w:sz w:val="21"/>
              </w:rPr>
              <w:t>连续长度</w:t>
            </w:r>
          </w:p>
        </w:tc>
        <w:tc>
          <w:tcPr>
            <w:tcW w:w="1289" w:type="pct"/>
            <w:tcBorders>
              <w:top w:val="single" w:color="auto" w:sz="4" w:space="0"/>
              <w:left w:val="single" w:color="auto" w:sz="4" w:space="0"/>
              <w:bottom w:val="single" w:color="auto" w:sz="4" w:space="0"/>
              <w:right w:val="single" w:color="auto" w:sz="4" w:space="0"/>
            </w:tcBorders>
            <w:vAlign w:val="center"/>
          </w:tcPr>
          <w:p w14:paraId="641FAE6D">
            <w:pPr>
              <w:spacing w:line="240" w:lineRule="auto"/>
              <w:ind w:firstLine="0" w:firstLineChars="0"/>
              <w:jc w:val="center"/>
              <w:rPr>
                <w:rFonts w:hint="eastAsia"/>
                <w:color w:val="auto"/>
                <w:sz w:val="21"/>
              </w:rPr>
            </w:pPr>
            <w:r>
              <w:rPr>
                <w:rFonts w:hint="eastAsia"/>
                <w:color w:val="auto"/>
                <w:sz w:val="21"/>
              </w:rPr>
              <w:t>25mm</w:t>
            </w:r>
          </w:p>
        </w:tc>
        <w:tc>
          <w:tcPr>
            <w:tcW w:w="0" w:type="auto"/>
            <w:vMerge w:val="continue"/>
            <w:tcBorders>
              <w:top w:val="nil"/>
              <w:left w:val="single" w:color="auto" w:sz="4" w:space="0"/>
              <w:bottom w:val="single" w:color="auto" w:sz="4" w:space="0"/>
              <w:right w:val="single" w:color="auto" w:sz="4" w:space="0"/>
            </w:tcBorders>
            <w:vAlign w:val="center"/>
          </w:tcPr>
          <w:p w14:paraId="2E736E81">
            <w:pPr>
              <w:spacing w:line="240" w:lineRule="auto"/>
              <w:ind w:firstLine="0" w:firstLineChars="0"/>
              <w:jc w:val="center"/>
              <w:rPr>
                <w:color w:val="auto"/>
                <w:sz w:val="21"/>
              </w:rPr>
            </w:pPr>
          </w:p>
        </w:tc>
      </w:tr>
      <w:tr w14:paraId="641F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7E2AEE94">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500F9F52">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025FFADD">
            <w:pPr>
              <w:rPr>
                <w:color w:val="auto"/>
              </w:rPr>
            </w:pPr>
          </w:p>
        </w:tc>
        <w:tc>
          <w:tcPr>
            <w:tcW w:w="908" w:type="pct"/>
            <w:tcBorders>
              <w:top w:val="single" w:color="auto" w:sz="4" w:space="0"/>
              <w:left w:val="single" w:color="auto" w:sz="4" w:space="0"/>
              <w:bottom w:val="single" w:color="auto" w:sz="4" w:space="0"/>
              <w:right w:val="single" w:color="auto" w:sz="4" w:space="0"/>
            </w:tcBorders>
            <w:vAlign w:val="center"/>
          </w:tcPr>
          <w:p w14:paraId="37279D3E">
            <w:pPr>
              <w:spacing w:line="240" w:lineRule="auto"/>
              <w:ind w:firstLine="0" w:firstLineChars="0"/>
              <w:jc w:val="center"/>
              <w:rPr>
                <w:rFonts w:hint="eastAsia"/>
                <w:color w:val="auto"/>
                <w:sz w:val="21"/>
              </w:rPr>
            </w:pPr>
            <w:r>
              <w:rPr>
                <w:rFonts w:hint="eastAsia"/>
                <w:color w:val="auto"/>
                <w:sz w:val="21"/>
              </w:rPr>
              <w:t>总长度（两侧）</w:t>
            </w:r>
          </w:p>
        </w:tc>
        <w:tc>
          <w:tcPr>
            <w:tcW w:w="1289" w:type="pct"/>
            <w:tcBorders>
              <w:top w:val="single" w:color="auto" w:sz="4" w:space="0"/>
              <w:left w:val="single" w:color="auto" w:sz="4" w:space="0"/>
              <w:bottom w:val="single" w:color="auto" w:sz="4" w:space="0"/>
              <w:right w:val="single" w:color="auto" w:sz="4" w:space="0"/>
            </w:tcBorders>
            <w:vAlign w:val="center"/>
          </w:tcPr>
          <w:p w14:paraId="05C82CC5">
            <w:pPr>
              <w:spacing w:line="240" w:lineRule="auto"/>
              <w:ind w:firstLine="0" w:firstLineChars="0"/>
              <w:jc w:val="center"/>
              <w:rPr>
                <w:rFonts w:hint="eastAsia"/>
                <w:color w:val="auto"/>
                <w:sz w:val="21"/>
              </w:rPr>
            </w:pPr>
            <w:r>
              <w:rPr>
                <w:rFonts w:hint="eastAsia"/>
                <w:color w:val="auto"/>
                <w:sz w:val="21"/>
              </w:rPr>
              <w:t>小于焊缝长度的10%</w:t>
            </w:r>
          </w:p>
        </w:tc>
        <w:tc>
          <w:tcPr>
            <w:tcW w:w="0" w:type="auto"/>
            <w:vMerge w:val="continue"/>
            <w:tcBorders>
              <w:top w:val="nil"/>
              <w:left w:val="single" w:color="auto" w:sz="4" w:space="0"/>
              <w:bottom w:val="single" w:color="auto" w:sz="4" w:space="0"/>
              <w:right w:val="single" w:color="auto" w:sz="4" w:space="0"/>
            </w:tcBorders>
            <w:vAlign w:val="center"/>
          </w:tcPr>
          <w:p w14:paraId="6B6A327E">
            <w:pPr>
              <w:rPr>
                <w:color w:val="auto"/>
              </w:rPr>
            </w:pPr>
          </w:p>
        </w:tc>
      </w:tr>
    </w:tbl>
    <w:p w14:paraId="3A3C413B">
      <w:pPr>
        <w:rPr>
          <w:rFonts w:hint="eastAsia"/>
          <w:color w:val="auto"/>
        </w:rPr>
      </w:pPr>
      <w:r>
        <w:rPr>
          <w:rFonts w:hint="eastAsia"/>
          <w:color w:val="auto"/>
        </w:rPr>
        <w:t>（6）室内热水供应系统</w:t>
      </w:r>
    </w:p>
    <w:p w14:paraId="349F35EC">
      <w:pPr>
        <w:pStyle w:val="54"/>
        <w:rPr>
          <w:rFonts w:hint="eastAsia"/>
          <w:color w:val="auto"/>
        </w:rPr>
      </w:pPr>
      <w:r>
        <w:rPr>
          <w:rFonts w:hint="eastAsia"/>
          <w:color w:val="auto"/>
        </w:rPr>
        <w:t>管道及配件安装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107"/>
        <w:gridCol w:w="4686"/>
        <w:gridCol w:w="2607"/>
      </w:tblGrid>
      <w:tr w14:paraId="2213E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AE46F22">
            <w:pPr>
              <w:spacing w:line="240" w:lineRule="auto"/>
              <w:ind w:firstLine="0" w:firstLineChars="0"/>
              <w:jc w:val="center"/>
              <w:rPr>
                <w:rFonts w:hint="eastAsia"/>
                <w:color w:val="auto"/>
                <w:sz w:val="21"/>
              </w:rPr>
            </w:pPr>
            <w:r>
              <w:rPr>
                <w:rFonts w:hint="eastAsia"/>
                <w:color w:val="auto"/>
                <w:sz w:val="21"/>
              </w:rPr>
              <w:t>序号</w:t>
            </w:r>
          </w:p>
        </w:tc>
        <w:tc>
          <w:tcPr>
            <w:tcW w:w="611" w:type="pct"/>
            <w:tcBorders>
              <w:top w:val="single" w:color="auto" w:sz="4" w:space="0"/>
              <w:left w:val="single" w:color="auto" w:sz="4" w:space="0"/>
              <w:bottom w:val="single" w:color="auto" w:sz="4" w:space="0"/>
              <w:right w:val="single" w:color="auto" w:sz="4" w:space="0"/>
            </w:tcBorders>
            <w:vAlign w:val="center"/>
          </w:tcPr>
          <w:p w14:paraId="0888415F">
            <w:pPr>
              <w:spacing w:line="240" w:lineRule="auto"/>
              <w:ind w:firstLine="0" w:firstLineChars="0"/>
              <w:jc w:val="center"/>
              <w:rPr>
                <w:rFonts w:hint="eastAsia"/>
                <w:color w:val="auto"/>
                <w:sz w:val="21"/>
              </w:rPr>
            </w:pPr>
            <w:r>
              <w:rPr>
                <w:rFonts w:hint="eastAsia"/>
                <w:color w:val="auto"/>
                <w:sz w:val="21"/>
              </w:rPr>
              <w:t>项目类型</w:t>
            </w:r>
          </w:p>
        </w:tc>
        <w:tc>
          <w:tcPr>
            <w:tcW w:w="2586" w:type="pct"/>
            <w:tcBorders>
              <w:top w:val="single" w:color="auto" w:sz="4" w:space="0"/>
              <w:left w:val="single" w:color="auto" w:sz="4" w:space="0"/>
              <w:bottom w:val="single" w:color="auto" w:sz="4" w:space="0"/>
              <w:right w:val="single" w:color="auto" w:sz="4" w:space="0"/>
            </w:tcBorders>
            <w:vAlign w:val="center"/>
          </w:tcPr>
          <w:p w14:paraId="6E40A111">
            <w:pPr>
              <w:spacing w:line="240" w:lineRule="auto"/>
              <w:ind w:firstLine="0" w:firstLineChars="0"/>
              <w:jc w:val="center"/>
              <w:rPr>
                <w:rFonts w:hint="eastAsia"/>
                <w:color w:val="auto"/>
                <w:sz w:val="21"/>
              </w:rPr>
            </w:pPr>
            <w:r>
              <w:rPr>
                <w:rFonts w:hint="eastAsia"/>
                <w:color w:val="auto"/>
                <w:sz w:val="21"/>
              </w:rPr>
              <w:t>内容</w:t>
            </w:r>
          </w:p>
        </w:tc>
        <w:tc>
          <w:tcPr>
            <w:tcW w:w="1439" w:type="pct"/>
            <w:tcBorders>
              <w:top w:val="single" w:color="auto" w:sz="4" w:space="0"/>
              <w:left w:val="single" w:color="auto" w:sz="4" w:space="0"/>
              <w:bottom w:val="single" w:color="auto" w:sz="4" w:space="0"/>
              <w:right w:val="single" w:color="auto" w:sz="4" w:space="0"/>
            </w:tcBorders>
            <w:vAlign w:val="center"/>
          </w:tcPr>
          <w:p w14:paraId="406FF4EC">
            <w:pPr>
              <w:spacing w:line="240" w:lineRule="auto"/>
              <w:ind w:firstLine="0" w:firstLineChars="0"/>
              <w:jc w:val="center"/>
              <w:rPr>
                <w:rFonts w:hint="eastAsia"/>
                <w:color w:val="auto"/>
                <w:sz w:val="21"/>
              </w:rPr>
            </w:pPr>
            <w:r>
              <w:rPr>
                <w:rFonts w:hint="eastAsia"/>
                <w:color w:val="auto"/>
                <w:sz w:val="21"/>
              </w:rPr>
              <w:t>检验方法</w:t>
            </w:r>
          </w:p>
        </w:tc>
      </w:tr>
      <w:tr w14:paraId="67B9C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0065A9F">
            <w:pPr>
              <w:spacing w:line="240" w:lineRule="auto"/>
              <w:ind w:firstLine="0" w:firstLineChars="0"/>
              <w:jc w:val="center"/>
              <w:rPr>
                <w:rFonts w:hint="eastAsia"/>
                <w:color w:val="auto"/>
                <w:sz w:val="21"/>
              </w:rPr>
            </w:pPr>
            <w:r>
              <w:rPr>
                <w:rFonts w:hint="eastAsia"/>
                <w:color w:val="auto"/>
                <w:sz w:val="21"/>
              </w:rPr>
              <w:t>1</w:t>
            </w:r>
          </w:p>
        </w:tc>
        <w:tc>
          <w:tcPr>
            <w:tcW w:w="611" w:type="pct"/>
            <w:vMerge w:val="restart"/>
            <w:tcBorders>
              <w:top w:val="nil"/>
              <w:left w:val="single" w:color="auto" w:sz="4" w:space="0"/>
              <w:bottom w:val="single" w:color="auto" w:sz="4" w:space="0"/>
              <w:right w:val="single" w:color="auto" w:sz="4" w:space="0"/>
            </w:tcBorders>
            <w:vAlign w:val="center"/>
          </w:tcPr>
          <w:p w14:paraId="3ECF7EEC">
            <w:pPr>
              <w:spacing w:line="240" w:lineRule="auto"/>
              <w:ind w:firstLine="0" w:firstLineChars="0"/>
              <w:jc w:val="center"/>
              <w:rPr>
                <w:rFonts w:hint="eastAsia"/>
                <w:color w:val="auto"/>
                <w:sz w:val="21"/>
              </w:rPr>
            </w:pPr>
            <w:r>
              <w:rPr>
                <w:rFonts w:hint="eastAsia"/>
                <w:color w:val="auto"/>
                <w:sz w:val="21"/>
              </w:rPr>
              <w:t>主控项目</w:t>
            </w:r>
          </w:p>
        </w:tc>
        <w:tc>
          <w:tcPr>
            <w:tcW w:w="2586" w:type="pct"/>
            <w:tcBorders>
              <w:top w:val="single" w:color="auto" w:sz="4" w:space="0"/>
              <w:left w:val="single" w:color="auto" w:sz="4" w:space="0"/>
              <w:bottom w:val="single" w:color="auto" w:sz="4" w:space="0"/>
              <w:right w:val="single" w:color="auto" w:sz="4" w:space="0"/>
            </w:tcBorders>
            <w:vAlign w:val="center"/>
          </w:tcPr>
          <w:p w14:paraId="3944F2A2">
            <w:pPr>
              <w:spacing w:line="240" w:lineRule="auto"/>
              <w:ind w:firstLine="0" w:firstLineChars="0"/>
              <w:jc w:val="center"/>
              <w:rPr>
                <w:rFonts w:hint="eastAsia"/>
                <w:color w:val="auto"/>
                <w:sz w:val="21"/>
              </w:rPr>
            </w:pPr>
            <w:r>
              <w:rPr>
                <w:rFonts w:hint="eastAsia"/>
                <w:color w:val="auto"/>
                <w:sz w:val="21"/>
              </w:rPr>
              <w:t>热水供应系统安装完毕，管道保温之前进行水压试验。试验压力应符合设计要求。当设计未注明时，热水供应系统水压试验压力应为系统顶点的工作压力加0.1MPa，同时在系统顶点的试验压力不小于0.3MPa。</w:t>
            </w:r>
          </w:p>
        </w:tc>
        <w:tc>
          <w:tcPr>
            <w:tcW w:w="1439" w:type="pct"/>
            <w:tcBorders>
              <w:top w:val="single" w:color="auto" w:sz="4" w:space="0"/>
              <w:left w:val="single" w:color="auto" w:sz="4" w:space="0"/>
              <w:bottom w:val="single" w:color="auto" w:sz="4" w:space="0"/>
              <w:right w:val="single" w:color="auto" w:sz="4" w:space="0"/>
            </w:tcBorders>
            <w:vAlign w:val="center"/>
          </w:tcPr>
          <w:p w14:paraId="251D14F5">
            <w:pPr>
              <w:spacing w:line="240" w:lineRule="auto"/>
              <w:ind w:firstLine="0" w:firstLineChars="0"/>
              <w:jc w:val="center"/>
              <w:rPr>
                <w:rFonts w:hint="eastAsia"/>
                <w:color w:val="auto"/>
                <w:sz w:val="21"/>
              </w:rPr>
            </w:pPr>
            <w:r>
              <w:rPr>
                <w:rFonts w:hint="eastAsia"/>
                <w:color w:val="auto"/>
                <w:sz w:val="21"/>
              </w:rPr>
              <w:t>钢管或复合管道系统试验压力下10min内压力降不大于0.02MPa，然后降至工作压力检查，压力应不降，且不渗不漏；塑料管道系统在试验压力下稳压lh，压力降不得超过0.05MPa，然后在工作压力1.15倍状态下稳压2h，压力降不低0.03MPa，连接处不得渗漏。</w:t>
            </w:r>
          </w:p>
        </w:tc>
      </w:tr>
      <w:tr w14:paraId="5C68B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D4449DE">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1FD2A4D7">
            <w:pPr>
              <w:spacing w:line="240" w:lineRule="auto"/>
              <w:ind w:firstLine="0" w:firstLineChars="0"/>
              <w:jc w:val="center"/>
              <w:rPr>
                <w:color w:val="auto"/>
                <w:sz w:val="21"/>
              </w:rPr>
            </w:pPr>
          </w:p>
        </w:tc>
        <w:tc>
          <w:tcPr>
            <w:tcW w:w="2586" w:type="pct"/>
            <w:tcBorders>
              <w:top w:val="single" w:color="auto" w:sz="4" w:space="0"/>
              <w:left w:val="single" w:color="auto" w:sz="4" w:space="0"/>
              <w:bottom w:val="single" w:color="auto" w:sz="4" w:space="0"/>
              <w:right w:val="single" w:color="auto" w:sz="4" w:space="0"/>
            </w:tcBorders>
            <w:vAlign w:val="center"/>
          </w:tcPr>
          <w:p w14:paraId="6F0A81C0">
            <w:pPr>
              <w:spacing w:line="240" w:lineRule="auto"/>
              <w:ind w:firstLine="0" w:firstLineChars="0"/>
              <w:jc w:val="center"/>
              <w:rPr>
                <w:rFonts w:hint="eastAsia"/>
                <w:color w:val="auto"/>
                <w:sz w:val="21"/>
              </w:rPr>
            </w:pPr>
            <w:r>
              <w:rPr>
                <w:rFonts w:hint="eastAsia"/>
                <w:color w:val="auto"/>
                <w:sz w:val="21"/>
              </w:rPr>
              <w:t>热水供应管道应尽量利用自然弯补偿热伸缩，直线段过长则应设置补偿器。补偿器型式、规格、位置应符合设计要求，并按有关规定进行预拉伸。</w:t>
            </w:r>
          </w:p>
        </w:tc>
        <w:tc>
          <w:tcPr>
            <w:tcW w:w="1439" w:type="pct"/>
            <w:tcBorders>
              <w:top w:val="single" w:color="auto" w:sz="4" w:space="0"/>
              <w:left w:val="single" w:color="auto" w:sz="4" w:space="0"/>
              <w:bottom w:val="single" w:color="auto" w:sz="4" w:space="0"/>
              <w:right w:val="single" w:color="auto" w:sz="4" w:space="0"/>
            </w:tcBorders>
            <w:vAlign w:val="center"/>
          </w:tcPr>
          <w:p w14:paraId="0120A50E">
            <w:pPr>
              <w:spacing w:line="240" w:lineRule="auto"/>
              <w:ind w:firstLine="0" w:firstLineChars="0"/>
              <w:jc w:val="center"/>
              <w:rPr>
                <w:rFonts w:hint="eastAsia"/>
                <w:color w:val="auto"/>
                <w:sz w:val="21"/>
              </w:rPr>
            </w:pPr>
            <w:r>
              <w:rPr>
                <w:rFonts w:hint="eastAsia"/>
                <w:color w:val="auto"/>
                <w:sz w:val="21"/>
              </w:rPr>
              <w:t>对照设计图纸检查</w:t>
            </w:r>
          </w:p>
        </w:tc>
      </w:tr>
      <w:tr w14:paraId="1C746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8851743">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64DA4565">
            <w:pPr>
              <w:spacing w:line="240" w:lineRule="auto"/>
              <w:ind w:firstLine="0" w:firstLineChars="0"/>
              <w:jc w:val="center"/>
              <w:rPr>
                <w:color w:val="auto"/>
                <w:sz w:val="21"/>
              </w:rPr>
            </w:pPr>
          </w:p>
        </w:tc>
        <w:tc>
          <w:tcPr>
            <w:tcW w:w="2586" w:type="pct"/>
            <w:tcBorders>
              <w:top w:val="single" w:color="auto" w:sz="4" w:space="0"/>
              <w:left w:val="single" w:color="auto" w:sz="4" w:space="0"/>
              <w:bottom w:val="single" w:color="auto" w:sz="4" w:space="0"/>
              <w:right w:val="single" w:color="auto" w:sz="4" w:space="0"/>
            </w:tcBorders>
            <w:vAlign w:val="center"/>
          </w:tcPr>
          <w:p w14:paraId="24A52EA7">
            <w:pPr>
              <w:spacing w:line="240" w:lineRule="auto"/>
              <w:ind w:firstLine="0" w:firstLineChars="0"/>
              <w:jc w:val="center"/>
              <w:rPr>
                <w:rFonts w:hint="eastAsia"/>
                <w:color w:val="auto"/>
                <w:sz w:val="21"/>
              </w:rPr>
            </w:pPr>
            <w:r>
              <w:rPr>
                <w:rFonts w:hint="eastAsia"/>
                <w:color w:val="auto"/>
                <w:sz w:val="21"/>
              </w:rPr>
              <w:t>热水供应系统竣工后必须进行冲洗。</w:t>
            </w:r>
          </w:p>
        </w:tc>
        <w:tc>
          <w:tcPr>
            <w:tcW w:w="1439" w:type="pct"/>
            <w:tcBorders>
              <w:top w:val="single" w:color="auto" w:sz="4" w:space="0"/>
              <w:left w:val="single" w:color="auto" w:sz="4" w:space="0"/>
              <w:bottom w:val="single" w:color="auto" w:sz="4" w:space="0"/>
              <w:right w:val="single" w:color="auto" w:sz="4" w:space="0"/>
            </w:tcBorders>
            <w:vAlign w:val="center"/>
          </w:tcPr>
          <w:p w14:paraId="6FFB72EA">
            <w:pPr>
              <w:spacing w:line="240" w:lineRule="auto"/>
              <w:ind w:firstLine="0" w:firstLineChars="0"/>
              <w:jc w:val="center"/>
              <w:rPr>
                <w:rFonts w:hint="eastAsia"/>
                <w:color w:val="auto"/>
                <w:sz w:val="21"/>
              </w:rPr>
            </w:pPr>
            <w:r>
              <w:rPr>
                <w:rFonts w:hint="eastAsia"/>
                <w:color w:val="auto"/>
                <w:sz w:val="21"/>
              </w:rPr>
              <w:t>现场观察检查</w:t>
            </w:r>
          </w:p>
        </w:tc>
      </w:tr>
      <w:tr w14:paraId="7658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8D338F4">
            <w:pPr>
              <w:spacing w:line="240" w:lineRule="auto"/>
              <w:ind w:firstLine="0" w:firstLineChars="0"/>
              <w:jc w:val="center"/>
              <w:rPr>
                <w:rFonts w:hint="eastAsia"/>
                <w:color w:val="auto"/>
                <w:sz w:val="21"/>
              </w:rPr>
            </w:pPr>
            <w:r>
              <w:rPr>
                <w:rFonts w:hint="eastAsia"/>
                <w:color w:val="auto"/>
                <w:sz w:val="21"/>
              </w:rPr>
              <w:t>4</w:t>
            </w:r>
          </w:p>
        </w:tc>
        <w:tc>
          <w:tcPr>
            <w:tcW w:w="611" w:type="pct"/>
            <w:vMerge w:val="restart"/>
            <w:tcBorders>
              <w:top w:val="nil"/>
              <w:left w:val="single" w:color="auto" w:sz="4" w:space="0"/>
              <w:bottom w:val="single" w:color="auto" w:sz="4" w:space="0"/>
              <w:right w:val="single" w:color="auto" w:sz="4" w:space="0"/>
            </w:tcBorders>
            <w:vAlign w:val="center"/>
          </w:tcPr>
          <w:p w14:paraId="1A3CCBB3">
            <w:pPr>
              <w:spacing w:line="240" w:lineRule="auto"/>
              <w:ind w:firstLine="0" w:firstLineChars="0"/>
              <w:jc w:val="center"/>
              <w:rPr>
                <w:rFonts w:hint="eastAsia"/>
                <w:color w:val="auto"/>
                <w:sz w:val="21"/>
              </w:rPr>
            </w:pPr>
            <w:r>
              <w:rPr>
                <w:rFonts w:hint="eastAsia"/>
                <w:color w:val="auto"/>
                <w:sz w:val="21"/>
              </w:rPr>
              <w:t>一般项目</w:t>
            </w:r>
          </w:p>
        </w:tc>
        <w:tc>
          <w:tcPr>
            <w:tcW w:w="2586" w:type="pct"/>
            <w:tcBorders>
              <w:top w:val="single" w:color="auto" w:sz="4" w:space="0"/>
              <w:left w:val="single" w:color="auto" w:sz="4" w:space="0"/>
              <w:bottom w:val="single" w:color="auto" w:sz="4" w:space="0"/>
              <w:right w:val="single" w:color="auto" w:sz="4" w:space="0"/>
            </w:tcBorders>
            <w:vAlign w:val="center"/>
          </w:tcPr>
          <w:p w14:paraId="295F4A73">
            <w:pPr>
              <w:spacing w:line="240" w:lineRule="auto"/>
              <w:ind w:firstLine="0" w:firstLineChars="0"/>
              <w:jc w:val="center"/>
              <w:rPr>
                <w:rFonts w:hint="eastAsia"/>
                <w:color w:val="auto"/>
                <w:sz w:val="21"/>
              </w:rPr>
            </w:pPr>
            <w:r>
              <w:rPr>
                <w:rFonts w:hint="eastAsia"/>
                <w:color w:val="auto"/>
                <w:sz w:val="21"/>
              </w:rPr>
              <w:t>管道安装坡度应符合设计规定。</w:t>
            </w:r>
          </w:p>
        </w:tc>
        <w:tc>
          <w:tcPr>
            <w:tcW w:w="1439" w:type="pct"/>
            <w:tcBorders>
              <w:top w:val="single" w:color="auto" w:sz="4" w:space="0"/>
              <w:left w:val="single" w:color="auto" w:sz="4" w:space="0"/>
              <w:bottom w:val="single" w:color="auto" w:sz="4" w:space="0"/>
              <w:right w:val="single" w:color="auto" w:sz="4" w:space="0"/>
            </w:tcBorders>
            <w:vAlign w:val="center"/>
          </w:tcPr>
          <w:p w14:paraId="47B7EF00">
            <w:pPr>
              <w:spacing w:line="240" w:lineRule="auto"/>
              <w:ind w:firstLine="0" w:firstLineChars="0"/>
              <w:jc w:val="center"/>
              <w:rPr>
                <w:rFonts w:hint="eastAsia"/>
                <w:color w:val="auto"/>
                <w:sz w:val="21"/>
              </w:rPr>
            </w:pPr>
            <w:r>
              <w:rPr>
                <w:rFonts w:hint="eastAsia"/>
                <w:color w:val="auto"/>
                <w:sz w:val="21"/>
              </w:rPr>
              <w:t>水平尺、拉线尺量检查</w:t>
            </w:r>
          </w:p>
        </w:tc>
      </w:tr>
      <w:tr w14:paraId="6F5C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2560C81">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nil"/>
              <w:left w:val="single" w:color="auto" w:sz="4" w:space="0"/>
              <w:bottom w:val="single" w:color="auto" w:sz="4" w:space="0"/>
              <w:right w:val="single" w:color="auto" w:sz="4" w:space="0"/>
            </w:tcBorders>
            <w:vAlign w:val="center"/>
          </w:tcPr>
          <w:p w14:paraId="7A2A7A84">
            <w:pPr>
              <w:spacing w:line="240" w:lineRule="auto"/>
              <w:ind w:firstLine="0" w:firstLineChars="0"/>
              <w:jc w:val="center"/>
              <w:rPr>
                <w:color w:val="auto"/>
                <w:sz w:val="21"/>
              </w:rPr>
            </w:pPr>
          </w:p>
        </w:tc>
        <w:tc>
          <w:tcPr>
            <w:tcW w:w="2586" w:type="pct"/>
            <w:tcBorders>
              <w:top w:val="single" w:color="auto" w:sz="4" w:space="0"/>
              <w:left w:val="single" w:color="auto" w:sz="4" w:space="0"/>
              <w:bottom w:val="single" w:color="auto" w:sz="4" w:space="0"/>
              <w:right w:val="single" w:color="auto" w:sz="4" w:space="0"/>
            </w:tcBorders>
            <w:vAlign w:val="center"/>
          </w:tcPr>
          <w:p w14:paraId="4AAB08FF">
            <w:pPr>
              <w:spacing w:line="240" w:lineRule="auto"/>
              <w:ind w:firstLine="0" w:firstLineChars="0"/>
              <w:jc w:val="center"/>
              <w:rPr>
                <w:rFonts w:hint="eastAsia"/>
                <w:color w:val="auto"/>
                <w:sz w:val="21"/>
              </w:rPr>
            </w:pPr>
            <w:r>
              <w:rPr>
                <w:rFonts w:hint="eastAsia"/>
                <w:color w:val="auto"/>
                <w:sz w:val="21"/>
              </w:rPr>
              <w:t>温度控制器及阀门应安装在便于观察和维护的位置。</w:t>
            </w:r>
          </w:p>
        </w:tc>
        <w:tc>
          <w:tcPr>
            <w:tcW w:w="1439" w:type="pct"/>
            <w:tcBorders>
              <w:top w:val="single" w:color="auto" w:sz="4" w:space="0"/>
              <w:left w:val="single" w:color="auto" w:sz="4" w:space="0"/>
              <w:bottom w:val="single" w:color="auto" w:sz="4" w:space="0"/>
              <w:right w:val="single" w:color="auto" w:sz="4" w:space="0"/>
            </w:tcBorders>
            <w:vAlign w:val="center"/>
          </w:tcPr>
          <w:p w14:paraId="1E84FFF9">
            <w:pPr>
              <w:spacing w:line="240" w:lineRule="auto"/>
              <w:ind w:firstLine="0" w:firstLineChars="0"/>
              <w:jc w:val="center"/>
              <w:rPr>
                <w:rFonts w:hint="eastAsia"/>
                <w:color w:val="auto"/>
                <w:sz w:val="21"/>
              </w:rPr>
            </w:pPr>
            <w:r>
              <w:rPr>
                <w:rFonts w:hint="eastAsia"/>
                <w:color w:val="auto"/>
                <w:sz w:val="21"/>
              </w:rPr>
              <w:t>观察检查</w:t>
            </w:r>
          </w:p>
        </w:tc>
      </w:tr>
    </w:tbl>
    <w:p w14:paraId="503513BB">
      <w:pPr>
        <w:ind w:firstLine="482"/>
        <w:rPr>
          <w:rFonts w:hint="eastAsia"/>
          <w:b/>
          <w:bCs/>
          <w:color w:val="auto"/>
        </w:rPr>
      </w:pPr>
      <w:r>
        <w:rPr>
          <w:rFonts w:hint="eastAsia"/>
          <w:b/>
          <w:bCs/>
          <w:color w:val="auto"/>
        </w:rPr>
        <w:t>插表 辐射设备安装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107"/>
        <w:gridCol w:w="5119"/>
        <w:gridCol w:w="2174"/>
      </w:tblGrid>
      <w:tr w14:paraId="03469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1F42BA56">
            <w:pPr>
              <w:spacing w:line="240" w:lineRule="auto"/>
              <w:ind w:firstLine="0" w:firstLineChars="0"/>
              <w:jc w:val="center"/>
              <w:rPr>
                <w:rFonts w:hint="eastAsia"/>
                <w:color w:val="auto"/>
                <w:sz w:val="21"/>
              </w:rPr>
            </w:pPr>
            <w:r>
              <w:rPr>
                <w:rFonts w:hint="eastAsia"/>
                <w:color w:val="auto"/>
                <w:sz w:val="21"/>
              </w:rPr>
              <w:t>序号</w:t>
            </w:r>
          </w:p>
        </w:tc>
        <w:tc>
          <w:tcPr>
            <w:tcW w:w="611" w:type="pct"/>
            <w:tcBorders>
              <w:top w:val="single" w:color="auto" w:sz="4" w:space="0"/>
              <w:left w:val="single" w:color="auto" w:sz="4" w:space="0"/>
              <w:bottom w:val="single" w:color="auto" w:sz="4" w:space="0"/>
              <w:right w:val="single" w:color="auto" w:sz="4" w:space="0"/>
            </w:tcBorders>
            <w:vAlign w:val="center"/>
          </w:tcPr>
          <w:p w14:paraId="5DF34111">
            <w:pPr>
              <w:spacing w:line="240" w:lineRule="auto"/>
              <w:ind w:firstLine="0" w:firstLineChars="0"/>
              <w:jc w:val="center"/>
              <w:rPr>
                <w:rFonts w:hint="eastAsia"/>
                <w:color w:val="auto"/>
                <w:sz w:val="21"/>
              </w:rPr>
            </w:pPr>
            <w:r>
              <w:rPr>
                <w:rFonts w:hint="eastAsia"/>
                <w:color w:val="auto"/>
                <w:sz w:val="21"/>
              </w:rPr>
              <w:t>项目类型</w:t>
            </w:r>
          </w:p>
        </w:tc>
        <w:tc>
          <w:tcPr>
            <w:tcW w:w="2825" w:type="pct"/>
            <w:tcBorders>
              <w:top w:val="single" w:color="auto" w:sz="4" w:space="0"/>
              <w:left w:val="single" w:color="auto" w:sz="4" w:space="0"/>
              <w:bottom w:val="single" w:color="auto" w:sz="4" w:space="0"/>
              <w:right w:val="single" w:color="auto" w:sz="4" w:space="0"/>
            </w:tcBorders>
            <w:vAlign w:val="center"/>
          </w:tcPr>
          <w:p w14:paraId="5814227C">
            <w:pPr>
              <w:spacing w:line="240" w:lineRule="auto"/>
              <w:ind w:firstLine="0" w:firstLineChars="0"/>
              <w:jc w:val="center"/>
              <w:rPr>
                <w:rFonts w:hint="eastAsia"/>
                <w:color w:val="auto"/>
                <w:sz w:val="21"/>
              </w:rPr>
            </w:pPr>
            <w:r>
              <w:rPr>
                <w:rFonts w:hint="eastAsia"/>
                <w:color w:val="auto"/>
                <w:sz w:val="21"/>
              </w:rPr>
              <w:t>内容</w:t>
            </w:r>
          </w:p>
        </w:tc>
        <w:tc>
          <w:tcPr>
            <w:tcW w:w="1200" w:type="pct"/>
            <w:tcBorders>
              <w:top w:val="single" w:color="auto" w:sz="4" w:space="0"/>
              <w:left w:val="single" w:color="auto" w:sz="4" w:space="0"/>
              <w:bottom w:val="single" w:color="auto" w:sz="4" w:space="0"/>
              <w:right w:val="single" w:color="auto" w:sz="4" w:space="0"/>
            </w:tcBorders>
            <w:vAlign w:val="center"/>
          </w:tcPr>
          <w:p w14:paraId="177BCBD0">
            <w:pPr>
              <w:spacing w:line="240" w:lineRule="auto"/>
              <w:ind w:firstLine="0" w:firstLineChars="0"/>
              <w:jc w:val="center"/>
              <w:rPr>
                <w:rFonts w:hint="eastAsia"/>
                <w:color w:val="auto"/>
                <w:sz w:val="21"/>
              </w:rPr>
            </w:pPr>
            <w:r>
              <w:rPr>
                <w:rFonts w:hint="eastAsia"/>
                <w:color w:val="auto"/>
                <w:sz w:val="21"/>
              </w:rPr>
              <w:t>检验方法</w:t>
            </w:r>
          </w:p>
        </w:tc>
      </w:tr>
      <w:tr w14:paraId="4AAB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66BFFD7">
            <w:pPr>
              <w:spacing w:line="240" w:lineRule="auto"/>
              <w:ind w:firstLine="0" w:firstLineChars="0"/>
              <w:jc w:val="center"/>
              <w:rPr>
                <w:rFonts w:hint="eastAsia"/>
                <w:color w:val="auto"/>
                <w:sz w:val="21"/>
              </w:rPr>
            </w:pPr>
            <w:r>
              <w:rPr>
                <w:rFonts w:hint="eastAsia"/>
                <w:color w:val="auto"/>
                <w:sz w:val="21"/>
              </w:rPr>
              <w:t>1</w:t>
            </w:r>
          </w:p>
        </w:tc>
        <w:tc>
          <w:tcPr>
            <w:tcW w:w="611" w:type="pct"/>
            <w:vMerge w:val="restart"/>
            <w:tcBorders>
              <w:top w:val="nil"/>
              <w:left w:val="single" w:color="auto" w:sz="4" w:space="0"/>
              <w:bottom w:val="single" w:color="auto" w:sz="4" w:space="0"/>
              <w:right w:val="single" w:color="auto" w:sz="4" w:space="0"/>
            </w:tcBorders>
            <w:vAlign w:val="center"/>
          </w:tcPr>
          <w:p w14:paraId="3842B7F2">
            <w:pPr>
              <w:spacing w:line="240" w:lineRule="auto"/>
              <w:ind w:firstLine="0" w:firstLineChars="0"/>
              <w:jc w:val="center"/>
              <w:rPr>
                <w:rFonts w:hint="eastAsia"/>
                <w:color w:val="auto"/>
                <w:sz w:val="21"/>
              </w:rPr>
            </w:pPr>
            <w:r>
              <w:rPr>
                <w:rFonts w:hint="eastAsia"/>
                <w:color w:val="auto"/>
                <w:sz w:val="21"/>
              </w:rPr>
              <w:t>主控项目</w:t>
            </w:r>
          </w:p>
        </w:tc>
        <w:tc>
          <w:tcPr>
            <w:tcW w:w="2825" w:type="pct"/>
            <w:tcBorders>
              <w:top w:val="single" w:color="auto" w:sz="4" w:space="0"/>
              <w:left w:val="single" w:color="auto" w:sz="4" w:space="0"/>
              <w:bottom w:val="single" w:color="auto" w:sz="4" w:space="0"/>
              <w:right w:val="single" w:color="auto" w:sz="4" w:space="0"/>
            </w:tcBorders>
            <w:vAlign w:val="center"/>
          </w:tcPr>
          <w:p w14:paraId="72978B6A">
            <w:pPr>
              <w:spacing w:line="240" w:lineRule="auto"/>
              <w:ind w:firstLine="420"/>
              <w:jc w:val="left"/>
              <w:rPr>
                <w:rFonts w:hint="eastAsia"/>
                <w:color w:val="auto"/>
                <w:sz w:val="21"/>
              </w:rPr>
            </w:pPr>
            <w:r>
              <w:rPr>
                <w:rFonts w:hint="eastAsia"/>
                <w:color w:val="auto"/>
                <w:sz w:val="21"/>
              </w:rPr>
              <w:t>在安装太阳能集热器玻璃前，应对集热排管和上、下集管作水压试验，试验压力为工作压力的1.5倍。</w:t>
            </w:r>
          </w:p>
        </w:tc>
        <w:tc>
          <w:tcPr>
            <w:tcW w:w="1200" w:type="pct"/>
            <w:tcBorders>
              <w:top w:val="single" w:color="auto" w:sz="4" w:space="0"/>
              <w:left w:val="single" w:color="auto" w:sz="4" w:space="0"/>
              <w:bottom w:val="single" w:color="auto" w:sz="4" w:space="0"/>
              <w:right w:val="single" w:color="auto" w:sz="4" w:space="0"/>
            </w:tcBorders>
            <w:vAlign w:val="center"/>
          </w:tcPr>
          <w:p w14:paraId="3ACC4CCE">
            <w:pPr>
              <w:spacing w:line="240" w:lineRule="auto"/>
              <w:ind w:firstLine="0" w:firstLineChars="0"/>
              <w:jc w:val="center"/>
              <w:rPr>
                <w:rFonts w:hint="eastAsia"/>
                <w:color w:val="auto"/>
                <w:sz w:val="21"/>
              </w:rPr>
            </w:pPr>
            <w:r>
              <w:rPr>
                <w:rFonts w:hint="eastAsia"/>
                <w:color w:val="auto"/>
                <w:sz w:val="21"/>
              </w:rPr>
              <w:t>试验压力下10min内压力不降，不渗不漏</w:t>
            </w:r>
          </w:p>
        </w:tc>
      </w:tr>
      <w:tr w14:paraId="211D0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A7D3B47">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2157EB96">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44F59656">
            <w:pPr>
              <w:spacing w:line="240" w:lineRule="auto"/>
              <w:ind w:firstLine="420"/>
              <w:jc w:val="left"/>
              <w:rPr>
                <w:rFonts w:hint="eastAsia"/>
                <w:color w:val="auto"/>
                <w:sz w:val="21"/>
              </w:rPr>
            </w:pPr>
            <w:r>
              <w:rPr>
                <w:rFonts w:hint="eastAsia"/>
                <w:color w:val="auto"/>
                <w:sz w:val="21"/>
              </w:rPr>
              <w:t>热交换器应以工作压力的1.5倍作水压试验。蒸汽部分应不低于蒸汽供汽压力加0.3Mpa；热水部分应不低于0.4MPa。</w:t>
            </w:r>
          </w:p>
        </w:tc>
        <w:tc>
          <w:tcPr>
            <w:tcW w:w="1200" w:type="pct"/>
            <w:tcBorders>
              <w:top w:val="single" w:color="auto" w:sz="4" w:space="0"/>
              <w:left w:val="single" w:color="auto" w:sz="4" w:space="0"/>
              <w:bottom w:val="single" w:color="auto" w:sz="4" w:space="0"/>
              <w:right w:val="single" w:color="auto" w:sz="4" w:space="0"/>
            </w:tcBorders>
            <w:vAlign w:val="center"/>
          </w:tcPr>
          <w:p w14:paraId="1C95279A">
            <w:pPr>
              <w:spacing w:line="240" w:lineRule="auto"/>
              <w:ind w:firstLine="0" w:firstLineChars="0"/>
              <w:jc w:val="center"/>
              <w:rPr>
                <w:rFonts w:hint="eastAsia"/>
                <w:color w:val="auto"/>
                <w:sz w:val="21"/>
              </w:rPr>
            </w:pPr>
            <w:r>
              <w:rPr>
                <w:rFonts w:hint="eastAsia"/>
                <w:color w:val="auto"/>
                <w:sz w:val="21"/>
              </w:rPr>
              <w:t>试验压力下10min内压力不降、不渗不漏</w:t>
            </w:r>
          </w:p>
        </w:tc>
      </w:tr>
      <w:tr w14:paraId="233CB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1C5E5C9">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500D564A">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2AB441E8">
            <w:pPr>
              <w:spacing w:line="240" w:lineRule="auto"/>
              <w:ind w:firstLine="420"/>
              <w:jc w:val="left"/>
              <w:rPr>
                <w:rFonts w:hint="eastAsia"/>
                <w:color w:val="auto"/>
                <w:sz w:val="21"/>
              </w:rPr>
            </w:pPr>
            <w:r>
              <w:rPr>
                <w:rFonts w:hint="eastAsia"/>
                <w:color w:val="auto"/>
                <w:sz w:val="21"/>
              </w:rPr>
              <w:t>水泵就位前的基础混凝土强度、坐标、标高、尺寸和螺栓孔位置必须符合设计要求。</w:t>
            </w:r>
          </w:p>
        </w:tc>
        <w:tc>
          <w:tcPr>
            <w:tcW w:w="1200" w:type="pct"/>
            <w:tcBorders>
              <w:top w:val="single" w:color="auto" w:sz="4" w:space="0"/>
              <w:left w:val="single" w:color="auto" w:sz="4" w:space="0"/>
              <w:bottom w:val="single" w:color="auto" w:sz="4" w:space="0"/>
              <w:right w:val="single" w:color="auto" w:sz="4" w:space="0"/>
            </w:tcBorders>
            <w:vAlign w:val="center"/>
          </w:tcPr>
          <w:p w14:paraId="60511FC5">
            <w:pPr>
              <w:spacing w:line="240" w:lineRule="auto"/>
              <w:ind w:firstLine="0" w:firstLineChars="0"/>
              <w:jc w:val="center"/>
              <w:rPr>
                <w:rFonts w:hint="eastAsia"/>
                <w:color w:val="auto"/>
                <w:sz w:val="21"/>
              </w:rPr>
            </w:pPr>
            <w:r>
              <w:rPr>
                <w:rFonts w:hint="eastAsia"/>
                <w:color w:val="auto"/>
                <w:sz w:val="21"/>
              </w:rPr>
              <w:t>温度计实测检查</w:t>
            </w:r>
          </w:p>
        </w:tc>
      </w:tr>
      <w:tr w14:paraId="7096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AFDE11F">
            <w:pPr>
              <w:spacing w:line="240" w:lineRule="auto"/>
              <w:ind w:firstLine="0" w:firstLineChars="0"/>
              <w:jc w:val="center"/>
              <w:rPr>
                <w:rFonts w:hint="eastAsia"/>
                <w:color w:val="auto"/>
                <w:sz w:val="21"/>
              </w:rPr>
            </w:pPr>
            <w:r>
              <w:rPr>
                <w:rFonts w:hint="eastAsia"/>
                <w:color w:val="auto"/>
                <w:sz w:val="21"/>
              </w:rPr>
              <w:t>4</w:t>
            </w:r>
          </w:p>
        </w:tc>
        <w:tc>
          <w:tcPr>
            <w:tcW w:w="0" w:type="auto"/>
            <w:vMerge w:val="continue"/>
            <w:tcBorders>
              <w:top w:val="nil"/>
              <w:left w:val="single" w:color="auto" w:sz="4" w:space="0"/>
              <w:bottom w:val="single" w:color="auto" w:sz="4" w:space="0"/>
              <w:right w:val="single" w:color="auto" w:sz="4" w:space="0"/>
            </w:tcBorders>
            <w:vAlign w:val="center"/>
          </w:tcPr>
          <w:p w14:paraId="28B24133">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597BFA66">
            <w:pPr>
              <w:spacing w:line="240" w:lineRule="auto"/>
              <w:ind w:firstLine="420"/>
              <w:jc w:val="left"/>
              <w:rPr>
                <w:rFonts w:hint="eastAsia"/>
                <w:color w:val="auto"/>
                <w:sz w:val="21"/>
              </w:rPr>
            </w:pPr>
            <w:r>
              <w:rPr>
                <w:rFonts w:hint="eastAsia"/>
                <w:color w:val="auto"/>
                <w:sz w:val="21"/>
              </w:rPr>
              <w:t>敞口水箱的满水试验和密闭水箱（罐）的水压试验必须符合设计与规范规定。</w:t>
            </w:r>
          </w:p>
        </w:tc>
        <w:tc>
          <w:tcPr>
            <w:tcW w:w="1200" w:type="pct"/>
            <w:tcBorders>
              <w:top w:val="single" w:color="auto" w:sz="4" w:space="0"/>
              <w:left w:val="single" w:color="auto" w:sz="4" w:space="0"/>
              <w:bottom w:val="single" w:color="auto" w:sz="4" w:space="0"/>
              <w:right w:val="single" w:color="auto" w:sz="4" w:space="0"/>
            </w:tcBorders>
            <w:vAlign w:val="center"/>
          </w:tcPr>
          <w:p w14:paraId="0441EFBA">
            <w:pPr>
              <w:spacing w:line="240" w:lineRule="auto"/>
              <w:ind w:firstLine="0" w:firstLineChars="0"/>
              <w:jc w:val="center"/>
              <w:rPr>
                <w:rFonts w:hint="eastAsia"/>
                <w:color w:val="auto"/>
                <w:sz w:val="21"/>
              </w:rPr>
            </w:pPr>
            <w:r>
              <w:rPr>
                <w:rFonts w:hint="eastAsia"/>
                <w:color w:val="auto"/>
                <w:sz w:val="21"/>
              </w:rPr>
              <w:t>满水试验静置24h，观察不渗不漏；水压试验在试验压力下10min压力不降，不渗不漏</w:t>
            </w:r>
          </w:p>
        </w:tc>
      </w:tr>
      <w:tr w14:paraId="379F3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64B5B38">
            <w:pPr>
              <w:spacing w:line="240" w:lineRule="auto"/>
              <w:ind w:firstLine="0" w:firstLineChars="0"/>
              <w:jc w:val="center"/>
              <w:rPr>
                <w:rFonts w:hint="eastAsia"/>
                <w:color w:val="auto"/>
                <w:sz w:val="21"/>
              </w:rPr>
            </w:pPr>
            <w:r>
              <w:rPr>
                <w:rFonts w:hint="eastAsia"/>
                <w:color w:val="auto"/>
                <w:sz w:val="21"/>
              </w:rPr>
              <w:t>5</w:t>
            </w:r>
          </w:p>
        </w:tc>
        <w:tc>
          <w:tcPr>
            <w:tcW w:w="611" w:type="pct"/>
            <w:vMerge w:val="restart"/>
            <w:tcBorders>
              <w:top w:val="nil"/>
              <w:left w:val="single" w:color="auto" w:sz="4" w:space="0"/>
              <w:bottom w:val="single" w:color="auto" w:sz="4" w:space="0"/>
              <w:right w:val="single" w:color="auto" w:sz="4" w:space="0"/>
            </w:tcBorders>
            <w:vAlign w:val="center"/>
          </w:tcPr>
          <w:p w14:paraId="23F74E15">
            <w:pPr>
              <w:spacing w:line="240" w:lineRule="auto"/>
              <w:ind w:firstLine="0" w:firstLineChars="0"/>
              <w:jc w:val="center"/>
              <w:rPr>
                <w:rFonts w:hint="eastAsia"/>
                <w:color w:val="auto"/>
                <w:sz w:val="21"/>
              </w:rPr>
            </w:pPr>
            <w:r>
              <w:rPr>
                <w:rFonts w:hint="eastAsia"/>
                <w:color w:val="auto"/>
                <w:sz w:val="21"/>
              </w:rPr>
              <w:t>一般项目</w:t>
            </w:r>
          </w:p>
        </w:tc>
        <w:tc>
          <w:tcPr>
            <w:tcW w:w="2825" w:type="pct"/>
            <w:tcBorders>
              <w:top w:val="single" w:color="auto" w:sz="4" w:space="0"/>
              <w:left w:val="single" w:color="auto" w:sz="4" w:space="0"/>
              <w:bottom w:val="single" w:color="auto" w:sz="4" w:space="0"/>
              <w:right w:val="single" w:color="auto" w:sz="4" w:space="0"/>
            </w:tcBorders>
            <w:vAlign w:val="center"/>
          </w:tcPr>
          <w:p w14:paraId="617B5431">
            <w:pPr>
              <w:spacing w:line="240" w:lineRule="auto"/>
              <w:ind w:firstLine="420"/>
              <w:jc w:val="left"/>
              <w:rPr>
                <w:rFonts w:hint="eastAsia"/>
                <w:color w:val="auto"/>
                <w:sz w:val="21"/>
              </w:rPr>
            </w:pPr>
            <w:r>
              <w:rPr>
                <w:rFonts w:hint="eastAsia"/>
                <w:color w:val="auto"/>
                <w:sz w:val="21"/>
              </w:rPr>
              <w:t>安装固定式太阳能热水器，朝向应正南。如条件限制时，其偏移角不得大于15°。集热器的倾角，对于春、夏、秋三个季节使用的，应采用当地纬度为倾角；若以夏季为主，可比当地纬度减少10°。</w:t>
            </w:r>
          </w:p>
        </w:tc>
        <w:tc>
          <w:tcPr>
            <w:tcW w:w="1200" w:type="pct"/>
            <w:tcBorders>
              <w:top w:val="single" w:color="auto" w:sz="4" w:space="0"/>
              <w:left w:val="single" w:color="auto" w:sz="4" w:space="0"/>
              <w:bottom w:val="single" w:color="auto" w:sz="4" w:space="0"/>
              <w:right w:val="single" w:color="auto" w:sz="4" w:space="0"/>
            </w:tcBorders>
            <w:vAlign w:val="center"/>
          </w:tcPr>
          <w:p w14:paraId="5359D077">
            <w:pPr>
              <w:spacing w:line="240" w:lineRule="auto"/>
              <w:ind w:firstLine="0" w:firstLineChars="0"/>
              <w:jc w:val="center"/>
              <w:rPr>
                <w:rFonts w:hint="eastAsia"/>
                <w:color w:val="auto"/>
                <w:sz w:val="21"/>
              </w:rPr>
            </w:pPr>
            <w:r>
              <w:rPr>
                <w:rFonts w:hint="eastAsia"/>
                <w:color w:val="auto"/>
                <w:sz w:val="21"/>
              </w:rPr>
              <w:t>观察和分度仪检查</w:t>
            </w:r>
          </w:p>
        </w:tc>
      </w:tr>
      <w:tr w14:paraId="3CF09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232537E">
            <w:pPr>
              <w:spacing w:line="240" w:lineRule="auto"/>
              <w:ind w:firstLine="0" w:firstLineChars="0"/>
              <w:jc w:val="center"/>
              <w:rPr>
                <w:rFonts w:hint="eastAsia"/>
                <w:color w:val="auto"/>
                <w:sz w:val="21"/>
              </w:rPr>
            </w:pPr>
            <w:r>
              <w:rPr>
                <w:rFonts w:hint="eastAsia"/>
                <w:color w:val="auto"/>
                <w:sz w:val="21"/>
              </w:rPr>
              <w:t>6</w:t>
            </w:r>
          </w:p>
        </w:tc>
        <w:tc>
          <w:tcPr>
            <w:tcW w:w="0" w:type="auto"/>
            <w:vMerge w:val="continue"/>
            <w:tcBorders>
              <w:top w:val="nil"/>
              <w:left w:val="single" w:color="auto" w:sz="4" w:space="0"/>
              <w:bottom w:val="single" w:color="auto" w:sz="4" w:space="0"/>
              <w:right w:val="single" w:color="auto" w:sz="4" w:space="0"/>
            </w:tcBorders>
            <w:vAlign w:val="center"/>
          </w:tcPr>
          <w:p w14:paraId="0FBA1066">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7013C3D6">
            <w:pPr>
              <w:spacing w:line="240" w:lineRule="auto"/>
              <w:ind w:firstLine="420"/>
              <w:jc w:val="left"/>
              <w:rPr>
                <w:rFonts w:hint="eastAsia"/>
                <w:color w:val="auto"/>
                <w:sz w:val="21"/>
              </w:rPr>
            </w:pPr>
            <w:r>
              <w:rPr>
                <w:rFonts w:hint="eastAsia"/>
                <w:color w:val="auto"/>
                <w:sz w:val="21"/>
              </w:rPr>
              <w:t>由集热器上、下集管接往热水箱的循环管道，应有不小于5‰的坡度。</w:t>
            </w:r>
          </w:p>
        </w:tc>
        <w:tc>
          <w:tcPr>
            <w:tcW w:w="1200" w:type="pct"/>
            <w:tcBorders>
              <w:top w:val="single" w:color="auto" w:sz="4" w:space="0"/>
              <w:left w:val="single" w:color="auto" w:sz="4" w:space="0"/>
              <w:bottom w:val="single" w:color="auto" w:sz="4" w:space="0"/>
              <w:right w:val="single" w:color="auto" w:sz="4" w:space="0"/>
            </w:tcBorders>
            <w:vAlign w:val="center"/>
          </w:tcPr>
          <w:p w14:paraId="414CDE15">
            <w:pPr>
              <w:spacing w:line="240" w:lineRule="auto"/>
              <w:ind w:firstLine="0" w:firstLineChars="0"/>
              <w:jc w:val="center"/>
              <w:rPr>
                <w:rFonts w:hint="eastAsia"/>
                <w:color w:val="auto"/>
                <w:sz w:val="21"/>
              </w:rPr>
            </w:pPr>
            <w:r>
              <w:rPr>
                <w:rFonts w:hint="eastAsia"/>
                <w:color w:val="auto"/>
                <w:sz w:val="21"/>
              </w:rPr>
              <w:t>尺量检查</w:t>
            </w:r>
          </w:p>
        </w:tc>
      </w:tr>
      <w:tr w14:paraId="2FA68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3E3E279">
            <w:pPr>
              <w:spacing w:line="240" w:lineRule="auto"/>
              <w:ind w:firstLine="0" w:firstLineChars="0"/>
              <w:jc w:val="center"/>
              <w:rPr>
                <w:rFonts w:hint="eastAsia"/>
                <w:color w:val="auto"/>
                <w:sz w:val="21"/>
              </w:rPr>
            </w:pPr>
            <w:r>
              <w:rPr>
                <w:rFonts w:hint="eastAsia"/>
                <w:color w:val="auto"/>
                <w:sz w:val="21"/>
              </w:rPr>
              <w:t>7</w:t>
            </w:r>
          </w:p>
        </w:tc>
        <w:tc>
          <w:tcPr>
            <w:tcW w:w="0" w:type="auto"/>
            <w:vMerge w:val="continue"/>
            <w:tcBorders>
              <w:top w:val="nil"/>
              <w:left w:val="single" w:color="auto" w:sz="4" w:space="0"/>
              <w:bottom w:val="single" w:color="auto" w:sz="4" w:space="0"/>
              <w:right w:val="single" w:color="auto" w:sz="4" w:space="0"/>
            </w:tcBorders>
            <w:vAlign w:val="center"/>
          </w:tcPr>
          <w:p w14:paraId="08743EB6">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6E967E3E">
            <w:pPr>
              <w:spacing w:line="240" w:lineRule="auto"/>
              <w:ind w:firstLine="420"/>
              <w:jc w:val="left"/>
              <w:rPr>
                <w:rFonts w:hint="eastAsia"/>
                <w:color w:val="auto"/>
                <w:sz w:val="21"/>
              </w:rPr>
            </w:pPr>
            <w:r>
              <w:rPr>
                <w:rFonts w:hint="eastAsia"/>
                <w:color w:val="auto"/>
                <w:sz w:val="21"/>
              </w:rPr>
              <w:t>自然循环的热水箱底部与集热器上集管之间的距离为0.3～1.0m。</w:t>
            </w:r>
          </w:p>
        </w:tc>
        <w:tc>
          <w:tcPr>
            <w:tcW w:w="1200" w:type="pct"/>
            <w:tcBorders>
              <w:top w:val="single" w:color="auto" w:sz="4" w:space="0"/>
              <w:left w:val="single" w:color="auto" w:sz="4" w:space="0"/>
              <w:bottom w:val="single" w:color="auto" w:sz="4" w:space="0"/>
              <w:right w:val="single" w:color="auto" w:sz="4" w:space="0"/>
            </w:tcBorders>
            <w:vAlign w:val="center"/>
          </w:tcPr>
          <w:p w14:paraId="1E75FE39">
            <w:pPr>
              <w:spacing w:line="240" w:lineRule="auto"/>
              <w:ind w:firstLine="0" w:firstLineChars="0"/>
              <w:jc w:val="center"/>
              <w:rPr>
                <w:rFonts w:hint="eastAsia"/>
                <w:color w:val="auto"/>
                <w:sz w:val="21"/>
              </w:rPr>
            </w:pPr>
            <w:r>
              <w:rPr>
                <w:rFonts w:hint="eastAsia"/>
                <w:color w:val="auto"/>
                <w:sz w:val="21"/>
              </w:rPr>
              <w:t>尺量检查</w:t>
            </w:r>
          </w:p>
        </w:tc>
      </w:tr>
      <w:tr w14:paraId="3A8E6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1B6D5EC">
            <w:pPr>
              <w:spacing w:line="240" w:lineRule="auto"/>
              <w:ind w:firstLine="0" w:firstLineChars="0"/>
              <w:jc w:val="center"/>
              <w:rPr>
                <w:rFonts w:hint="eastAsia"/>
                <w:color w:val="auto"/>
                <w:sz w:val="21"/>
              </w:rPr>
            </w:pPr>
            <w:r>
              <w:rPr>
                <w:rFonts w:hint="eastAsia"/>
                <w:color w:val="auto"/>
                <w:sz w:val="21"/>
              </w:rPr>
              <w:t>8</w:t>
            </w:r>
          </w:p>
        </w:tc>
        <w:tc>
          <w:tcPr>
            <w:tcW w:w="0" w:type="auto"/>
            <w:vMerge w:val="continue"/>
            <w:tcBorders>
              <w:top w:val="nil"/>
              <w:left w:val="single" w:color="auto" w:sz="4" w:space="0"/>
              <w:bottom w:val="single" w:color="auto" w:sz="4" w:space="0"/>
              <w:right w:val="single" w:color="auto" w:sz="4" w:space="0"/>
            </w:tcBorders>
            <w:vAlign w:val="center"/>
          </w:tcPr>
          <w:p w14:paraId="7E397D25">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7E830067">
            <w:pPr>
              <w:spacing w:line="240" w:lineRule="auto"/>
              <w:ind w:firstLine="420"/>
              <w:jc w:val="left"/>
              <w:rPr>
                <w:rFonts w:hint="eastAsia"/>
                <w:color w:val="auto"/>
                <w:sz w:val="21"/>
              </w:rPr>
            </w:pPr>
            <w:r>
              <w:rPr>
                <w:rFonts w:hint="eastAsia"/>
                <w:color w:val="auto"/>
                <w:sz w:val="21"/>
              </w:rPr>
              <w:t>制作吸热钢板凹槽时，其圆度应准确，间距应一致。安装集热排管时，应用卡箍和钢丝紧固在钢板凹槽内。</w:t>
            </w:r>
          </w:p>
        </w:tc>
        <w:tc>
          <w:tcPr>
            <w:tcW w:w="1200" w:type="pct"/>
            <w:tcBorders>
              <w:top w:val="single" w:color="auto" w:sz="4" w:space="0"/>
              <w:left w:val="single" w:color="auto" w:sz="4" w:space="0"/>
              <w:bottom w:val="single" w:color="auto" w:sz="4" w:space="0"/>
              <w:right w:val="single" w:color="auto" w:sz="4" w:space="0"/>
            </w:tcBorders>
            <w:vAlign w:val="center"/>
          </w:tcPr>
          <w:p w14:paraId="02B37B50">
            <w:pPr>
              <w:spacing w:line="240" w:lineRule="auto"/>
              <w:ind w:firstLine="0" w:firstLineChars="0"/>
              <w:jc w:val="center"/>
              <w:rPr>
                <w:rFonts w:hint="eastAsia"/>
                <w:color w:val="auto"/>
                <w:sz w:val="21"/>
              </w:rPr>
            </w:pPr>
            <w:r>
              <w:rPr>
                <w:rFonts w:hint="eastAsia"/>
                <w:color w:val="auto"/>
                <w:sz w:val="21"/>
              </w:rPr>
              <w:t>手扳和尺量检查</w:t>
            </w:r>
          </w:p>
        </w:tc>
      </w:tr>
      <w:tr w14:paraId="2937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3ABFA89">
            <w:pPr>
              <w:spacing w:line="240" w:lineRule="auto"/>
              <w:ind w:firstLine="0" w:firstLineChars="0"/>
              <w:jc w:val="center"/>
              <w:rPr>
                <w:rFonts w:hint="eastAsia"/>
                <w:color w:val="auto"/>
                <w:sz w:val="21"/>
              </w:rPr>
            </w:pPr>
            <w:r>
              <w:rPr>
                <w:rFonts w:hint="eastAsia"/>
                <w:color w:val="auto"/>
                <w:sz w:val="21"/>
              </w:rPr>
              <w:t>9</w:t>
            </w:r>
          </w:p>
        </w:tc>
        <w:tc>
          <w:tcPr>
            <w:tcW w:w="0" w:type="auto"/>
            <w:vMerge w:val="continue"/>
            <w:tcBorders>
              <w:top w:val="nil"/>
              <w:left w:val="single" w:color="auto" w:sz="4" w:space="0"/>
              <w:bottom w:val="single" w:color="auto" w:sz="4" w:space="0"/>
              <w:right w:val="single" w:color="auto" w:sz="4" w:space="0"/>
            </w:tcBorders>
            <w:vAlign w:val="center"/>
          </w:tcPr>
          <w:p w14:paraId="77B7023A">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42DD6E92">
            <w:pPr>
              <w:spacing w:line="240" w:lineRule="auto"/>
              <w:ind w:firstLine="420"/>
              <w:jc w:val="left"/>
              <w:rPr>
                <w:rFonts w:hint="eastAsia"/>
                <w:color w:val="auto"/>
                <w:sz w:val="21"/>
              </w:rPr>
            </w:pPr>
            <w:r>
              <w:rPr>
                <w:rFonts w:hint="eastAsia"/>
                <w:color w:val="auto"/>
                <w:sz w:val="21"/>
              </w:rPr>
              <w:t>太阳能热水器的最低处应安装泄水装置。</w:t>
            </w:r>
          </w:p>
        </w:tc>
        <w:tc>
          <w:tcPr>
            <w:tcW w:w="1200" w:type="pct"/>
            <w:tcBorders>
              <w:top w:val="single" w:color="auto" w:sz="4" w:space="0"/>
              <w:left w:val="single" w:color="auto" w:sz="4" w:space="0"/>
              <w:bottom w:val="single" w:color="auto" w:sz="4" w:space="0"/>
              <w:right w:val="single" w:color="auto" w:sz="4" w:space="0"/>
            </w:tcBorders>
            <w:vAlign w:val="center"/>
          </w:tcPr>
          <w:p w14:paraId="43E7A87C">
            <w:pPr>
              <w:spacing w:line="240" w:lineRule="auto"/>
              <w:ind w:firstLine="0" w:firstLineChars="0"/>
              <w:jc w:val="center"/>
              <w:rPr>
                <w:rFonts w:hint="eastAsia"/>
                <w:color w:val="auto"/>
                <w:sz w:val="21"/>
              </w:rPr>
            </w:pPr>
            <w:r>
              <w:rPr>
                <w:rFonts w:hint="eastAsia"/>
                <w:color w:val="auto"/>
                <w:sz w:val="21"/>
              </w:rPr>
              <w:t>观察检查</w:t>
            </w:r>
          </w:p>
        </w:tc>
      </w:tr>
      <w:tr w14:paraId="64FB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26536C7">
            <w:pPr>
              <w:spacing w:line="240" w:lineRule="auto"/>
              <w:ind w:firstLine="0" w:firstLineChars="0"/>
              <w:jc w:val="center"/>
              <w:rPr>
                <w:rFonts w:hint="eastAsia"/>
                <w:color w:val="auto"/>
                <w:sz w:val="21"/>
              </w:rPr>
            </w:pPr>
            <w:r>
              <w:rPr>
                <w:rFonts w:hint="eastAsia"/>
                <w:color w:val="auto"/>
                <w:sz w:val="21"/>
              </w:rPr>
              <w:t>10</w:t>
            </w:r>
          </w:p>
        </w:tc>
        <w:tc>
          <w:tcPr>
            <w:tcW w:w="0" w:type="auto"/>
            <w:vMerge w:val="continue"/>
            <w:tcBorders>
              <w:top w:val="nil"/>
              <w:left w:val="single" w:color="auto" w:sz="4" w:space="0"/>
              <w:bottom w:val="single" w:color="auto" w:sz="4" w:space="0"/>
              <w:right w:val="single" w:color="auto" w:sz="4" w:space="0"/>
            </w:tcBorders>
            <w:vAlign w:val="center"/>
          </w:tcPr>
          <w:p w14:paraId="0FF3614A">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06E80411">
            <w:pPr>
              <w:spacing w:line="240" w:lineRule="auto"/>
              <w:ind w:firstLine="420"/>
              <w:jc w:val="left"/>
              <w:rPr>
                <w:rFonts w:hint="eastAsia"/>
                <w:color w:val="auto"/>
                <w:sz w:val="21"/>
              </w:rPr>
            </w:pPr>
            <w:r>
              <w:rPr>
                <w:rFonts w:hint="eastAsia"/>
                <w:color w:val="auto"/>
                <w:sz w:val="21"/>
              </w:rPr>
              <w:t>热水箱及上、下集管等循环管道均应保温。</w:t>
            </w:r>
          </w:p>
        </w:tc>
        <w:tc>
          <w:tcPr>
            <w:tcW w:w="1200" w:type="pct"/>
            <w:tcBorders>
              <w:top w:val="single" w:color="auto" w:sz="4" w:space="0"/>
              <w:left w:val="single" w:color="auto" w:sz="4" w:space="0"/>
              <w:bottom w:val="single" w:color="auto" w:sz="4" w:space="0"/>
              <w:right w:val="single" w:color="auto" w:sz="4" w:space="0"/>
            </w:tcBorders>
            <w:vAlign w:val="center"/>
          </w:tcPr>
          <w:p w14:paraId="0DF0ABCA">
            <w:pPr>
              <w:spacing w:line="240" w:lineRule="auto"/>
              <w:ind w:firstLine="0" w:firstLineChars="0"/>
              <w:jc w:val="center"/>
              <w:rPr>
                <w:rFonts w:hint="eastAsia"/>
                <w:color w:val="auto"/>
                <w:sz w:val="21"/>
              </w:rPr>
            </w:pPr>
            <w:r>
              <w:rPr>
                <w:rFonts w:hint="eastAsia"/>
                <w:color w:val="auto"/>
                <w:sz w:val="21"/>
              </w:rPr>
              <w:t>观察检查</w:t>
            </w:r>
          </w:p>
        </w:tc>
      </w:tr>
      <w:tr w14:paraId="088C7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E2B777B">
            <w:pPr>
              <w:spacing w:line="240" w:lineRule="auto"/>
              <w:ind w:firstLine="0" w:firstLineChars="0"/>
              <w:jc w:val="center"/>
              <w:rPr>
                <w:rFonts w:hint="eastAsia"/>
                <w:color w:val="auto"/>
                <w:sz w:val="21"/>
              </w:rPr>
            </w:pPr>
            <w:r>
              <w:rPr>
                <w:rFonts w:hint="eastAsia"/>
                <w:color w:val="auto"/>
                <w:sz w:val="21"/>
              </w:rPr>
              <w:t>11</w:t>
            </w:r>
          </w:p>
        </w:tc>
        <w:tc>
          <w:tcPr>
            <w:tcW w:w="0" w:type="auto"/>
            <w:vMerge w:val="continue"/>
            <w:tcBorders>
              <w:top w:val="nil"/>
              <w:left w:val="single" w:color="auto" w:sz="4" w:space="0"/>
              <w:bottom w:val="single" w:color="auto" w:sz="4" w:space="0"/>
              <w:right w:val="single" w:color="auto" w:sz="4" w:space="0"/>
            </w:tcBorders>
            <w:vAlign w:val="center"/>
          </w:tcPr>
          <w:p w14:paraId="34935093">
            <w:pPr>
              <w:spacing w:line="240" w:lineRule="auto"/>
              <w:ind w:firstLine="0" w:firstLineChars="0"/>
              <w:jc w:val="center"/>
              <w:rPr>
                <w:color w:val="auto"/>
                <w:sz w:val="21"/>
              </w:rPr>
            </w:pPr>
          </w:p>
        </w:tc>
        <w:tc>
          <w:tcPr>
            <w:tcW w:w="2825" w:type="pct"/>
            <w:tcBorders>
              <w:top w:val="single" w:color="auto" w:sz="4" w:space="0"/>
              <w:left w:val="single" w:color="auto" w:sz="4" w:space="0"/>
              <w:bottom w:val="single" w:color="auto" w:sz="4" w:space="0"/>
              <w:right w:val="single" w:color="auto" w:sz="4" w:space="0"/>
            </w:tcBorders>
            <w:vAlign w:val="center"/>
          </w:tcPr>
          <w:p w14:paraId="1286D54C">
            <w:pPr>
              <w:spacing w:line="240" w:lineRule="auto"/>
              <w:ind w:firstLine="420"/>
              <w:jc w:val="left"/>
              <w:rPr>
                <w:rFonts w:hint="eastAsia"/>
                <w:color w:val="auto"/>
                <w:sz w:val="21"/>
              </w:rPr>
            </w:pPr>
            <w:r>
              <w:rPr>
                <w:rFonts w:hint="eastAsia"/>
                <w:color w:val="auto"/>
                <w:sz w:val="21"/>
              </w:rPr>
              <w:t>凡以水作介质的太阳能热水器，在0℃以下地区使用，应采取防冻措施。</w:t>
            </w:r>
          </w:p>
        </w:tc>
        <w:tc>
          <w:tcPr>
            <w:tcW w:w="1200" w:type="pct"/>
            <w:tcBorders>
              <w:top w:val="single" w:color="auto" w:sz="4" w:space="0"/>
              <w:left w:val="single" w:color="auto" w:sz="4" w:space="0"/>
              <w:bottom w:val="single" w:color="auto" w:sz="4" w:space="0"/>
              <w:right w:val="single" w:color="auto" w:sz="4" w:space="0"/>
            </w:tcBorders>
            <w:vAlign w:val="center"/>
          </w:tcPr>
          <w:p w14:paraId="59B1796F">
            <w:pPr>
              <w:spacing w:line="240" w:lineRule="auto"/>
              <w:ind w:firstLine="0" w:firstLineChars="0"/>
              <w:jc w:val="center"/>
              <w:rPr>
                <w:rFonts w:hint="eastAsia"/>
                <w:color w:val="auto"/>
                <w:sz w:val="21"/>
              </w:rPr>
            </w:pPr>
            <w:r>
              <w:rPr>
                <w:rFonts w:hint="eastAsia"/>
                <w:color w:val="auto"/>
                <w:sz w:val="21"/>
              </w:rPr>
              <w:t>观察检查</w:t>
            </w:r>
          </w:p>
        </w:tc>
      </w:tr>
    </w:tbl>
    <w:p w14:paraId="0F31862F">
      <w:pPr>
        <w:rPr>
          <w:rFonts w:hint="eastAsia"/>
          <w:color w:val="auto"/>
        </w:rPr>
      </w:pPr>
      <w:r>
        <w:rPr>
          <w:rFonts w:hint="eastAsia"/>
          <w:color w:val="auto"/>
        </w:rPr>
        <w:t>（7）卫生器具安装</w:t>
      </w:r>
    </w:p>
    <w:p w14:paraId="79F567AD">
      <w:pPr>
        <w:rPr>
          <w:rFonts w:hint="eastAsia"/>
          <w:color w:val="auto"/>
        </w:rPr>
      </w:pPr>
      <w:r>
        <w:rPr>
          <w:rFonts w:hint="eastAsia"/>
          <w:color w:val="auto"/>
        </w:rPr>
        <w:t>1）主控项目：</w:t>
      </w:r>
    </w:p>
    <w:p w14:paraId="5697574D">
      <w:pPr>
        <w:rPr>
          <w:rFonts w:hint="eastAsia"/>
          <w:color w:val="auto"/>
        </w:rPr>
      </w:pPr>
      <w:r>
        <w:rPr>
          <w:rFonts w:hint="eastAsia"/>
          <w:color w:val="auto"/>
        </w:rPr>
        <w:t>排水栓和地漏的安装应平正、牢固，低于排水表面，周 边无渗漏。地漏水封高度不得小于50mm。</w:t>
      </w:r>
    </w:p>
    <w:p w14:paraId="06FCFDC4">
      <w:pPr>
        <w:rPr>
          <w:rFonts w:hint="eastAsia"/>
          <w:color w:val="auto"/>
        </w:rPr>
      </w:pPr>
      <w:r>
        <w:rPr>
          <w:rFonts w:hint="eastAsia"/>
          <w:color w:val="auto"/>
        </w:rPr>
        <w:t>检验方法：试水观察检查。</w:t>
      </w:r>
    </w:p>
    <w:p w14:paraId="32A0050C">
      <w:pPr>
        <w:rPr>
          <w:rFonts w:hint="eastAsia"/>
          <w:color w:val="auto"/>
        </w:rPr>
      </w:pPr>
      <w:r>
        <w:rPr>
          <w:rFonts w:hint="eastAsia"/>
          <w:color w:val="auto"/>
        </w:rPr>
        <w:t>卫生器具交工前应做满水和通水试验。</w:t>
      </w:r>
    </w:p>
    <w:p w14:paraId="3FEE63B8">
      <w:pPr>
        <w:rPr>
          <w:rFonts w:hint="eastAsia"/>
          <w:color w:val="auto"/>
        </w:rPr>
      </w:pPr>
      <w:r>
        <w:rPr>
          <w:rFonts w:hint="eastAsia"/>
          <w:color w:val="auto"/>
        </w:rPr>
        <w:t>检验方法：满水后各连接件不渗不漏；通水试验给、排水畅通。</w:t>
      </w:r>
    </w:p>
    <w:p w14:paraId="377452D3">
      <w:pPr>
        <w:rPr>
          <w:rFonts w:hint="eastAsia"/>
          <w:color w:val="auto"/>
        </w:rPr>
      </w:pPr>
      <w:r>
        <w:rPr>
          <w:rFonts w:hint="eastAsia"/>
          <w:color w:val="auto"/>
        </w:rPr>
        <w:t>2）一般项目：</w:t>
      </w:r>
    </w:p>
    <w:p w14:paraId="049A3F59">
      <w:pPr>
        <w:rPr>
          <w:rFonts w:hint="eastAsia"/>
          <w:color w:val="auto"/>
        </w:rPr>
      </w:pPr>
      <w:r>
        <w:rPr>
          <w:rFonts w:hint="eastAsia"/>
          <w:color w:val="auto"/>
        </w:rPr>
        <w:t>卫生器具安装的允许偏差应符合下表规定。</w:t>
      </w:r>
    </w:p>
    <w:p w14:paraId="2C7CF2E1">
      <w:pPr>
        <w:pStyle w:val="54"/>
        <w:rPr>
          <w:rFonts w:hint="eastAsia"/>
          <w:color w:val="auto"/>
        </w:rPr>
      </w:pPr>
      <w:r>
        <w:rPr>
          <w:rFonts w:hint="eastAsia"/>
          <w:color w:val="auto"/>
        </w:rPr>
        <w:t>卫生器具安装的允许偏差和检验方法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873"/>
        <w:gridCol w:w="1475"/>
        <w:gridCol w:w="2559"/>
        <w:gridCol w:w="3280"/>
      </w:tblGrid>
      <w:tr w14:paraId="36F86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 w:type="pct"/>
            <w:tcBorders>
              <w:top w:val="single" w:color="auto" w:sz="4" w:space="0"/>
              <w:left w:val="single" w:color="auto" w:sz="4" w:space="0"/>
              <w:bottom w:val="single" w:color="auto" w:sz="4" w:space="0"/>
              <w:right w:val="single" w:color="auto" w:sz="4" w:space="0"/>
            </w:tcBorders>
            <w:vAlign w:val="center"/>
          </w:tcPr>
          <w:p w14:paraId="507E6865">
            <w:pPr>
              <w:spacing w:line="240" w:lineRule="auto"/>
              <w:ind w:firstLine="0" w:firstLineChars="0"/>
              <w:jc w:val="center"/>
              <w:rPr>
                <w:rFonts w:hint="eastAsia"/>
                <w:color w:val="auto"/>
                <w:sz w:val="21"/>
              </w:rPr>
            </w:pPr>
            <w:r>
              <w:rPr>
                <w:rFonts w:hint="eastAsia"/>
                <w:color w:val="auto"/>
                <w:sz w:val="21"/>
              </w:rPr>
              <w:t>项次</w:t>
            </w:r>
          </w:p>
        </w:tc>
        <w:tc>
          <w:tcPr>
            <w:tcW w:w="1296" w:type="pct"/>
            <w:gridSpan w:val="2"/>
            <w:tcBorders>
              <w:top w:val="single" w:color="auto" w:sz="4" w:space="0"/>
              <w:left w:val="single" w:color="auto" w:sz="4" w:space="0"/>
              <w:bottom w:val="single" w:color="auto" w:sz="4" w:space="0"/>
              <w:right w:val="single" w:color="auto" w:sz="4" w:space="0"/>
            </w:tcBorders>
            <w:vAlign w:val="center"/>
          </w:tcPr>
          <w:p w14:paraId="1C77CF8C">
            <w:pPr>
              <w:spacing w:line="240" w:lineRule="auto"/>
              <w:ind w:firstLine="0" w:firstLineChars="0"/>
              <w:jc w:val="center"/>
              <w:rPr>
                <w:rFonts w:hint="eastAsia"/>
                <w:color w:val="auto"/>
                <w:sz w:val="21"/>
              </w:rPr>
            </w:pPr>
            <w:r>
              <w:rPr>
                <w:rFonts w:hint="eastAsia"/>
                <w:color w:val="auto"/>
                <w:sz w:val="21"/>
              </w:rPr>
              <w:t>项目</w:t>
            </w:r>
          </w:p>
        </w:tc>
        <w:tc>
          <w:tcPr>
            <w:tcW w:w="1412" w:type="pct"/>
            <w:tcBorders>
              <w:top w:val="single" w:color="auto" w:sz="4" w:space="0"/>
              <w:left w:val="single" w:color="auto" w:sz="4" w:space="0"/>
              <w:bottom w:val="single" w:color="auto" w:sz="4" w:space="0"/>
              <w:right w:val="single" w:color="auto" w:sz="4" w:space="0"/>
            </w:tcBorders>
            <w:vAlign w:val="center"/>
          </w:tcPr>
          <w:p w14:paraId="3B61F411">
            <w:pPr>
              <w:spacing w:line="240" w:lineRule="auto"/>
              <w:ind w:firstLine="0" w:firstLineChars="0"/>
              <w:jc w:val="center"/>
              <w:rPr>
                <w:rFonts w:hint="eastAsia"/>
                <w:color w:val="auto"/>
                <w:sz w:val="21"/>
              </w:rPr>
            </w:pPr>
            <w:r>
              <w:rPr>
                <w:rFonts w:hint="eastAsia"/>
                <w:color w:val="auto"/>
                <w:sz w:val="21"/>
              </w:rPr>
              <w:t>允许偏差（mm）</w:t>
            </w:r>
          </w:p>
        </w:tc>
        <w:tc>
          <w:tcPr>
            <w:tcW w:w="1810" w:type="pct"/>
            <w:tcBorders>
              <w:top w:val="single" w:color="auto" w:sz="4" w:space="0"/>
              <w:left w:val="single" w:color="auto" w:sz="4" w:space="0"/>
              <w:bottom w:val="single" w:color="auto" w:sz="4" w:space="0"/>
              <w:right w:val="single" w:color="auto" w:sz="4" w:space="0"/>
            </w:tcBorders>
            <w:vAlign w:val="center"/>
          </w:tcPr>
          <w:p w14:paraId="37DD1195">
            <w:pPr>
              <w:spacing w:line="240" w:lineRule="auto"/>
              <w:ind w:firstLine="0" w:firstLineChars="0"/>
              <w:jc w:val="center"/>
              <w:rPr>
                <w:rFonts w:hint="eastAsia"/>
                <w:color w:val="auto"/>
                <w:sz w:val="21"/>
              </w:rPr>
            </w:pPr>
            <w:r>
              <w:rPr>
                <w:rFonts w:hint="eastAsia"/>
                <w:color w:val="auto"/>
                <w:sz w:val="21"/>
              </w:rPr>
              <w:t>检验方法</w:t>
            </w:r>
          </w:p>
        </w:tc>
      </w:tr>
      <w:tr w14:paraId="6BA4C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 w:type="pct"/>
            <w:vMerge w:val="restart"/>
            <w:tcBorders>
              <w:top w:val="nil"/>
              <w:left w:val="single" w:color="auto" w:sz="4" w:space="0"/>
              <w:bottom w:val="single" w:color="auto" w:sz="4" w:space="0"/>
              <w:right w:val="single" w:color="auto" w:sz="4" w:space="0"/>
            </w:tcBorders>
            <w:vAlign w:val="center"/>
          </w:tcPr>
          <w:p w14:paraId="718A24F8">
            <w:pPr>
              <w:spacing w:line="240" w:lineRule="auto"/>
              <w:ind w:firstLine="0" w:firstLineChars="0"/>
              <w:jc w:val="center"/>
              <w:rPr>
                <w:rFonts w:hint="eastAsia"/>
                <w:color w:val="auto"/>
                <w:sz w:val="21"/>
              </w:rPr>
            </w:pPr>
            <w:r>
              <w:rPr>
                <w:rFonts w:hint="eastAsia"/>
                <w:color w:val="auto"/>
                <w:sz w:val="21"/>
              </w:rPr>
              <w:t>1</w:t>
            </w:r>
          </w:p>
        </w:tc>
        <w:tc>
          <w:tcPr>
            <w:tcW w:w="482" w:type="pct"/>
            <w:vMerge w:val="restart"/>
            <w:tcBorders>
              <w:top w:val="nil"/>
              <w:left w:val="single" w:color="auto" w:sz="4" w:space="0"/>
              <w:bottom w:val="single" w:color="auto" w:sz="4" w:space="0"/>
              <w:right w:val="single" w:color="auto" w:sz="4" w:space="0"/>
            </w:tcBorders>
            <w:vAlign w:val="center"/>
          </w:tcPr>
          <w:p w14:paraId="5BB93228">
            <w:pPr>
              <w:spacing w:line="240" w:lineRule="auto"/>
              <w:ind w:firstLine="0" w:firstLineChars="0"/>
              <w:jc w:val="center"/>
              <w:rPr>
                <w:rFonts w:hint="eastAsia"/>
                <w:color w:val="auto"/>
                <w:sz w:val="21"/>
              </w:rPr>
            </w:pPr>
            <w:r>
              <w:rPr>
                <w:rFonts w:hint="eastAsia"/>
                <w:color w:val="auto"/>
                <w:sz w:val="21"/>
              </w:rPr>
              <w:t>坐标</w:t>
            </w:r>
          </w:p>
        </w:tc>
        <w:tc>
          <w:tcPr>
            <w:tcW w:w="814" w:type="pct"/>
            <w:tcBorders>
              <w:top w:val="single" w:color="auto" w:sz="4" w:space="0"/>
              <w:left w:val="single" w:color="auto" w:sz="4" w:space="0"/>
              <w:bottom w:val="single" w:color="auto" w:sz="4" w:space="0"/>
              <w:right w:val="single" w:color="auto" w:sz="4" w:space="0"/>
            </w:tcBorders>
            <w:vAlign w:val="center"/>
          </w:tcPr>
          <w:p w14:paraId="6AC6104E">
            <w:pPr>
              <w:spacing w:line="240" w:lineRule="auto"/>
              <w:ind w:firstLine="0" w:firstLineChars="0"/>
              <w:jc w:val="center"/>
              <w:rPr>
                <w:rFonts w:hint="eastAsia"/>
                <w:color w:val="auto"/>
                <w:sz w:val="21"/>
              </w:rPr>
            </w:pPr>
            <w:r>
              <w:rPr>
                <w:rFonts w:hint="eastAsia"/>
                <w:color w:val="auto"/>
                <w:sz w:val="21"/>
              </w:rPr>
              <w:t>单独器具</w:t>
            </w:r>
          </w:p>
        </w:tc>
        <w:tc>
          <w:tcPr>
            <w:tcW w:w="1412" w:type="pct"/>
            <w:tcBorders>
              <w:top w:val="single" w:color="auto" w:sz="4" w:space="0"/>
              <w:left w:val="single" w:color="auto" w:sz="4" w:space="0"/>
              <w:bottom w:val="single" w:color="auto" w:sz="4" w:space="0"/>
              <w:right w:val="single" w:color="auto" w:sz="4" w:space="0"/>
            </w:tcBorders>
            <w:vAlign w:val="center"/>
          </w:tcPr>
          <w:p w14:paraId="4B6C7021">
            <w:pPr>
              <w:spacing w:line="240" w:lineRule="auto"/>
              <w:ind w:firstLine="0" w:firstLineChars="0"/>
              <w:jc w:val="center"/>
              <w:rPr>
                <w:rFonts w:hint="eastAsia"/>
                <w:color w:val="auto"/>
                <w:sz w:val="21"/>
              </w:rPr>
            </w:pPr>
            <w:r>
              <w:rPr>
                <w:rFonts w:hint="eastAsia"/>
                <w:color w:val="auto"/>
                <w:sz w:val="21"/>
              </w:rPr>
              <w:t>10</w:t>
            </w:r>
          </w:p>
        </w:tc>
        <w:tc>
          <w:tcPr>
            <w:tcW w:w="1810" w:type="pct"/>
            <w:vMerge w:val="restart"/>
            <w:tcBorders>
              <w:top w:val="single" w:color="auto" w:sz="4" w:space="0"/>
              <w:left w:val="single" w:color="auto" w:sz="4" w:space="0"/>
              <w:bottom w:val="single" w:color="auto" w:sz="4" w:space="0"/>
              <w:right w:val="single" w:color="auto" w:sz="4" w:space="0"/>
            </w:tcBorders>
            <w:vAlign w:val="center"/>
          </w:tcPr>
          <w:p w14:paraId="1A167C21">
            <w:pPr>
              <w:spacing w:line="240" w:lineRule="auto"/>
              <w:ind w:firstLine="0" w:firstLineChars="0"/>
              <w:jc w:val="center"/>
              <w:rPr>
                <w:rFonts w:hint="eastAsia"/>
                <w:color w:val="auto"/>
                <w:sz w:val="21"/>
              </w:rPr>
            </w:pPr>
            <w:r>
              <w:rPr>
                <w:rFonts w:hint="eastAsia"/>
                <w:color w:val="auto"/>
                <w:sz w:val="21"/>
              </w:rPr>
              <w:t>拉线、吊线和尺量检查</w:t>
            </w:r>
          </w:p>
        </w:tc>
      </w:tr>
      <w:tr w14:paraId="7EDE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B2CF1E4">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64887A0">
            <w:pPr>
              <w:spacing w:line="240" w:lineRule="auto"/>
              <w:ind w:firstLine="0" w:firstLineChars="0"/>
              <w:jc w:val="center"/>
              <w:rPr>
                <w:color w:val="auto"/>
                <w:sz w:val="21"/>
              </w:rPr>
            </w:pPr>
          </w:p>
        </w:tc>
        <w:tc>
          <w:tcPr>
            <w:tcW w:w="814" w:type="pct"/>
            <w:tcBorders>
              <w:top w:val="single" w:color="auto" w:sz="4" w:space="0"/>
              <w:left w:val="single" w:color="auto" w:sz="4" w:space="0"/>
              <w:bottom w:val="single" w:color="auto" w:sz="4" w:space="0"/>
              <w:right w:val="single" w:color="auto" w:sz="4" w:space="0"/>
            </w:tcBorders>
            <w:vAlign w:val="center"/>
          </w:tcPr>
          <w:p w14:paraId="5787F01F">
            <w:pPr>
              <w:spacing w:line="240" w:lineRule="auto"/>
              <w:ind w:firstLine="0" w:firstLineChars="0"/>
              <w:jc w:val="center"/>
              <w:rPr>
                <w:rFonts w:hint="eastAsia"/>
                <w:color w:val="auto"/>
                <w:sz w:val="21"/>
              </w:rPr>
            </w:pPr>
            <w:r>
              <w:rPr>
                <w:rFonts w:hint="eastAsia"/>
                <w:color w:val="auto"/>
                <w:sz w:val="21"/>
              </w:rPr>
              <w:t>成排器具</w:t>
            </w:r>
          </w:p>
        </w:tc>
        <w:tc>
          <w:tcPr>
            <w:tcW w:w="1412" w:type="pct"/>
            <w:tcBorders>
              <w:top w:val="single" w:color="auto" w:sz="4" w:space="0"/>
              <w:left w:val="single" w:color="auto" w:sz="4" w:space="0"/>
              <w:bottom w:val="single" w:color="auto" w:sz="4" w:space="0"/>
              <w:right w:val="single" w:color="auto" w:sz="4" w:space="0"/>
            </w:tcBorders>
            <w:vAlign w:val="center"/>
          </w:tcPr>
          <w:p w14:paraId="1513BDCA">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164B0C5">
            <w:pPr>
              <w:spacing w:line="240" w:lineRule="auto"/>
              <w:ind w:firstLine="0" w:firstLineChars="0"/>
              <w:jc w:val="center"/>
              <w:rPr>
                <w:color w:val="auto"/>
                <w:sz w:val="21"/>
              </w:rPr>
            </w:pPr>
          </w:p>
        </w:tc>
      </w:tr>
      <w:tr w14:paraId="7853C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 w:type="pct"/>
            <w:vMerge w:val="restart"/>
            <w:tcBorders>
              <w:top w:val="nil"/>
              <w:left w:val="single" w:color="auto" w:sz="4" w:space="0"/>
              <w:bottom w:val="single" w:color="auto" w:sz="4" w:space="0"/>
              <w:right w:val="single" w:color="auto" w:sz="4" w:space="0"/>
            </w:tcBorders>
            <w:vAlign w:val="center"/>
          </w:tcPr>
          <w:p w14:paraId="31375EDA">
            <w:pPr>
              <w:spacing w:line="240" w:lineRule="auto"/>
              <w:ind w:firstLine="0" w:firstLineChars="0"/>
              <w:jc w:val="center"/>
              <w:rPr>
                <w:rFonts w:hint="eastAsia"/>
                <w:color w:val="auto"/>
                <w:sz w:val="21"/>
              </w:rPr>
            </w:pPr>
            <w:r>
              <w:rPr>
                <w:rFonts w:hint="eastAsia"/>
                <w:color w:val="auto"/>
                <w:sz w:val="21"/>
              </w:rPr>
              <w:t>2</w:t>
            </w:r>
          </w:p>
        </w:tc>
        <w:tc>
          <w:tcPr>
            <w:tcW w:w="482" w:type="pct"/>
            <w:vMerge w:val="restart"/>
            <w:tcBorders>
              <w:top w:val="nil"/>
              <w:left w:val="single" w:color="auto" w:sz="4" w:space="0"/>
              <w:bottom w:val="single" w:color="auto" w:sz="4" w:space="0"/>
              <w:right w:val="single" w:color="auto" w:sz="4" w:space="0"/>
            </w:tcBorders>
            <w:vAlign w:val="center"/>
          </w:tcPr>
          <w:p w14:paraId="343E9D40">
            <w:pPr>
              <w:spacing w:line="240" w:lineRule="auto"/>
              <w:ind w:firstLine="0" w:firstLineChars="0"/>
              <w:jc w:val="center"/>
              <w:rPr>
                <w:rFonts w:hint="eastAsia"/>
                <w:color w:val="auto"/>
                <w:sz w:val="21"/>
              </w:rPr>
            </w:pPr>
            <w:r>
              <w:rPr>
                <w:rFonts w:hint="eastAsia"/>
                <w:color w:val="auto"/>
                <w:sz w:val="21"/>
              </w:rPr>
              <w:t>标高</w:t>
            </w:r>
          </w:p>
        </w:tc>
        <w:tc>
          <w:tcPr>
            <w:tcW w:w="814" w:type="pct"/>
            <w:tcBorders>
              <w:top w:val="single" w:color="auto" w:sz="4" w:space="0"/>
              <w:left w:val="single" w:color="auto" w:sz="4" w:space="0"/>
              <w:bottom w:val="single" w:color="auto" w:sz="4" w:space="0"/>
              <w:right w:val="single" w:color="auto" w:sz="4" w:space="0"/>
            </w:tcBorders>
            <w:vAlign w:val="center"/>
          </w:tcPr>
          <w:p w14:paraId="612361BC">
            <w:pPr>
              <w:spacing w:line="240" w:lineRule="auto"/>
              <w:ind w:firstLine="0" w:firstLineChars="0"/>
              <w:jc w:val="center"/>
              <w:rPr>
                <w:rFonts w:hint="eastAsia"/>
                <w:color w:val="auto"/>
                <w:sz w:val="21"/>
              </w:rPr>
            </w:pPr>
            <w:r>
              <w:rPr>
                <w:rFonts w:hint="eastAsia"/>
                <w:color w:val="auto"/>
                <w:sz w:val="21"/>
              </w:rPr>
              <w:t>单独器具</w:t>
            </w:r>
          </w:p>
        </w:tc>
        <w:tc>
          <w:tcPr>
            <w:tcW w:w="1412" w:type="pct"/>
            <w:tcBorders>
              <w:top w:val="single" w:color="auto" w:sz="4" w:space="0"/>
              <w:left w:val="single" w:color="auto" w:sz="4" w:space="0"/>
              <w:bottom w:val="single" w:color="auto" w:sz="4" w:space="0"/>
              <w:right w:val="single" w:color="auto" w:sz="4" w:space="0"/>
            </w:tcBorders>
            <w:vAlign w:val="center"/>
          </w:tcPr>
          <w:p w14:paraId="2569600F">
            <w:pPr>
              <w:spacing w:line="240" w:lineRule="auto"/>
              <w:ind w:firstLine="0" w:firstLineChars="0"/>
              <w:jc w:val="center"/>
              <w:rPr>
                <w:rFonts w:hint="eastAsia"/>
                <w:color w:val="auto"/>
                <w:sz w:val="21"/>
              </w:rPr>
            </w:pPr>
            <w:r>
              <w:rPr>
                <w:rFonts w:hint="eastAsia"/>
                <w:color w:val="auto"/>
                <w:sz w:val="21"/>
              </w:rPr>
              <w:t>±15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696F577">
            <w:pPr>
              <w:spacing w:line="240" w:lineRule="auto"/>
              <w:ind w:firstLine="0" w:firstLineChars="0"/>
              <w:jc w:val="center"/>
              <w:rPr>
                <w:color w:val="auto"/>
                <w:sz w:val="21"/>
              </w:rPr>
            </w:pPr>
          </w:p>
        </w:tc>
      </w:tr>
      <w:tr w14:paraId="23659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4098D18D">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1ABEFDB">
            <w:pPr>
              <w:spacing w:line="240" w:lineRule="auto"/>
              <w:ind w:firstLine="0" w:firstLineChars="0"/>
              <w:jc w:val="center"/>
              <w:rPr>
                <w:color w:val="auto"/>
                <w:sz w:val="21"/>
              </w:rPr>
            </w:pPr>
          </w:p>
        </w:tc>
        <w:tc>
          <w:tcPr>
            <w:tcW w:w="814" w:type="pct"/>
            <w:tcBorders>
              <w:top w:val="single" w:color="auto" w:sz="4" w:space="0"/>
              <w:left w:val="single" w:color="auto" w:sz="4" w:space="0"/>
              <w:bottom w:val="single" w:color="auto" w:sz="4" w:space="0"/>
              <w:right w:val="single" w:color="auto" w:sz="4" w:space="0"/>
            </w:tcBorders>
            <w:vAlign w:val="center"/>
          </w:tcPr>
          <w:p w14:paraId="7C1D7208">
            <w:pPr>
              <w:spacing w:line="240" w:lineRule="auto"/>
              <w:ind w:firstLine="0" w:firstLineChars="0"/>
              <w:jc w:val="center"/>
              <w:rPr>
                <w:rFonts w:hint="eastAsia"/>
                <w:color w:val="auto"/>
                <w:sz w:val="21"/>
              </w:rPr>
            </w:pPr>
            <w:r>
              <w:rPr>
                <w:rFonts w:hint="eastAsia"/>
                <w:color w:val="auto"/>
                <w:sz w:val="21"/>
              </w:rPr>
              <w:t>成排器具</w:t>
            </w:r>
          </w:p>
        </w:tc>
        <w:tc>
          <w:tcPr>
            <w:tcW w:w="1412" w:type="pct"/>
            <w:tcBorders>
              <w:top w:val="single" w:color="auto" w:sz="4" w:space="0"/>
              <w:left w:val="single" w:color="auto" w:sz="4" w:space="0"/>
              <w:bottom w:val="single" w:color="auto" w:sz="4" w:space="0"/>
              <w:right w:val="single" w:color="auto" w:sz="4" w:space="0"/>
            </w:tcBorders>
            <w:vAlign w:val="center"/>
          </w:tcPr>
          <w:p w14:paraId="10AC9612">
            <w:pPr>
              <w:spacing w:line="240" w:lineRule="auto"/>
              <w:ind w:firstLine="0" w:firstLineChars="0"/>
              <w:jc w:val="center"/>
              <w:rPr>
                <w:rFonts w:hint="eastAsia"/>
                <w:color w:val="auto"/>
                <w:sz w:val="21"/>
              </w:rPr>
            </w:pPr>
            <w:r>
              <w:rPr>
                <w:rFonts w:hint="eastAsia"/>
                <w:color w:val="auto"/>
                <w:sz w:val="21"/>
              </w:rPr>
              <w:t>±10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805D913">
            <w:pPr>
              <w:spacing w:line="240" w:lineRule="auto"/>
              <w:ind w:firstLine="0" w:firstLineChars="0"/>
              <w:jc w:val="center"/>
              <w:rPr>
                <w:color w:val="auto"/>
                <w:sz w:val="21"/>
              </w:rPr>
            </w:pPr>
          </w:p>
        </w:tc>
      </w:tr>
      <w:tr w14:paraId="71E7F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 w:type="pct"/>
            <w:tcBorders>
              <w:top w:val="single" w:color="auto" w:sz="4" w:space="0"/>
              <w:left w:val="single" w:color="auto" w:sz="4" w:space="0"/>
              <w:bottom w:val="single" w:color="auto" w:sz="4" w:space="0"/>
              <w:right w:val="single" w:color="auto" w:sz="4" w:space="0"/>
            </w:tcBorders>
            <w:vAlign w:val="center"/>
          </w:tcPr>
          <w:p w14:paraId="0A9F23FB">
            <w:pPr>
              <w:spacing w:line="240" w:lineRule="auto"/>
              <w:ind w:firstLine="0" w:firstLineChars="0"/>
              <w:jc w:val="center"/>
              <w:rPr>
                <w:rFonts w:hint="eastAsia"/>
                <w:color w:val="auto"/>
                <w:sz w:val="21"/>
              </w:rPr>
            </w:pPr>
            <w:r>
              <w:rPr>
                <w:rFonts w:hint="eastAsia"/>
                <w:color w:val="auto"/>
                <w:sz w:val="21"/>
              </w:rPr>
              <w:t>3</w:t>
            </w:r>
          </w:p>
        </w:tc>
        <w:tc>
          <w:tcPr>
            <w:tcW w:w="1296" w:type="pct"/>
            <w:gridSpan w:val="2"/>
            <w:tcBorders>
              <w:top w:val="single" w:color="auto" w:sz="4" w:space="0"/>
              <w:left w:val="single" w:color="auto" w:sz="4" w:space="0"/>
              <w:bottom w:val="single" w:color="auto" w:sz="4" w:space="0"/>
              <w:right w:val="single" w:color="auto" w:sz="4" w:space="0"/>
            </w:tcBorders>
            <w:vAlign w:val="center"/>
          </w:tcPr>
          <w:p w14:paraId="16341214">
            <w:pPr>
              <w:spacing w:line="240" w:lineRule="auto"/>
              <w:ind w:firstLine="0" w:firstLineChars="0"/>
              <w:jc w:val="center"/>
              <w:rPr>
                <w:rFonts w:hint="eastAsia"/>
                <w:color w:val="auto"/>
                <w:sz w:val="21"/>
              </w:rPr>
            </w:pPr>
            <w:r>
              <w:rPr>
                <w:rFonts w:hint="eastAsia"/>
                <w:color w:val="auto"/>
                <w:sz w:val="21"/>
              </w:rPr>
              <w:t>器具水平度</w:t>
            </w:r>
          </w:p>
        </w:tc>
        <w:tc>
          <w:tcPr>
            <w:tcW w:w="1412" w:type="pct"/>
            <w:tcBorders>
              <w:top w:val="single" w:color="auto" w:sz="4" w:space="0"/>
              <w:left w:val="single" w:color="auto" w:sz="4" w:space="0"/>
              <w:bottom w:val="single" w:color="auto" w:sz="4" w:space="0"/>
              <w:right w:val="single" w:color="auto" w:sz="4" w:space="0"/>
            </w:tcBorders>
            <w:vAlign w:val="center"/>
          </w:tcPr>
          <w:p w14:paraId="66A63E17">
            <w:pPr>
              <w:spacing w:line="240" w:lineRule="auto"/>
              <w:ind w:firstLine="0" w:firstLineChars="0"/>
              <w:jc w:val="center"/>
              <w:rPr>
                <w:rFonts w:hint="eastAsia"/>
                <w:color w:val="auto"/>
                <w:sz w:val="21"/>
              </w:rPr>
            </w:pPr>
            <w:r>
              <w:rPr>
                <w:rFonts w:hint="eastAsia"/>
                <w:color w:val="auto"/>
                <w:sz w:val="21"/>
              </w:rPr>
              <w:t>2</w:t>
            </w:r>
          </w:p>
        </w:tc>
        <w:tc>
          <w:tcPr>
            <w:tcW w:w="1810" w:type="pct"/>
            <w:tcBorders>
              <w:top w:val="single" w:color="auto" w:sz="4" w:space="0"/>
              <w:left w:val="single" w:color="auto" w:sz="4" w:space="0"/>
              <w:bottom w:val="single" w:color="auto" w:sz="4" w:space="0"/>
              <w:right w:val="single" w:color="auto" w:sz="4" w:space="0"/>
            </w:tcBorders>
            <w:vAlign w:val="center"/>
          </w:tcPr>
          <w:p w14:paraId="12A8D45F">
            <w:pPr>
              <w:spacing w:line="240" w:lineRule="auto"/>
              <w:ind w:firstLine="0" w:firstLineChars="0"/>
              <w:jc w:val="center"/>
              <w:rPr>
                <w:rFonts w:hint="eastAsia"/>
                <w:color w:val="auto"/>
                <w:sz w:val="21"/>
              </w:rPr>
            </w:pPr>
            <w:r>
              <w:rPr>
                <w:rFonts w:hint="eastAsia"/>
                <w:color w:val="auto"/>
                <w:sz w:val="21"/>
              </w:rPr>
              <w:t>用水理尺和尺量检查</w:t>
            </w:r>
          </w:p>
        </w:tc>
      </w:tr>
      <w:tr w14:paraId="1B4AF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2" w:type="pct"/>
            <w:tcBorders>
              <w:top w:val="single" w:color="auto" w:sz="4" w:space="0"/>
              <w:left w:val="single" w:color="auto" w:sz="4" w:space="0"/>
              <w:bottom w:val="single" w:color="auto" w:sz="4" w:space="0"/>
              <w:right w:val="single" w:color="auto" w:sz="4" w:space="0"/>
            </w:tcBorders>
            <w:vAlign w:val="center"/>
          </w:tcPr>
          <w:p w14:paraId="6AD87EF5">
            <w:pPr>
              <w:spacing w:line="240" w:lineRule="auto"/>
              <w:ind w:firstLine="0" w:firstLineChars="0"/>
              <w:jc w:val="center"/>
              <w:rPr>
                <w:rFonts w:hint="eastAsia"/>
                <w:color w:val="auto"/>
                <w:sz w:val="21"/>
              </w:rPr>
            </w:pPr>
            <w:r>
              <w:rPr>
                <w:rFonts w:hint="eastAsia"/>
                <w:color w:val="auto"/>
                <w:sz w:val="21"/>
              </w:rPr>
              <w:t>4</w:t>
            </w:r>
          </w:p>
        </w:tc>
        <w:tc>
          <w:tcPr>
            <w:tcW w:w="1296" w:type="pct"/>
            <w:gridSpan w:val="2"/>
            <w:tcBorders>
              <w:top w:val="single" w:color="auto" w:sz="4" w:space="0"/>
              <w:left w:val="single" w:color="auto" w:sz="4" w:space="0"/>
              <w:bottom w:val="single" w:color="auto" w:sz="4" w:space="0"/>
              <w:right w:val="single" w:color="auto" w:sz="4" w:space="0"/>
            </w:tcBorders>
            <w:vAlign w:val="center"/>
          </w:tcPr>
          <w:p w14:paraId="0E8B7C9C">
            <w:pPr>
              <w:spacing w:line="240" w:lineRule="auto"/>
              <w:ind w:firstLine="0" w:firstLineChars="0"/>
              <w:jc w:val="center"/>
              <w:rPr>
                <w:rFonts w:hint="eastAsia"/>
                <w:color w:val="auto"/>
                <w:sz w:val="21"/>
              </w:rPr>
            </w:pPr>
            <w:r>
              <w:rPr>
                <w:rFonts w:hint="eastAsia"/>
                <w:color w:val="auto"/>
                <w:sz w:val="21"/>
              </w:rPr>
              <w:t>器具垂直度</w:t>
            </w:r>
          </w:p>
        </w:tc>
        <w:tc>
          <w:tcPr>
            <w:tcW w:w="1412" w:type="pct"/>
            <w:tcBorders>
              <w:top w:val="single" w:color="auto" w:sz="4" w:space="0"/>
              <w:left w:val="single" w:color="auto" w:sz="4" w:space="0"/>
              <w:bottom w:val="single" w:color="auto" w:sz="4" w:space="0"/>
              <w:right w:val="single" w:color="auto" w:sz="4" w:space="0"/>
            </w:tcBorders>
            <w:vAlign w:val="center"/>
          </w:tcPr>
          <w:p w14:paraId="18382D0A">
            <w:pPr>
              <w:spacing w:line="240" w:lineRule="auto"/>
              <w:ind w:firstLine="0" w:firstLineChars="0"/>
              <w:jc w:val="center"/>
              <w:rPr>
                <w:rFonts w:hint="eastAsia"/>
                <w:color w:val="auto"/>
                <w:sz w:val="21"/>
              </w:rPr>
            </w:pPr>
            <w:r>
              <w:rPr>
                <w:rFonts w:hint="eastAsia"/>
                <w:color w:val="auto"/>
                <w:sz w:val="21"/>
              </w:rPr>
              <w:t>3</w:t>
            </w:r>
          </w:p>
        </w:tc>
        <w:tc>
          <w:tcPr>
            <w:tcW w:w="1810" w:type="pct"/>
            <w:tcBorders>
              <w:top w:val="single" w:color="auto" w:sz="4" w:space="0"/>
              <w:left w:val="single" w:color="auto" w:sz="4" w:space="0"/>
              <w:bottom w:val="single" w:color="auto" w:sz="4" w:space="0"/>
              <w:right w:val="single" w:color="auto" w:sz="4" w:space="0"/>
            </w:tcBorders>
            <w:vAlign w:val="center"/>
          </w:tcPr>
          <w:p w14:paraId="3E248D3C">
            <w:pPr>
              <w:spacing w:line="240" w:lineRule="auto"/>
              <w:ind w:firstLine="0" w:firstLineChars="0"/>
              <w:jc w:val="center"/>
              <w:rPr>
                <w:rFonts w:hint="eastAsia"/>
                <w:color w:val="auto"/>
                <w:sz w:val="21"/>
              </w:rPr>
            </w:pPr>
            <w:r>
              <w:rPr>
                <w:rFonts w:hint="eastAsia"/>
                <w:color w:val="auto"/>
                <w:sz w:val="21"/>
              </w:rPr>
              <w:t>吊线和尺量检查</w:t>
            </w:r>
          </w:p>
        </w:tc>
      </w:tr>
    </w:tbl>
    <w:p w14:paraId="26FB6F38">
      <w:pPr>
        <w:rPr>
          <w:rFonts w:hint="eastAsia"/>
          <w:color w:val="auto"/>
        </w:rPr>
      </w:pPr>
      <w:r>
        <w:rPr>
          <w:rFonts w:hint="eastAsia"/>
          <w:color w:val="auto"/>
        </w:rPr>
        <w:t>有饰面的浴盆，应留有通向浴盆排水口的检修门。</w:t>
      </w:r>
    </w:p>
    <w:p w14:paraId="16E68B31">
      <w:pPr>
        <w:rPr>
          <w:rFonts w:hint="eastAsia"/>
          <w:color w:val="auto"/>
        </w:rPr>
      </w:pPr>
      <w:r>
        <w:rPr>
          <w:rFonts w:hint="eastAsia"/>
          <w:color w:val="auto"/>
        </w:rPr>
        <w:t>检验方法：观察检查。</w:t>
      </w:r>
    </w:p>
    <w:p w14:paraId="25769418">
      <w:pPr>
        <w:rPr>
          <w:rFonts w:hint="eastAsia"/>
          <w:color w:val="auto"/>
        </w:rPr>
      </w:pPr>
      <w:r>
        <w:rPr>
          <w:rFonts w:hint="eastAsia"/>
          <w:color w:val="auto"/>
        </w:rPr>
        <w:t>小便槽冲洗管，应采用镀锌钢管或硬质塑料管。冲洗孔应斜向下方安装，冲洗水流同墙面成45°角。镀锌钢管钻孔后应进行二次镀锌。</w:t>
      </w:r>
    </w:p>
    <w:p w14:paraId="511C2686">
      <w:pPr>
        <w:rPr>
          <w:rFonts w:hint="eastAsia"/>
          <w:color w:val="auto"/>
        </w:rPr>
      </w:pPr>
      <w:r>
        <w:rPr>
          <w:rFonts w:hint="eastAsia"/>
          <w:color w:val="auto"/>
        </w:rPr>
        <w:t>检验方法：观察检查。</w:t>
      </w:r>
    </w:p>
    <w:p w14:paraId="3FFEB94C">
      <w:pPr>
        <w:rPr>
          <w:rFonts w:hint="eastAsia"/>
          <w:color w:val="auto"/>
        </w:rPr>
      </w:pPr>
      <w:r>
        <w:rPr>
          <w:rFonts w:hint="eastAsia"/>
          <w:color w:val="auto"/>
        </w:rPr>
        <w:t>卫生器具的支、托架必须防腐良好，安装平整、牢固，与器具接触紧密、平稳。</w:t>
      </w:r>
    </w:p>
    <w:p w14:paraId="2A17718D">
      <w:pPr>
        <w:rPr>
          <w:rFonts w:hint="eastAsia"/>
          <w:color w:val="auto"/>
        </w:rPr>
      </w:pPr>
      <w:r>
        <w:rPr>
          <w:rFonts w:hint="eastAsia"/>
          <w:color w:val="auto"/>
        </w:rPr>
        <w:t>检验方法；观察和手扳检查。</w:t>
      </w:r>
    </w:p>
    <w:p w14:paraId="606BF900">
      <w:pPr>
        <w:rPr>
          <w:rFonts w:hint="eastAsia"/>
          <w:color w:val="auto"/>
        </w:rPr>
      </w:pPr>
      <w:r>
        <w:rPr>
          <w:rFonts w:hint="eastAsia"/>
          <w:color w:val="auto"/>
        </w:rPr>
        <w:t>（8）卫生器具给水配件安装：</w:t>
      </w:r>
    </w:p>
    <w:p w14:paraId="293C597B">
      <w:pPr>
        <w:rPr>
          <w:rFonts w:hint="eastAsia"/>
          <w:color w:val="auto"/>
        </w:rPr>
      </w:pPr>
      <w:r>
        <w:rPr>
          <w:rFonts w:hint="eastAsia"/>
          <w:color w:val="auto"/>
        </w:rPr>
        <w:t>1）主控项目：</w:t>
      </w:r>
    </w:p>
    <w:p w14:paraId="0B418D6B">
      <w:pPr>
        <w:rPr>
          <w:rFonts w:hint="eastAsia"/>
          <w:color w:val="auto"/>
        </w:rPr>
      </w:pPr>
      <w:r>
        <w:rPr>
          <w:rFonts w:hint="eastAsia"/>
          <w:color w:val="auto"/>
        </w:rPr>
        <w:t>卫生器具给水配件应完好无损伤，接口严密，启闭部分灵活。</w:t>
      </w:r>
    </w:p>
    <w:p w14:paraId="6CDAEB27">
      <w:pPr>
        <w:rPr>
          <w:rFonts w:hint="eastAsia"/>
          <w:color w:val="auto"/>
        </w:rPr>
      </w:pPr>
      <w:r>
        <w:rPr>
          <w:rFonts w:hint="eastAsia"/>
          <w:color w:val="auto"/>
        </w:rPr>
        <w:t>检验方法：观察及手扳检查。</w:t>
      </w:r>
    </w:p>
    <w:p w14:paraId="257C3A98">
      <w:pPr>
        <w:rPr>
          <w:rFonts w:hint="eastAsia"/>
          <w:color w:val="auto"/>
        </w:rPr>
      </w:pPr>
      <w:r>
        <w:rPr>
          <w:rFonts w:hint="eastAsia"/>
          <w:color w:val="auto"/>
        </w:rPr>
        <w:t>2）一般项目：</w:t>
      </w:r>
    </w:p>
    <w:p w14:paraId="29E0A3C6">
      <w:pPr>
        <w:rPr>
          <w:rFonts w:hint="eastAsia"/>
          <w:color w:val="auto"/>
        </w:rPr>
      </w:pPr>
      <w:r>
        <w:rPr>
          <w:rFonts w:hint="eastAsia"/>
          <w:color w:val="auto"/>
        </w:rPr>
        <w:t>卫生器具给水配件安装标高的允许偏差应符合下表规定。</w:t>
      </w:r>
    </w:p>
    <w:p w14:paraId="29F7B281">
      <w:pPr>
        <w:rPr>
          <w:rFonts w:hint="eastAsia"/>
          <w:color w:val="auto"/>
        </w:rPr>
      </w:pPr>
      <w:r>
        <w:rPr>
          <w:rFonts w:hint="eastAsia"/>
          <w:color w:val="auto"/>
        </w:rPr>
        <w:t>卫生器具给水配件安装标高的允许偏差和检验方法</w:t>
      </w:r>
    </w:p>
    <w:tbl>
      <w:tblPr>
        <w:tblStyle w:val="29"/>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5013"/>
        <w:gridCol w:w="1649"/>
        <w:gridCol w:w="974"/>
      </w:tblGrid>
      <w:tr w14:paraId="3A82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7" w:type="dxa"/>
            <w:tcBorders>
              <w:top w:val="single" w:color="auto" w:sz="4" w:space="0"/>
              <w:left w:val="single" w:color="auto" w:sz="4" w:space="0"/>
              <w:bottom w:val="single" w:color="auto" w:sz="4" w:space="0"/>
              <w:right w:val="single" w:color="auto" w:sz="4" w:space="0"/>
            </w:tcBorders>
            <w:vAlign w:val="center"/>
          </w:tcPr>
          <w:p w14:paraId="1E87D4F5">
            <w:pPr>
              <w:spacing w:line="240" w:lineRule="auto"/>
              <w:ind w:firstLine="0" w:firstLineChars="0"/>
              <w:jc w:val="center"/>
              <w:rPr>
                <w:rFonts w:hint="eastAsia"/>
                <w:color w:val="auto"/>
                <w:sz w:val="21"/>
              </w:rPr>
            </w:pPr>
            <w:r>
              <w:rPr>
                <w:rFonts w:hint="eastAsia"/>
                <w:color w:val="auto"/>
                <w:sz w:val="21"/>
              </w:rPr>
              <w:t>项次</w:t>
            </w:r>
          </w:p>
        </w:tc>
        <w:tc>
          <w:tcPr>
            <w:tcW w:w="5013" w:type="dxa"/>
            <w:tcBorders>
              <w:top w:val="single" w:color="auto" w:sz="4" w:space="0"/>
              <w:left w:val="single" w:color="auto" w:sz="4" w:space="0"/>
              <w:bottom w:val="single" w:color="auto" w:sz="4" w:space="0"/>
              <w:right w:val="single" w:color="auto" w:sz="4" w:space="0"/>
            </w:tcBorders>
            <w:vAlign w:val="center"/>
          </w:tcPr>
          <w:p w14:paraId="5C018987">
            <w:pPr>
              <w:spacing w:line="240" w:lineRule="auto"/>
              <w:ind w:firstLine="0" w:firstLineChars="0"/>
              <w:jc w:val="center"/>
              <w:rPr>
                <w:rFonts w:hint="eastAsia"/>
                <w:color w:val="auto"/>
                <w:sz w:val="21"/>
              </w:rPr>
            </w:pPr>
            <w:r>
              <w:rPr>
                <w:rFonts w:hint="eastAsia"/>
                <w:color w:val="auto"/>
                <w:sz w:val="21"/>
              </w:rPr>
              <w:t>项目</w:t>
            </w:r>
          </w:p>
        </w:tc>
        <w:tc>
          <w:tcPr>
            <w:tcW w:w="1649" w:type="dxa"/>
            <w:tcBorders>
              <w:top w:val="single" w:color="auto" w:sz="4" w:space="0"/>
              <w:left w:val="single" w:color="auto" w:sz="4" w:space="0"/>
              <w:bottom w:val="single" w:color="auto" w:sz="4" w:space="0"/>
              <w:right w:val="single" w:color="auto" w:sz="4" w:space="0"/>
            </w:tcBorders>
            <w:vAlign w:val="center"/>
          </w:tcPr>
          <w:p w14:paraId="4205E7AB">
            <w:pPr>
              <w:spacing w:line="240" w:lineRule="auto"/>
              <w:ind w:firstLine="0" w:firstLineChars="0"/>
              <w:jc w:val="center"/>
              <w:rPr>
                <w:rFonts w:hint="eastAsia"/>
                <w:color w:val="auto"/>
                <w:sz w:val="21"/>
              </w:rPr>
            </w:pPr>
            <w:r>
              <w:rPr>
                <w:rFonts w:hint="eastAsia"/>
                <w:color w:val="auto"/>
                <w:sz w:val="21"/>
              </w:rPr>
              <w:t>允许偏差</w:t>
            </w:r>
          </w:p>
        </w:tc>
        <w:tc>
          <w:tcPr>
            <w:tcW w:w="974" w:type="dxa"/>
            <w:tcBorders>
              <w:top w:val="single" w:color="auto" w:sz="4" w:space="0"/>
              <w:left w:val="single" w:color="auto" w:sz="4" w:space="0"/>
              <w:bottom w:val="single" w:color="auto" w:sz="4" w:space="0"/>
              <w:right w:val="single" w:color="auto" w:sz="4" w:space="0"/>
            </w:tcBorders>
            <w:vAlign w:val="center"/>
          </w:tcPr>
          <w:p w14:paraId="77956CF9">
            <w:pPr>
              <w:spacing w:line="240" w:lineRule="auto"/>
              <w:ind w:firstLine="0" w:firstLineChars="0"/>
              <w:jc w:val="center"/>
              <w:rPr>
                <w:rFonts w:hint="eastAsia"/>
                <w:color w:val="auto"/>
                <w:sz w:val="21"/>
              </w:rPr>
            </w:pPr>
            <w:r>
              <w:rPr>
                <w:rFonts w:hint="eastAsia"/>
                <w:color w:val="auto"/>
                <w:sz w:val="21"/>
              </w:rPr>
              <w:t>检验方法</w:t>
            </w:r>
          </w:p>
        </w:tc>
      </w:tr>
      <w:tr w14:paraId="2F8D0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7" w:type="dxa"/>
            <w:tcBorders>
              <w:top w:val="single" w:color="auto" w:sz="4" w:space="0"/>
              <w:left w:val="single" w:color="auto" w:sz="4" w:space="0"/>
              <w:bottom w:val="single" w:color="auto" w:sz="4" w:space="0"/>
              <w:right w:val="single" w:color="auto" w:sz="4" w:space="0"/>
            </w:tcBorders>
            <w:vAlign w:val="center"/>
          </w:tcPr>
          <w:p w14:paraId="3EA2B266">
            <w:pPr>
              <w:spacing w:line="240" w:lineRule="auto"/>
              <w:ind w:firstLine="0" w:firstLineChars="0"/>
              <w:jc w:val="center"/>
              <w:rPr>
                <w:rFonts w:hint="eastAsia"/>
                <w:color w:val="auto"/>
                <w:sz w:val="21"/>
              </w:rPr>
            </w:pPr>
            <w:r>
              <w:rPr>
                <w:rFonts w:hint="eastAsia"/>
                <w:color w:val="auto"/>
                <w:sz w:val="21"/>
              </w:rPr>
              <w:t>1</w:t>
            </w:r>
          </w:p>
        </w:tc>
        <w:tc>
          <w:tcPr>
            <w:tcW w:w="5013" w:type="dxa"/>
            <w:tcBorders>
              <w:top w:val="single" w:color="auto" w:sz="4" w:space="0"/>
              <w:left w:val="single" w:color="auto" w:sz="4" w:space="0"/>
              <w:bottom w:val="single" w:color="auto" w:sz="4" w:space="0"/>
              <w:right w:val="single" w:color="auto" w:sz="4" w:space="0"/>
            </w:tcBorders>
            <w:vAlign w:val="center"/>
          </w:tcPr>
          <w:p w14:paraId="02A2C9FA">
            <w:pPr>
              <w:spacing w:line="240" w:lineRule="auto"/>
              <w:ind w:firstLine="0" w:firstLineChars="0"/>
              <w:jc w:val="center"/>
              <w:rPr>
                <w:rFonts w:hint="eastAsia"/>
                <w:color w:val="auto"/>
                <w:sz w:val="21"/>
              </w:rPr>
            </w:pPr>
            <w:r>
              <w:rPr>
                <w:rFonts w:hint="eastAsia"/>
                <w:color w:val="auto"/>
                <w:sz w:val="21"/>
              </w:rPr>
              <w:t>大便器高、低水箱角阀及截止阀</w:t>
            </w:r>
          </w:p>
        </w:tc>
        <w:tc>
          <w:tcPr>
            <w:tcW w:w="1649" w:type="dxa"/>
            <w:tcBorders>
              <w:top w:val="single" w:color="auto" w:sz="4" w:space="0"/>
              <w:left w:val="single" w:color="auto" w:sz="4" w:space="0"/>
              <w:bottom w:val="single" w:color="auto" w:sz="4" w:space="0"/>
              <w:right w:val="single" w:color="auto" w:sz="4" w:space="0"/>
            </w:tcBorders>
            <w:vAlign w:val="center"/>
          </w:tcPr>
          <w:p w14:paraId="3A2B23E8">
            <w:pPr>
              <w:spacing w:line="240" w:lineRule="auto"/>
              <w:ind w:firstLine="0" w:firstLineChars="0"/>
              <w:jc w:val="center"/>
              <w:rPr>
                <w:rFonts w:hint="eastAsia"/>
                <w:color w:val="auto"/>
                <w:sz w:val="21"/>
              </w:rPr>
            </w:pPr>
            <w:r>
              <w:rPr>
                <w:rFonts w:hint="eastAsia"/>
                <w:color w:val="auto"/>
                <w:sz w:val="21"/>
              </w:rPr>
              <w:t>±10</w:t>
            </w:r>
          </w:p>
        </w:tc>
        <w:tc>
          <w:tcPr>
            <w:tcW w:w="974" w:type="dxa"/>
            <w:vMerge w:val="restart"/>
            <w:tcBorders>
              <w:top w:val="nil"/>
              <w:left w:val="single" w:color="auto" w:sz="4" w:space="0"/>
              <w:bottom w:val="single" w:color="auto" w:sz="4" w:space="0"/>
              <w:right w:val="single" w:color="auto" w:sz="4" w:space="0"/>
            </w:tcBorders>
            <w:vAlign w:val="center"/>
          </w:tcPr>
          <w:p w14:paraId="240D5BF1">
            <w:pPr>
              <w:spacing w:line="240" w:lineRule="auto"/>
              <w:ind w:firstLine="0" w:firstLineChars="0"/>
              <w:jc w:val="center"/>
              <w:rPr>
                <w:rFonts w:hint="eastAsia"/>
                <w:color w:val="auto"/>
                <w:sz w:val="21"/>
              </w:rPr>
            </w:pPr>
            <w:r>
              <w:rPr>
                <w:rFonts w:hint="eastAsia"/>
                <w:color w:val="auto"/>
                <w:sz w:val="21"/>
              </w:rPr>
              <w:t>尺量检查</w:t>
            </w:r>
          </w:p>
        </w:tc>
      </w:tr>
      <w:tr w14:paraId="0669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7" w:type="dxa"/>
            <w:tcBorders>
              <w:top w:val="single" w:color="auto" w:sz="4" w:space="0"/>
              <w:left w:val="single" w:color="auto" w:sz="4" w:space="0"/>
              <w:bottom w:val="single" w:color="auto" w:sz="4" w:space="0"/>
              <w:right w:val="single" w:color="auto" w:sz="4" w:space="0"/>
            </w:tcBorders>
            <w:vAlign w:val="center"/>
          </w:tcPr>
          <w:p w14:paraId="4FBF618F">
            <w:pPr>
              <w:spacing w:line="240" w:lineRule="auto"/>
              <w:ind w:firstLine="0" w:firstLineChars="0"/>
              <w:jc w:val="center"/>
              <w:rPr>
                <w:rFonts w:hint="eastAsia"/>
                <w:color w:val="auto"/>
                <w:sz w:val="21"/>
              </w:rPr>
            </w:pPr>
            <w:r>
              <w:rPr>
                <w:rFonts w:hint="eastAsia"/>
                <w:color w:val="auto"/>
                <w:sz w:val="21"/>
              </w:rPr>
              <w:t>2</w:t>
            </w:r>
          </w:p>
        </w:tc>
        <w:tc>
          <w:tcPr>
            <w:tcW w:w="5013" w:type="dxa"/>
            <w:tcBorders>
              <w:top w:val="single" w:color="auto" w:sz="4" w:space="0"/>
              <w:left w:val="single" w:color="auto" w:sz="4" w:space="0"/>
              <w:bottom w:val="single" w:color="auto" w:sz="4" w:space="0"/>
              <w:right w:val="single" w:color="auto" w:sz="4" w:space="0"/>
            </w:tcBorders>
            <w:vAlign w:val="center"/>
          </w:tcPr>
          <w:p w14:paraId="7C0E9C16">
            <w:pPr>
              <w:spacing w:line="240" w:lineRule="auto"/>
              <w:ind w:firstLine="0" w:firstLineChars="0"/>
              <w:jc w:val="center"/>
              <w:rPr>
                <w:rFonts w:hint="eastAsia"/>
                <w:color w:val="auto"/>
                <w:sz w:val="21"/>
              </w:rPr>
            </w:pPr>
            <w:r>
              <w:rPr>
                <w:rFonts w:hint="eastAsia"/>
                <w:color w:val="auto"/>
                <w:sz w:val="21"/>
              </w:rPr>
              <w:t>水嘴</w:t>
            </w:r>
          </w:p>
        </w:tc>
        <w:tc>
          <w:tcPr>
            <w:tcW w:w="1649" w:type="dxa"/>
            <w:tcBorders>
              <w:top w:val="single" w:color="auto" w:sz="4" w:space="0"/>
              <w:left w:val="single" w:color="auto" w:sz="4" w:space="0"/>
              <w:bottom w:val="single" w:color="auto" w:sz="4" w:space="0"/>
              <w:right w:val="single" w:color="auto" w:sz="4" w:space="0"/>
            </w:tcBorders>
            <w:vAlign w:val="center"/>
          </w:tcPr>
          <w:p w14:paraId="578702D5">
            <w:pPr>
              <w:spacing w:line="240" w:lineRule="auto"/>
              <w:ind w:firstLine="0" w:firstLineChars="0"/>
              <w:jc w:val="center"/>
              <w:rPr>
                <w:rFonts w:hint="eastAsia"/>
                <w:color w:val="auto"/>
                <w:sz w:val="21"/>
              </w:rPr>
            </w:pPr>
            <w:r>
              <w:rPr>
                <w:rFonts w:hint="eastAsia"/>
                <w:color w:val="auto"/>
                <w:sz w:val="21"/>
              </w:rPr>
              <w:t>±10</w:t>
            </w:r>
          </w:p>
        </w:tc>
        <w:tc>
          <w:tcPr>
            <w:tcW w:w="974" w:type="dxa"/>
            <w:vMerge w:val="continue"/>
            <w:tcBorders>
              <w:top w:val="nil"/>
              <w:left w:val="single" w:color="auto" w:sz="4" w:space="0"/>
              <w:bottom w:val="single" w:color="auto" w:sz="4" w:space="0"/>
              <w:right w:val="single" w:color="auto" w:sz="4" w:space="0"/>
            </w:tcBorders>
            <w:vAlign w:val="center"/>
          </w:tcPr>
          <w:p w14:paraId="7184958B">
            <w:pPr>
              <w:rPr>
                <w:color w:val="auto"/>
              </w:rPr>
            </w:pPr>
          </w:p>
        </w:tc>
      </w:tr>
      <w:tr w14:paraId="6760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7" w:type="dxa"/>
            <w:tcBorders>
              <w:top w:val="single" w:color="auto" w:sz="4" w:space="0"/>
              <w:left w:val="single" w:color="auto" w:sz="4" w:space="0"/>
              <w:bottom w:val="single" w:color="auto" w:sz="4" w:space="0"/>
              <w:right w:val="single" w:color="auto" w:sz="4" w:space="0"/>
            </w:tcBorders>
            <w:vAlign w:val="center"/>
          </w:tcPr>
          <w:p w14:paraId="29880B43">
            <w:pPr>
              <w:spacing w:line="240" w:lineRule="auto"/>
              <w:ind w:firstLine="0" w:firstLineChars="0"/>
              <w:jc w:val="center"/>
              <w:rPr>
                <w:rFonts w:hint="eastAsia"/>
                <w:color w:val="auto"/>
                <w:sz w:val="21"/>
              </w:rPr>
            </w:pPr>
            <w:r>
              <w:rPr>
                <w:rFonts w:hint="eastAsia"/>
                <w:color w:val="auto"/>
                <w:sz w:val="21"/>
              </w:rPr>
              <w:t>3</w:t>
            </w:r>
          </w:p>
        </w:tc>
        <w:tc>
          <w:tcPr>
            <w:tcW w:w="5013" w:type="dxa"/>
            <w:tcBorders>
              <w:top w:val="single" w:color="auto" w:sz="4" w:space="0"/>
              <w:left w:val="single" w:color="auto" w:sz="4" w:space="0"/>
              <w:bottom w:val="single" w:color="auto" w:sz="4" w:space="0"/>
              <w:right w:val="single" w:color="auto" w:sz="4" w:space="0"/>
            </w:tcBorders>
            <w:vAlign w:val="center"/>
          </w:tcPr>
          <w:p w14:paraId="6324D41E">
            <w:pPr>
              <w:spacing w:line="240" w:lineRule="auto"/>
              <w:ind w:firstLine="0" w:firstLineChars="0"/>
              <w:jc w:val="center"/>
              <w:rPr>
                <w:rFonts w:hint="eastAsia"/>
                <w:color w:val="auto"/>
                <w:sz w:val="21"/>
              </w:rPr>
            </w:pPr>
            <w:r>
              <w:rPr>
                <w:rFonts w:hint="eastAsia"/>
                <w:color w:val="auto"/>
                <w:sz w:val="21"/>
              </w:rPr>
              <w:t>淋浴器喷头下沿</w:t>
            </w:r>
          </w:p>
        </w:tc>
        <w:tc>
          <w:tcPr>
            <w:tcW w:w="1649" w:type="dxa"/>
            <w:tcBorders>
              <w:top w:val="single" w:color="auto" w:sz="4" w:space="0"/>
              <w:left w:val="single" w:color="auto" w:sz="4" w:space="0"/>
              <w:bottom w:val="single" w:color="auto" w:sz="4" w:space="0"/>
              <w:right w:val="single" w:color="auto" w:sz="4" w:space="0"/>
            </w:tcBorders>
            <w:vAlign w:val="center"/>
          </w:tcPr>
          <w:p w14:paraId="16EA6761">
            <w:pPr>
              <w:spacing w:line="240" w:lineRule="auto"/>
              <w:ind w:firstLine="0" w:firstLineChars="0"/>
              <w:jc w:val="center"/>
              <w:rPr>
                <w:rFonts w:hint="eastAsia"/>
                <w:color w:val="auto"/>
                <w:sz w:val="21"/>
              </w:rPr>
            </w:pPr>
            <w:r>
              <w:rPr>
                <w:rFonts w:hint="eastAsia"/>
                <w:color w:val="auto"/>
                <w:sz w:val="21"/>
              </w:rPr>
              <w:t>±15</w:t>
            </w:r>
          </w:p>
        </w:tc>
        <w:tc>
          <w:tcPr>
            <w:tcW w:w="974" w:type="dxa"/>
            <w:vMerge w:val="continue"/>
            <w:tcBorders>
              <w:top w:val="nil"/>
              <w:left w:val="single" w:color="auto" w:sz="4" w:space="0"/>
              <w:bottom w:val="single" w:color="auto" w:sz="4" w:space="0"/>
              <w:right w:val="single" w:color="auto" w:sz="4" w:space="0"/>
            </w:tcBorders>
            <w:vAlign w:val="center"/>
          </w:tcPr>
          <w:p w14:paraId="398CBDF8">
            <w:pPr>
              <w:rPr>
                <w:color w:val="auto"/>
              </w:rPr>
            </w:pPr>
          </w:p>
        </w:tc>
      </w:tr>
      <w:tr w14:paraId="55B4B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77" w:type="dxa"/>
            <w:tcBorders>
              <w:top w:val="single" w:color="auto" w:sz="4" w:space="0"/>
              <w:left w:val="single" w:color="auto" w:sz="4" w:space="0"/>
              <w:bottom w:val="single" w:color="auto" w:sz="4" w:space="0"/>
              <w:right w:val="single" w:color="auto" w:sz="4" w:space="0"/>
            </w:tcBorders>
            <w:vAlign w:val="center"/>
          </w:tcPr>
          <w:p w14:paraId="01503017">
            <w:pPr>
              <w:spacing w:line="240" w:lineRule="auto"/>
              <w:ind w:firstLine="0" w:firstLineChars="0"/>
              <w:jc w:val="center"/>
              <w:rPr>
                <w:rFonts w:hint="eastAsia"/>
                <w:color w:val="auto"/>
                <w:sz w:val="21"/>
              </w:rPr>
            </w:pPr>
            <w:r>
              <w:rPr>
                <w:rFonts w:hint="eastAsia"/>
                <w:color w:val="auto"/>
                <w:sz w:val="21"/>
              </w:rPr>
              <w:t>4</w:t>
            </w:r>
          </w:p>
        </w:tc>
        <w:tc>
          <w:tcPr>
            <w:tcW w:w="5013" w:type="dxa"/>
            <w:tcBorders>
              <w:top w:val="single" w:color="auto" w:sz="4" w:space="0"/>
              <w:left w:val="single" w:color="auto" w:sz="4" w:space="0"/>
              <w:bottom w:val="single" w:color="auto" w:sz="4" w:space="0"/>
              <w:right w:val="single" w:color="auto" w:sz="4" w:space="0"/>
            </w:tcBorders>
            <w:vAlign w:val="center"/>
          </w:tcPr>
          <w:p w14:paraId="7C518665">
            <w:pPr>
              <w:spacing w:line="240" w:lineRule="auto"/>
              <w:ind w:firstLine="0" w:firstLineChars="0"/>
              <w:jc w:val="center"/>
              <w:rPr>
                <w:rFonts w:hint="eastAsia"/>
                <w:color w:val="auto"/>
                <w:sz w:val="21"/>
              </w:rPr>
            </w:pPr>
            <w:r>
              <w:rPr>
                <w:rFonts w:hint="eastAsia"/>
                <w:color w:val="auto"/>
                <w:sz w:val="21"/>
              </w:rPr>
              <w:t>浴盆软管淋浴器挂钩</w:t>
            </w:r>
          </w:p>
        </w:tc>
        <w:tc>
          <w:tcPr>
            <w:tcW w:w="1649" w:type="dxa"/>
            <w:tcBorders>
              <w:top w:val="single" w:color="auto" w:sz="4" w:space="0"/>
              <w:left w:val="single" w:color="auto" w:sz="4" w:space="0"/>
              <w:bottom w:val="single" w:color="auto" w:sz="4" w:space="0"/>
              <w:right w:val="single" w:color="auto" w:sz="4" w:space="0"/>
            </w:tcBorders>
            <w:vAlign w:val="center"/>
          </w:tcPr>
          <w:p w14:paraId="5E9DB8B1">
            <w:pPr>
              <w:spacing w:line="240" w:lineRule="auto"/>
              <w:ind w:firstLine="0" w:firstLineChars="0"/>
              <w:jc w:val="center"/>
              <w:rPr>
                <w:rFonts w:hint="eastAsia"/>
                <w:color w:val="auto"/>
                <w:sz w:val="21"/>
              </w:rPr>
            </w:pPr>
            <w:r>
              <w:rPr>
                <w:rFonts w:hint="eastAsia"/>
                <w:color w:val="auto"/>
                <w:sz w:val="21"/>
              </w:rPr>
              <w:t>±20</w:t>
            </w:r>
          </w:p>
        </w:tc>
        <w:tc>
          <w:tcPr>
            <w:tcW w:w="974" w:type="dxa"/>
            <w:vMerge w:val="continue"/>
            <w:tcBorders>
              <w:top w:val="nil"/>
              <w:left w:val="single" w:color="auto" w:sz="4" w:space="0"/>
              <w:bottom w:val="single" w:color="auto" w:sz="4" w:space="0"/>
              <w:right w:val="single" w:color="auto" w:sz="4" w:space="0"/>
            </w:tcBorders>
            <w:vAlign w:val="center"/>
          </w:tcPr>
          <w:p w14:paraId="63C3482C">
            <w:pPr>
              <w:rPr>
                <w:color w:val="auto"/>
              </w:rPr>
            </w:pPr>
          </w:p>
        </w:tc>
      </w:tr>
    </w:tbl>
    <w:p w14:paraId="1046B9BF">
      <w:pPr>
        <w:rPr>
          <w:rFonts w:hint="eastAsia"/>
          <w:color w:val="auto"/>
        </w:rPr>
      </w:pPr>
      <w:r>
        <w:rPr>
          <w:rFonts w:hint="eastAsia"/>
          <w:color w:val="auto"/>
        </w:rPr>
        <w:t>浴盆软管淋浴器挂钩的高度，如设计无要求，应距地面1.8m。</w:t>
      </w:r>
    </w:p>
    <w:p w14:paraId="04507FB3">
      <w:pPr>
        <w:rPr>
          <w:rFonts w:hint="eastAsia"/>
          <w:color w:val="auto"/>
        </w:rPr>
      </w:pPr>
      <w:r>
        <w:rPr>
          <w:rFonts w:hint="eastAsia"/>
          <w:color w:val="auto"/>
        </w:rPr>
        <w:t>检验方法：尺量检查。</w:t>
      </w:r>
    </w:p>
    <w:p w14:paraId="1F3FA90E">
      <w:pPr>
        <w:rPr>
          <w:rFonts w:hint="eastAsia"/>
          <w:color w:val="auto"/>
        </w:rPr>
      </w:pPr>
      <w:r>
        <w:rPr>
          <w:rFonts w:hint="eastAsia"/>
          <w:color w:val="auto"/>
        </w:rPr>
        <w:t>（9）卫生器具排水管道安装：</w:t>
      </w:r>
    </w:p>
    <w:p w14:paraId="68454C4F">
      <w:pPr>
        <w:rPr>
          <w:rFonts w:hint="eastAsia"/>
          <w:color w:val="auto"/>
        </w:rPr>
      </w:pPr>
      <w:r>
        <w:rPr>
          <w:rFonts w:hint="eastAsia"/>
          <w:color w:val="auto"/>
        </w:rPr>
        <w:t>1）主控项目：</w:t>
      </w:r>
    </w:p>
    <w:p w14:paraId="458D64D1">
      <w:pPr>
        <w:rPr>
          <w:rFonts w:hint="eastAsia"/>
          <w:color w:val="auto"/>
        </w:rPr>
      </w:pPr>
      <w:r>
        <w:rPr>
          <w:rFonts w:hint="eastAsia"/>
          <w:color w:val="auto"/>
        </w:rPr>
        <w:t>与排水横管连接的各卫生器具的受水口和立管均应采取妥善可靠的固定措施；管道与楼板的接合部位应采取牢固可靠的防渗、防漏措施。</w:t>
      </w:r>
    </w:p>
    <w:p w14:paraId="5C6171E7">
      <w:pPr>
        <w:rPr>
          <w:rFonts w:hint="eastAsia"/>
          <w:color w:val="auto"/>
        </w:rPr>
      </w:pPr>
      <w:r>
        <w:rPr>
          <w:rFonts w:hint="eastAsia"/>
          <w:color w:val="auto"/>
        </w:rPr>
        <w:t>检验方法：观察和手扳检查。</w:t>
      </w:r>
    </w:p>
    <w:p w14:paraId="215B8BCD">
      <w:pPr>
        <w:rPr>
          <w:rFonts w:hint="eastAsia"/>
          <w:color w:val="auto"/>
        </w:rPr>
      </w:pPr>
      <w:r>
        <w:rPr>
          <w:rFonts w:hint="eastAsia"/>
          <w:color w:val="auto"/>
        </w:rPr>
        <w:t>连接卫生器具的排水管道接口应紧密下漏，其固定支架、管卡等支撑位置应正确、牢固，与管道的接触应平整。</w:t>
      </w:r>
    </w:p>
    <w:p w14:paraId="500F0BFE">
      <w:pPr>
        <w:rPr>
          <w:rFonts w:hint="eastAsia"/>
          <w:color w:val="auto"/>
        </w:rPr>
      </w:pPr>
      <w:r>
        <w:rPr>
          <w:rFonts w:hint="eastAsia"/>
          <w:color w:val="auto"/>
        </w:rPr>
        <w:t>检验方法：观察及通水检查。</w:t>
      </w:r>
    </w:p>
    <w:p w14:paraId="6C4BE4EA">
      <w:pPr>
        <w:rPr>
          <w:rFonts w:hint="eastAsia"/>
          <w:color w:val="auto"/>
        </w:rPr>
      </w:pPr>
      <w:r>
        <w:rPr>
          <w:rFonts w:hint="eastAsia"/>
          <w:color w:val="auto"/>
        </w:rPr>
        <w:t>2）一般项目：</w:t>
      </w:r>
    </w:p>
    <w:p w14:paraId="3699D673">
      <w:pPr>
        <w:rPr>
          <w:rFonts w:hint="eastAsia"/>
          <w:color w:val="auto"/>
        </w:rPr>
      </w:pPr>
      <w:r>
        <w:rPr>
          <w:rFonts w:hint="eastAsia"/>
          <w:color w:val="auto"/>
        </w:rPr>
        <w:t>卫生器具排水管道安装的允许偏差应符合下表规定。</w:t>
      </w:r>
    </w:p>
    <w:p w14:paraId="46C4D3EA">
      <w:pPr>
        <w:pStyle w:val="54"/>
        <w:rPr>
          <w:rFonts w:hint="eastAsia"/>
          <w:color w:val="auto"/>
        </w:rPr>
      </w:pPr>
      <w:r>
        <w:rPr>
          <w:rFonts w:hint="eastAsia"/>
          <w:color w:val="auto"/>
        </w:rPr>
        <w:t>卫生器具排水管道安装允许偏差</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2870"/>
        <w:gridCol w:w="1984"/>
        <w:gridCol w:w="1729"/>
        <w:gridCol w:w="1680"/>
      </w:tblGrid>
      <w:tr w14:paraId="01F8F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pct"/>
            <w:tcBorders>
              <w:top w:val="single" w:color="auto" w:sz="4" w:space="0"/>
              <w:left w:val="single" w:color="auto" w:sz="4" w:space="0"/>
              <w:bottom w:val="single" w:color="auto" w:sz="4" w:space="0"/>
              <w:right w:val="single" w:color="auto" w:sz="4" w:space="0"/>
            </w:tcBorders>
            <w:vAlign w:val="center"/>
          </w:tcPr>
          <w:p w14:paraId="0802A58F">
            <w:pPr>
              <w:spacing w:line="240" w:lineRule="auto"/>
              <w:ind w:firstLine="0" w:firstLineChars="0"/>
              <w:jc w:val="center"/>
              <w:rPr>
                <w:rFonts w:hint="eastAsia"/>
                <w:color w:val="auto"/>
                <w:sz w:val="21"/>
              </w:rPr>
            </w:pPr>
            <w:r>
              <w:rPr>
                <w:rFonts w:hint="eastAsia"/>
                <w:color w:val="auto"/>
                <w:sz w:val="21"/>
              </w:rPr>
              <w:t>项次</w:t>
            </w:r>
          </w:p>
        </w:tc>
        <w:tc>
          <w:tcPr>
            <w:tcW w:w="2679" w:type="pct"/>
            <w:gridSpan w:val="2"/>
            <w:tcBorders>
              <w:top w:val="single" w:color="auto" w:sz="4" w:space="0"/>
              <w:left w:val="single" w:color="auto" w:sz="4" w:space="0"/>
              <w:bottom w:val="single" w:color="auto" w:sz="4" w:space="0"/>
              <w:right w:val="single" w:color="auto" w:sz="4" w:space="0"/>
            </w:tcBorders>
            <w:vAlign w:val="center"/>
          </w:tcPr>
          <w:p w14:paraId="6896017D">
            <w:pPr>
              <w:spacing w:line="240" w:lineRule="auto"/>
              <w:ind w:firstLine="0" w:firstLineChars="0"/>
              <w:jc w:val="center"/>
              <w:rPr>
                <w:rFonts w:hint="eastAsia"/>
                <w:color w:val="auto"/>
                <w:sz w:val="21"/>
              </w:rPr>
            </w:pPr>
            <w:r>
              <w:rPr>
                <w:rFonts w:hint="eastAsia"/>
                <w:color w:val="auto"/>
                <w:sz w:val="21"/>
              </w:rPr>
              <w:t>检查项目</w:t>
            </w:r>
          </w:p>
        </w:tc>
        <w:tc>
          <w:tcPr>
            <w:tcW w:w="954" w:type="pct"/>
            <w:tcBorders>
              <w:top w:val="single" w:color="auto" w:sz="4" w:space="0"/>
              <w:left w:val="single" w:color="auto" w:sz="4" w:space="0"/>
              <w:bottom w:val="single" w:color="auto" w:sz="4" w:space="0"/>
              <w:right w:val="single" w:color="auto" w:sz="4" w:space="0"/>
            </w:tcBorders>
            <w:vAlign w:val="center"/>
          </w:tcPr>
          <w:p w14:paraId="5DC40E7F">
            <w:pPr>
              <w:spacing w:line="240" w:lineRule="auto"/>
              <w:ind w:firstLine="0" w:firstLineChars="0"/>
              <w:jc w:val="center"/>
              <w:rPr>
                <w:rFonts w:hint="eastAsia"/>
                <w:color w:val="auto"/>
                <w:sz w:val="21"/>
              </w:rPr>
            </w:pPr>
            <w:r>
              <w:rPr>
                <w:rFonts w:hint="eastAsia"/>
                <w:color w:val="auto"/>
                <w:sz w:val="21"/>
              </w:rPr>
              <w:t>允许偏差（mm）</w:t>
            </w:r>
          </w:p>
        </w:tc>
        <w:tc>
          <w:tcPr>
            <w:tcW w:w="927" w:type="pct"/>
            <w:tcBorders>
              <w:top w:val="single" w:color="auto" w:sz="4" w:space="0"/>
              <w:left w:val="single" w:color="auto" w:sz="4" w:space="0"/>
              <w:bottom w:val="single" w:color="auto" w:sz="4" w:space="0"/>
              <w:right w:val="single" w:color="auto" w:sz="4" w:space="0"/>
            </w:tcBorders>
            <w:vAlign w:val="center"/>
          </w:tcPr>
          <w:p w14:paraId="456D022A">
            <w:pPr>
              <w:spacing w:line="240" w:lineRule="auto"/>
              <w:ind w:firstLine="0" w:firstLineChars="0"/>
              <w:jc w:val="center"/>
              <w:rPr>
                <w:rFonts w:hint="eastAsia"/>
                <w:color w:val="auto"/>
                <w:sz w:val="21"/>
              </w:rPr>
            </w:pPr>
            <w:r>
              <w:rPr>
                <w:rFonts w:hint="eastAsia"/>
                <w:color w:val="auto"/>
                <w:sz w:val="21"/>
              </w:rPr>
              <w:t>检验方法</w:t>
            </w:r>
          </w:p>
        </w:tc>
      </w:tr>
      <w:tr w14:paraId="083EB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pct"/>
            <w:vMerge w:val="restart"/>
            <w:tcBorders>
              <w:top w:val="nil"/>
              <w:left w:val="single" w:color="auto" w:sz="4" w:space="0"/>
              <w:bottom w:val="single" w:color="auto" w:sz="4" w:space="0"/>
              <w:right w:val="single" w:color="auto" w:sz="4" w:space="0"/>
            </w:tcBorders>
            <w:vAlign w:val="center"/>
          </w:tcPr>
          <w:p w14:paraId="4665134B">
            <w:pPr>
              <w:spacing w:line="240" w:lineRule="auto"/>
              <w:ind w:firstLine="0" w:firstLineChars="0"/>
              <w:jc w:val="center"/>
              <w:rPr>
                <w:rFonts w:hint="eastAsia"/>
                <w:color w:val="auto"/>
                <w:sz w:val="21"/>
              </w:rPr>
            </w:pPr>
            <w:r>
              <w:rPr>
                <w:rFonts w:hint="eastAsia"/>
                <w:color w:val="auto"/>
                <w:sz w:val="21"/>
              </w:rPr>
              <w:t>1</w:t>
            </w:r>
          </w:p>
        </w:tc>
        <w:tc>
          <w:tcPr>
            <w:tcW w:w="1584" w:type="pct"/>
            <w:vMerge w:val="restart"/>
            <w:tcBorders>
              <w:top w:val="nil"/>
              <w:left w:val="single" w:color="auto" w:sz="4" w:space="0"/>
              <w:bottom w:val="single" w:color="auto" w:sz="4" w:space="0"/>
              <w:right w:val="single" w:color="auto" w:sz="4" w:space="0"/>
            </w:tcBorders>
            <w:vAlign w:val="center"/>
          </w:tcPr>
          <w:p w14:paraId="2EA1FF10">
            <w:pPr>
              <w:spacing w:line="240" w:lineRule="auto"/>
              <w:ind w:firstLine="0" w:firstLineChars="0"/>
              <w:jc w:val="center"/>
              <w:rPr>
                <w:rFonts w:hint="eastAsia"/>
                <w:color w:val="auto"/>
                <w:sz w:val="21"/>
              </w:rPr>
            </w:pPr>
            <w:r>
              <w:rPr>
                <w:rFonts w:hint="eastAsia"/>
                <w:color w:val="auto"/>
                <w:sz w:val="21"/>
              </w:rPr>
              <w:t>横管弯曲度</w:t>
            </w:r>
          </w:p>
        </w:tc>
        <w:tc>
          <w:tcPr>
            <w:tcW w:w="1095" w:type="pct"/>
            <w:tcBorders>
              <w:top w:val="single" w:color="auto" w:sz="4" w:space="0"/>
              <w:left w:val="single" w:color="auto" w:sz="4" w:space="0"/>
              <w:bottom w:val="single" w:color="auto" w:sz="4" w:space="0"/>
              <w:right w:val="single" w:color="auto" w:sz="4" w:space="0"/>
            </w:tcBorders>
            <w:vAlign w:val="center"/>
          </w:tcPr>
          <w:p w14:paraId="17C2D8FD">
            <w:pPr>
              <w:spacing w:line="240" w:lineRule="auto"/>
              <w:ind w:firstLine="0" w:firstLineChars="0"/>
              <w:jc w:val="center"/>
              <w:rPr>
                <w:rFonts w:hint="eastAsia"/>
                <w:color w:val="auto"/>
                <w:sz w:val="21"/>
              </w:rPr>
            </w:pPr>
            <w:r>
              <w:rPr>
                <w:rFonts w:hint="eastAsia"/>
                <w:color w:val="auto"/>
                <w:sz w:val="21"/>
              </w:rPr>
              <w:t>每1m长</w:t>
            </w:r>
          </w:p>
        </w:tc>
        <w:tc>
          <w:tcPr>
            <w:tcW w:w="954" w:type="pct"/>
            <w:tcBorders>
              <w:top w:val="single" w:color="auto" w:sz="4" w:space="0"/>
              <w:left w:val="single" w:color="auto" w:sz="4" w:space="0"/>
              <w:bottom w:val="single" w:color="auto" w:sz="4" w:space="0"/>
              <w:right w:val="single" w:color="auto" w:sz="4" w:space="0"/>
            </w:tcBorders>
            <w:vAlign w:val="center"/>
          </w:tcPr>
          <w:p w14:paraId="290B2306">
            <w:pPr>
              <w:spacing w:line="240" w:lineRule="auto"/>
              <w:ind w:firstLine="0" w:firstLineChars="0"/>
              <w:jc w:val="center"/>
              <w:rPr>
                <w:rFonts w:hint="eastAsia"/>
                <w:color w:val="auto"/>
                <w:sz w:val="21"/>
              </w:rPr>
            </w:pPr>
            <w:r>
              <w:rPr>
                <w:rFonts w:hint="eastAsia"/>
                <w:color w:val="auto"/>
                <w:sz w:val="21"/>
              </w:rPr>
              <w:t>2</w:t>
            </w:r>
          </w:p>
        </w:tc>
        <w:tc>
          <w:tcPr>
            <w:tcW w:w="927" w:type="pct"/>
            <w:vMerge w:val="restart"/>
            <w:tcBorders>
              <w:top w:val="single" w:color="auto" w:sz="4" w:space="0"/>
              <w:left w:val="single" w:color="auto" w:sz="4" w:space="0"/>
              <w:bottom w:val="single" w:color="auto" w:sz="4" w:space="0"/>
              <w:right w:val="single" w:color="auto" w:sz="4" w:space="0"/>
            </w:tcBorders>
            <w:vAlign w:val="center"/>
          </w:tcPr>
          <w:p w14:paraId="2B4B711A">
            <w:pPr>
              <w:spacing w:line="240" w:lineRule="auto"/>
              <w:ind w:firstLine="0" w:firstLineChars="0"/>
              <w:jc w:val="center"/>
              <w:rPr>
                <w:rFonts w:hint="eastAsia"/>
                <w:color w:val="auto"/>
                <w:sz w:val="21"/>
              </w:rPr>
            </w:pPr>
            <w:r>
              <w:rPr>
                <w:rFonts w:hint="eastAsia"/>
                <w:color w:val="auto"/>
                <w:sz w:val="21"/>
              </w:rPr>
              <w:t>用水平尺量检查</w:t>
            </w:r>
          </w:p>
        </w:tc>
      </w:tr>
      <w:tr w14:paraId="5685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68F4036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434B6AD">
            <w:pPr>
              <w:spacing w:line="240" w:lineRule="auto"/>
              <w:ind w:firstLine="0" w:firstLineChars="0"/>
              <w:jc w:val="center"/>
              <w:rPr>
                <w:color w:val="auto"/>
                <w:sz w:val="21"/>
              </w:rPr>
            </w:pPr>
          </w:p>
        </w:tc>
        <w:tc>
          <w:tcPr>
            <w:tcW w:w="1095" w:type="pct"/>
            <w:tcBorders>
              <w:top w:val="single" w:color="auto" w:sz="4" w:space="0"/>
              <w:left w:val="single" w:color="auto" w:sz="4" w:space="0"/>
              <w:bottom w:val="single" w:color="auto" w:sz="4" w:space="0"/>
              <w:right w:val="single" w:color="auto" w:sz="4" w:space="0"/>
            </w:tcBorders>
            <w:vAlign w:val="center"/>
          </w:tcPr>
          <w:p w14:paraId="255106A2">
            <w:pPr>
              <w:spacing w:line="240" w:lineRule="auto"/>
              <w:ind w:firstLine="0" w:firstLineChars="0"/>
              <w:jc w:val="center"/>
              <w:rPr>
                <w:rFonts w:hint="eastAsia"/>
                <w:color w:val="auto"/>
                <w:sz w:val="21"/>
              </w:rPr>
            </w:pPr>
            <w:r>
              <w:rPr>
                <w:rFonts w:hint="eastAsia"/>
                <w:color w:val="auto"/>
                <w:sz w:val="21"/>
              </w:rPr>
              <w:t>横管长度≤10m，全长</w:t>
            </w:r>
          </w:p>
        </w:tc>
        <w:tc>
          <w:tcPr>
            <w:tcW w:w="954" w:type="pct"/>
            <w:tcBorders>
              <w:top w:val="single" w:color="auto" w:sz="4" w:space="0"/>
              <w:left w:val="single" w:color="auto" w:sz="4" w:space="0"/>
              <w:bottom w:val="single" w:color="auto" w:sz="4" w:space="0"/>
              <w:right w:val="single" w:color="auto" w:sz="4" w:space="0"/>
            </w:tcBorders>
            <w:vAlign w:val="center"/>
          </w:tcPr>
          <w:p w14:paraId="30782B07">
            <w:pPr>
              <w:spacing w:line="240" w:lineRule="auto"/>
              <w:ind w:firstLine="0" w:firstLineChars="0"/>
              <w:jc w:val="center"/>
              <w:rPr>
                <w:rFonts w:hint="eastAsia"/>
                <w:color w:val="auto"/>
                <w:sz w:val="21"/>
              </w:rPr>
            </w:pPr>
            <w:r>
              <w:rPr>
                <w:rFonts w:hint="eastAsia"/>
                <w:color w:val="auto"/>
                <w:sz w:val="21"/>
              </w:rPr>
              <w:t>＜8</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176B89">
            <w:pPr>
              <w:spacing w:line="240" w:lineRule="auto"/>
              <w:ind w:firstLine="0" w:firstLineChars="0"/>
              <w:jc w:val="center"/>
              <w:rPr>
                <w:color w:val="auto"/>
                <w:sz w:val="21"/>
              </w:rPr>
            </w:pPr>
          </w:p>
        </w:tc>
      </w:tr>
      <w:tr w14:paraId="69E7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4BFEEC8A">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DC55090">
            <w:pPr>
              <w:spacing w:line="240" w:lineRule="auto"/>
              <w:ind w:firstLine="0" w:firstLineChars="0"/>
              <w:jc w:val="center"/>
              <w:rPr>
                <w:color w:val="auto"/>
                <w:sz w:val="21"/>
              </w:rPr>
            </w:pPr>
          </w:p>
        </w:tc>
        <w:tc>
          <w:tcPr>
            <w:tcW w:w="1095" w:type="pct"/>
            <w:tcBorders>
              <w:top w:val="single" w:color="auto" w:sz="4" w:space="0"/>
              <w:left w:val="single" w:color="auto" w:sz="4" w:space="0"/>
              <w:bottom w:val="single" w:color="auto" w:sz="4" w:space="0"/>
              <w:right w:val="single" w:color="auto" w:sz="4" w:space="0"/>
            </w:tcBorders>
            <w:vAlign w:val="center"/>
          </w:tcPr>
          <w:p w14:paraId="65B06366">
            <w:pPr>
              <w:spacing w:line="240" w:lineRule="auto"/>
              <w:ind w:firstLine="0" w:firstLineChars="0"/>
              <w:jc w:val="center"/>
              <w:rPr>
                <w:rFonts w:hint="eastAsia"/>
                <w:color w:val="auto"/>
                <w:sz w:val="21"/>
              </w:rPr>
            </w:pPr>
            <w:r>
              <w:rPr>
                <w:rFonts w:hint="eastAsia"/>
                <w:color w:val="auto"/>
                <w:sz w:val="21"/>
              </w:rPr>
              <w:t>横管长度＞10m，全长</w:t>
            </w:r>
          </w:p>
        </w:tc>
        <w:tc>
          <w:tcPr>
            <w:tcW w:w="954" w:type="pct"/>
            <w:tcBorders>
              <w:top w:val="single" w:color="auto" w:sz="4" w:space="0"/>
              <w:left w:val="single" w:color="auto" w:sz="4" w:space="0"/>
              <w:bottom w:val="single" w:color="auto" w:sz="4" w:space="0"/>
              <w:right w:val="single" w:color="auto" w:sz="4" w:space="0"/>
            </w:tcBorders>
            <w:vAlign w:val="center"/>
          </w:tcPr>
          <w:p w14:paraId="3AE23E03">
            <w:pPr>
              <w:spacing w:line="240" w:lineRule="auto"/>
              <w:ind w:firstLine="0" w:firstLineChars="0"/>
              <w:jc w:val="center"/>
              <w:rPr>
                <w:rFonts w:hint="eastAsia"/>
                <w:color w:val="auto"/>
                <w:sz w:val="21"/>
              </w:rPr>
            </w:pPr>
            <w:r>
              <w:rPr>
                <w:rFonts w:hint="eastAsia"/>
                <w:color w:val="auto"/>
                <w:sz w:val="21"/>
              </w:rPr>
              <w:t>10</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471B988">
            <w:pPr>
              <w:spacing w:line="240" w:lineRule="auto"/>
              <w:ind w:firstLine="0" w:firstLineChars="0"/>
              <w:jc w:val="center"/>
              <w:rPr>
                <w:color w:val="auto"/>
                <w:sz w:val="21"/>
              </w:rPr>
            </w:pPr>
          </w:p>
        </w:tc>
      </w:tr>
      <w:tr w14:paraId="569E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pct"/>
            <w:vMerge w:val="restart"/>
            <w:tcBorders>
              <w:top w:val="nil"/>
              <w:left w:val="single" w:color="auto" w:sz="4" w:space="0"/>
              <w:bottom w:val="single" w:color="auto" w:sz="4" w:space="0"/>
              <w:right w:val="single" w:color="auto" w:sz="4" w:space="0"/>
            </w:tcBorders>
            <w:vAlign w:val="center"/>
          </w:tcPr>
          <w:p w14:paraId="6A40A6CE">
            <w:pPr>
              <w:spacing w:line="240" w:lineRule="auto"/>
              <w:ind w:firstLine="0" w:firstLineChars="0"/>
              <w:jc w:val="center"/>
              <w:rPr>
                <w:rFonts w:hint="eastAsia"/>
                <w:color w:val="auto"/>
                <w:sz w:val="21"/>
              </w:rPr>
            </w:pPr>
            <w:r>
              <w:rPr>
                <w:rFonts w:hint="eastAsia"/>
                <w:color w:val="auto"/>
                <w:sz w:val="21"/>
              </w:rPr>
              <w:t>2</w:t>
            </w:r>
          </w:p>
        </w:tc>
        <w:tc>
          <w:tcPr>
            <w:tcW w:w="1584" w:type="pct"/>
            <w:vMerge w:val="restart"/>
            <w:tcBorders>
              <w:top w:val="nil"/>
              <w:left w:val="single" w:color="auto" w:sz="4" w:space="0"/>
              <w:bottom w:val="single" w:color="auto" w:sz="4" w:space="0"/>
              <w:right w:val="single" w:color="auto" w:sz="4" w:space="0"/>
            </w:tcBorders>
            <w:vAlign w:val="center"/>
          </w:tcPr>
          <w:p w14:paraId="4D4C1583">
            <w:pPr>
              <w:spacing w:line="240" w:lineRule="auto"/>
              <w:ind w:firstLine="0" w:firstLineChars="0"/>
              <w:jc w:val="center"/>
              <w:rPr>
                <w:rFonts w:hint="eastAsia"/>
                <w:color w:val="auto"/>
                <w:sz w:val="21"/>
              </w:rPr>
            </w:pPr>
            <w:r>
              <w:rPr>
                <w:rFonts w:hint="eastAsia"/>
                <w:color w:val="auto"/>
                <w:sz w:val="21"/>
              </w:rPr>
              <w:t>卫生器具的排水管口及横支管的纵横坐标</w:t>
            </w:r>
          </w:p>
        </w:tc>
        <w:tc>
          <w:tcPr>
            <w:tcW w:w="1095" w:type="pct"/>
            <w:tcBorders>
              <w:top w:val="single" w:color="auto" w:sz="4" w:space="0"/>
              <w:left w:val="single" w:color="auto" w:sz="4" w:space="0"/>
              <w:bottom w:val="single" w:color="auto" w:sz="4" w:space="0"/>
              <w:right w:val="single" w:color="auto" w:sz="4" w:space="0"/>
            </w:tcBorders>
            <w:vAlign w:val="center"/>
          </w:tcPr>
          <w:p w14:paraId="7AE212E9">
            <w:pPr>
              <w:spacing w:line="240" w:lineRule="auto"/>
              <w:ind w:firstLine="0" w:firstLineChars="0"/>
              <w:jc w:val="center"/>
              <w:rPr>
                <w:rFonts w:hint="eastAsia"/>
                <w:color w:val="auto"/>
                <w:sz w:val="21"/>
              </w:rPr>
            </w:pPr>
            <w:r>
              <w:rPr>
                <w:rFonts w:hint="eastAsia"/>
                <w:color w:val="auto"/>
                <w:sz w:val="21"/>
              </w:rPr>
              <w:t>单独器具</w:t>
            </w:r>
          </w:p>
        </w:tc>
        <w:tc>
          <w:tcPr>
            <w:tcW w:w="954" w:type="pct"/>
            <w:tcBorders>
              <w:top w:val="single" w:color="auto" w:sz="4" w:space="0"/>
              <w:left w:val="single" w:color="auto" w:sz="4" w:space="0"/>
              <w:bottom w:val="single" w:color="auto" w:sz="4" w:space="0"/>
              <w:right w:val="single" w:color="auto" w:sz="4" w:space="0"/>
            </w:tcBorders>
            <w:vAlign w:val="center"/>
          </w:tcPr>
          <w:p w14:paraId="4DFC6A0F">
            <w:pPr>
              <w:spacing w:line="240" w:lineRule="auto"/>
              <w:ind w:firstLine="0" w:firstLineChars="0"/>
              <w:jc w:val="center"/>
              <w:rPr>
                <w:rFonts w:hint="eastAsia"/>
                <w:color w:val="auto"/>
                <w:sz w:val="21"/>
              </w:rPr>
            </w:pPr>
            <w:r>
              <w:rPr>
                <w:rFonts w:hint="eastAsia"/>
                <w:color w:val="auto"/>
                <w:sz w:val="21"/>
              </w:rPr>
              <w:t>10</w:t>
            </w:r>
          </w:p>
        </w:tc>
        <w:tc>
          <w:tcPr>
            <w:tcW w:w="927" w:type="pct"/>
            <w:vMerge w:val="restart"/>
            <w:tcBorders>
              <w:top w:val="nil"/>
              <w:left w:val="single" w:color="auto" w:sz="4" w:space="0"/>
              <w:bottom w:val="single" w:color="auto" w:sz="4" w:space="0"/>
              <w:right w:val="single" w:color="auto" w:sz="4" w:space="0"/>
            </w:tcBorders>
            <w:vAlign w:val="center"/>
          </w:tcPr>
          <w:p w14:paraId="677D8D33">
            <w:pPr>
              <w:spacing w:line="240" w:lineRule="auto"/>
              <w:ind w:firstLine="0" w:firstLineChars="0"/>
              <w:jc w:val="center"/>
              <w:rPr>
                <w:rFonts w:hint="eastAsia"/>
                <w:color w:val="auto"/>
                <w:sz w:val="21"/>
              </w:rPr>
            </w:pPr>
            <w:r>
              <w:rPr>
                <w:rFonts w:hint="eastAsia"/>
                <w:color w:val="auto"/>
                <w:sz w:val="21"/>
              </w:rPr>
              <w:t>用尺量检查</w:t>
            </w:r>
          </w:p>
        </w:tc>
      </w:tr>
      <w:tr w14:paraId="79A6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2599588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6E62DEE">
            <w:pPr>
              <w:spacing w:line="240" w:lineRule="auto"/>
              <w:ind w:firstLine="0" w:firstLineChars="0"/>
              <w:jc w:val="center"/>
              <w:rPr>
                <w:color w:val="auto"/>
                <w:sz w:val="21"/>
              </w:rPr>
            </w:pPr>
          </w:p>
        </w:tc>
        <w:tc>
          <w:tcPr>
            <w:tcW w:w="1095" w:type="pct"/>
            <w:tcBorders>
              <w:top w:val="single" w:color="auto" w:sz="4" w:space="0"/>
              <w:left w:val="single" w:color="auto" w:sz="4" w:space="0"/>
              <w:bottom w:val="single" w:color="auto" w:sz="4" w:space="0"/>
              <w:right w:val="single" w:color="auto" w:sz="4" w:space="0"/>
            </w:tcBorders>
            <w:vAlign w:val="center"/>
          </w:tcPr>
          <w:p w14:paraId="477CB2BE">
            <w:pPr>
              <w:spacing w:line="240" w:lineRule="auto"/>
              <w:ind w:firstLine="0" w:firstLineChars="0"/>
              <w:jc w:val="center"/>
              <w:rPr>
                <w:rFonts w:hint="eastAsia"/>
                <w:color w:val="auto"/>
                <w:sz w:val="21"/>
              </w:rPr>
            </w:pPr>
            <w:r>
              <w:rPr>
                <w:rFonts w:hint="eastAsia"/>
                <w:color w:val="auto"/>
                <w:sz w:val="21"/>
              </w:rPr>
              <w:t>成排器具</w:t>
            </w:r>
          </w:p>
        </w:tc>
        <w:tc>
          <w:tcPr>
            <w:tcW w:w="954" w:type="pct"/>
            <w:tcBorders>
              <w:top w:val="single" w:color="auto" w:sz="4" w:space="0"/>
              <w:left w:val="single" w:color="auto" w:sz="4" w:space="0"/>
              <w:bottom w:val="single" w:color="auto" w:sz="4" w:space="0"/>
              <w:right w:val="single" w:color="auto" w:sz="4" w:space="0"/>
            </w:tcBorders>
            <w:vAlign w:val="center"/>
          </w:tcPr>
          <w:p w14:paraId="15E1EE1B">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nil"/>
              <w:left w:val="single" w:color="auto" w:sz="4" w:space="0"/>
              <w:bottom w:val="single" w:color="auto" w:sz="4" w:space="0"/>
              <w:right w:val="single" w:color="auto" w:sz="4" w:space="0"/>
            </w:tcBorders>
            <w:vAlign w:val="center"/>
          </w:tcPr>
          <w:p w14:paraId="17783570">
            <w:pPr>
              <w:spacing w:line="240" w:lineRule="auto"/>
              <w:ind w:firstLine="0" w:firstLineChars="0"/>
              <w:jc w:val="center"/>
              <w:rPr>
                <w:color w:val="auto"/>
                <w:sz w:val="21"/>
              </w:rPr>
            </w:pPr>
          </w:p>
        </w:tc>
      </w:tr>
      <w:tr w14:paraId="517E4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40" w:type="pct"/>
            <w:vMerge w:val="restart"/>
            <w:tcBorders>
              <w:top w:val="nil"/>
              <w:left w:val="single" w:color="auto" w:sz="4" w:space="0"/>
              <w:bottom w:val="single" w:color="auto" w:sz="4" w:space="0"/>
              <w:right w:val="single" w:color="auto" w:sz="4" w:space="0"/>
            </w:tcBorders>
            <w:vAlign w:val="center"/>
          </w:tcPr>
          <w:p w14:paraId="0D911BFA">
            <w:pPr>
              <w:spacing w:line="240" w:lineRule="auto"/>
              <w:ind w:firstLine="0" w:firstLineChars="0"/>
              <w:jc w:val="center"/>
              <w:rPr>
                <w:rFonts w:hint="eastAsia"/>
                <w:color w:val="auto"/>
                <w:sz w:val="21"/>
              </w:rPr>
            </w:pPr>
            <w:r>
              <w:rPr>
                <w:rFonts w:hint="eastAsia"/>
                <w:color w:val="auto"/>
                <w:sz w:val="21"/>
              </w:rPr>
              <w:t>3</w:t>
            </w:r>
          </w:p>
        </w:tc>
        <w:tc>
          <w:tcPr>
            <w:tcW w:w="1584" w:type="pct"/>
            <w:vMerge w:val="restart"/>
            <w:tcBorders>
              <w:top w:val="nil"/>
              <w:left w:val="single" w:color="auto" w:sz="4" w:space="0"/>
              <w:bottom w:val="single" w:color="auto" w:sz="4" w:space="0"/>
              <w:right w:val="single" w:color="auto" w:sz="4" w:space="0"/>
            </w:tcBorders>
            <w:vAlign w:val="center"/>
          </w:tcPr>
          <w:p w14:paraId="12EAEE82">
            <w:pPr>
              <w:spacing w:line="240" w:lineRule="auto"/>
              <w:ind w:firstLine="0" w:firstLineChars="0"/>
              <w:jc w:val="center"/>
              <w:rPr>
                <w:rFonts w:hint="eastAsia"/>
                <w:color w:val="auto"/>
                <w:sz w:val="21"/>
              </w:rPr>
            </w:pPr>
            <w:r>
              <w:rPr>
                <w:rFonts w:hint="eastAsia"/>
                <w:color w:val="auto"/>
                <w:sz w:val="21"/>
              </w:rPr>
              <w:t>卫生器具的的接口标高</w:t>
            </w:r>
          </w:p>
        </w:tc>
        <w:tc>
          <w:tcPr>
            <w:tcW w:w="1095" w:type="pct"/>
            <w:tcBorders>
              <w:top w:val="single" w:color="auto" w:sz="4" w:space="0"/>
              <w:left w:val="single" w:color="auto" w:sz="4" w:space="0"/>
              <w:bottom w:val="single" w:color="auto" w:sz="4" w:space="0"/>
              <w:right w:val="single" w:color="auto" w:sz="4" w:space="0"/>
            </w:tcBorders>
            <w:vAlign w:val="center"/>
          </w:tcPr>
          <w:p w14:paraId="59CCBCE7">
            <w:pPr>
              <w:spacing w:line="240" w:lineRule="auto"/>
              <w:ind w:firstLine="0" w:firstLineChars="0"/>
              <w:jc w:val="center"/>
              <w:rPr>
                <w:rFonts w:hint="eastAsia"/>
                <w:color w:val="auto"/>
                <w:sz w:val="21"/>
              </w:rPr>
            </w:pPr>
            <w:r>
              <w:rPr>
                <w:rFonts w:hint="eastAsia"/>
                <w:color w:val="auto"/>
                <w:sz w:val="21"/>
              </w:rPr>
              <w:t>单独器具</w:t>
            </w:r>
          </w:p>
        </w:tc>
        <w:tc>
          <w:tcPr>
            <w:tcW w:w="954" w:type="pct"/>
            <w:tcBorders>
              <w:top w:val="single" w:color="auto" w:sz="4" w:space="0"/>
              <w:left w:val="single" w:color="auto" w:sz="4" w:space="0"/>
              <w:bottom w:val="single" w:color="auto" w:sz="4" w:space="0"/>
              <w:right w:val="single" w:color="auto" w:sz="4" w:space="0"/>
            </w:tcBorders>
            <w:vAlign w:val="center"/>
          </w:tcPr>
          <w:p w14:paraId="1E77D54B">
            <w:pPr>
              <w:spacing w:line="240" w:lineRule="auto"/>
              <w:ind w:firstLine="0" w:firstLineChars="0"/>
              <w:jc w:val="center"/>
              <w:rPr>
                <w:rFonts w:hint="eastAsia"/>
                <w:color w:val="auto"/>
                <w:sz w:val="21"/>
              </w:rPr>
            </w:pPr>
            <w:r>
              <w:rPr>
                <w:rFonts w:hint="eastAsia"/>
                <w:color w:val="auto"/>
                <w:sz w:val="21"/>
              </w:rPr>
              <w:t>±10</w:t>
            </w:r>
          </w:p>
        </w:tc>
        <w:tc>
          <w:tcPr>
            <w:tcW w:w="927" w:type="pct"/>
            <w:vMerge w:val="restart"/>
            <w:tcBorders>
              <w:top w:val="nil"/>
              <w:left w:val="single" w:color="auto" w:sz="4" w:space="0"/>
              <w:bottom w:val="single" w:color="auto" w:sz="4" w:space="0"/>
              <w:right w:val="single" w:color="auto" w:sz="4" w:space="0"/>
            </w:tcBorders>
            <w:vAlign w:val="center"/>
          </w:tcPr>
          <w:p w14:paraId="763E5CE2">
            <w:pPr>
              <w:spacing w:line="240" w:lineRule="auto"/>
              <w:ind w:firstLine="0" w:firstLineChars="0"/>
              <w:jc w:val="center"/>
              <w:rPr>
                <w:rFonts w:hint="eastAsia"/>
                <w:color w:val="auto"/>
                <w:sz w:val="21"/>
              </w:rPr>
            </w:pPr>
            <w:r>
              <w:rPr>
                <w:rFonts w:hint="eastAsia"/>
                <w:color w:val="auto"/>
                <w:sz w:val="21"/>
              </w:rPr>
              <w:t>用水平尺和尺量检查</w:t>
            </w:r>
          </w:p>
        </w:tc>
      </w:tr>
      <w:tr w14:paraId="44E94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741AEDE9">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825EA4C">
            <w:pPr>
              <w:spacing w:line="240" w:lineRule="auto"/>
              <w:ind w:firstLine="0" w:firstLineChars="0"/>
              <w:jc w:val="center"/>
              <w:rPr>
                <w:color w:val="auto"/>
                <w:sz w:val="21"/>
              </w:rPr>
            </w:pPr>
          </w:p>
        </w:tc>
        <w:tc>
          <w:tcPr>
            <w:tcW w:w="1095" w:type="pct"/>
            <w:tcBorders>
              <w:top w:val="single" w:color="auto" w:sz="4" w:space="0"/>
              <w:left w:val="single" w:color="auto" w:sz="4" w:space="0"/>
              <w:bottom w:val="single" w:color="auto" w:sz="4" w:space="0"/>
              <w:right w:val="single" w:color="auto" w:sz="4" w:space="0"/>
            </w:tcBorders>
            <w:vAlign w:val="center"/>
          </w:tcPr>
          <w:p w14:paraId="719A39C0">
            <w:pPr>
              <w:spacing w:line="240" w:lineRule="auto"/>
              <w:ind w:firstLine="0" w:firstLineChars="0"/>
              <w:jc w:val="center"/>
              <w:rPr>
                <w:rFonts w:hint="eastAsia"/>
                <w:color w:val="auto"/>
                <w:sz w:val="21"/>
              </w:rPr>
            </w:pPr>
            <w:r>
              <w:rPr>
                <w:rFonts w:hint="eastAsia"/>
                <w:color w:val="auto"/>
                <w:sz w:val="21"/>
              </w:rPr>
              <w:t>成排器具</w:t>
            </w:r>
          </w:p>
        </w:tc>
        <w:tc>
          <w:tcPr>
            <w:tcW w:w="954" w:type="pct"/>
            <w:tcBorders>
              <w:top w:val="single" w:color="auto" w:sz="4" w:space="0"/>
              <w:left w:val="single" w:color="auto" w:sz="4" w:space="0"/>
              <w:bottom w:val="single" w:color="auto" w:sz="4" w:space="0"/>
              <w:right w:val="single" w:color="auto" w:sz="4" w:space="0"/>
            </w:tcBorders>
            <w:vAlign w:val="center"/>
          </w:tcPr>
          <w:p w14:paraId="44A67A47">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nil"/>
              <w:left w:val="single" w:color="auto" w:sz="4" w:space="0"/>
              <w:bottom w:val="single" w:color="auto" w:sz="4" w:space="0"/>
              <w:right w:val="single" w:color="auto" w:sz="4" w:space="0"/>
            </w:tcBorders>
            <w:vAlign w:val="center"/>
          </w:tcPr>
          <w:p w14:paraId="41ADD5A0">
            <w:pPr>
              <w:rPr>
                <w:color w:val="auto"/>
              </w:rPr>
            </w:pPr>
          </w:p>
        </w:tc>
      </w:tr>
    </w:tbl>
    <w:p w14:paraId="43764453">
      <w:pPr>
        <w:rPr>
          <w:rFonts w:hint="eastAsia"/>
          <w:color w:val="auto"/>
        </w:rPr>
      </w:pPr>
      <w:r>
        <w:rPr>
          <w:rFonts w:hint="eastAsia"/>
          <w:color w:val="auto"/>
        </w:rPr>
        <w:t>连接卫生器具的排水管管径和最小坡度，如设计无要求时，应符合下表规定。</w:t>
      </w:r>
    </w:p>
    <w:p w14:paraId="2B27E9FD">
      <w:pPr>
        <w:pStyle w:val="54"/>
        <w:rPr>
          <w:rFonts w:hint="eastAsia"/>
          <w:color w:val="auto"/>
        </w:rPr>
      </w:pPr>
      <w:r>
        <w:rPr>
          <w:rFonts w:hint="eastAsia"/>
          <w:color w:val="auto"/>
        </w:rPr>
        <w:t>连接卫生器具的排水管管径和最小坡度</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955"/>
        <w:gridCol w:w="2406"/>
        <w:gridCol w:w="2327"/>
        <w:gridCol w:w="2656"/>
      </w:tblGrid>
      <w:tr w14:paraId="4DE4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35484D7A">
            <w:pPr>
              <w:spacing w:line="240" w:lineRule="auto"/>
              <w:ind w:firstLine="0" w:firstLineChars="0"/>
              <w:jc w:val="center"/>
              <w:rPr>
                <w:rFonts w:hint="eastAsia"/>
                <w:color w:val="auto"/>
                <w:sz w:val="21"/>
              </w:rPr>
            </w:pPr>
            <w:r>
              <w:rPr>
                <w:rFonts w:hint="eastAsia"/>
                <w:color w:val="auto"/>
                <w:sz w:val="21"/>
              </w:rPr>
              <w:t>项次</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31D10E7F">
            <w:pPr>
              <w:spacing w:line="240" w:lineRule="auto"/>
              <w:ind w:firstLine="0" w:firstLineChars="0"/>
              <w:jc w:val="center"/>
              <w:rPr>
                <w:rFonts w:hint="eastAsia"/>
                <w:color w:val="auto"/>
                <w:sz w:val="21"/>
              </w:rPr>
            </w:pPr>
            <w:r>
              <w:rPr>
                <w:rFonts w:hint="eastAsia"/>
                <w:color w:val="auto"/>
                <w:sz w:val="21"/>
              </w:rPr>
              <w:t>卫生器具名称</w:t>
            </w:r>
          </w:p>
        </w:tc>
        <w:tc>
          <w:tcPr>
            <w:tcW w:w="1284" w:type="pct"/>
            <w:tcBorders>
              <w:top w:val="single" w:color="auto" w:sz="4" w:space="0"/>
              <w:left w:val="single" w:color="auto" w:sz="4" w:space="0"/>
              <w:bottom w:val="single" w:color="auto" w:sz="4" w:space="0"/>
              <w:right w:val="single" w:color="auto" w:sz="4" w:space="0"/>
            </w:tcBorders>
            <w:vAlign w:val="center"/>
          </w:tcPr>
          <w:p w14:paraId="3C25FB6C">
            <w:pPr>
              <w:spacing w:line="240" w:lineRule="auto"/>
              <w:ind w:firstLine="0" w:firstLineChars="0"/>
              <w:jc w:val="center"/>
              <w:rPr>
                <w:rFonts w:hint="eastAsia"/>
                <w:color w:val="auto"/>
                <w:sz w:val="21"/>
              </w:rPr>
            </w:pPr>
            <w:r>
              <w:rPr>
                <w:rFonts w:hint="eastAsia"/>
                <w:color w:val="auto"/>
                <w:sz w:val="21"/>
              </w:rPr>
              <w:t>排水管管径（mm）</w:t>
            </w:r>
          </w:p>
        </w:tc>
        <w:tc>
          <w:tcPr>
            <w:tcW w:w="1466" w:type="pct"/>
            <w:tcBorders>
              <w:top w:val="single" w:color="auto" w:sz="4" w:space="0"/>
              <w:left w:val="single" w:color="auto" w:sz="4" w:space="0"/>
              <w:bottom w:val="single" w:color="auto" w:sz="4" w:space="0"/>
              <w:right w:val="single" w:color="auto" w:sz="4" w:space="0"/>
            </w:tcBorders>
            <w:vAlign w:val="center"/>
          </w:tcPr>
          <w:p w14:paraId="182B3D8C">
            <w:pPr>
              <w:spacing w:line="240" w:lineRule="auto"/>
              <w:ind w:firstLine="0" w:firstLineChars="0"/>
              <w:jc w:val="center"/>
              <w:rPr>
                <w:rFonts w:hint="eastAsia"/>
                <w:color w:val="auto"/>
                <w:sz w:val="21"/>
              </w:rPr>
            </w:pPr>
            <w:r>
              <w:rPr>
                <w:rFonts w:hint="eastAsia"/>
                <w:color w:val="auto"/>
                <w:sz w:val="21"/>
              </w:rPr>
              <w:t>管道的最小坡度（‰）</w:t>
            </w:r>
          </w:p>
        </w:tc>
      </w:tr>
      <w:tr w14:paraId="0464B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5F6ACCCF">
            <w:pPr>
              <w:spacing w:line="240" w:lineRule="auto"/>
              <w:ind w:firstLine="0" w:firstLineChars="0"/>
              <w:jc w:val="center"/>
              <w:rPr>
                <w:rFonts w:hint="eastAsia"/>
                <w:color w:val="auto"/>
                <w:sz w:val="21"/>
              </w:rPr>
            </w:pPr>
            <w:r>
              <w:rPr>
                <w:rFonts w:hint="eastAsia"/>
                <w:color w:val="auto"/>
                <w:sz w:val="21"/>
              </w:rPr>
              <w:t>1</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1F400AC7">
            <w:pPr>
              <w:spacing w:line="240" w:lineRule="auto"/>
              <w:ind w:firstLine="0" w:firstLineChars="0"/>
              <w:jc w:val="center"/>
              <w:rPr>
                <w:rFonts w:hint="eastAsia"/>
                <w:color w:val="auto"/>
                <w:sz w:val="21"/>
              </w:rPr>
            </w:pPr>
            <w:r>
              <w:rPr>
                <w:rFonts w:hint="eastAsia"/>
                <w:color w:val="auto"/>
                <w:sz w:val="21"/>
              </w:rPr>
              <w:t>污水盆（池）</w:t>
            </w:r>
          </w:p>
        </w:tc>
        <w:tc>
          <w:tcPr>
            <w:tcW w:w="1284" w:type="pct"/>
            <w:tcBorders>
              <w:top w:val="single" w:color="auto" w:sz="4" w:space="0"/>
              <w:left w:val="single" w:color="auto" w:sz="4" w:space="0"/>
              <w:bottom w:val="single" w:color="auto" w:sz="4" w:space="0"/>
              <w:right w:val="single" w:color="auto" w:sz="4" w:space="0"/>
            </w:tcBorders>
            <w:vAlign w:val="center"/>
          </w:tcPr>
          <w:p w14:paraId="76EA2525">
            <w:pPr>
              <w:spacing w:line="240" w:lineRule="auto"/>
              <w:ind w:firstLine="0" w:firstLineChars="0"/>
              <w:jc w:val="center"/>
              <w:rPr>
                <w:rFonts w:hint="eastAsia"/>
                <w:color w:val="auto"/>
                <w:sz w:val="21"/>
              </w:rPr>
            </w:pPr>
            <w:r>
              <w:rPr>
                <w:rFonts w:hint="eastAsia"/>
                <w:color w:val="auto"/>
                <w:sz w:val="21"/>
              </w:rPr>
              <w:t>50</w:t>
            </w:r>
          </w:p>
        </w:tc>
        <w:tc>
          <w:tcPr>
            <w:tcW w:w="1466" w:type="pct"/>
            <w:tcBorders>
              <w:top w:val="single" w:color="auto" w:sz="4" w:space="0"/>
              <w:left w:val="single" w:color="auto" w:sz="4" w:space="0"/>
              <w:bottom w:val="single" w:color="auto" w:sz="4" w:space="0"/>
              <w:right w:val="single" w:color="auto" w:sz="4" w:space="0"/>
            </w:tcBorders>
            <w:vAlign w:val="center"/>
          </w:tcPr>
          <w:p w14:paraId="0F9FE6C5">
            <w:pPr>
              <w:spacing w:line="240" w:lineRule="auto"/>
              <w:ind w:firstLine="0" w:firstLineChars="0"/>
              <w:jc w:val="center"/>
              <w:rPr>
                <w:rFonts w:hint="eastAsia"/>
                <w:color w:val="auto"/>
                <w:sz w:val="21"/>
              </w:rPr>
            </w:pPr>
            <w:r>
              <w:rPr>
                <w:rFonts w:hint="eastAsia"/>
                <w:color w:val="auto"/>
                <w:sz w:val="21"/>
              </w:rPr>
              <w:t>25</w:t>
            </w:r>
          </w:p>
        </w:tc>
      </w:tr>
      <w:tr w14:paraId="522C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27C4D339">
            <w:pPr>
              <w:spacing w:line="240" w:lineRule="auto"/>
              <w:ind w:firstLine="0" w:firstLineChars="0"/>
              <w:jc w:val="center"/>
              <w:rPr>
                <w:rFonts w:hint="eastAsia"/>
                <w:color w:val="auto"/>
                <w:sz w:val="21"/>
              </w:rPr>
            </w:pPr>
            <w:r>
              <w:rPr>
                <w:rFonts w:hint="eastAsia"/>
                <w:color w:val="auto"/>
                <w:sz w:val="21"/>
              </w:rPr>
              <w:t>2</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44E80181">
            <w:pPr>
              <w:spacing w:line="240" w:lineRule="auto"/>
              <w:ind w:firstLine="0" w:firstLineChars="0"/>
              <w:jc w:val="center"/>
              <w:rPr>
                <w:rFonts w:hint="eastAsia"/>
                <w:color w:val="auto"/>
                <w:sz w:val="21"/>
              </w:rPr>
            </w:pPr>
            <w:r>
              <w:rPr>
                <w:rFonts w:hint="eastAsia"/>
                <w:color w:val="auto"/>
                <w:sz w:val="21"/>
              </w:rPr>
              <w:t>单、双格洗涤盆（池）</w:t>
            </w:r>
          </w:p>
        </w:tc>
        <w:tc>
          <w:tcPr>
            <w:tcW w:w="1284" w:type="pct"/>
            <w:tcBorders>
              <w:top w:val="single" w:color="auto" w:sz="4" w:space="0"/>
              <w:left w:val="single" w:color="auto" w:sz="4" w:space="0"/>
              <w:bottom w:val="single" w:color="auto" w:sz="4" w:space="0"/>
              <w:right w:val="single" w:color="auto" w:sz="4" w:space="0"/>
            </w:tcBorders>
            <w:vAlign w:val="center"/>
          </w:tcPr>
          <w:p w14:paraId="138E9CDD">
            <w:pPr>
              <w:spacing w:line="240" w:lineRule="auto"/>
              <w:ind w:firstLine="0" w:firstLineChars="0"/>
              <w:jc w:val="center"/>
              <w:rPr>
                <w:rFonts w:hint="eastAsia"/>
                <w:color w:val="auto"/>
                <w:sz w:val="21"/>
              </w:rPr>
            </w:pPr>
            <w:r>
              <w:rPr>
                <w:rFonts w:hint="eastAsia"/>
                <w:color w:val="auto"/>
                <w:sz w:val="21"/>
              </w:rPr>
              <w:t>50</w:t>
            </w:r>
          </w:p>
        </w:tc>
        <w:tc>
          <w:tcPr>
            <w:tcW w:w="1466" w:type="pct"/>
            <w:tcBorders>
              <w:top w:val="single" w:color="auto" w:sz="4" w:space="0"/>
              <w:left w:val="single" w:color="auto" w:sz="4" w:space="0"/>
              <w:bottom w:val="single" w:color="auto" w:sz="4" w:space="0"/>
              <w:right w:val="single" w:color="auto" w:sz="4" w:space="0"/>
            </w:tcBorders>
            <w:vAlign w:val="center"/>
          </w:tcPr>
          <w:p w14:paraId="61248C72">
            <w:pPr>
              <w:spacing w:line="240" w:lineRule="auto"/>
              <w:ind w:firstLine="0" w:firstLineChars="0"/>
              <w:jc w:val="center"/>
              <w:rPr>
                <w:rFonts w:hint="eastAsia"/>
                <w:color w:val="auto"/>
                <w:sz w:val="21"/>
              </w:rPr>
            </w:pPr>
            <w:r>
              <w:rPr>
                <w:rFonts w:hint="eastAsia"/>
                <w:color w:val="auto"/>
                <w:sz w:val="21"/>
              </w:rPr>
              <w:t>25</w:t>
            </w:r>
          </w:p>
        </w:tc>
      </w:tr>
      <w:tr w14:paraId="44C3D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1DBA548D">
            <w:pPr>
              <w:spacing w:line="240" w:lineRule="auto"/>
              <w:ind w:firstLine="0" w:firstLineChars="0"/>
              <w:jc w:val="center"/>
              <w:rPr>
                <w:rFonts w:hint="eastAsia"/>
                <w:color w:val="auto"/>
                <w:sz w:val="21"/>
              </w:rPr>
            </w:pPr>
            <w:r>
              <w:rPr>
                <w:rFonts w:hint="eastAsia"/>
                <w:color w:val="auto"/>
                <w:sz w:val="21"/>
              </w:rPr>
              <w:t>3</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104A7027">
            <w:pPr>
              <w:spacing w:line="240" w:lineRule="auto"/>
              <w:ind w:firstLine="0" w:firstLineChars="0"/>
              <w:jc w:val="center"/>
              <w:rPr>
                <w:rFonts w:hint="eastAsia"/>
                <w:color w:val="auto"/>
                <w:sz w:val="21"/>
              </w:rPr>
            </w:pPr>
            <w:r>
              <w:rPr>
                <w:rFonts w:hint="eastAsia"/>
                <w:color w:val="auto"/>
                <w:sz w:val="21"/>
              </w:rPr>
              <w:t>洗手盆、洗脸盆</w:t>
            </w:r>
          </w:p>
        </w:tc>
        <w:tc>
          <w:tcPr>
            <w:tcW w:w="1284" w:type="pct"/>
            <w:tcBorders>
              <w:top w:val="single" w:color="auto" w:sz="4" w:space="0"/>
              <w:left w:val="single" w:color="auto" w:sz="4" w:space="0"/>
              <w:bottom w:val="single" w:color="auto" w:sz="4" w:space="0"/>
              <w:right w:val="single" w:color="auto" w:sz="4" w:space="0"/>
            </w:tcBorders>
            <w:vAlign w:val="center"/>
          </w:tcPr>
          <w:p w14:paraId="12BD5439">
            <w:pPr>
              <w:spacing w:line="240" w:lineRule="auto"/>
              <w:ind w:firstLine="0" w:firstLineChars="0"/>
              <w:jc w:val="center"/>
              <w:rPr>
                <w:rFonts w:hint="eastAsia"/>
                <w:color w:val="auto"/>
                <w:sz w:val="21"/>
              </w:rPr>
            </w:pPr>
            <w:r>
              <w:rPr>
                <w:rFonts w:hint="eastAsia"/>
                <w:color w:val="auto"/>
                <w:sz w:val="21"/>
              </w:rPr>
              <w:t>32～50</w:t>
            </w:r>
          </w:p>
        </w:tc>
        <w:tc>
          <w:tcPr>
            <w:tcW w:w="1466" w:type="pct"/>
            <w:tcBorders>
              <w:top w:val="single" w:color="auto" w:sz="4" w:space="0"/>
              <w:left w:val="single" w:color="auto" w:sz="4" w:space="0"/>
              <w:bottom w:val="single" w:color="auto" w:sz="4" w:space="0"/>
              <w:right w:val="single" w:color="auto" w:sz="4" w:space="0"/>
            </w:tcBorders>
            <w:vAlign w:val="center"/>
          </w:tcPr>
          <w:p w14:paraId="0454D033">
            <w:pPr>
              <w:spacing w:line="240" w:lineRule="auto"/>
              <w:ind w:firstLine="0" w:firstLineChars="0"/>
              <w:jc w:val="center"/>
              <w:rPr>
                <w:rFonts w:hint="eastAsia"/>
                <w:color w:val="auto"/>
                <w:sz w:val="21"/>
              </w:rPr>
            </w:pPr>
            <w:r>
              <w:rPr>
                <w:rFonts w:hint="eastAsia"/>
                <w:color w:val="auto"/>
                <w:sz w:val="21"/>
              </w:rPr>
              <w:t>20</w:t>
            </w:r>
          </w:p>
        </w:tc>
      </w:tr>
      <w:tr w14:paraId="34738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293E1055">
            <w:pPr>
              <w:spacing w:line="240" w:lineRule="auto"/>
              <w:ind w:firstLine="0" w:firstLineChars="0"/>
              <w:jc w:val="center"/>
              <w:rPr>
                <w:rFonts w:hint="eastAsia"/>
                <w:color w:val="auto"/>
                <w:sz w:val="21"/>
              </w:rPr>
            </w:pPr>
            <w:r>
              <w:rPr>
                <w:rFonts w:hint="eastAsia"/>
                <w:color w:val="auto"/>
                <w:sz w:val="21"/>
              </w:rPr>
              <w:t>4</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4D05546F">
            <w:pPr>
              <w:spacing w:line="240" w:lineRule="auto"/>
              <w:ind w:firstLine="0" w:firstLineChars="0"/>
              <w:jc w:val="center"/>
              <w:rPr>
                <w:rFonts w:hint="eastAsia"/>
                <w:color w:val="auto"/>
                <w:sz w:val="21"/>
              </w:rPr>
            </w:pPr>
            <w:r>
              <w:rPr>
                <w:rFonts w:hint="eastAsia"/>
                <w:color w:val="auto"/>
                <w:sz w:val="21"/>
              </w:rPr>
              <w:t>浴盆</w:t>
            </w:r>
          </w:p>
        </w:tc>
        <w:tc>
          <w:tcPr>
            <w:tcW w:w="1284" w:type="pct"/>
            <w:tcBorders>
              <w:top w:val="single" w:color="auto" w:sz="4" w:space="0"/>
              <w:left w:val="single" w:color="auto" w:sz="4" w:space="0"/>
              <w:bottom w:val="single" w:color="auto" w:sz="4" w:space="0"/>
              <w:right w:val="single" w:color="auto" w:sz="4" w:space="0"/>
            </w:tcBorders>
            <w:vAlign w:val="center"/>
          </w:tcPr>
          <w:p w14:paraId="60851212">
            <w:pPr>
              <w:spacing w:line="240" w:lineRule="auto"/>
              <w:ind w:firstLine="0" w:firstLineChars="0"/>
              <w:jc w:val="center"/>
              <w:rPr>
                <w:rFonts w:hint="eastAsia"/>
                <w:color w:val="auto"/>
                <w:sz w:val="21"/>
              </w:rPr>
            </w:pPr>
            <w:r>
              <w:rPr>
                <w:rFonts w:hint="eastAsia"/>
                <w:color w:val="auto"/>
                <w:sz w:val="21"/>
              </w:rPr>
              <w:t>50</w:t>
            </w:r>
          </w:p>
        </w:tc>
        <w:tc>
          <w:tcPr>
            <w:tcW w:w="1466" w:type="pct"/>
            <w:tcBorders>
              <w:top w:val="single" w:color="auto" w:sz="4" w:space="0"/>
              <w:left w:val="single" w:color="auto" w:sz="4" w:space="0"/>
              <w:bottom w:val="single" w:color="auto" w:sz="4" w:space="0"/>
              <w:right w:val="single" w:color="auto" w:sz="4" w:space="0"/>
            </w:tcBorders>
            <w:vAlign w:val="center"/>
          </w:tcPr>
          <w:p w14:paraId="6C131E05">
            <w:pPr>
              <w:spacing w:line="240" w:lineRule="auto"/>
              <w:ind w:firstLine="0" w:firstLineChars="0"/>
              <w:jc w:val="center"/>
              <w:rPr>
                <w:rFonts w:hint="eastAsia"/>
                <w:color w:val="auto"/>
                <w:sz w:val="21"/>
              </w:rPr>
            </w:pPr>
            <w:r>
              <w:rPr>
                <w:rFonts w:hint="eastAsia"/>
                <w:color w:val="auto"/>
                <w:sz w:val="21"/>
              </w:rPr>
              <w:t>20</w:t>
            </w:r>
          </w:p>
        </w:tc>
      </w:tr>
      <w:tr w14:paraId="3288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4FC3ECE2">
            <w:pPr>
              <w:spacing w:line="240" w:lineRule="auto"/>
              <w:ind w:firstLine="0" w:firstLineChars="0"/>
              <w:jc w:val="center"/>
              <w:rPr>
                <w:rFonts w:hint="eastAsia"/>
                <w:color w:val="auto"/>
                <w:sz w:val="21"/>
              </w:rPr>
            </w:pPr>
            <w:r>
              <w:rPr>
                <w:rFonts w:hint="eastAsia"/>
                <w:color w:val="auto"/>
                <w:sz w:val="21"/>
              </w:rPr>
              <w:t>5</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2A63682E">
            <w:pPr>
              <w:spacing w:line="240" w:lineRule="auto"/>
              <w:ind w:firstLine="0" w:firstLineChars="0"/>
              <w:jc w:val="center"/>
              <w:rPr>
                <w:rFonts w:hint="eastAsia"/>
                <w:color w:val="auto"/>
                <w:sz w:val="21"/>
              </w:rPr>
            </w:pPr>
            <w:r>
              <w:rPr>
                <w:rFonts w:hint="eastAsia"/>
                <w:color w:val="auto"/>
                <w:sz w:val="21"/>
              </w:rPr>
              <w:t>淋浴盆</w:t>
            </w:r>
          </w:p>
        </w:tc>
        <w:tc>
          <w:tcPr>
            <w:tcW w:w="1284" w:type="pct"/>
            <w:tcBorders>
              <w:top w:val="single" w:color="auto" w:sz="4" w:space="0"/>
              <w:left w:val="single" w:color="auto" w:sz="4" w:space="0"/>
              <w:bottom w:val="single" w:color="auto" w:sz="4" w:space="0"/>
              <w:right w:val="single" w:color="auto" w:sz="4" w:space="0"/>
            </w:tcBorders>
            <w:vAlign w:val="center"/>
          </w:tcPr>
          <w:p w14:paraId="42A06A87">
            <w:pPr>
              <w:spacing w:line="240" w:lineRule="auto"/>
              <w:ind w:firstLine="0" w:firstLineChars="0"/>
              <w:jc w:val="center"/>
              <w:rPr>
                <w:rFonts w:hint="eastAsia"/>
                <w:color w:val="auto"/>
                <w:sz w:val="21"/>
              </w:rPr>
            </w:pPr>
            <w:r>
              <w:rPr>
                <w:rFonts w:hint="eastAsia"/>
                <w:color w:val="auto"/>
                <w:sz w:val="21"/>
              </w:rPr>
              <w:t>50</w:t>
            </w:r>
          </w:p>
        </w:tc>
        <w:tc>
          <w:tcPr>
            <w:tcW w:w="1466" w:type="pct"/>
            <w:tcBorders>
              <w:top w:val="single" w:color="auto" w:sz="4" w:space="0"/>
              <w:left w:val="single" w:color="auto" w:sz="4" w:space="0"/>
              <w:bottom w:val="single" w:color="auto" w:sz="4" w:space="0"/>
              <w:right w:val="single" w:color="auto" w:sz="4" w:space="0"/>
            </w:tcBorders>
            <w:vAlign w:val="center"/>
          </w:tcPr>
          <w:p w14:paraId="1F239144">
            <w:pPr>
              <w:spacing w:line="240" w:lineRule="auto"/>
              <w:ind w:firstLine="0" w:firstLineChars="0"/>
              <w:jc w:val="center"/>
              <w:rPr>
                <w:rFonts w:hint="eastAsia"/>
                <w:color w:val="auto"/>
                <w:sz w:val="21"/>
              </w:rPr>
            </w:pPr>
            <w:r>
              <w:rPr>
                <w:rFonts w:hint="eastAsia"/>
                <w:color w:val="auto"/>
                <w:sz w:val="21"/>
              </w:rPr>
              <w:t>20</w:t>
            </w:r>
          </w:p>
        </w:tc>
      </w:tr>
      <w:tr w14:paraId="08D3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Merge w:val="restart"/>
            <w:tcBorders>
              <w:top w:val="nil"/>
              <w:left w:val="single" w:color="auto" w:sz="4" w:space="0"/>
              <w:bottom w:val="single" w:color="auto" w:sz="4" w:space="0"/>
              <w:right w:val="single" w:color="auto" w:sz="4" w:space="0"/>
            </w:tcBorders>
            <w:vAlign w:val="center"/>
          </w:tcPr>
          <w:p w14:paraId="3D27D885">
            <w:pPr>
              <w:spacing w:line="240" w:lineRule="auto"/>
              <w:ind w:firstLine="0" w:firstLineChars="0"/>
              <w:jc w:val="center"/>
              <w:rPr>
                <w:rFonts w:hint="eastAsia"/>
                <w:color w:val="auto"/>
                <w:sz w:val="21"/>
              </w:rPr>
            </w:pPr>
            <w:r>
              <w:rPr>
                <w:rFonts w:hint="eastAsia"/>
                <w:color w:val="auto"/>
                <w:sz w:val="21"/>
              </w:rPr>
              <w:t>6</w:t>
            </w:r>
          </w:p>
        </w:tc>
        <w:tc>
          <w:tcPr>
            <w:tcW w:w="527" w:type="pct"/>
            <w:vMerge w:val="restart"/>
            <w:tcBorders>
              <w:top w:val="nil"/>
              <w:left w:val="single" w:color="auto" w:sz="4" w:space="0"/>
              <w:bottom w:val="single" w:color="auto" w:sz="4" w:space="0"/>
              <w:right w:val="single" w:color="auto" w:sz="4" w:space="0"/>
            </w:tcBorders>
            <w:vAlign w:val="center"/>
          </w:tcPr>
          <w:p w14:paraId="3CAA3ECF">
            <w:pPr>
              <w:spacing w:line="240" w:lineRule="auto"/>
              <w:ind w:firstLine="0" w:firstLineChars="0"/>
              <w:jc w:val="center"/>
              <w:rPr>
                <w:rFonts w:hint="eastAsia"/>
                <w:color w:val="auto"/>
                <w:sz w:val="21"/>
              </w:rPr>
            </w:pPr>
            <w:r>
              <w:rPr>
                <w:rFonts w:hint="eastAsia"/>
                <w:color w:val="auto"/>
                <w:sz w:val="21"/>
              </w:rPr>
              <w:t>大便器</w:t>
            </w:r>
          </w:p>
        </w:tc>
        <w:tc>
          <w:tcPr>
            <w:tcW w:w="1328" w:type="pct"/>
            <w:tcBorders>
              <w:top w:val="single" w:color="auto" w:sz="4" w:space="0"/>
              <w:left w:val="single" w:color="auto" w:sz="4" w:space="0"/>
              <w:bottom w:val="single" w:color="auto" w:sz="4" w:space="0"/>
              <w:right w:val="single" w:color="auto" w:sz="4" w:space="0"/>
            </w:tcBorders>
            <w:vAlign w:val="center"/>
          </w:tcPr>
          <w:p w14:paraId="6A385287">
            <w:pPr>
              <w:spacing w:line="240" w:lineRule="auto"/>
              <w:ind w:firstLine="0" w:firstLineChars="0"/>
              <w:jc w:val="center"/>
              <w:rPr>
                <w:rFonts w:hint="eastAsia"/>
                <w:color w:val="auto"/>
                <w:sz w:val="21"/>
              </w:rPr>
            </w:pPr>
            <w:r>
              <w:rPr>
                <w:rFonts w:hint="eastAsia"/>
                <w:color w:val="auto"/>
                <w:sz w:val="21"/>
              </w:rPr>
              <w:t>高、低水箱</w:t>
            </w:r>
          </w:p>
        </w:tc>
        <w:tc>
          <w:tcPr>
            <w:tcW w:w="1284" w:type="pct"/>
            <w:tcBorders>
              <w:top w:val="single" w:color="auto" w:sz="4" w:space="0"/>
              <w:left w:val="single" w:color="auto" w:sz="4" w:space="0"/>
              <w:bottom w:val="single" w:color="auto" w:sz="4" w:space="0"/>
              <w:right w:val="single" w:color="auto" w:sz="4" w:space="0"/>
            </w:tcBorders>
            <w:vAlign w:val="center"/>
          </w:tcPr>
          <w:p w14:paraId="0DC30240">
            <w:pPr>
              <w:spacing w:line="240" w:lineRule="auto"/>
              <w:ind w:firstLine="0" w:firstLineChars="0"/>
              <w:jc w:val="center"/>
              <w:rPr>
                <w:rFonts w:hint="eastAsia"/>
                <w:color w:val="auto"/>
                <w:sz w:val="21"/>
              </w:rPr>
            </w:pPr>
            <w:r>
              <w:rPr>
                <w:rFonts w:hint="eastAsia"/>
                <w:color w:val="auto"/>
                <w:sz w:val="21"/>
              </w:rPr>
              <w:t>100</w:t>
            </w:r>
          </w:p>
        </w:tc>
        <w:tc>
          <w:tcPr>
            <w:tcW w:w="1466" w:type="pct"/>
            <w:tcBorders>
              <w:top w:val="single" w:color="auto" w:sz="4" w:space="0"/>
              <w:left w:val="single" w:color="auto" w:sz="4" w:space="0"/>
              <w:bottom w:val="single" w:color="auto" w:sz="4" w:space="0"/>
              <w:right w:val="single" w:color="auto" w:sz="4" w:space="0"/>
            </w:tcBorders>
            <w:vAlign w:val="center"/>
          </w:tcPr>
          <w:p w14:paraId="0D3A18BC">
            <w:pPr>
              <w:spacing w:line="240" w:lineRule="auto"/>
              <w:ind w:firstLine="0" w:firstLineChars="0"/>
              <w:jc w:val="center"/>
              <w:rPr>
                <w:rFonts w:hint="eastAsia"/>
                <w:color w:val="auto"/>
                <w:sz w:val="21"/>
              </w:rPr>
            </w:pPr>
            <w:r>
              <w:rPr>
                <w:rFonts w:hint="eastAsia"/>
                <w:color w:val="auto"/>
                <w:sz w:val="21"/>
              </w:rPr>
              <w:t>12</w:t>
            </w:r>
          </w:p>
        </w:tc>
      </w:tr>
      <w:tr w14:paraId="240E2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A1605B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9E6495E">
            <w:pPr>
              <w:spacing w:line="240" w:lineRule="auto"/>
              <w:ind w:firstLine="0" w:firstLineChars="0"/>
              <w:jc w:val="center"/>
              <w:rPr>
                <w:color w:val="auto"/>
                <w:sz w:val="21"/>
              </w:rPr>
            </w:pPr>
          </w:p>
        </w:tc>
        <w:tc>
          <w:tcPr>
            <w:tcW w:w="1328" w:type="pct"/>
            <w:tcBorders>
              <w:top w:val="single" w:color="auto" w:sz="4" w:space="0"/>
              <w:left w:val="single" w:color="auto" w:sz="4" w:space="0"/>
              <w:bottom w:val="single" w:color="auto" w:sz="4" w:space="0"/>
              <w:right w:val="single" w:color="auto" w:sz="4" w:space="0"/>
            </w:tcBorders>
            <w:vAlign w:val="center"/>
          </w:tcPr>
          <w:p w14:paraId="1299A013">
            <w:pPr>
              <w:spacing w:line="240" w:lineRule="auto"/>
              <w:ind w:firstLine="0" w:firstLineChars="0"/>
              <w:jc w:val="center"/>
              <w:rPr>
                <w:rFonts w:hint="eastAsia"/>
                <w:color w:val="auto"/>
                <w:sz w:val="21"/>
              </w:rPr>
            </w:pPr>
            <w:r>
              <w:rPr>
                <w:rFonts w:hint="eastAsia"/>
                <w:color w:val="auto"/>
                <w:sz w:val="21"/>
              </w:rPr>
              <w:t>自闭式冲洗阀</w:t>
            </w:r>
          </w:p>
        </w:tc>
        <w:tc>
          <w:tcPr>
            <w:tcW w:w="1284" w:type="pct"/>
            <w:tcBorders>
              <w:top w:val="single" w:color="auto" w:sz="4" w:space="0"/>
              <w:left w:val="single" w:color="auto" w:sz="4" w:space="0"/>
              <w:bottom w:val="single" w:color="auto" w:sz="4" w:space="0"/>
              <w:right w:val="single" w:color="auto" w:sz="4" w:space="0"/>
            </w:tcBorders>
            <w:vAlign w:val="center"/>
          </w:tcPr>
          <w:p w14:paraId="2A9EB55F">
            <w:pPr>
              <w:spacing w:line="240" w:lineRule="auto"/>
              <w:ind w:firstLine="0" w:firstLineChars="0"/>
              <w:jc w:val="center"/>
              <w:rPr>
                <w:rFonts w:hint="eastAsia"/>
                <w:color w:val="auto"/>
                <w:sz w:val="21"/>
              </w:rPr>
            </w:pPr>
            <w:r>
              <w:rPr>
                <w:rFonts w:hint="eastAsia"/>
                <w:color w:val="auto"/>
                <w:sz w:val="21"/>
              </w:rPr>
              <w:t>100</w:t>
            </w:r>
          </w:p>
        </w:tc>
        <w:tc>
          <w:tcPr>
            <w:tcW w:w="1466" w:type="pct"/>
            <w:tcBorders>
              <w:top w:val="single" w:color="auto" w:sz="4" w:space="0"/>
              <w:left w:val="single" w:color="auto" w:sz="4" w:space="0"/>
              <w:bottom w:val="single" w:color="auto" w:sz="4" w:space="0"/>
              <w:right w:val="single" w:color="auto" w:sz="4" w:space="0"/>
            </w:tcBorders>
            <w:vAlign w:val="center"/>
          </w:tcPr>
          <w:p w14:paraId="25A0C765">
            <w:pPr>
              <w:spacing w:line="240" w:lineRule="auto"/>
              <w:ind w:firstLine="0" w:firstLineChars="0"/>
              <w:jc w:val="center"/>
              <w:rPr>
                <w:rFonts w:hint="eastAsia"/>
                <w:color w:val="auto"/>
                <w:sz w:val="21"/>
              </w:rPr>
            </w:pPr>
            <w:r>
              <w:rPr>
                <w:rFonts w:hint="eastAsia"/>
                <w:color w:val="auto"/>
                <w:sz w:val="21"/>
              </w:rPr>
              <w:t>12</w:t>
            </w:r>
          </w:p>
        </w:tc>
      </w:tr>
      <w:tr w14:paraId="358BB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4DAAF9D3">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33F052B">
            <w:pPr>
              <w:spacing w:line="240" w:lineRule="auto"/>
              <w:ind w:firstLine="0" w:firstLineChars="0"/>
              <w:jc w:val="center"/>
              <w:rPr>
                <w:color w:val="auto"/>
                <w:sz w:val="21"/>
              </w:rPr>
            </w:pPr>
          </w:p>
        </w:tc>
        <w:tc>
          <w:tcPr>
            <w:tcW w:w="1328" w:type="pct"/>
            <w:tcBorders>
              <w:top w:val="single" w:color="auto" w:sz="4" w:space="0"/>
              <w:left w:val="single" w:color="auto" w:sz="4" w:space="0"/>
              <w:bottom w:val="single" w:color="auto" w:sz="4" w:space="0"/>
              <w:right w:val="single" w:color="auto" w:sz="4" w:space="0"/>
            </w:tcBorders>
            <w:vAlign w:val="center"/>
          </w:tcPr>
          <w:p w14:paraId="13B62395">
            <w:pPr>
              <w:spacing w:line="240" w:lineRule="auto"/>
              <w:ind w:firstLine="0" w:firstLineChars="0"/>
              <w:jc w:val="center"/>
              <w:rPr>
                <w:rFonts w:hint="eastAsia"/>
                <w:color w:val="auto"/>
                <w:sz w:val="21"/>
              </w:rPr>
            </w:pPr>
            <w:r>
              <w:rPr>
                <w:rFonts w:hint="eastAsia"/>
                <w:color w:val="auto"/>
                <w:sz w:val="21"/>
              </w:rPr>
              <w:t>拉管式冲洗阀</w:t>
            </w:r>
          </w:p>
        </w:tc>
        <w:tc>
          <w:tcPr>
            <w:tcW w:w="1284" w:type="pct"/>
            <w:tcBorders>
              <w:top w:val="single" w:color="auto" w:sz="4" w:space="0"/>
              <w:left w:val="single" w:color="auto" w:sz="4" w:space="0"/>
              <w:bottom w:val="single" w:color="auto" w:sz="4" w:space="0"/>
              <w:right w:val="single" w:color="auto" w:sz="4" w:space="0"/>
            </w:tcBorders>
            <w:vAlign w:val="center"/>
          </w:tcPr>
          <w:p w14:paraId="4D7FC041">
            <w:pPr>
              <w:spacing w:line="240" w:lineRule="auto"/>
              <w:ind w:firstLine="0" w:firstLineChars="0"/>
              <w:jc w:val="center"/>
              <w:rPr>
                <w:rFonts w:hint="eastAsia"/>
                <w:color w:val="auto"/>
                <w:sz w:val="21"/>
              </w:rPr>
            </w:pPr>
            <w:r>
              <w:rPr>
                <w:rFonts w:hint="eastAsia"/>
                <w:color w:val="auto"/>
                <w:sz w:val="21"/>
              </w:rPr>
              <w:t>100</w:t>
            </w:r>
          </w:p>
        </w:tc>
        <w:tc>
          <w:tcPr>
            <w:tcW w:w="1466" w:type="pct"/>
            <w:tcBorders>
              <w:top w:val="single" w:color="auto" w:sz="4" w:space="0"/>
              <w:left w:val="single" w:color="auto" w:sz="4" w:space="0"/>
              <w:bottom w:val="single" w:color="auto" w:sz="4" w:space="0"/>
              <w:right w:val="single" w:color="auto" w:sz="4" w:space="0"/>
            </w:tcBorders>
            <w:vAlign w:val="center"/>
          </w:tcPr>
          <w:p w14:paraId="38FF4F23">
            <w:pPr>
              <w:spacing w:line="240" w:lineRule="auto"/>
              <w:ind w:firstLine="0" w:firstLineChars="0"/>
              <w:jc w:val="center"/>
              <w:rPr>
                <w:rFonts w:hint="eastAsia"/>
                <w:color w:val="auto"/>
                <w:sz w:val="21"/>
              </w:rPr>
            </w:pPr>
            <w:r>
              <w:rPr>
                <w:rFonts w:hint="eastAsia"/>
                <w:color w:val="auto"/>
                <w:sz w:val="21"/>
              </w:rPr>
              <w:t>12</w:t>
            </w:r>
          </w:p>
        </w:tc>
      </w:tr>
      <w:tr w14:paraId="15132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vMerge w:val="restart"/>
            <w:tcBorders>
              <w:top w:val="nil"/>
              <w:left w:val="single" w:color="auto" w:sz="4" w:space="0"/>
              <w:bottom w:val="single" w:color="auto" w:sz="4" w:space="0"/>
              <w:right w:val="single" w:color="auto" w:sz="4" w:space="0"/>
            </w:tcBorders>
            <w:vAlign w:val="center"/>
          </w:tcPr>
          <w:p w14:paraId="4CE4F116">
            <w:pPr>
              <w:spacing w:line="240" w:lineRule="auto"/>
              <w:ind w:firstLine="0" w:firstLineChars="0"/>
              <w:jc w:val="center"/>
              <w:rPr>
                <w:rFonts w:hint="eastAsia"/>
                <w:color w:val="auto"/>
                <w:sz w:val="21"/>
              </w:rPr>
            </w:pPr>
            <w:r>
              <w:rPr>
                <w:rFonts w:hint="eastAsia"/>
                <w:color w:val="auto"/>
                <w:sz w:val="21"/>
              </w:rPr>
              <w:t>7</w:t>
            </w:r>
          </w:p>
        </w:tc>
        <w:tc>
          <w:tcPr>
            <w:tcW w:w="527" w:type="pct"/>
            <w:vMerge w:val="restart"/>
            <w:tcBorders>
              <w:top w:val="nil"/>
              <w:left w:val="single" w:color="auto" w:sz="4" w:space="0"/>
              <w:bottom w:val="single" w:color="auto" w:sz="4" w:space="0"/>
              <w:right w:val="single" w:color="auto" w:sz="4" w:space="0"/>
            </w:tcBorders>
            <w:vAlign w:val="center"/>
          </w:tcPr>
          <w:p w14:paraId="0601CA5D">
            <w:pPr>
              <w:spacing w:line="240" w:lineRule="auto"/>
              <w:ind w:firstLine="0" w:firstLineChars="0"/>
              <w:jc w:val="center"/>
              <w:rPr>
                <w:rFonts w:hint="eastAsia"/>
                <w:color w:val="auto"/>
                <w:sz w:val="21"/>
              </w:rPr>
            </w:pPr>
            <w:r>
              <w:rPr>
                <w:rFonts w:hint="eastAsia"/>
                <w:color w:val="auto"/>
                <w:sz w:val="21"/>
              </w:rPr>
              <w:t>小便器</w:t>
            </w:r>
          </w:p>
        </w:tc>
        <w:tc>
          <w:tcPr>
            <w:tcW w:w="1328" w:type="pct"/>
            <w:tcBorders>
              <w:top w:val="single" w:color="auto" w:sz="4" w:space="0"/>
              <w:left w:val="single" w:color="auto" w:sz="4" w:space="0"/>
              <w:bottom w:val="single" w:color="auto" w:sz="4" w:space="0"/>
              <w:right w:val="single" w:color="auto" w:sz="4" w:space="0"/>
            </w:tcBorders>
            <w:vAlign w:val="center"/>
          </w:tcPr>
          <w:p w14:paraId="0DBCFE72">
            <w:pPr>
              <w:spacing w:line="240" w:lineRule="auto"/>
              <w:ind w:firstLine="0" w:firstLineChars="0"/>
              <w:jc w:val="center"/>
              <w:rPr>
                <w:rFonts w:hint="eastAsia"/>
                <w:color w:val="auto"/>
                <w:sz w:val="21"/>
              </w:rPr>
            </w:pPr>
            <w:r>
              <w:rPr>
                <w:rFonts w:hint="eastAsia"/>
                <w:color w:val="auto"/>
                <w:sz w:val="21"/>
              </w:rPr>
              <w:t>手动、自闭式冲洗阀</w:t>
            </w:r>
          </w:p>
        </w:tc>
        <w:tc>
          <w:tcPr>
            <w:tcW w:w="1284" w:type="pct"/>
            <w:tcBorders>
              <w:top w:val="single" w:color="auto" w:sz="4" w:space="0"/>
              <w:left w:val="single" w:color="auto" w:sz="4" w:space="0"/>
              <w:bottom w:val="single" w:color="auto" w:sz="4" w:space="0"/>
              <w:right w:val="single" w:color="auto" w:sz="4" w:space="0"/>
            </w:tcBorders>
            <w:vAlign w:val="center"/>
          </w:tcPr>
          <w:p w14:paraId="267A18C8">
            <w:pPr>
              <w:spacing w:line="240" w:lineRule="auto"/>
              <w:ind w:firstLine="0" w:firstLineChars="0"/>
              <w:jc w:val="center"/>
              <w:rPr>
                <w:rFonts w:hint="eastAsia"/>
                <w:color w:val="auto"/>
                <w:sz w:val="21"/>
              </w:rPr>
            </w:pPr>
            <w:r>
              <w:rPr>
                <w:rFonts w:hint="eastAsia"/>
                <w:color w:val="auto"/>
                <w:sz w:val="21"/>
              </w:rPr>
              <w:t>40～50</w:t>
            </w:r>
          </w:p>
        </w:tc>
        <w:tc>
          <w:tcPr>
            <w:tcW w:w="1466" w:type="pct"/>
            <w:tcBorders>
              <w:top w:val="single" w:color="auto" w:sz="4" w:space="0"/>
              <w:left w:val="single" w:color="auto" w:sz="4" w:space="0"/>
              <w:bottom w:val="single" w:color="auto" w:sz="4" w:space="0"/>
              <w:right w:val="single" w:color="auto" w:sz="4" w:space="0"/>
            </w:tcBorders>
            <w:vAlign w:val="center"/>
          </w:tcPr>
          <w:p w14:paraId="3515816E">
            <w:pPr>
              <w:spacing w:line="240" w:lineRule="auto"/>
              <w:ind w:firstLine="0" w:firstLineChars="0"/>
              <w:jc w:val="center"/>
              <w:rPr>
                <w:rFonts w:hint="eastAsia"/>
                <w:color w:val="auto"/>
                <w:sz w:val="21"/>
              </w:rPr>
            </w:pPr>
            <w:r>
              <w:rPr>
                <w:rFonts w:hint="eastAsia"/>
                <w:color w:val="auto"/>
                <w:sz w:val="21"/>
              </w:rPr>
              <w:t>20</w:t>
            </w:r>
          </w:p>
        </w:tc>
      </w:tr>
      <w:tr w14:paraId="768B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1B7700D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F673F8C">
            <w:pPr>
              <w:spacing w:line="240" w:lineRule="auto"/>
              <w:ind w:firstLine="0" w:firstLineChars="0"/>
              <w:jc w:val="center"/>
              <w:rPr>
                <w:color w:val="auto"/>
                <w:sz w:val="21"/>
              </w:rPr>
            </w:pPr>
          </w:p>
        </w:tc>
        <w:tc>
          <w:tcPr>
            <w:tcW w:w="1328" w:type="pct"/>
            <w:tcBorders>
              <w:top w:val="single" w:color="auto" w:sz="4" w:space="0"/>
              <w:left w:val="single" w:color="auto" w:sz="4" w:space="0"/>
              <w:bottom w:val="single" w:color="auto" w:sz="4" w:space="0"/>
              <w:right w:val="single" w:color="auto" w:sz="4" w:space="0"/>
            </w:tcBorders>
            <w:vAlign w:val="center"/>
          </w:tcPr>
          <w:p w14:paraId="76FDADBB">
            <w:pPr>
              <w:spacing w:line="240" w:lineRule="auto"/>
              <w:ind w:firstLine="0" w:firstLineChars="0"/>
              <w:jc w:val="center"/>
              <w:rPr>
                <w:rFonts w:hint="eastAsia"/>
                <w:color w:val="auto"/>
                <w:sz w:val="21"/>
              </w:rPr>
            </w:pPr>
            <w:r>
              <w:rPr>
                <w:rFonts w:hint="eastAsia"/>
                <w:color w:val="auto"/>
                <w:sz w:val="21"/>
              </w:rPr>
              <w:t>自动冲洗阀</w:t>
            </w:r>
          </w:p>
        </w:tc>
        <w:tc>
          <w:tcPr>
            <w:tcW w:w="1284" w:type="pct"/>
            <w:tcBorders>
              <w:top w:val="single" w:color="auto" w:sz="4" w:space="0"/>
              <w:left w:val="single" w:color="auto" w:sz="4" w:space="0"/>
              <w:bottom w:val="single" w:color="auto" w:sz="4" w:space="0"/>
              <w:right w:val="single" w:color="auto" w:sz="4" w:space="0"/>
            </w:tcBorders>
            <w:vAlign w:val="center"/>
          </w:tcPr>
          <w:p w14:paraId="7CFED0E5">
            <w:pPr>
              <w:spacing w:line="240" w:lineRule="auto"/>
              <w:ind w:firstLine="0" w:firstLineChars="0"/>
              <w:jc w:val="center"/>
              <w:rPr>
                <w:rFonts w:hint="eastAsia"/>
                <w:color w:val="auto"/>
                <w:sz w:val="21"/>
              </w:rPr>
            </w:pPr>
            <w:r>
              <w:rPr>
                <w:rFonts w:hint="eastAsia"/>
                <w:color w:val="auto"/>
                <w:sz w:val="21"/>
              </w:rPr>
              <w:t>40～50</w:t>
            </w:r>
          </w:p>
        </w:tc>
        <w:tc>
          <w:tcPr>
            <w:tcW w:w="1466" w:type="pct"/>
            <w:tcBorders>
              <w:top w:val="single" w:color="auto" w:sz="4" w:space="0"/>
              <w:left w:val="single" w:color="auto" w:sz="4" w:space="0"/>
              <w:bottom w:val="single" w:color="auto" w:sz="4" w:space="0"/>
              <w:right w:val="single" w:color="auto" w:sz="4" w:space="0"/>
            </w:tcBorders>
            <w:vAlign w:val="center"/>
          </w:tcPr>
          <w:p w14:paraId="56A0EC08">
            <w:pPr>
              <w:spacing w:line="240" w:lineRule="auto"/>
              <w:ind w:firstLine="0" w:firstLineChars="0"/>
              <w:jc w:val="center"/>
              <w:rPr>
                <w:rFonts w:hint="eastAsia"/>
                <w:color w:val="auto"/>
                <w:sz w:val="21"/>
              </w:rPr>
            </w:pPr>
            <w:r>
              <w:rPr>
                <w:rFonts w:hint="eastAsia"/>
                <w:color w:val="auto"/>
                <w:sz w:val="21"/>
              </w:rPr>
              <w:t>20</w:t>
            </w:r>
          </w:p>
        </w:tc>
      </w:tr>
      <w:tr w14:paraId="6A563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6EF9B284">
            <w:pPr>
              <w:spacing w:line="240" w:lineRule="auto"/>
              <w:ind w:firstLine="0" w:firstLineChars="0"/>
              <w:jc w:val="center"/>
              <w:rPr>
                <w:rFonts w:hint="eastAsia"/>
                <w:color w:val="auto"/>
                <w:sz w:val="21"/>
              </w:rPr>
            </w:pPr>
            <w:r>
              <w:rPr>
                <w:rFonts w:hint="eastAsia"/>
                <w:color w:val="auto"/>
                <w:sz w:val="21"/>
              </w:rPr>
              <w:t>8</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7C427141">
            <w:pPr>
              <w:spacing w:line="240" w:lineRule="auto"/>
              <w:ind w:firstLine="0" w:firstLineChars="0"/>
              <w:jc w:val="center"/>
              <w:rPr>
                <w:rFonts w:hint="eastAsia"/>
                <w:color w:val="auto"/>
                <w:sz w:val="21"/>
              </w:rPr>
            </w:pPr>
            <w:r>
              <w:rPr>
                <w:rFonts w:hint="eastAsia"/>
                <w:color w:val="auto"/>
                <w:sz w:val="21"/>
              </w:rPr>
              <w:t>化验盆（无塞）</w:t>
            </w:r>
          </w:p>
        </w:tc>
        <w:tc>
          <w:tcPr>
            <w:tcW w:w="1284" w:type="pct"/>
            <w:tcBorders>
              <w:top w:val="single" w:color="auto" w:sz="4" w:space="0"/>
              <w:left w:val="single" w:color="auto" w:sz="4" w:space="0"/>
              <w:bottom w:val="single" w:color="auto" w:sz="4" w:space="0"/>
              <w:right w:val="single" w:color="auto" w:sz="4" w:space="0"/>
            </w:tcBorders>
            <w:vAlign w:val="center"/>
          </w:tcPr>
          <w:p w14:paraId="1BFFBBD5">
            <w:pPr>
              <w:spacing w:line="240" w:lineRule="auto"/>
              <w:ind w:firstLine="0" w:firstLineChars="0"/>
              <w:jc w:val="center"/>
              <w:rPr>
                <w:rFonts w:hint="eastAsia"/>
                <w:color w:val="auto"/>
                <w:sz w:val="21"/>
              </w:rPr>
            </w:pPr>
            <w:r>
              <w:rPr>
                <w:rFonts w:hint="eastAsia"/>
                <w:color w:val="auto"/>
                <w:sz w:val="21"/>
              </w:rPr>
              <w:t>40～50</w:t>
            </w:r>
          </w:p>
        </w:tc>
        <w:tc>
          <w:tcPr>
            <w:tcW w:w="1466" w:type="pct"/>
            <w:tcBorders>
              <w:top w:val="single" w:color="auto" w:sz="4" w:space="0"/>
              <w:left w:val="single" w:color="auto" w:sz="4" w:space="0"/>
              <w:bottom w:val="single" w:color="auto" w:sz="4" w:space="0"/>
              <w:right w:val="single" w:color="auto" w:sz="4" w:space="0"/>
            </w:tcBorders>
            <w:vAlign w:val="center"/>
          </w:tcPr>
          <w:p w14:paraId="3CD59F8A">
            <w:pPr>
              <w:spacing w:line="240" w:lineRule="auto"/>
              <w:ind w:firstLine="0" w:firstLineChars="0"/>
              <w:jc w:val="center"/>
              <w:rPr>
                <w:rFonts w:hint="eastAsia"/>
                <w:color w:val="auto"/>
                <w:sz w:val="21"/>
              </w:rPr>
            </w:pPr>
            <w:r>
              <w:rPr>
                <w:rFonts w:hint="eastAsia"/>
                <w:color w:val="auto"/>
                <w:sz w:val="21"/>
              </w:rPr>
              <w:t>25</w:t>
            </w:r>
          </w:p>
        </w:tc>
      </w:tr>
      <w:tr w14:paraId="4DD7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098A3B06">
            <w:pPr>
              <w:spacing w:line="240" w:lineRule="auto"/>
              <w:ind w:firstLine="0" w:firstLineChars="0"/>
              <w:jc w:val="center"/>
              <w:rPr>
                <w:rFonts w:hint="eastAsia"/>
                <w:color w:val="auto"/>
                <w:sz w:val="21"/>
              </w:rPr>
            </w:pPr>
            <w:r>
              <w:rPr>
                <w:rFonts w:hint="eastAsia"/>
                <w:color w:val="auto"/>
                <w:sz w:val="21"/>
              </w:rPr>
              <w:t>9</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170708BC">
            <w:pPr>
              <w:spacing w:line="240" w:lineRule="auto"/>
              <w:ind w:firstLine="0" w:firstLineChars="0"/>
              <w:jc w:val="center"/>
              <w:rPr>
                <w:rFonts w:hint="eastAsia"/>
                <w:color w:val="auto"/>
                <w:sz w:val="21"/>
              </w:rPr>
            </w:pPr>
            <w:r>
              <w:rPr>
                <w:rFonts w:hint="eastAsia"/>
                <w:color w:val="auto"/>
                <w:sz w:val="21"/>
              </w:rPr>
              <w:t>净身器</w:t>
            </w:r>
          </w:p>
        </w:tc>
        <w:tc>
          <w:tcPr>
            <w:tcW w:w="1284" w:type="pct"/>
            <w:tcBorders>
              <w:top w:val="single" w:color="auto" w:sz="4" w:space="0"/>
              <w:left w:val="single" w:color="auto" w:sz="4" w:space="0"/>
              <w:bottom w:val="single" w:color="auto" w:sz="4" w:space="0"/>
              <w:right w:val="single" w:color="auto" w:sz="4" w:space="0"/>
            </w:tcBorders>
            <w:vAlign w:val="center"/>
          </w:tcPr>
          <w:p w14:paraId="03E6C694">
            <w:pPr>
              <w:spacing w:line="240" w:lineRule="auto"/>
              <w:ind w:firstLine="0" w:firstLineChars="0"/>
              <w:jc w:val="center"/>
              <w:rPr>
                <w:rFonts w:hint="eastAsia"/>
                <w:color w:val="auto"/>
                <w:sz w:val="21"/>
              </w:rPr>
            </w:pPr>
            <w:r>
              <w:rPr>
                <w:rFonts w:hint="eastAsia"/>
                <w:color w:val="auto"/>
                <w:sz w:val="21"/>
              </w:rPr>
              <w:t>40～50</w:t>
            </w:r>
          </w:p>
        </w:tc>
        <w:tc>
          <w:tcPr>
            <w:tcW w:w="1466" w:type="pct"/>
            <w:tcBorders>
              <w:top w:val="single" w:color="auto" w:sz="4" w:space="0"/>
              <w:left w:val="single" w:color="auto" w:sz="4" w:space="0"/>
              <w:bottom w:val="single" w:color="auto" w:sz="4" w:space="0"/>
              <w:right w:val="single" w:color="auto" w:sz="4" w:space="0"/>
            </w:tcBorders>
            <w:vAlign w:val="center"/>
          </w:tcPr>
          <w:p w14:paraId="475CCAAC">
            <w:pPr>
              <w:spacing w:line="240" w:lineRule="auto"/>
              <w:ind w:firstLine="0" w:firstLineChars="0"/>
              <w:jc w:val="center"/>
              <w:rPr>
                <w:rFonts w:hint="eastAsia"/>
                <w:color w:val="auto"/>
                <w:sz w:val="21"/>
              </w:rPr>
            </w:pPr>
            <w:r>
              <w:rPr>
                <w:rFonts w:hint="eastAsia"/>
                <w:color w:val="auto"/>
                <w:sz w:val="21"/>
              </w:rPr>
              <w:t>20</w:t>
            </w:r>
          </w:p>
        </w:tc>
      </w:tr>
      <w:tr w14:paraId="39D04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5" w:type="pct"/>
            <w:tcBorders>
              <w:top w:val="single" w:color="auto" w:sz="4" w:space="0"/>
              <w:left w:val="single" w:color="auto" w:sz="4" w:space="0"/>
              <w:bottom w:val="single" w:color="auto" w:sz="4" w:space="0"/>
              <w:right w:val="single" w:color="auto" w:sz="4" w:space="0"/>
            </w:tcBorders>
            <w:vAlign w:val="center"/>
          </w:tcPr>
          <w:p w14:paraId="712ECF38">
            <w:pPr>
              <w:spacing w:line="240" w:lineRule="auto"/>
              <w:ind w:firstLine="0" w:firstLineChars="0"/>
              <w:jc w:val="center"/>
              <w:rPr>
                <w:rFonts w:hint="eastAsia"/>
                <w:color w:val="auto"/>
                <w:sz w:val="21"/>
              </w:rPr>
            </w:pPr>
            <w:r>
              <w:rPr>
                <w:rFonts w:hint="eastAsia"/>
                <w:color w:val="auto"/>
                <w:sz w:val="21"/>
              </w:rPr>
              <w:t>10</w:t>
            </w:r>
          </w:p>
        </w:tc>
        <w:tc>
          <w:tcPr>
            <w:tcW w:w="1855" w:type="pct"/>
            <w:gridSpan w:val="2"/>
            <w:tcBorders>
              <w:top w:val="single" w:color="auto" w:sz="4" w:space="0"/>
              <w:left w:val="single" w:color="auto" w:sz="4" w:space="0"/>
              <w:bottom w:val="single" w:color="auto" w:sz="4" w:space="0"/>
              <w:right w:val="single" w:color="auto" w:sz="4" w:space="0"/>
            </w:tcBorders>
            <w:vAlign w:val="center"/>
          </w:tcPr>
          <w:p w14:paraId="2BD09B72">
            <w:pPr>
              <w:spacing w:line="240" w:lineRule="auto"/>
              <w:ind w:firstLine="0" w:firstLineChars="0"/>
              <w:jc w:val="center"/>
              <w:rPr>
                <w:rFonts w:hint="eastAsia"/>
                <w:color w:val="auto"/>
                <w:sz w:val="21"/>
              </w:rPr>
            </w:pPr>
            <w:r>
              <w:rPr>
                <w:rFonts w:hint="eastAsia"/>
                <w:color w:val="auto"/>
                <w:sz w:val="21"/>
              </w:rPr>
              <w:t>饮水器</w:t>
            </w:r>
          </w:p>
        </w:tc>
        <w:tc>
          <w:tcPr>
            <w:tcW w:w="1284" w:type="pct"/>
            <w:tcBorders>
              <w:top w:val="single" w:color="auto" w:sz="4" w:space="0"/>
              <w:left w:val="single" w:color="auto" w:sz="4" w:space="0"/>
              <w:bottom w:val="single" w:color="auto" w:sz="4" w:space="0"/>
              <w:right w:val="single" w:color="auto" w:sz="4" w:space="0"/>
            </w:tcBorders>
            <w:vAlign w:val="center"/>
          </w:tcPr>
          <w:p w14:paraId="7CE820E1">
            <w:pPr>
              <w:spacing w:line="240" w:lineRule="auto"/>
              <w:ind w:firstLine="0" w:firstLineChars="0"/>
              <w:jc w:val="center"/>
              <w:rPr>
                <w:rFonts w:hint="eastAsia"/>
                <w:color w:val="auto"/>
                <w:sz w:val="21"/>
              </w:rPr>
            </w:pPr>
            <w:r>
              <w:rPr>
                <w:rFonts w:hint="eastAsia"/>
                <w:color w:val="auto"/>
                <w:sz w:val="21"/>
              </w:rPr>
              <w:t>20～50</w:t>
            </w:r>
          </w:p>
        </w:tc>
        <w:tc>
          <w:tcPr>
            <w:tcW w:w="1466" w:type="pct"/>
            <w:tcBorders>
              <w:top w:val="single" w:color="auto" w:sz="4" w:space="0"/>
              <w:left w:val="single" w:color="auto" w:sz="4" w:space="0"/>
              <w:bottom w:val="single" w:color="auto" w:sz="4" w:space="0"/>
              <w:right w:val="single" w:color="auto" w:sz="4" w:space="0"/>
            </w:tcBorders>
            <w:vAlign w:val="center"/>
          </w:tcPr>
          <w:p w14:paraId="704247FA">
            <w:pPr>
              <w:spacing w:line="240" w:lineRule="auto"/>
              <w:ind w:firstLine="0" w:firstLineChars="0"/>
              <w:jc w:val="center"/>
              <w:rPr>
                <w:rFonts w:hint="eastAsia"/>
                <w:color w:val="auto"/>
                <w:sz w:val="21"/>
              </w:rPr>
            </w:pPr>
            <w:r>
              <w:rPr>
                <w:rFonts w:hint="eastAsia"/>
                <w:color w:val="auto"/>
                <w:sz w:val="21"/>
              </w:rPr>
              <w:t>10～20</w:t>
            </w:r>
          </w:p>
        </w:tc>
      </w:tr>
    </w:tbl>
    <w:p w14:paraId="06172B35">
      <w:pPr>
        <w:rPr>
          <w:rFonts w:hint="eastAsia"/>
          <w:color w:val="auto"/>
        </w:rPr>
      </w:pPr>
      <w:r>
        <w:rPr>
          <w:rFonts w:hint="eastAsia"/>
          <w:color w:val="auto"/>
        </w:rPr>
        <w:t>检验方法：用水平尺和尺量检查。</w:t>
      </w:r>
    </w:p>
    <w:p w14:paraId="41E133C5">
      <w:pPr>
        <w:pStyle w:val="54"/>
        <w:rPr>
          <w:rFonts w:hint="eastAsia"/>
          <w:color w:val="auto"/>
        </w:rPr>
      </w:pPr>
      <w:r>
        <w:rPr>
          <w:rFonts w:hint="eastAsia"/>
          <w:color w:val="auto"/>
        </w:rPr>
        <w:t>建筑中水系统管道及辅助设备安装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692"/>
        <w:gridCol w:w="5949"/>
        <w:gridCol w:w="1759"/>
      </w:tblGrid>
      <w:tr w14:paraId="0FA9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78BEA26">
            <w:pPr>
              <w:spacing w:line="240" w:lineRule="auto"/>
              <w:ind w:firstLine="0" w:firstLineChars="0"/>
              <w:jc w:val="center"/>
              <w:rPr>
                <w:rFonts w:hint="eastAsia"/>
                <w:color w:val="auto"/>
                <w:sz w:val="21"/>
              </w:rPr>
            </w:pPr>
            <w:r>
              <w:rPr>
                <w:rFonts w:hint="eastAsia"/>
                <w:color w:val="auto"/>
                <w:sz w:val="21"/>
              </w:rPr>
              <w:t>序号</w:t>
            </w:r>
          </w:p>
        </w:tc>
        <w:tc>
          <w:tcPr>
            <w:tcW w:w="382" w:type="pct"/>
            <w:tcBorders>
              <w:top w:val="single" w:color="auto" w:sz="4" w:space="0"/>
              <w:left w:val="single" w:color="auto" w:sz="4" w:space="0"/>
              <w:bottom w:val="single" w:color="auto" w:sz="4" w:space="0"/>
              <w:right w:val="single" w:color="auto" w:sz="4" w:space="0"/>
            </w:tcBorders>
            <w:vAlign w:val="center"/>
          </w:tcPr>
          <w:p w14:paraId="4DA2AEFC">
            <w:pPr>
              <w:spacing w:line="240" w:lineRule="auto"/>
              <w:ind w:firstLine="0" w:firstLineChars="0"/>
              <w:jc w:val="center"/>
              <w:rPr>
                <w:rFonts w:hint="eastAsia"/>
                <w:color w:val="auto"/>
                <w:sz w:val="21"/>
              </w:rPr>
            </w:pPr>
            <w:r>
              <w:rPr>
                <w:rFonts w:hint="eastAsia"/>
                <w:color w:val="auto"/>
                <w:sz w:val="21"/>
              </w:rPr>
              <w:t>项目类型</w:t>
            </w:r>
          </w:p>
        </w:tc>
        <w:tc>
          <w:tcPr>
            <w:tcW w:w="3283" w:type="pct"/>
            <w:tcBorders>
              <w:top w:val="single" w:color="auto" w:sz="4" w:space="0"/>
              <w:left w:val="single" w:color="auto" w:sz="4" w:space="0"/>
              <w:bottom w:val="single" w:color="auto" w:sz="4" w:space="0"/>
              <w:right w:val="single" w:color="auto" w:sz="4" w:space="0"/>
            </w:tcBorders>
            <w:vAlign w:val="center"/>
          </w:tcPr>
          <w:p w14:paraId="751FEB0F">
            <w:pPr>
              <w:spacing w:line="240" w:lineRule="auto"/>
              <w:ind w:firstLine="0" w:firstLineChars="0"/>
              <w:jc w:val="center"/>
              <w:rPr>
                <w:rFonts w:hint="eastAsia"/>
                <w:color w:val="auto"/>
                <w:sz w:val="21"/>
              </w:rPr>
            </w:pPr>
            <w:r>
              <w:rPr>
                <w:rFonts w:hint="eastAsia"/>
                <w:color w:val="auto"/>
                <w:sz w:val="21"/>
              </w:rPr>
              <w:t>内容</w:t>
            </w:r>
          </w:p>
        </w:tc>
        <w:tc>
          <w:tcPr>
            <w:tcW w:w="971" w:type="pct"/>
            <w:tcBorders>
              <w:top w:val="single" w:color="auto" w:sz="4" w:space="0"/>
              <w:left w:val="single" w:color="auto" w:sz="4" w:space="0"/>
              <w:bottom w:val="single" w:color="auto" w:sz="4" w:space="0"/>
              <w:right w:val="single" w:color="auto" w:sz="4" w:space="0"/>
            </w:tcBorders>
            <w:vAlign w:val="center"/>
          </w:tcPr>
          <w:p w14:paraId="6489A5C5">
            <w:pPr>
              <w:spacing w:line="240" w:lineRule="auto"/>
              <w:ind w:firstLine="0" w:firstLineChars="0"/>
              <w:jc w:val="center"/>
              <w:rPr>
                <w:rFonts w:hint="eastAsia"/>
                <w:color w:val="auto"/>
                <w:sz w:val="21"/>
              </w:rPr>
            </w:pPr>
            <w:r>
              <w:rPr>
                <w:rFonts w:hint="eastAsia"/>
                <w:color w:val="auto"/>
                <w:sz w:val="21"/>
              </w:rPr>
              <w:t>检验方法</w:t>
            </w:r>
          </w:p>
        </w:tc>
      </w:tr>
      <w:tr w14:paraId="7AB75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DC37459">
            <w:pPr>
              <w:spacing w:line="240" w:lineRule="auto"/>
              <w:ind w:firstLine="0" w:firstLineChars="0"/>
              <w:jc w:val="center"/>
              <w:rPr>
                <w:rFonts w:hint="eastAsia"/>
                <w:color w:val="auto"/>
                <w:sz w:val="21"/>
              </w:rPr>
            </w:pPr>
            <w:r>
              <w:rPr>
                <w:rFonts w:hint="eastAsia"/>
                <w:color w:val="auto"/>
                <w:sz w:val="21"/>
              </w:rPr>
              <w:t>1</w:t>
            </w:r>
          </w:p>
        </w:tc>
        <w:tc>
          <w:tcPr>
            <w:tcW w:w="382" w:type="pct"/>
            <w:vMerge w:val="restart"/>
            <w:tcBorders>
              <w:top w:val="nil"/>
              <w:left w:val="single" w:color="auto" w:sz="4" w:space="0"/>
              <w:bottom w:val="single" w:color="auto" w:sz="4" w:space="0"/>
              <w:right w:val="single" w:color="auto" w:sz="4" w:space="0"/>
            </w:tcBorders>
            <w:vAlign w:val="center"/>
          </w:tcPr>
          <w:p w14:paraId="7E5363E7">
            <w:pPr>
              <w:spacing w:line="240" w:lineRule="auto"/>
              <w:ind w:firstLine="0" w:firstLineChars="0"/>
              <w:jc w:val="center"/>
              <w:rPr>
                <w:rFonts w:hint="eastAsia"/>
                <w:color w:val="auto"/>
                <w:sz w:val="21"/>
              </w:rPr>
            </w:pPr>
            <w:r>
              <w:rPr>
                <w:rFonts w:hint="eastAsia"/>
                <w:color w:val="auto"/>
                <w:sz w:val="21"/>
              </w:rPr>
              <w:t>主控项目</w:t>
            </w:r>
          </w:p>
        </w:tc>
        <w:tc>
          <w:tcPr>
            <w:tcW w:w="3283" w:type="pct"/>
            <w:tcBorders>
              <w:top w:val="single" w:color="auto" w:sz="4" w:space="0"/>
              <w:left w:val="single" w:color="auto" w:sz="4" w:space="0"/>
              <w:bottom w:val="single" w:color="auto" w:sz="4" w:space="0"/>
              <w:right w:val="single" w:color="auto" w:sz="4" w:space="0"/>
            </w:tcBorders>
            <w:vAlign w:val="center"/>
          </w:tcPr>
          <w:p w14:paraId="602C9292">
            <w:pPr>
              <w:spacing w:line="240" w:lineRule="auto"/>
              <w:ind w:firstLine="420"/>
              <w:jc w:val="left"/>
              <w:rPr>
                <w:rFonts w:hint="eastAsia"/>
                <w:color w:val="auto"/>
                <w:sz w:val="21"/>
              </w:rPr>
            </w:pPr>
            <w:r>
              <w:rPr>
                <w:rFonts w:hint="eastAsia"/>
                <w:color w:val="auto"/>
                <w:sz w:val="21"/>
              </w:rPr>
              <w:t>中高水位水箱应与生活高位水箱分设在不同的房间内，如条件不允许只能设在同一房间时，与生活高位水箱的净距离应大于2m。</w:t>
            </w:r>
          </w:p>
        </w:tc>
        <w:tc>
          <w:tcPr>
            <w:tcW w:w="971" w:type="pct"/>
            <w:tcBorders>
              <w:top w:val="single" w:color="auto" w:sz="4" w:space="0"/>
              <w:left w:val="single" w:color="auto" w:sz="4" w:space="0"/>
              <w:bottom w:val="single" w:color="auto" w:sz="4" w:space="0"/>
              <w:right w:val="single" w:color="auto" w:sz="4" w:space="0"/>
            </w:tcBorders>
            <w:vAlign w:val="center"/>
          </w:tcPr>
          <w:p w14:paraId="28FFDC68">
            <w:pPr>
              <w:spacing w:line="240" w:lineRule="auto"/>
              <w:ind w:firstLine="0" w:firstLineChars="0"/>
              <w:jc w:val="center"/>
              <w:rPr>
                <w:rFonts w:hint="eastAsia"/>
                <w:color w:val="auto"/>
                <w:sz w:val="21"/>
              </w:rPr>
            </w:pPr>
            <w:r>
              <w:rPr>
                <w:rFonts w:hint="eastAsia"/>
                <w:color w:val="auto"/>
                <w:sz w:val="21"/>
              </w:rPr>
              <w:t>观察和尺量检查</w:t>
            </w:r>
          </w:p>
        </w:tc>
      </w:tr>
      <w:tr w14:paraId="0C691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63D2033">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52093BBD">
            <w:pPr>
              <w:spacing w:line="240" w:lineRule="auto"/>
              <w:ind w:firstLine="0" w:firstLineChars="0"/>
              <w:jc w:val="center"/>
              <w:rPr>
                <w:color w:val="auto"/>
                <w:sz w:val="21"/>
              </w:rPr>
            </w:pPr>
          </w:p>
        </w:tc>
        <w:tc>
          <w:tcPr>
            <w:tcW w:w="3283" w:type="pct"/>
            <w:tcBorders>
              <w:top w:val="single" w:color="auto" w:sz="4" w:space="0"/>
              <w:left w:val="single" w:color="auto" w:sz="4" w:space="0"/>
              <w:bottom w:val="single" w:color="auto" w:sz="4" w:space="0"/>
              <w:right w:val="single" w:color="auto" w:sz="4" w:space="0"/>
            </w:tcBorders>
            <w:vAlign w:val="center"/>
          </w:tcPr>
          <w:p w14:paraId="47459B20">
            <w:pPr>
              <w:spacing w:line="240" w:lineRule="auto"/>
              <w:ind w:firstLine="420"/>
              <w:jc w:val="left"/>
              <w:rPr>
                <w:rFonts w:hint="eastAsia"/>
                <w:color w:val="auto"/>
                <w:sz w:val="21"/>
              </w:rPr>
            </w:pPr>
            <w:r>
              <w:rPr>
                <w:rFonts w:hint="eastAsia"/>
                <w:color w:val="auto"/>
                <w:sz w:val="21"/>
              </w:rPr>
              <w:t>中水给水管道不得装设取水水嘴。便器冲洗宜采用密闭型设备和器具。绿化、浇洒、汽车冲洗宜采用壁式或地下式的给水栓。</w:t>
            </w:r>
          </w:p>
        </w:tc>
        <w:tc>
          <w:tcPr>
            <w:tcW w:w="971" w:type="pct"/>
            <w:tcBorders>
              <w:top w:val="single" w:color="auto" w:sz="4" w:space="0"/>
              <w:left w:val="single" w:color="auto" w:sz="4" w:space="0"/>
              <w:bottom w:val="single" w:color="auto" w:sz="4" w:space="0"/>
              <w:right w:val="single" w:color="auto" w:sz="4" w:space="0"/>
            </w:tcBorders>
            <w:vAlign w:val="center"/>
          </w:tcPr>
          <w:p w14:paraId="545CEFD1">
            <w:pPr>
              <w:spacing w:line="240" w:lineRule="auto"/>
              <w:ind w:firstLine="0" w:firstLineChars="0"/>
              <w:jc w:val="center"/>
              <w:rPr>
                <w:rFonts w:hint="eastAsia"/>
                <w:color w:val="auto"/>
                <w:sz w:val="21"/>
              </w:rPr>
            </w:pPr>
            <w:r>
              <w:rPr>
                <w:rFonts w:hint="eastAsia"/>
                <w:color w:val="auto"/>
                <w:sz w:val="21"/>
              </w:rPr>
              <w:t>观察检查</w:t>
            </w:r>
          </w:p>
        </w:tc>
      </w:tr>
      <w:tr w14:paraId="6AA4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607B416">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60948D5A">
            <w:pPr>
              <w:spacing w:line="240" w:lineRule="auto"/>
              <w:ind w:firstLine="0" w:firstLineChars="0"/>
              <w:jc w:val="center"/>
              <w:rPr>
                <w:color w:val="auto"/>
                <w:sz w:val="21"/>
              </w:rPr>
            </w:pPr>
          </w:p>
        </w:tc>
        <w:tc>
          <w:tcPr>
            <w:tcW w:w="3283" w:type="pct"/>
            <w:tcBorders>
              <w:top w:val="single" w:color="auto" w:sz="4" w:space="0"/>
              <w:left w:val="single" w:color="auto" w:sz="4" w:space="0"/>
              <w:bottom w:val="single" w:color="auto" w:sz="4" w:space="0"/>
              <w:right w:val="single" w:color="auto" w:sz="4" w:space="0"/>
            </w:tcBorders>
            <w:vAlign w:val="center"/>
          </w:tcPr>
          <w:p w14:paraId="3DFF9BF9">
            <w:pPr>
              <w:spacing w:line="240" w:lineRule="auto"/>
              <w:ind w:firstLine="420"/>
              <w:jc w:val="left"/>
              <w:rPr>
                <w:rFonts w:hint="eastAsia"/>
                <w:color w:val="auto"/>
                <w:sz w:val="21"/>
              </w:rPr>
            </w:pPr>
            <w:r>
              <w:rPr>
                <w:rFonts w:hint="eastAsia"/>
                <w:color w:val="auto"/>
                <w:sz w:val="21"/>
              </w:rPr>
              <w:t>中水供水管道严禁与生活饮用水给水管道连接，并应采取下列措施：</w:t>
            </w:r>
          </w:p>
          <w:p w14:paraId="120F76FA">
            <w:pPr>
              <w:spacing w:line="240" w:lineRule="auto"/>
              <w:ind w:firstLine="420"/>
              <w:jc w:val="left"/>
              <w:rPr>
                <w:rFonts w:hint="eastAsia"/>
                <w:color w:val="auto"/>
                <w:sz w:val="21"/>
              </w:rPr>
            </w:pPr>
            <w:r>
              <w:rPr>
                <w:rFonts w:hint="eastAsia"/>
                <w:color w:val="auto"/>
                <w:sz w:val="21"/>
              </w:rPr>
              <w:t>中水管道外壁应涂浅绿色标志；</w:t>
            </w:r>
          </w:p>
          <w:p w14:paraId="76540E4A">
            <w:pPr>
              <w:spacing w:line="240" w:lineRule="auto"/>
              <w:ind w:firstLine="420"/>
              <w:jc w:val="left"/>
              <w:rPr>
                <w:rFonts w:hint="eastAsia"/>
                <w:color w:val="auto"/>
                <w:sz w:val="21"/>
              </w:rPr>
            </w:pPr>
            <w:r>
              <w:rPr>
                <w:rFonts w:hint="eastAsia"/>
                <w:color w:val="auto"/>
                <w:sz w:val="21"/>
              </w:rPr>
              <w:t>中水池（箱）、阀门、水表及给水柱均应有“中水”标志。</w:t>
            </w:r>
          </w:p>
        </w:tc>
        <w:tc>
          <w:tcPr>
            <w:tcW w:w="971" w:type="pct"/>
            <w:tcBorders>
              <w:top w:val="single" w:color="auto" w:sz="4" w:space="0"/>
              <w:left w:val="single" w:color="auto" w:sz="4" w:space="0"/>
              <w:bottom w:val="single" w:color="auto" w:sz="4" w:space="0"/>
              <w:right w:val="single" w:color="auto" w:sz="4" w:space="0"/>
            </w:tcBorders>
            <w:vAlign w:val="center"/>
          </w:tcPr>
          <w:p w14:paraId="11B512F0">
            <w:pPr>
              <w:spacing w:line="240" w:lineRule="auto"/>
              <w:ind w:firstLine="0" w:firstLineChars="0"/>
              <w:jc w:val="center"/>
              <w:rPr>
                <w:rFonts w:hint="eastAsia"/>
                <w:color w:val="auto"/>
                <w:sz w:val="21"/>
              </w:rPr>
            </w:pPr>
            <w:r>
              <w:rPr>
                <w:rFonts w:hint="eastAsia"/>
                <w:color w:val="auto"/>
                <w:sz w:val="21"/>
              </w:rPr>
              <w:t>观察检查</w:t>
            </w:r>
          </w:p>
        </w:tc>
      </w:tr>
      <w:tr w14:paraId="5516D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ACF950C">
            <w:pPr>
              <w:spacing w:line="240" w:lineRule="auto"/>
              <w:ind w:firstLine="0" w:firstLineChars="0"/>
              <w:jc w:val="center"/>
              <w:rPr>
                <w:rFonts w:hint="eastAsia"/>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895CA0C">
            <w:pPr>
              <w:spacing w:line="240" w:lineRule="auto"/>
              <w:ind w:firstLine="0" w:firstLineChars="0"/>
              <w:jc w:val="center"/>
              <w:rPr>
                <w:color w:val="auto"/>
                <w:sz w:val="21"/>
              </w:rPr>
            </w:pPr>
          </w:p>
        </w:tc>
        <w:tc>
          <w:tcPr>
            <w:tcW w:w="3283" w:type="pct"/>
            <w:tcBorders>
              <w:top w:val="single" w:color="auto" w:sz="4" w:space="0"/>
              <w:left w:val="single" w:color="auto" w:sz="4" w:space="0"/>
              <w:bottom w:val="single" w:color="auto" w:sz="4" w:space="0"/>
              <w:right w:val="single" w:color="auto" w:sz="4" w:space="0"/>
            </w:tcBorders>
            <w:vAlign w:val="center"/>
          </w:tcPr>
          <w:p w14:paraId="3574FC49">
            <w:pPr>
              <w:spacing w:line="240" w:lineRule="auto"/>
              <w:ind w:firstLine="420"/>
              <w:jc w:val="left"/>
              <w:rPr>
                <w:rFonts w:hint="eastAsia"/>
                <w:color w:val="auto"/>
                <w:sz w:val="21"/>
              </w:rPr>
            </w:pPr>
            <w:r>
              <w:rPr>
                <w:rFonts w:hint="eastAsia"/>
                <w:color w:val="auto"/>
                <w:sz w:val="21"/>
              </w:rPr>
              <w:t>中水管道不宜暗装于墙体和楼板内。如必须暗装于墙槽内时，必须在管道上有明显且不会脱落的标志。</w:t>
            </w:r>
          </w:p>
        </w:tc>
        <w:tc>
          <w:tcPr>
            <w:tcW w:w="971" w:type="pct"/>
            <w:tcBorders>
              <w:top w:val="single" w:color="auto" w:sz="4" w:space="0"/>
              <w:left w:val="single" w:color="auto" w:sz="4" w:space="0"/>
              <w:bottom w:val="single" w:color="auto" w:sz="4" w:space="0"/>
              <w:right w:val="single" w:color="auto" w:sz="4" w:space="0"/>
            </w:tcBorders>
            <w:vAlign w:val="center"/>
          </w:tcPr>
          <w:p w14:paraId="63FF52C3">
            <w:pPr>
              <w:spacing w:line="240" w:lineRule="auto"/>
              <w:ind w:firstLine="0" w:firstLineChars="0"/>
              <w:jc w:val="center"/>
              <w:rPr>
                <w:rFonts w:hint="eastAsia"/>
                <w:color w:val="auto"/>
                <w:sz w:val="21"/>
              </w:rPr>
            </w:pPr>
            <w:r>
              <w:rPr>
                <w:rFonts w:hint="eastAsia"/>
                <w:color w:val="auto"/>
                <w:sz w:val="21"/>
              </w:rPr>
              <w:t>观察检查</w:t>
            </w:r>
          </w:p>
        </w:tc>
      </w:tr>
      <w:tr w14:paraId="7FD52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9816C5B">
            <w:pPr>
              <w:spacing w:line="240" w:lineRule="auto"/>
              <w:ind w:firstLine="0" w:firstLineChars="0"/>
              <w:jc w:val="center"/>
              <w:rPr>
                <w:rFonts w:hint="eastAsia"/>
                <w:color w:val="auto"/>
                <w:sz w:val="21"/>
              </w:rPr>
            </w:pPr>
            <w:r>
              <w:rPr>
                <w:rFonts w:hint="eastAsia"/>
                <w:color w:val="auto"/>
                <w:sz w:val="21"/>
              </w:rPr>
              <w:t>4</w:t>
            </w:r>
          </w:p>
        </w:tc>
        <w:tc>
          <w:tcPr>
            <w:tcW w:w="382" w:type="pct"/>
            <w:vMerge w:val="restart"/>
            <w:tcBorders>
              <w:top w:val="nil"/>
              <w:left w:val="single" w:color="auto" w:sz="4" w:space="0"/>
              <w:bottom w:val="single" w:color="auto" w:sz="4" w:space="0"/>
              <w:right w:val="single" w:color="auto" w:sz="4" w:space="0"/>
            </w:tcBorders>
            <w:vAlign w:val="center"/>
          </w:tcPr>
          <w:p w14:paraId="2526C1AB">
            <w:pPr>
              <w:spacing w:line="240" w:lineRule="auto"/>
              <w:ind w:firstLine="0" w:firstLineChars="0"/>
              <w:jc w:val="center"/>
              <w:rPr>
                <w:rFonts w:hint="eastAsia"/>
                <w:color w:val="auto"/>
                <w:sz w:val="21"/>
              </w:rPr>
            </w:pPr>
            <w:r>
              <w:rPr>
                <w:rFonts w:hint="eastAsia"/>
                <w:color w:val="auto"/>
                <w:sz w:val="21"/>
              </w:rPr>
              <w:t>一般项目</w:t>
            </w:r>
          </w:p>
        </w:tc>
        <w:tc>
          <w:tcPr>
            <w:tcW w:w="3283" w:type="pct"/>
            <w:tcBorders>
              <w:top w:val="single" w:color="auto" w:sz="4" w:space="0"/>
              <w:left w:val="single" w:color="auto" w:sz="4" w:space="0"/>
              <w:bottom w:val="single" w:color="auto" w:sz="4" w:space="0"/>
              <w:right w:val="single" w:color="auto" w:sz="4" w:space="0"/>
            </w:tcBorders>
            <w:vAlign w:val="center"/>
          </w:tcPr>
          <w:p w14:paraId="5AE07218">
            <w:pPr>
              <w:spacing w:line="240" w:lineRule="auto"/>
              <w:ind w:firstLine="420"/>
              <w:jc w:val="left"/>
              <w:rPr>
                <w:rFonts w:hint="eastAsia"/>
                <w:color w:val="auto"/>
                <w:sz w:val="21"/>
              </w:rPr>
            </w:pPr>
            <w:r>
              <w:rPr>
                <w:rFonts w:hint="eastAsia"/>
                <w:color w:val="auto"/>
                <w:sz w:val="21"/>
              </w:rPr>
              <w:t>中水给水管道管材及配件应采用耐腐蚀的给水管管材及附件。</w:t>
            </w:r>
          </w:p>
        </w:tc>
        <w:tc>
          <w:tcPr>
            <w:tcW w:w="971" w:type="pct"/>
            <w:tcBorders>
              <w:top w:val="single" w:color="auto" w:sz="4" w:space="0"/>
              <w:left w:val="single" w:color="auto" w:sz="4" w:space="0"/>
              <w:bottom w:val="single" w:color="auto" w:sz="4" w:space="0"/>
              <w:right w:val="single" w:color="auto" w:sz="4" w:space="0"/>
            </w:tcBorders>
            <w:vAlign w:val="center"/>
          </w:tcPr>
          <w:p w14:paraId="6F85ECAA">
            <w:pPr>
              <w:spacing w:line="240" w:lineRule="auto"/>
              <w:ind w:firstLine="0" w:firstLineChars="0"/>
              <w:jc w:val="center"/>
              <w:rPr>
                <w:rFonts w:hint="eastAsia"/>
                <w:color w:val="auto"/>
                <w:sz w:val="21"/>
              </w:rPr>
            </w:pPr>
            <w:r>
              <w:rPr>
                <w:rFonts w:hint="eastAsia"/>
                <w:color w:val="auto"/>
                <w:sz w:val="21"/>
              </w:rPr>
              <w:t>观察检查</w:t>
            </w:r>
          </w:p>
        </w:tc>
      </w:tr>
      <w:tr w14:paraId="56AC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0983AB8">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nil"/>
              <w:left w:val="single" w:color="auto" w:sz="4" w:space="0"/>
              <w:bottom w:val="single" w:color="auto" w:sz="4" w:space="0"/>
              <w:right w:val="single" w:color="auto" w:sz="4" w:space="0"/>
            </w:tcBorders>
            <w:vAlign w:val="center"/>
          </w:tcPr>
          <w:p w14:paraId="5B117DEF">
            <w:pPr>
              <w:spacing w:line="240" w:lineRule="auto"/>
              <w:ind w:firstLine="0" w:firstLineChars="0"/>
              <w:jc w:val="center"/>
              <w:rPr>
                <w:color w:val="auto"/>
                <w:sz w:val="21"/>
              </w:rPr>
            </w:pPr>
          </w:p>
        </w:tc>
        <w:tc>
          <w:tcPr>
            <w:tcW w:w="3283" w:type="pct"/>
            <w:tcBorders>
              <w:top w:val="single" w:color="auto" w:sz="4" w:space="0"/>
              <w:left w:val="single" w:color="auto" w:sz="4" w:space="0"/>
              <w:bottom w:val="single" w:color="auto" w:sz="4" w:space="0"/>
              <w:right w:val="single" w:color="auto" w:sz="4" w:space="0"/>
            </w:tcBorders>
            <w:vAlign w:val="center"/>
          </w:tcPr>
          <w:p w14:paraId="4919128A">
            <w:pPr>
              <w:spacing w:line="240" w:lineRule="auto"/>
              <w:ind w:firstLine="420"/>
              <w:jc w:val="left"/>
              <w:rPr>
                <w:rFonts w:hint="eastAsia"/>
                <w:color w:val="auto"/>
                <w:sz w:val="21"/>
              </w:rPr>
            </w:pPr>
            <w:r>
              <w:rPr>
                <w:rFonts w:hint="eastAsia"/>
                <w:color w:val="auto"/>
                <w:sz w:val="21"/>
              </w:rPr>
              <w:t>中水管道与生活饮用水管道、排水管道平行埋设时，其水平净距离不得小于0.5m；</w:t>
            </w:r>
          </w:p>
          <w:p w14:paraId="61E9145E">
            <w:pPr>
              <w:spacing w:line="240" w:lineRule="auto"/>
              <w:ind w:firstLine="420"/>
              <w:jc w:val="left"/>
              <w:rPr>
                <w:rFonts w:hint="eastAsia"/>
                <w:color w:val="auto"/>
                <w:sz w:val="21"/>
              </w:rPr>
            </w:pPr>
            <w:r>
              <w:rPr>
                <w:rFonts w:hint="eastAsia"/>
                <w:color w:val="auto"/>
                <w:sz w:val="21"/>
              </w:rPr>
              <w:t>交叉埋设时，中水管道应位于生活饮用水管道下面，排水管道的上面，其垂直净距离不应小于0.15m。</w:t>
            </w:r>
          </w:p>
        </w:tc>
        <w:tc>
          <w:tcPr>
            <w:tcW w:w="971" w:type="pct"/>
            <w:tcBorders>
              <w:top w:val="single" w:color="auto" w:sz="4" w:space="0"/>
              <w:left w:val="single" w:color="auto" w:sz="4" w:space="0"/>
              <w:bottom w:val="single" w:color="auto" w:sz="4" w:space="0"/>
              <w:right w:val="single" w:color="auto" w:sz="4" w:space="0"/>
            </w:tcBorders>
            <w:vAlign w:val="center"/>
          </w:tcPr>
          <w:p w14:paraId="45BF4AFE">
            <w:pPr>
              <w:spacing w:line="240" w:lineRule="auto"/>
              <w:ind w:firstLine="0" w:firstLineChars="0"/>
              <w:jc w:val="center"/>
              <w:rPr>
                <w:rFonts w:hint="eastAsia"/>
                <w:color w:val="auto"/>
                <w:sz w:val="21"/>
              </w:rPr>
            </w:pPr>
            <w:r>
              <w:rPr>
                <w:rFonts w:hint="eastAsia"/>
                <w:color w:val="auto"/>
                <w:sz w:val="21"/>
              </w:rPr>
              <w:t>观察和尺量检查。</w:t>
            </w:r>
          </w:p>
        </w:tc>
      </w:tr>
    </w:tbl>
    <w:p w14:paraId="3B8A23F4">
      <w:pPr>
        <w:rPr>
          <w:rFonts w:hint="eastAsia"/>
          <w:color w:val="auto"/>
        </w:rPr>
      </w:pPr>
      <w:r>
        <w:rPr>
          <w:rFonts w:hint="eastAsia"/>
          <w:color w:val="auto"/>
        </w:rPr>
        <w:t>（10）室内采暖系统安装</w:t>
      </w:r>
    </w:p>
    <w:p w14:paraId="3D9215CB">
      <w:pPr>
        <w:pStyle w:val="54"/>
        <w:rPr>
          <w:rFonts w:hint="eastAsia"/>
          <w:color w:val="auto"/>
        </w:rPr>
      </w:pPr>
      <w:r>
        <w:rPr>
          <w:rFonts w:hint="eastAsia"/>
          <w:color w:val="auto"/>
        </w:rPr>
        <w:t>道及配件安装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692"/>
        <w:gridCol w:w="5534"/>
        <w:gridCol w:w="2174"/>
      </w:tblGrid>
      <w:tr w14:paraId="0C84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85AD188">
            <w:pPr>
              <w:spacing w:line="240" w:lineRule="auto"/>
              <w:ind w:firstLine="0" w:firstLineChars="0"/>
              <w:jc w:val="center"/>
              <w:rPr>
                <w:rFonts w:hint="eastAsia"/>
                <w:color w:val="auto"/>
                <w:sz w:val="21"/>
              </w:rPr>
            </w:pPr>
            <w:r>
              <w:rPr>
                <w:rFonts w:hint="eastAsia"/>
                <w:color w:val="auto"/>
                <w:sz w:val="21"/>
              </w:rPr>
              <w:t>序号</w:t>
            </w:r>
          </w:p>
        </w:tc>
        <w:tc>
          <w:tcPr>
            <w:tcW w:w="382" w:type="pct"/>
            <w:tcBorders>
              <w:top w:val="single" w:color="auto" w:sz="4" w:space="0"/>
              <w:left w:val="single" w:color="auto" w:sz="4" w:space="0"/>
              <w:bottom w:val="single" w:color="auto" w:sz="4" w:space="0"/>
              <w:right w:val="single" w:color="auto" w:sz="4" w:space="0"/>
            </w:tcBorders>
            <w:vAlign w:val="center"/>
          </w:tcPr>
          <w:p w14:paraId="3F251E81">
            <w:pPr>
              <w:spacing w:line="240" w:lineRule="auto"/>
              <w:ind w:firstLine="0" w:firstLineChars="0"/>
              <w:jc w:val="center"/>
              <w:rPr>
                <w:rFonts w:hint="eastAsia"/>
                <w:color w:val="auto"/>
                <w:sz w:val="21"/>
              </w:rPr>
            </w:pPr>
            <w:r>
              <w:rPr>
                <w:rFonts w:hint="eastAsia"/>
                <w:color w:val="auto"/>
                <w:sz w:val="21"/>
              </w:rPr>
              <w:t>项目类型</w:t>
            </w:r>
          </w:p>
        </w:tc>
        <w:tc>
          <w:tcPr>
            <w:tcW w:w="3054" w:type="pct"/>
            <w:tcBorders>
              <w:top w:val="single" w:color="auto" w:sz="4" w:space="0"/>
              <w:left w:val="single" w:color="auto" w:sz="4" w:space="0"/>
              <w:bottom w:val="single" w:color="auto" w:sz="4" w:space="0"/>
              <w:right w:val="single" w:color="auto" w:sz="4" w:space="0"/>
            </w:tcBorders>
            <w:vAlign w:val="center"/>
          </w:tcPr>
          <w:p w14:paraId="0E101B60">
            <w:pPr>
              <w:spacing w:line="240" w:lineRule="auto"/>
              <w:ind w:firstLine="0" w:firstLineChars="0"/>
              <w:jc w:val="center"/>
              <w:rPr>
                <w:rFonts w:hint="eastAsia"/>
                <w:color w:val="auto"/>
                <w:sz w:val="21"/>
              </w:rPr>
            </w:pPr>
            <w:r>
              <w:rPr>
                <w:rFonts w:hint="eastAsia"/>
                <w:color w:val="auto"/>
                <w:sz w:val="21"/>
              </w:rPr>
              <w:t>内容</w:t>
            </w:r>
          </w:p>
        </w:tc>
        <w:tc>
          <w:tcPr>
            <w:tcW w:w="1200" w:type="pct"/>
            <w:tcBorders>
              <w:top w:val="single" w:color="auto" w:sz="4" w:space="0"/>
              <w:left w:val="single" w:color="auto" w:sz="4" w:space="0"/>
              <w:bottom w:val="single" w:color="auto" w:sz="4" w:space="0"/>
              <w:right w:val="single" w:color="auto" w:sz="4" w:space="0"/>
            </w:tcBorders>
            <w:vAlign w:val="center"/>
          </w:tcPr>
          <w:p w14:paraId="1AF6E38E">
            <w:pPr>
              <w:spacing w:line="240" w:lineRule="auto"/>
              <w:ind w:firstLine="0" w:firstLineChars="0"/>
              <w:jc w:val="center"/>
              <w:rPr>
                <w:rFonts w:hint="eastAsia"/>
                <w:color w:val="auto"/>
                <w:sz w:val="21"/>
              </w:rPr>
            </w:pPr>
            <w:r>
              <w:rPr>
                <w:rFonts w:hint="eastAsia"/>
                <w:color w:val="auto"/>
                <w:sz w:val="21"/>
              </w:rPr>
              <w:t>检验方法</w:t>
            </w:r>
          </w:p>
        </w:tc>
      </w:tr>
      <w:tr w14:paraId="7C9C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28E2529">
            <w:pPr>
              <w:spacing w:line="240" w:lineRule="auto"/>
              <w:ind w:firstLine="0" w:firstLineChars="0"/>
              <w:jc w:val="center"/>
              <w:rPr>
                <w:rFonts w:hint="eastAsia"/>
                <w:color w:val="auto"/>
                <w:sz w:val="21"/>
              </w:rPr>
            </w:pPr>
            <w:r>
              <w:rPr>
                <w:rFonts w:hint="eastAsia"/>
                <w:color w:val="auto"/>
                <w:sz w:val="21"/>
              </w:rPr>
              <w:t>1</w:t>
            </w:r>
          </w:p>
        </w:tc>
        <w:tc>
          <w:tcPr>
            <w:tcW w:w="382" w:type="pct"/>
            <w:vMerge w:val="restart"/>
            <w:tcBorders>
              <w:top w:val="nil"/>
              <w:left w:val="single" w:color="auto" w:sz="4" w:space="0"/>
              <w:bottom w:val="single" w:color="auto" w:sz="4" w:space="0"/>
              <w:right w:val="single" w:color="auto" w:sz="4" w:space="0"/>
            </w:tcBorders>
            <w:vAlign w:val="center"/>
          </w:tcPr>
          <w:p w14:paraId="3234817E">
            <w:pPr>
              <w:spacing w:line="240" w:lineRule="auto"/>
              <w:ind w:firstLine="0" w:firstLineChars="0"/>
              <w:jc w:val="center"/>
              <w:rPr>
                <w:rFonts w:hint="eastAsia"/>
                <w:color w:val="auto"/>
                <w:sz w:val="21"/>
              </w:rPr>
            </w:pPr>
            <w:r>
              <w:rPr>
                <w:rFonts w:hint="eastAsia"/>
                <w:color w:val="auto"/>
                <w:sz w:val="21"/>
              </w:rPr>
              <w:t>主控项目</w:t>
            </w:r>
          </w:p>
        </w:tc>
        <w:tc>
          <w:tcPr>
            <w:tcW w:w="3054" w:type="pct"/>
            <w:tcBorders>
              <w:top w:val="single" w:color="auto" w:sz="4" w:space="0"/>
              <w:left w:val="single" w:color="auto" w:sz="4" w:space="0"/>
              <w:bottom w:val="single" w:color="auto" w:sz="4" w:space="0"/>
              <w:right w:val="single" w:color="auto" w:sz="4" w:space="0"/>
            </w:tcBorders>
            <w:vAlign w:val="center"/>
          </w:tcPr>
          <w:p w14:paraId="23589252">
            <w:pPr>
              <w:spacing w:line="240" w:lineRule="auto"/>
              <w:ind w:firstLine="420"/>
              <w:jc w:val="left"/>
              <w:rPr>
                <w:rFonts w:hint="eastAsia"/>
                <w:color w:val="auto"/>
                <w:sz w:val="21"/>
              </w:rPr>
            </w:pPr>
            <w:r>
              <w:rPr>
                <w:rFonts w:hint="eastAsia"/>
                <w:color w:val="auto"/>
                <w:sz w:val="21"/>
              </w:rPr>
              <w:t>管道安装坡度应符合下列规定：</w:t>
            </w:r>
          </w:p>
          <w:p w14:paraId="17F21B93">
            <w:pPr>
              <w:spacing w:line="240" w:lineRule="auto"/>
              <w:ind w:firstLine="420"/>
              <w:jc w:val="left"/>
              <w:rPr>
                <w:rFonts w:hint="eastAsia"/>
                <w:color w:val="auto"/>
                <w:sz w:val="21"/>
              </w:rPr>
            </w:pPr>
            <w:r>
              <w:rPr>
                <w:rFonts w:hint="eastAsia"/>
                <w:color w:val="auto"/>
                <w:sz w:val="21"/>
              </w:rPr>
              <w:t>气、水同向流动的热水采暖管道和同向流动的蒸汽管道及凝结水管道坡度应为3‰。</w:t>
            </w:r>
          </w:p>
          <w:p w14:paraId="3E188A54">
            <w:pPr>
              <w:spacing w:line="240" w:lineRule="auto"/>
              <w:ind w:firstLine="420"/>
              <w:jc w:val="left"/>
              <w:rPr>
                <w:rFonts w:hint="eastAsia"/>
                <w:color w:val="auto"/>
                <w:sz w:val="21"/>
              </w:rPr>
            </w:pPr>
            <w:r>
              <w:rPr>
                <w:rFonts w:hint="eastAsia"/>
                <w:color w:val="auto"/>
                <w:sz w:val="21"/>
              </w:rPr>
              <w:t>气、水边向流动汽、水逆向流动的蒸汽管道坡度不应小于5‰。</w:t>
            </w:r>
          </w:p>
          <w:p w14:paraId="4E7F8DA2">
            <w:pPr>
              <w:spacing w:line="240" w:lineRule="auto"/>
              <w:ind w:firstLine="420"/>
              <w:jc w:val="left"/>
              <w:rPr>
                <w:rFonts w:hint="eastAsia"/>
                <w:color w:val="auto"/>
                <w:sz w:val="21"/>
              </w:rPr>
            </w:pPr>
            <w:r>
              <w:rPr>
                <w:rFonts w:hint="eastAsia"/>
                <w:color w:val="auto"/>
                <w:sz w:val="21"/>
              </w:rPr>
              <w:t>散热器支管的坡度应为1%，坡向应利于排气和泄水。</w:t>
            </w:r>
          </w:p>
        </w:tc>
        <w:tc>
          <w:tcPr>
            <w:tcW w:w="1200" w:type="pct"/>
            <w:tcBorders>
              <w:top w:val="single" w:color="auto" w:sz="4" w:space="0"/>
              <w:left w:val="single" w:color="auto" w:sz="4" w:space="0"/>
              <w:bottom w:val="single" w:color="auto" w:sz="4" w:space="0"/>
              <w:right w:val="single" w:color="auto" w:sz="4" w:space="0"/>
            </w:tcBorders>
            <w:vAlign w:val="center"/>
          </w:tcPr>
          <w:p w14:paraId="0E6966E2">
            <w:pPr>
              <w:spacing w:line="240" w:lineRule="auto"/>
              <w:ind w:firstLine="0" w:firstLineChars="0"/>
              <w:jc w:val="center"/>
              <w:rPr>
                <w:rFonts w:hint="eastAsia"/>
                <w:color w:val="auto"/>
                <w:sz w:val="21"/>
              </w:rPr>
            </w:pPr>
            <w:r>
              <w:rPr>
                <w:rFonts w:hint="eastAsia"/>
                <w:color w:val="auto"/>
                <w:sz w:val="21"/>
              </w:rPr>
              <w:t>观察，水平尺、拉线、尺量检查</w:t>
            </w:r>
          </w:p>
        </w:tc>
      </w:tr>
      <w:tr w14:paraId="7382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1E3B729B">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69A867D1">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7CA3B003">
            <w:pPr>
              <w:spacing w:line="240" w:lineRule="auto"/>
              <w:ind w:firstLine="420"/>
              <w:jc w:val="left"/>
              <w:rPr>
                <w:rFonts w:hint="eastAsia"/>
                <w:color w:val="auto"/>
                <w:sz w:val="21"/>
              </w:rPr>
            </w:pPr>
            <w:r>
              <w:rPr>
                <w:rFonts w:hint="eastAsia"/>
                <w:color w:val="auto"/>
                <w:sz w:val="21"/>
              </w:rPr>
              <w:t>补偿器的型号、安装位置及预拉伸和固定支架的构造及安装位置应符合设计要求。</w:t>
            </w:r>
          </w:p>
        </w:tc>
        <w:tc>
          <w:tcPr>
            <w:tcW w:w="1200" w:type="pct"/>
            <w:tcBorders>
              <w:top w:val="single" w:color="auto" w:sz="4" w:space="0"/>
              <w:left w:val="single" w:color="auto" w:sz="4" w:space="0"/>
              <w:bottom w:val="single" w:color="auto" w:sz="4" w:space="0"/>
              <w:right w:val="single" w:color="auto" w:sz="4" w:space="0"/>
            </w:tcBorders>
            <w:vAlign w:val="center"/>
          </w:tcPr>
          <w:p w14:paraId="2EA4634B">
            <w:pPr>
              <w:spacing w:line="240" w:lineRule="auto"/>
              <w:ind w:firstLine="0" w:firstLineChars="0"/>
              <w:jc w:val="center"/>
              <w:rPr>
                <w:rFonts w:hint="eastAsia"/>
                <w:color w:val="auto"/>
                <w:sz w:val="21"/>
              </w:rPr>
            </w:pPr>
            <w:r>
              <w:rPr>
                <w:rFonts w:hint="eastAsia"/>
                <w:color w:val="auto"/>
                <w:sz w:val="21"/>
              </w:rPr>
              <w:t>对照图纸，现场观察，并查验预拉伸记录</w:t>
            </w:r>
          </w:p>
        </w:tc>
      </w:tr>
      <w:tr w14:paraId="73894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E2CC1A1">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760D2E1A">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72AE9BDF">
            <w:pPr>
              <w:spacing w:line="240" w:lineRule="auto"/>
              <w:ind w:firstLine="420"/>
              <w:jc w:val="left"/>
              <w:rPr>
                <w:rFonts w:hint="eastAsia"/>
                <w:color w:val="auto"/>
                <w:sz w:val="21"/>
              </w:rPr>
            </w:pPr>
            <w:r>
              <w:rPr>
                <w:rFonts w:hint="eastAsia"/>
                <w:color w:val="auto"/>
                <w:sz w:val="21"/>
              </w:rPr>
              <w:t>平衡阀及调节阀型号、规格、公称压力及安装位置应符合设计要求。安装完后应根据系统平衡要求进行调试并作出标志。</w:t>
            </w:r>
          </w:p>
        </w:tc>
        <w:tc>
          <w:tcPr>
            <w:tcW w:w="1200" w:type="pct"/>
            <w:tcBorders>
              <w:top w:val="single" w:color="auto" w:sz="4" w:space="0"/>
              <w:left w:val="single" w:color="auto" w:sz="4" w:space="0"/>
              <w:bottom w:val="single" w:color="auto" w:sz="4" w:space="0"/>
              <w:right w:val="single" w:color="auto" w:sz="4" w:space="0"/>
            </w:tcBorders>
            <w:vAlign w:val="center"/>
          </w:tcPr>
          <w:p w14:paraId="2F9EA0BD">
            <w:pPr>
              <w:spacing w:line="240" w:lineRule="auto"/>
              <w:ind w:firstLine="0" w:firstLineChars="0"/>
              <w:jc w:val="center"/>
              <w:rPr>
                <w:rFonts w:hint="eastAsia"/>
                <w:color w:val="auto"/>
                <w:sz w:val="21"/>
              </w:rPr>
            </w:pPr>
            <w:r>
              <w:rPr>
                <w:rFonts w:hint="eastAsia"/>
                <w:color w:val="auto"/>
                <w:sz w:val="21"/>
              </w:rPr>
              <w:t>对照图纸查验产品合格证，并现场查看</w:t>
            </w:r>
          </w:p>
        </w:tc>
      </w:tr>
      <w:tr w14:paraId="21E90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5769A1A">
            <w:pPr>
              <w:spacing w:line="240" w:lineRule="auto"/>
              <w:ind w:firstLine="0" w:firstLineChars="0"/>
              <w:jc w:val="center"/>
              <w:rPr>
                <w:rFonts w:hint="eastAsia"/>
                <w:color w:val="auto"/>
                <w:sz w:val="21"/>
              </w:rPr>
            </w:pPr>
            <w:r>
              <w:rPr>
                <w:rFonts w:hint="eastAsia"/>
                <w:color w:val="auto"/>
                <w:sz w:val="21"/>
              </w:rPr>
              <w:t>4</w:t>
            </w:r>
          </w:p>
        </w:tc>
        <w:tc>
          <w:tcPr>
            <w:tcW w:w="0" w:type="auto"/>
            <w:vMerge w:val="continue"/>
            <w:tcBorders>
              <w:top w:val="nil"/>
              <w:left w:val="single" w:color="auto" w:sz="4" w:space="0"/>
              <w:bottom w:val="single" w:color="auto" w:sz="4" w:space="0"/>
              <w:right w:val="single" w:color="auto" w:sz="4" w:space="0"/>
            </w:tcBorders>
            <w:vAlign w:val="center"/>
          </w:tcPr>
          <w:p w14:paraId="6202BBC6">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1DEA7D2A">
            <w:pPr>
              <w:spacing w:line="240" w:lineRule="auto"/>
              <w:ind w:firstLine="420"/>
              <w:jc w:val="left"/>
              <w:rPr>
                <w:rFonts w:hint="eastAsia"/>
                <w:color w:val="auto"/>
                <w:sz w:val="21"/>
              </w:rPr>
            </w:pPr>
            <w:r>
              <w:rPr>
                <w:rFonts w:hint="eastAsia"/>
                <w:color w:val="auto"/>
                <w:sz w:val="21"/>
              </w:rPr>
              <w:t>蒸汽减压阀和管道及设备上安全阀的型号、规格。公称压力及安装位置应符合设计要求。安装完毕后应根据系统工作压力进行调试，并做出标志。</w:t>
            </w:r>
          </w:p>
        </w:tc>
        <w:tc>
          <w:tcPr>
            <w:tcW w:w="1200" w:type="pct"/>
            <w:tcBorders>
              <w:top w:val="single" w:color="auto" w:sz="4" w:space="0"/>
              <w:left w:val="single" w:color="auto" w:sz="4" w:space="0"/>
              <w:bottom w:val="single" w:color="auto" w:sz="4" w:space="0"/>
              <w:right w:val="single" w:color="auto" w:sz="4" w:space="0"/>
            </w:tcBorders>
            <w:vAlign w:val="center"/>
          </w:tcPr>
          <w:p w14:paraId="47D06CC1">
            <w:pPr>
              <w:spacing w:line="240" w:lineRule="auto"/>
              <w:ind w:firstLine="0" w:firstLineChars="0"/>
              <w:jc w:val="center"/>
              <w:rPr>
                <w:rFonts w:hint="eastAsia"/>
                <w:color w:val="auto"/>
                <w:sz w:val="21"/>
              </w:rPr>
            </w:pPr>
            <w:r>
              <w:rPr>
                <w:rFonts w:hint="eastAsia"/>
                <w:color w:val="auto"/>
                <w:sz w:val="21"/>
              </w:rPr>
              <w:t>对照图纸查验产品合格证及调试结果证明书</w:t>
            </w:r>
          </w:p>
        </w:tc>
      </w:tr>
      <w:tr w14:paraId="7202A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2BD8229">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nil"/>
              <w:left w:val="single" w:color="auto" w:sz="4" w:space="0"/>
              <w:bottom w:val="single" w:color="auto" w:sz="4" w:space="0"/>
              <w:right w:val="single" w:color="auto" w:sz="4" w:space="0"/>
            </w:tcBorders>
            <w:vAlign w:val="center"/>
          </w:tcPr>
          <w:p w14:paraId="3B371FDC">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4CCE00E8">
            <w:pPr>
              <w:spacing w:line="240" w:lineRule="auto"/>
              <w:ind w:firstLine="420"/>
              <w:jc w:val="left"/>
              <w:rPr>
                <w:rFonts w:hint="eastAsia"/>
                <w:color w:val="auto"/>
                <w:sz w:val="21"/>
              </w:rPr>
            </w:pPr>
            <w:r>
              <w:rPr>
                <w:rFonts w:hint="eastAsia"/>
                <w:color w:val="auto"/>
                <w:sz w:val="21"/>
              </w:rPr>
              <w:t>方形补偿器制作时，应用整根无缝钢管煨制，如需要接回，其接口应设在垂直臂的中间位置，且接回必须焊接。</w:t>
            </w:r>
          </w:p>
        </w:tc>
        <w:tc>
          <w:tcPr>
            <w:tcW w:w="1200" w:type="pct"/>
            <w:tcBorders>
              <w:top w:val="single" w:color="auto" w:sz="4" w:space="0"/>
              <w:left w:val="single" w:color="auto" w:sz="4" w:space="0"/>
              <w:bottom w:val="single" w:color="auto" w:sz="4" w:space="0"/>
              <w:right w:val="single" w:color="auto" w:sz="4" w:space="0"/>
            </w:tcBorders>
            <w:vAlign w:val="center"/>
          </w:tcPr>
          <w:p w14:paraId="1605A7CA">
            <w:pPr>
              <w:spacing w:line="240" w:lineRule="auto"/>
              <w:ind w:firstLine="0" w:firstLineChars="0"/>
              <w:jc w:val="center"/>
              <w:rPr>
                <w:rFonts w:hint="eastAsia"/>
                <w:color w:val="auto"/>
                <w:sz w:val="21"/>
              </w:rPr>
            </w:pPr>
            <w:r>
              <w:rPr>
                <w:rFonts w:hint="eastAsia"/>
                <w:color w:val="auto"/>
                <w:sz w:val="21"/>
              </w:rPr>
              <w:t>观察检查</w:t>
            </w:r>
          </w:p>
        </w:tc>
      </w:tr>
      <w:tr w14:paraId="37478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B96F21B">
            <w:pPr>
              <w:spacing w:line="240" w:lineRule="auto"/>
              <w:ind w:firstLine="0" w:firstLineChars="0"/>
              <w:jc w:val="center"/>
              <w:rPr>
                <w:rFonts w:hint="eastAsia"/>
                <w:color w:val="auto"/>
                <w:sz w:val="21"/>
              </w:rPr>
            </w:pPr>
            <w:r>
              <w:rPr>
                <w:rFonts w:hint="eastAsia"/>
                <w:color w:val="auto"/>
                <w:sz w:val="21"/>
              </w:rPr>
              <w:t>6</w:t>
            </w:r>
          </w:p>
        </w:tc>
        <w:tc>
          <w:tcPr>
            <w:tcW w:w="0" w:type="auto"/>
            <w:vMerge w:val="continue"/>
            <w:tcBorders>
              <w:top w:val="nil"/>
              <w:left w:val="single" w:color="auto" w:sz="4" w:space="0"/>
              <w:bottom w:val="single" w:color="auto" w:sz="4" w:space="0"/>
              <w:right w:val="single" w:color="auto" w:sz="4" w:space="0"/>
            </w:tcBorders>
            <w:vAlign w:val="center"/>
          </w:tcPr>
          <w:p w14:paraId="18D2F484">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6FFB256C">
            <w:pPr>
              <w:spacing w:line="240" w:lineRule="auto"/>
              <w:ind w:firstLine="420"/>
              <w:jc w:val="left"/>
              <w:rPr>
                <w:rFonts w:hint="eastAsia"/>
                <w:color w:val="auto"/>
                <w:sz w:val="21"/>
              </w:rPr>
            </w:pPr>
            <w:r>
              <w:rPr>
                <w:rFonts w:hint="eastAsia"/>
                <w:color w:val="auto"/>
                <w:sz w:val="21"/>
              </w:rPr>
              <w:t>方形补偿器应水平安装，并与管道的坡度一致；如其臂长方向垂直安装必须设排气及泄水装置。</w:t>
            </w:r>
          </w:p>
        </w:tc>
        <w:tc>
          <w:tcPr>
            <w:tcW w:w="1200" w:type="pct"/>
            <w:tcBorders>
              <w:top w:val="single" w:color="auto" w:sz="4" w:space="0"/>
              <w:left w:val="single" w:color="auto" w:sz="4" w:space="0"/>
              <w:bottom w:val="single" w:color="auto" w:sz="4" w:space="0"/>
              <w:right w:val="single" w:color="auto" w:sz="4" w:space="0"/>
            </w:tcBorders>
            <w:vAlign w:val="center"/>
          </w:tcPr>
          <w:p w14:paraId="10D7864A">
            <w:pPr>
              <w:spacing w:line="240" w:lineRule="auto"/>
              <w:ind w:firstLine="0" w:firstLineChars="0"/>
              <w:jc w:val="center"/>
              <w:rPr>
                <w:rFonts w:hint="eastAsia"/>
                <w:color w:val="auto"/>
                <w:sz w:val="21"/>
              </w:rPr>
            </w:pPr>
            <w:r>
              <w:rPr>
                <w:rFonts w:hint="eastAsia"/>
                <w:color w:val="auto"/>
                <w:sz w:val="21"/>
              </w:rPr>
              <w:t>观察检查</w:t>
            </w:r>
          </w:p>
        </w:tc>
      </w:tr>
      <w:tr w14:paraId="62EF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E2B98B6">
            <w:pPr>
              <w:spacing w:line="240" w:lineRule="auto"/>
              <w:ind w:firstLine="0" w:firstLineChars="0"/>
              <w:jc w:val="center"/>
              <w:rPr>
                <w:rFonts w:hint="eastAsia"/>
                <w:color w:val="auto"/>
                <w:sz w:val="21"/>
              </w:rPr>
            </w:pPr>
            <w:r>
              <w:rPr>
                <w:rFonts w:hint="eastAsia"/>
                <w:color w:val="auto"/>
                <w:sz w:val="21"/>
              </w:rPr>
              <w:t>7</w:t>
            </w:r>
          </w:p>
        </w:tc>
        <w:tc>
          <w:tcPr>
            <w:tcW w:w="382" w:type="pct"/>
            <w:vMerge w:val="restart"/>
            <w:tcBorders>
              <w:top w:val="nil"/>
              <w:left w:val="single" w:color="auto" w:sz="4" w:space="0"/>
              <w:bottom w:val="single" w:color="auto" w:sz="4" w:space="0"/>
              <w:right w:val="single" w:color="auto" w:sz="4" w:space="0"/>
            </w:tcBorders>
            <w:vAlign w:val="center"/>
          </w:tcPr>
          <w:p w14:paraId="798E5ACD">
            <w:pPr>
              <w:spacing w:line="240" w:lineRule="auto"/>
              <w:ind w:firstLine="0" w:firstLineChars="0"/>
              <w:jc w:val="center"/>
              <w:rPr>
                <w:rFonts w:hint="eastAsia"/>
                <w:color w:val="auto"/>
                <w:sz w:val="21"/>
              </w:rPr>
            </w:pPr>
            <w:r>
              <w:rPr>
                <w:rFonts w:hint="eastAsia"/>
                <w:color w:val="auto"/>
                <w:sz w:val="21"/>
              </w:rPr>
              <w:t>一般项目</w:t>
            </w:r>
          </w:p>
        </w:tc>
        <w:tc>
          <w:tcPr>
            <w:tcW w:w="3054" w:type="pct"/>
            <w:tcBorders>
              <w:top w:val="single" w:color="auto" w:sz="4" w:space="0"/>
              <w:left w:val="single" w:color="auto" w:sz="4" w:space="0"/>
              <w:bottom w:val="single" w:color="auto" w:sz="4" w:space="0"/>
              <w:right w:val="single" w:color="auto" w:sz="4" w:space="0"/>
            </w:tcBorders>
            <w:vAlign w:val="center"/>
          </w:tcPr>
          <w:p w14:paraId="653E5EC2">
            <w:pPr>
              <w:spacing w:line="240" w:lineRule="auto"/>
              <w:ind w:firstLine="420"/>
              <w:jc w:val="left"/>
              <w:rPr>
                <w:rFonts w:hint="eastAsia"/>
                <w:color w:val="auto"/>
                <w:sz w:val="21"/>
              </w:rPr>
            </w:pPr>
            <w:r>
              <w:rPr>
                <w:rFonts w:hint="eastAsia"/>
                <w:color w:val="auto"/>
                <w:sz w:val="21"/>
              </w:rPr>
              <w:t>热量表、疏水器、除污器、过滤器及阀门的型号、规格、公称压力及安装位置应符合设计要求。</w:t>
            </w:r>
          </w:p>
        </w:tc>
        <w:tc>
          <w:tcPr>
            <w:tcW w:w="1200" w:type="pct"/>
            <w:tcBorders>
              <w:top w:val="single" w:color="auto" w:sz="4" w:space="0"/>
              <w:left w:val="single" w:color="auto" w:sz="4" w:space="0"/>
              <w:bottom w:val="single" w:color="auto" w:sz="4" w:space="0"/>
              <w:right w:val="single" w:color="auto" w:sz="4" w:space="0"/>
            </w:tcBorders>
            <w:vAlign w:val="center"/>
          </w:tcPr>
          <w:p w14:paraId="24C63516">
            <w:pPr>
              <w:spacing w:line="240" w:lineRule="auto"/>
              <w:ind w:firstLine="0" w:firstLineChars="0"/>
              <w:jc w:val="center"/>
              <w:rPr>
                <w:rFonts w:hint="eastAsia"/>
                <w:color w:val="auto"/>
                <w:sz w:val="21"/>
              </w:rPr>
            </w:pPr>
            <w:r>
              <w:rPr>
                <w:rFonts w:hint="eastAsia"/>
                <w:color w:val="auto"/>
                <w:sz w:val="21"/>
              </w:rPr>
              <w:t>对照图纸查验产品合格证</w:t>
            </w:r>
          </w:p>
        </w:tc>
      </w:tr>
      <w:tr w14:paraId="2BC0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FEDA8BE">
            <w:pPr>
              <w:spacing w:line="240" w:lineRule="auto"/>
              <w:ind w:firstLine="0" w:firstLineChars="0"/>
              <w:jc w:val="center"/>
              <w:rPr>
                <w:rFonts w:hint="eastAsia"/>
                <w:color w:val="auto"/>
                <w:sz w:val="21"/>
              </w:rPr>
            </w:pPr>
            <w:r>
              <w:rPr>
                <w:rFonts w:hint="eastAsia"/>
                <w:color w:val="auto"/>
                <w:sz w:val="21"/>
              </w:rPr>
              <w:t>8</w:t>
            </w:r>
          </w:p>
        </w:tc>
        <w:tc>
          <w:tcPr>
            <w:tcW w:w="0" w:type="auto"/>
            <w:vMerge w:val="continue"/>
            <w:tcBorders>
              <w:top w:val="nil"/>
              <w:left w:val="single" w:color="auto" w:sz="4" w:space="0"/>
              <w:bottom w:val="single" w:color="auto" w:sz="4" w:space="0"/>
              <w:right w:val="single" w:color="auto" w:sz="4" w:space="0"/>
            </w:tcBorders>
            <w:vAlign w:val="center"/>
          </w:tcPr>
          <w:p w14:paraId="2B6F3D44">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658E350A">
            <w:pPr>
              <w:spacing w:line="240" w:lineRule="auto"/>
              <w:ind w:firstLine="420"/>
              <w:jc w:val="left"/>
              <w:rPr>
                <w:rFonts w:hint="eastAsia"/>
                <w:color w:val="auto"/>
                <w:sz w:val="21"/>
              </w:rPr>
            </w:pPr>
            <w:r>
              <w:rPr>
                <w:rFonts w:hint="eastAsia"/>
                <w:color w:val="auto"/>
                <w:sz w:val="21"/>
              </w:rPr>
              <w:t>钢管管道焊口尺寸的允许偏差应符合规范规定。</w:t>
            </w:r>
          </w:p>
          <w:p w14:paraId="1B95AA95">
            <w:pPr>
              <w:spacing w:line="240" w:lineRule="auto"/>
              <w:ind w:firstLine="420"/>
              <w:jc w:val="left"/>
              <w:rPr>
                <w:rFonts w:hint="eastAsia"/>
                <w:color w:val="auto"/>
                <w:sz w:val="21"/>
              </w:rPr>
            </w:pPr>
            <w:r>
              <w:rPr>
                <w:rFonts w:hint="eastAsia"/>
                <w:color w:val="auto"/>
                <w:sz w:val="21"/>
              </w:rPr>
              <w:t>散热器支管长度超过1.5m时，应在支管上安装管卡。</w:t>
            </w:r>
          </w:p>
        </w:tc>
        <w:tc>
          <w:tcPr>
            <w:tcW w:w="1200" w:type="pct"/>
            <w:tcBorders>
              <w:top w:val="single" w:color="auto" w:sz="4" w:space="0"/>
              <w:left w:val="single" w:color="auto" w:sz="4" w:space="0"/>
              <w:bottom w:val="single" w:color="auto" w:sz="4" w:space="0"/>
              <w:right w:val="single" w:color="auto" w:sz="4" w:space="0"/>
            </w:tcBorders>
            <w:vAlign w:val="center"/>
          </w:tcPr>
          <w:p w14:paraId="57BDE9D3">
            <w:pPr>
              <w:spacing w:line="240" w:lineRule="auto"/>
              <w:ind w:firstLine="0" w:firstLineChars="0"/>
              <w:jc w:val="center"/>
              <w:rPr>
                <w:rFonts w:hint="eastAsia"/>
                <w:color w:val="auto"/>
                <w:sz w:val="21"/>
              </w:rPr>
            </w:pPr>
            <w:r>
              <w:rPr>
                <w:rFonts w:hint="eastAsia"/>
                <w:color w:val="auto"/>
                <w:sz w:val="21"/>
              </w:rPr>
              <w:t>尺量和观察检查</w:t>
            </w:r>
          </w:p>
        </w:tc>
      </w:tr>
      <w:tr w14:paraId="6F8B6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39A2390">
            <w:pPr>
              <w:spacing w:line="240" w:lineRule="auto"/>
              <w:ind w:firstLine="0" w:firstLineChars="0"/>
              <w:jc w:val="center"/>
              <w:rPr>
                <w:rFonts w:hint="eastAsia"/>
                <w:color w:val="auto"/>
                <w:sz w:val="21"/>
              </w:rPr>
            </w:pPr>
            <w:r>
              <w:rPr>
                <w:rFonts w:hint="eastAsia"/>
                <w:color w:val="auto"/>
                <w:sz w:val="21"/>
              </w:rPr>
              <w:t>9</w:t>
            </w:r>
          </w:p>
        </w:tc>
        <w:tc>
          <w:tcPr>
            <w:tcW w:w="0" w:type="auto"/>
            <w:vMerge w:val="continue"/>
            <w:tcBorders>
              <w:top w:val="nil"/>
              <w:left w:val="single" w:color="auto" w:sz="4" w:space="0"/>
              <w:bottom w:val="single" w:color="auto" w:sz="4" w:space="0"/>
              <w:right w:val="single" w:color="auto" w:sz="4" w:space="0"/>
            </w:tcBorders>
            <w:vAlign w:val="center"/>
          </w:tcPr>
          <w:p w14:paraId="4B52FAD1">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496D03E9">
            <w:pPr>
              <w:spacing w:line="240" w:lineRule="auto"/>
              <w:ind w:firstLine="420"/>
              <w:jc w:val="left"/>
              <w:rPr>
                <w:rFonts w:hint="eastAsia"/>
                <w:color w:val="auto"/>
                <w:sz w:val="21"/>
              </w:rPr>
            </w:pPr>
            <w:r>
              <w:rPr>
                <w:rFonts w:hint="eastAsia"/>
                <w:color w:val="auto"/>
                <w:sz w:val="21"/>
              </w:rPr>
              <w:t>上供下回式系统的热水于管变径应顶平偏心连接，蒸汽干管变径应底平偏心连接。</w:t>
            </w:r>
          </w:p>
        </w:tc>
        <w:tc>
          <w:tcPr>
            <w:tcW w:w="1200" w:type="pct"/>
            <w:tcBorders>
              <w:top w:val="single" w:color="auto" w:sz="4" w:space="0"/>
              <w:left w:val="single" w:color="auto" w:sz="4" w:space="0"/>
              <w:bottom w:val="single" w:color="auto" w:sz="4" w:space="0"/>
              <w:right w:val="single" w:color="auto" w:sz="4" w:space="0"/>
            </w:tcBorders>
            <w:vAlign w:val="center"/>
          </w:tcPr>
          <w:p w14:paraId="763BCF44">
            <w:pPr>
              <w:spacing w:line="240" w:lineRule="auto"/>
              <w:ind w:firstLine="0" w:firstLineChars="0"/>
              <w:jc w:val="center"/>
              <w:rPr>
                <w:rFonts w:hint="eastAsia"/>
                <w:color w:val="auto"/>
                <w:sz w:val="21"/>
              </w:rPr>
            </w:pPr>
            <w:r>
              <w:rPr>
                <w:rFonts w:hint="eastAsia"/>
                <w:color w:val="auto"/>
                <w:sz w:val="21"/>
              </w:rPr>
              <w:t>观察检查</w:t>
            </w:r>
          </w:p>
        </w:tc>
      </w:tr>
      <w:tr w14:paraId="5D230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28D0121">
            <w:pPr>
              <w:spacing w:line="240" w:lineRule="auto"/>
              <w:ind w:firstLine="0" w:firstLineChars="0"/>
              <w:jc w:val="center"/>
              <w:rPr>
                <w:rFonts w:hint="eastAsia"/>
                <w:color w:val="auto"/>
                <w:sz w:val="21"/>
              </w:rPr>
            </w:pPr>
            <w:r>
              <w:rPr>
                <w:rFonts w:hint="eastAsia"/>
                <w:color w:val="auto"/>
                <w:sz w:val="21"/>
              </w:rPr>
              <w:t>10</w:t>
            </w:r>
          </w:p>
        </w:tc>
        <w:tc>
          <w:tcPr>
            <w:tcW w:w="0" w:type="auto"/>
            <w:vMerge w:val="continue"/>
            <w:tcBorders>
              <w:top w:val="nil"/>
              <w:left w:val="single" w:color="auto" w:sz="4" w:space="0"/>
              <w:bottom w:val="single" w:color="auto" w:sz="4" w:space="0"/>
              <w:right w:val="single" w:color="auto" w:sz="4" w:space="0"/>
            </w:tcBorders>
            <w:vAlign w:val="center"/>
          </w:tcPr>
          <w:p w14:paraId="067133EC">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3FE18B8C">
            <w:pPr>
              <w:spacing w:line="240" w:lineRule="auto"/>
              <w:ind w:firstLine="420"/>
              <w:jc w:val="left"/>
              <w:rPr>
                <w:rFonts w:hint="eastAsia"/>
                <w:color w:val="auto"/>
                <w:sz w:val="21"/>
              </w:rPr>
            </w:pPr>
            <w:r>
              <w:rPr>
                <w:rFonts w:hint="eastAsia"/>
                <w:color w:val="auto"/>
                <w:sz w:val="21"/>
              </w:rPr>
              <w:t>在管道干管上焊接垂直或水平分支管道时，干管开孔所产生的钢渣及管壁等废弃物不得残留管内，且分支管道在焊接时不得插入于管内。</w:t>
            </w:r>
          </w:p>
        </w:tc>
        <w:tc>
          <w:tcPr>
            <w:tcW w:w="1200" w:type="pct"/>
            <w:tcBorders>
              <w:top w:val="single" w:color="auto" w:sz="4" w:space="0"/>
              <w:left w:val="single" w:color="auto" w:sz="4" w:space="0"/>
              <w:bottom w:val="single" w:color="auto" w:sz="4" w:space="0"/>
              <w:right w:val="single" w:color="auto" w:sz="4" w:space="0"/>
            </w:tcBorders>
            <w:vAlign w:val="center"/>
          </w:tcPr>
          <w:p w14:paraId="4AB35725">
            <w:pPr>
              <w:spacing w:line="240" w:lineRule="auto"/>
              <w:ind w:firstLine="0" w:firstLineChars="0"/>
              <w:jc w:val="center"/>
              <w:rPr>
                <w:rFonts w:hint="eastAsia"/>
                <w:color w:val="auto"/>
                <w:sz w:val="21"/>
              </w:rPr>
            </w:pPr>
            <w:r>
              <w:rPr>
                <w:rFonts w:hint="eastAsia"/>
                <w:color w:val="auto"/>
                <w:sz w:val="21"/>
              </w:rPr>
              <w:t>观察检查</w:t>
            </w:r>
          </w:p>
        </w:tc>
      </w:tr>
      <w:tr w14:paraId="69112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3A07264">
            <w:pPr>
              <w:spacing w:line="240" w:lineRule="auto"/>
              <w:ind w:firstLine="0" w:firstLineChars="0"/>
              <w:jc w:val="center"/>
              <w:rPr>
                <w:rFonts w:hint="eastAsia"/>
                <w:color w:val="auto"/>
                <w:sz w:val="21"/>
              </w:rPr>
            </w:pPr>
            <w:r>
              <w:rPr>
                <w:rFonts w:hint="eastAsia"/>
                <w:color w:val="auto"/>
                <w:sz w:val="21"/>
              </w:rPr>
              <w:t>11</w:t>
            </w:r>
          </w:p>
        </w:tc>
        <w:tc>
          <w:tcPr>
            <w:tcW w:w="0" w:type="auto"/>
            <w:vMerge w:val="continue"/>
            <w:tcBorders>
              <w:top w:val="nil"/>
              <w:left w:val="single" w:color="auto" w:sz="4" w:space="0"/>
              <w:bottom w:val="single" w:color="auto" w:sz="4" w:space="0"/>
              <w:right w:val="single" w:color="auto" w:sz="4" w:space="0"/>
            </w:tcBorders>
            <w:vAlign w:val="center"/>
          </w:tcPr>
          <w:p w14:paraId="5D511F6C">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0C2F5BD0">
            <w:pPr>
              <w:spacing w:line="240" w:lineRule="auto"/>
              <w:ind w:firstLine="420"/>
              <w:jc w:val="left"/>
              <w:rPr>
                <w:rFonts w:hint="eastAsia"/>
                <w:color w:val="auto"/>
                <w:sz w:val="21"/>
              </w:rPr>
            </w:pPr>
            <w:r>
              <w:rPr>
                <w:rFonts w:hint="eastAsia"/>
                <w:color w:val="auto"/>
                <w:sz w:val="21"/>
              </w:rPr>
              <w:t>膨胀水箱的膨胀管及循环管上不得安装阀门。</w:t>
            </w:r>
          </w:p>
        </w:tc>
        <w:tc>
          <w:tcPr>
            <w:tcW w:w="1200" w:type="pct"/>
            <w:tcBorders>
              <w:top w:val="single" w:color="auto" w:sz="4" w:space="0"/>
              <w:left w:val="single" w:color="auto" w:sz="4" w:space="0"/>
              <w:bottom w:val="single" w:color="auto" w:sz="4" w:space="0"/>
              <w:right w:val="single" w:color="auto" w:sz="4" w:space="0"/>
            </w:tcBorders>
            <w:vAlign w:val="center"/>
          </w:tcPr>
          <w:p w14:paraId="0FE1EB6B">
            <w:pPr>
              <w:spacing w:line="240" w:lineRule="auto"/>
              <w:ind w:firstLine="0" w:firstLineChars="0"/>
              <w:jc w:val="center"/>
              <w:rPr>
                <w:rFonts w:hint="eastAsia"/>
                <w:color w:val="auto"/>
                <w:sz w:val="21"/>
              </w:rPr>
            </w:pPr>
            <w:r>
              <w:rPr>
                <w:rFonts w:hint="eastAsia"/>
                <w:color w:val="auto"/>
                <w:sz w:val="21"/>
              </w:rPr>
              <w:t>观察检查</w:t>
            </w:r>
          </w:p>
        </w:tc>
      </w:tr>
      <w:tr w14:paraId="19A72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2CB5A8D">
            <w:pPr>
              <w:spacing w:line="240" w:lineRule="auto"/>
              <w:ind w:firstLine="0" w:firstLineChars="0"/>
              <w:jc w:val="center"/>
              <w:rPr>
                <w:rFonts w:hint="eastAsia"/>
                <w:color w:val="auto"/>
                <w:sz w:val="21"/>
              </w:rPr>
            </w:pPr>
            <w:r>
              <w:rPr>
                <w:rFonts w:hint="eastAsia"/>
                <w:color w:val="auto"/>
                <w:sz w:val="21"/>
              </w:rPr>
              <w:t>12</w:t>
            </w:r>
          </w:p>
        </w:tc>
        <w:tc>
          <w:tcPr>
            <w:tcW w:w="0" w:type="auto"/>
            <w:vMerge w:val="continue"/>
            <w:tcBorders>
              <w:top w:val="nil"/>
              <w:left w:val="single" w:color="auto" w:sz="4" w:space="0"/>
              <w:bottom w:val="single" w:color="auto" w:sz="4" w:space="0"/>
              <w:right w:val="single" w:color="auto" w:sz="4" w:space="0"/>
            </w:tcBorders>
            <w:vAlign w:val="center"/>
          </w:tcPr>
          <w:p w14:paraId="5E5DBAB2">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4CD038F2">
            <w:pPr>
              <w:spacing w:line="240" w:lineRule="auto"/>
              <w:ind w:firstLine="420"/>
              <w:jc w:val="left"/>
              <w:rPr>
                <w:rFonts w:hint="eastAsia"/>
                <w:color w:val="auto"/>
                <w:sz w:val="21"/>
              </w:rPr>
            </w:pPr>
            <w:r>
              <w:rPr>
                <w:rFonts w:hint="eastAsia"/>
                <w:color w:val="auto"/>
                <w:sz w:val="21"/>
              </w:rPr>
              <w:t>当采暖热媒为110～130℃的高温水时，管道可拆卸件应使用法兰，不得使用长丝和活接头。法兰垫料应使用耐热橡胶板。</w:t>
            </w:r>
          </w:p>
        </w:tc>
        <w:tc>
          <w:tcPr>
            <w:tcW w:w="1200" w:type="pct"/>
            <w:tcBorders>
              <w:top w:val="single" w:color="auto" w:sz="4" w:space="0"/>
              <w:left w:val="single" w:color="auto" w:sz="4" w:space="0"/>
              <w:bottom w:val="single" w:color="auto" w:sz="4" w:space="0"/>
              <w:right w:val="single" w:color="auto" w:sz="4" w:space="0"/>
            </w:tcBorders>
            <w:vAlign w:val="center"/>
          </w:tcPr>
          <w:p w14:paraId="6B258689">
            <w:pPr>
              <w:spacing w:line="240" w:lineRule="auto"/>
              <w:ind w:firstLine="0" w:firstLineChars="0"/>
              <w:jc w:val="center"/>
              <w:rPr>
                <w:rFonts w:hint="eastAsia"/>
                <w:color w:val="auto"/>
                <w:sz w:val="21"/>
              </w:rPr>
            </w:pPr>
            <w:r>
              <w:rPr>
                <w:rFonts w:hint="eastAsia"/>
                <w:color w:val="auto"/>
                <w:sz w:val="21"/>
              </w:rPr>
              <w:t>观察和查验进料单</w:t>
            </w:r>
          </w:p>
        </w:tc>
      </w:tr>
      <w:tr w14:paraId="4AD7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BC92611">
            <w:pPr>
              <w:spacing w:line="240" w:lineRule="auto"/>
              <w:ind w:firstLine="0" w:firstLineChars="0"/>
              <w:jc w:val="center"/>
              <w:rPr>
                <w:rFonts w:hint="eastAsia"/>
                <w:color w:val="auto"/>
                <w:sz w:val="21"/>
              </w:rPr>
            </w:pPr>
            <w:r>
              <w:rPr>
                <w:rFonts w:hint="eastAsia"/>
                <w:color w:val="auto"/>
                <w:sz w:val="21"/>
              </w:rPr>
              <w:t>13</w:t>
            </w:r>
          </w:p>
        </w:tc>
        <w:tc>
          <w:tcPr>
            <w:tcW w:w="0" w:type="auto"/>
            <w:vMerge w:val="continue"/>
            <w:tcBorders>
              <w:top w:val="nil"/>
              <w:left w:val="single" w:color="auto" w:sz="4" w:space="0"/>
              <w:bottom w:val="single" w:color="auto" w:sz="4" w:space="0"/>
              <w:right w:val="single" w:color="auto" w:sz="4" w:space="0"/>
            </w:tcBorders>
            <w:vAlign w:val="center"/>
          </w:tcPr>
          <w:p w14:paraId="2EC63D88">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06335EB4">
            <w:pPr>
              <w:spacing w:line="240" w:lineRule="auto"/>
              <w:ind w:firstLine="420"/>
              <w:jc w:val="left"/>
              <w:rPr>
                <w:rFonts w:hint="eastAsia"/>
                <w:color w:val="auto"/>
                <w:sz w:val="21"/>
              </w:rPr>
            </w:pPr>
            <w:r>
              <w:rPr>
                <w:rFonts w:hint="eastAsia"/>
                <w:color w:val="auto"/>
                <w:sz w:val="21"/>
              </w:rPr>
              <w:t>焊接钢管管径大于32mm的管道转弯，在作为自然补偿时应使用煨弯。塑料管及复合管除必须使用直角弯头的场合外应使用管道直接弯曲转弯。</w:t>
            </w:r>
          </w:p>
        </w:tc>
        <w:tc>
          <w:tcPr>
            <w:tcW w:w="1200" w:type="pct"/>
            <w:tcBorders>
              <w:top w:val="single" w:color="auto" w:sz="4" w:space="0"/>
              <w:left w:val="single" w:color="auto" w:sz="4" w:space="0"/>
              <w:bottom w:val="single" w:color="auto" w:sz="4" w:space="0"/>
              <w:right w:val="single" w:color="auto" w:sz="4" w:space="0"/>
            </w:tcBorders>
            <w:vAlign w:val="center"/>
          </w:tcPr>
          <w:p w14:paraId="7BC4E020">
            <w:pPr>
              <w:spacing w:line="240" w:lineRule="auto"/>
              <w:ind w:firstLine="0" w:firstLineChars="0"/>
              <w:jc w:val="center"/>
              <w:rPr>
                <w:rFonts w:hint="eastAsia"/>
                <w:color w:val="auto"/>
                <w:sz w:val="21"/>
              </w:rPr>
            </w:pPr>
            <w:r>
              <w:rPr>
                <w:rFonts w:hint="eastAsia"/>
                <w:color w:val="auto"/>
                <w:sz w:val="21"/>
              </w:rPr>
              <w:t>观察和查验进料单</w:t>
            </w:r>
          </w:p>
        </w:tc>
      </w:tr>
      <w:tr w14:paraId="42AFC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B5D39E7">
            <w:pPr>
              <w:spacing w:line="240" w:lineRule="auto"/>
              <w:ind w:firstLine="0" w:firstLineChars="0"/>
              <w:jc w:val="center"/>
              <w:rPr>
                <w:rFonts w:hint="eastAsia"/>
                <w:color w:val="auto"/>
                <w:sz w:val="21"/>
              </w:rPr>
            </w:pPr>
            <w:r>
              <w:rPr>
                <w:rFonts w:hint="eastAsia"/>
                <w:color w:val="auto"/>
                <w:sz w:val="21"/>
              </w:rPr>
              <w:t>14</w:t>
            </w:r>
          </w:p>
        </w:tc>
        <w:tc>
          <w:tcPr>
            <w:tcW w:w="0" w:type="auto"/>
            <w:vMerge w:val="continue"/>
            <w:tcBorders>
              <w:top w:val="nil"/>
              <w:left w:val="single" w:color="auto" w:sz="4" w:space="0"/>
              <w:bottom w:val="single" w:color="auto" w:sz="4" w:space="0"/>
              <w:right w:val="single" w:color="auto" w:sz="4" w:space="0"/>
            </w:tcBorders>
            <w:vAlign w:val="center"/>
          </w:tcPr>
          <w:p w14:paraId="02831DB3">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7B171A24">
            <w:pPr>
              <w:spacing w:line="240" w:lineRule="auto"/>
              <w:ind w:firstLine="420"/>
              <w:jc w:val="left"/>
              <w:rPr>
                <w:rFonts w:hint="eastAsia"/>
                <w:color w:val="auto"/>
                <w:sz w:val="21"/>
              </w:rPr>
            </w:pPr>
            <w:r>
              <w:rPr>
                <w:rFonts w:hint="eastAsia"/>
                <w:color w:val="auto"/>
                <w:sz w:val="21"/>
              </w:rPr>
              <w:t>金属支架和设备的防腐和涂漆应着良好，无脱皮、起泡、流淌和漏涂缺陷。</w:t>
            </w:r>
          </w:p>
        </w:tc>
        <w:tc>
          <w:tcPr>
            <w:tcW w:w="1200" w:type="pct"/>
            <w:tcBorders>
              <w:top w:val="single" w:color="auto" w:sz="4" w:space="0"/>
              <w:left w:val="single" w:color="auto" w:sz="4" w:space="0"/>
              <w:bottom w:val="single" w:color="auto" w:sz="4" w:space="0"/>
              <w:right w:val="single" w:color="auto" w:sz="4" w:space="0"/>
            </w:tcBorders>
            <w:vAlign w:val="center"/>
          </w:tcPr>
          <w:p w14:paraId="4052C72C">
            <w:pPr>
              <w:spacing w:line="240" w:lineRule="auto"/>
              <w:ind w:firstLine="0" w:firstLineChars="0"/>
              <w:jc w:val="center"/>
              <w:rPr>
                <w:rFonts w:hint="eastAsia"/>
                <w:color w:val="auto"/>
                <w:sz w:val="21"/>
              </w:rPr>
            </w:pPr>
            <w:r>
              <w:rPr>
                <w:rFonts w:hint="eastAsia"/>
                <w:color w:val="auto"/>
                <w:sz w:val="21"/>
              </w:rPr>
              <w:t>现场检查观察</w:t>
            </w:r>
          </w:p>
        </w:tc>
      </w:tr>
    </w:tbl>
    <w:p w14:paraId="6CDA2614">
      <w:pPr>
        <w:rPr>
          <w:rFonts w:hint="eastAsia"/>
          <w:color w:val="auto"/>
        </w:rPr>
      </w:pPr>
      <w:r>
        <w:rPr>
          <w:rFonts w:hint="eastAsia"/>
          <w:color w:val="auto"/>
        </w:rPr>
        <w:t>采暖管道安装的允许偏差应符合下表中规定。</w:t>
      </w:r>
    </w:p>
    <w:p w14:paraId="07F3BABD">
      <w:pPr>
        <w:pStyle w:val="54"/>
        <w:rPr>
          <w:rFonts w:hint="eastAsia"/>
          <w:color w:val="auto"/>
        </w:rPr>
      </w:pPr>
      <w:r>
        <w:rPr>
          <w:rFonts w:hint="eastAsia"/>
          <w:color w:val="auto"/>
        </w:rPr>
        <w:t>采暖管道安装的允许偏差和检验方法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1513"/>
        <w:gridCol w:w="1658"/>
        <w:gridCol w:w="1662"/>
        <w:gridCol w:w="1665"/>
        <w:gridCol w:w="1649"/>
      </w:tblGrid>
      <w:tr w14:paraId="3748C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4" w:type="pct"/>
            <w:tcBorders>
              <w:top w:val="single" w:color="auto" w:sz="4" w:space="0"/>
              <w:left w:val="single" w:color="auto" w:sz="4" w:space="0"/>
              <w:bottom w:val="single" w:color="auto" w:sz="4" w:space="0"/>
              <w:right w:val="single" w:color="auto" w:sz="4" w:space="0"/>
            </w:tcBorders>
            <w:vAlign w:val="center"/>
          </w:tcPr>
          <w:p w14:paraId="2C4FA6AC">
            <w:pPr>
              <w:spacing w:line="240" w:lineRule="auto"/>
              <w:ind w:firstLine="0" w:firstLineChars="0"/>
              <w:jc w:val="center"/>
              <w:rPr>
                <w:rFonts w:hint="eastAsia"/>
                <w:color w:val="auto"/>
                <w:sz w:val="21"/>
              </w:rPr>
            </w:pPr>
            <w:r>
              <w:rPr>
                <w:rFonts w:hint="eastAsia"/>
                <w:color w:val="auto"/>
                <w:sz w:val="21"/>
              </w:rPr>
              <w:t>项次</w:t>
            </w:r>
          </w:p>
        </w:tc>
        <w:tc>
          <w:tcPr>
            <w:tcW w:w="2667" w:type="pct"/>
            <w:gridSpan w:val="3"/>
            <w:tcBorders>
              <w:top w:val="single" w:color="auto" w:sz="4" w:space="0"/>
              <w:left w:val="single" w:color="auto" w:sz="4" w:space="0"/>
              <w:bottom w:val="single" w:color="auto" w:sz="4" w:space="0"/>
              <w:right w:val="single" w:color="auto" w:sz="4" w:space="0"/>
            </w:tcBorders>
            <w:vAlign w:val="center"/>
          </w:tcPr>
          <w:p w14:paraId="06B9EF4D">
            <w:pPr>
              <w:spacing w:line="240" w:lineRule="auto"/>
              <w:ind w:firstLine="0" w:firstLineChars="0"/>
              <w:jc w:val="center"/>
              <w:rPr>
                <w:rFonts w:hint="eastAsia"/>
                <w:color w:val="auto"/>
                <w:sz w:val="21"/>
              </w:rPr>
            </w:pPr>
            <w:r>
              <w:rPr>
                <w:rFonts w:hint="eastAsia"/>
                <w:color w:val="auto"/>
                <w:sz w:val="21"/>
              </w:rPr>
              <w:t>项目</w:t>
            </w:r>
          </w:p>
        </w:tc>
        <w:tc>
          <w:tcPr>
            <w:tcW w:w="919" w:type="pct"/>
            <w:tcBorders>
              <w:top w:val="single" w:color="auto" w:sz="4" w:space="0"/>
              <w:left w:val="single" w:color="auto" w:sz="4" w:space="0"/>
              <w:bottom w:val="single" w:color="auto" w:sz="4" w:space="0"/>
              <w:right w:val="single" w:color="auto" w:sz="4" w:space="0"/>
            </w:tcBorders>
            <w:vAlign w:val="center"/>
          </w:tcPr>
          <w:p w14:paraId="261E1625">
            <w:pPr>
              <w:spacing w:line="240" w:lineRule="auto"/>
              <w:ind w:firstLine="0" w:firstLineChars="0"/>
              <w:jc w:val="center"/>
              <w:rPr>
                <w:rFonts w:hint="eastAsia"/>
                <w:color w:val="auto"/>
                <w:sz w:val="21"/>
              </w:rPr>
            </w:pPr>
            <w:r>
              <w:rPr>
                <w:rFonts w:hint="eastAsia"/>
                <w:color w:val="auto"/>
                <w:sz w:val="21"/>
              </w:rPr>
              <w:t>允许偏差</w:t>
            </w:r>
          </w:p>
        </w:tc>
        <w:tc>
          <w:tcPr>
            <w:tcW w:w="910" w:type="pct"/>
            <w:tcBorders>
              <w:top w:val="single" w:color="auto" w:sz="4" w:space="0"/>
              <w:left w:val="single" w:color="auto" w:sz="4" w:space="0"/>
              <w:bottom w:val="single" w:color="auto" w:sz="4" w:space="0"/>
              <w:right w:val="single" w:color="auto" w:sz="4" w:space="0"/>
            </w:tcBorders>
            <w:vAlign w:val="center"/>
          </w:tcPr>
          <w:p w14:paraId="6B44539E">
            <w:pPr>
              <w:spacing w:line="240" w:lineRule="auto"/>
              <w:ind w:firstLine="0" w:firstLineChars="0"/>
              <w:jc w:val="center"/>
              <w:rPr>
                <w:rFonts w:hint="eastAsia"/>
                <w:color w:val="auto"/>
                <w:sz w:val="21"/>
              </w:rPr>
            </w:pPr>
            <w:r>
              <w:rPr>
                <w:rFonts w:hint="eastAsia"/>
                <w:color w:val="auto"/>
                <w:sz w:val="21"/>
              </w:rPr>
              <w:t>检验方法</w:t>
            </w:r>
          </w:p>
        </w:tc>
      </w:tr>
      <w:tr w14:paraId="6B17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4" w:type="pct"/>
            <w:vMerge w:val="restart"/>
            <w:tcBorders>
              <w:top w:val="nil"/>
              <w:left w:val="single" w:color="auto" w:sz="4" w:space="0"/>
              <w:bottom w:val="single" w:color="auto" w:sz="4" w:space="0"/>
              <w:right w:val="single" w:color="auto" w:sz="4" w:space="0"/>
            </w:tcBorders>
            <w:vAlign w:val="center"/>
          </w:tcPr>
          <w:p w14:paraId="7F0E3554">
            <w:pPr>
              <w:spacing w:line="240" w:lineRule="auto"/>
              <w:ind w:firstLine="0" w:firstLineChars="0"/>
              <w:jc w:val="center"/>
              <w:rPr>
                <w:rFonts w:hint="eastAsia"/>
                <w:color w:val="auto"/>
                <w:sz w:val="21"/>
              </w:rPr>
            </w:pPr>
            <w:r>
              <w:rPr>
                <w:rFonts w:hint="eastAsia"/>
                <w:color w:val="auto"/>
                <w:sz w:val="21"/>
              </w:rPr>
              <w:t>1</w:t>
            </w:r>
          </w:p>
        </w:tc>
        <w:tc>
          <w:tcPr>
            <w:tcW w:w="835" w:type="pct"/>
            <w:vMerge w:val="restart"/>
            <w:tcBorders>
              <w:top w:val="nil"/>
              <w:left w:val="single" w:color="auto" w:sz="4" w:space="0"/>
              <w:bottom w:val="single" w:color="auto" w:sz="4" w:space="0"/>
              <w:right w:val="single" w:color="auto" w:sz="4" w:space="0"/>
            </w:tcBorders>
            <w:vAlign w:val="center"/>
          </w:tcPr>
          <w:p w14:paraId="5F20D17F">
            <w:pPr>
              <w:spacing w:line="240" w:lineRule="auto"/>
              <w:ind w:firstLine="0" w:firstLineChars="0"/>
              <w:jc w:val="center"/>
              <w:rPr>
                <w:rFonts w:hint="eastAsia"/>
                <w:color w:val="auto"/>
                <w:sz w:val="21"/>
              </w:rPr>
            </w:pPr>
            <w:r>
              <w:rPr>
                <w:rFonts w:hint="eastAsia"/>
                <w:color w:val="auto"/>
                <w:sz w:val="21"/>
              </w:rPr>
              <w:t>横管道纵、横方向弯曲（mm）</w:t>
            </w:r>
          </w:p>
        </w:tc>
        <w:tc>
          <w:tcPr>
            <w:tcW w:w="915" w:type="pct"/>
            <w:vMerge w:val="restart"/>
            <w:tcBorders>
              <w:top w:val="nil"/>
              <w:left w:val="single" w:color="auto" w:sz="4" w:space="0"/>
              <w:bottom w:val="single" w:color="auto" w:sz="4" w:space="0"/>
              <w:right w:val="single" w:color="auto" w:sz="4" w:space="0"/>
            </w:tcBorders>
            <w:vAlign w:val="center"/>
          </w:tcPr>
          <w:p w14:paraId="0911EA41">
            <w:pPr>
              <w:spacing w:line="240" w:lineRule="auto"/>
              <w:ind w:firstLine="0" w:firstLineChars="0"/>
              <w:jc w:val="center"/>
              <w:rPr>
                <w:rFonts w:hint="eastAsia"/>
                <w:color w:val="auto"/>
                <w:sz w:val="21"/>
              </w:rPr>
            </w:pPr>
            <w:r>
              <w:rPr>
                <w:rFonts w:hint="eastAsia"/>
                <w:color w:val="auto"/>
                <w:sz w:val="21"/>
              </w:rPr>
              <w:t>每1m</w:t>
            </w:r>
          </w:p>
        </w:tc>
        <w:tc>
          <w:tcPr>
            <w:tcW w:w="917" w:type="pct"/>
            <w:tcBorders>
              <w:top w:val="single" w:color="auto" w:sz="4" w:space="0"/>
              <w:left w:val="single" w:color="auto" w:sz="4" w:space="0"/>
              <w:bottom w:val="single" w:color="auto" w:sz="4" w:space="0"/>
              <w:right w:val="single" w:color="auto" w:sz="4" w:space="0"/>
            </w:tcBorders>
            <w:vAlign w:val="center"/>
          </w:tcPr>
          <w:p w14:paraId="0F546F6C">
            <w:pPr>
              <w:spacing w:line="240" w:lineRule="auto"/>
              <w:ind w:firstLine="0" w:firstLineChars="0"/>
              <w:jc w:val="center"/>
              <w:rPr>
                <w:rFonts w:hint="eastAsia"/>
                <w:color w:val="auto"/>
                <w:sz w:val="21"/>
              </w:rPr>
            </w:pPr>
            <w:r>
              <w:rPr>
                <w:rFonts w:hint="eastAsia"/>
                <w:color w:val="auto"/>
                <w:sz w:val="21"/>
              </w:rPr>
              <w:t>管径≤100mm</w:t>
            </w:r>
          </w:p>
        </w:tc>
        <w:tc>
          <w:tcPr>
            <w:tcW w:w="919" w:type="pct"/>
            <w:tcBorders>
              <w:top w:val="single" w:color="auto" w:sz="4" w:space="0"/>
              <w:left w:val="single" w:color="auto" w:sz="4" w:space="0"/>
              <w:bottom w:val="single" w:color="auto" w:sz="4" w:space="0"/>
              <w:right w:val="single" w:color="auto" w:sz="4" w:space="0"/>
            </w:tcBorders>
            <w:vAlign w:val="center"/>
          </w:tcPr>
          <w:p w14:paraId="3543315E">
            <w:pPr>
              <w:spacing w:line="240" w:lineRule="auto"/>
              <w:ind w:firstLine="0" w:firstLineChars="0"/>
              <w:jc w:val="center"/>
              <w:rPr>
                <w:rFonts w:hint="eastAsia"/>
                <w:color w:val="auto"/>
                <w:sz w:val="21"/>
              </w:rPr>
            </w:pPr>
            <w:r>
              <w:rPr>
                <w:rFonts w:hint="eastAsia"/>
                <w:color w:val="auto"/>
                <w:sz w:val="21"/>
              </w:rPr>
              <w:t>1</w:t>
            </w:r>
          </w:p>
        </w:tc>
        <w:tc>
          <w:tcPr>
            <w:tcW w:w="910" w:type="pct"/>
            <w:vMerge w:val="restart"/>
            <w:tcBorders>
              <w:top w:val="single" w:color="auto" w:sz="4" w:space="0"/>
              <w:left w:val="single" w:color="auto" w:sz="4" w:space="0"/>
              <w:bottom w:val="single" w:color="auto" w:sz="4" w:space="0"/>
              <w:right w:val="single" w:color="auto" w:sz="4" w:space="0"/>
            </w:tcBorders>
            <w:vAlign w:val="center"/>
          </w:tcPr>
          <w:p w14:paraId="6DC9A04A">
            <w:pPr>
              <w:spacing w:line="240" w:lineRule="auto"/>
              <w:ind w:firstLine="0" w:firstLineChars="0"/>
              <w:jc w:val="center"/>
              <w:rPr>
                <w:rFonts w:hint="eastAsia"/>
                <w:color w:val="auto"/>
                <w:sz w:val="21"/>
              </w:rPr>
            </w:pPr>
            <w:r>
              <w:rPr>
                <w:rFonts w:hint="eastAsia"/>
                <w:color w:val="auto"/>
                <w:sz w:val="21"/>
              </w:rPr>
              <w:t>用水平尺、直尺、拉线和尺量检查</w:t>
            </w:r>
          </w:p>
        </w:tc>
      </w:tr>
      <w:tr w14:paraId="5F780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702B4C77">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82176D4">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6D877C2">
            <w:pPr>
              <w:spacing w:line="240" w:lineRule="auto"/>
              <w:ind w:firstLine="0" w:firstLineChars="0"/>
              <w:jc w:val="center"/>
              <w:rPr>
                <w:color w:val="auto"/>
                <w:sz w:val="21"/>
              </w:rPr>
            </w:pPr>
          </w:p>
        </w:tc>
        <w:tc>
          <w:tcPr>
            <w:tcW w:w="917" w:type="pct"/>
            <w:tcBorders>
              <w:top w:val="single" w:color="auto" w:sz="4" w:space="0"/>
              <w:left w:val="single" w:color="auto" w:sz="4" w:space="0"/>
              <w:bottom w:val="single" w:color="auto" w:sz="4" w:space="0"/>
              <w:right w:val="single" w:color="auto" w:sz="4" w:space="0"/>
            </w:tcBorders>
            <w:vAlign w:val="center"/>
          </w:tcPr>
          <w:p w14:paraId="79773805">
            <w:pPr>
              <w:spacing w:line="240" w:lineRule="auto"/>
              <w:ind w:firstLine="0" w:firstLineChars="0"/>
              <w:jc w:val="center"/>
              <w:rPr>
                <w:rFonts w:hint="eastAsia"/>
                <w:color w:val="auto"/>
                <w:sz w:val="21"/>
              </w:rPr>
            </w:pPr>
            <w:r>
              <w:rPr>
                <w:rFonts w:hint="eastAsia"/>
                <w:color w:val="auto"/>
                <w:sz w:val="21"/>
              </w:rPr>
              <w:t>管径＞100mm</w:t>
            </w:r>
          </w:p>
        </w:tc>
        <w:tc>
          <w:tcPr>
            <w:tcW w:w="919" w:type="pct"/>
            <w:tcBorders>
              <w:top w:val="single" w:color="auto" w:sz="4" w:space="0"/>
              <w:left w:val="single" w:color="auto" w:sz="4" w:space="0"/>
              <w:bottom w:val="single" w:color="auto" w:sz="4" w:space="0"/>
              <w:right w:val="single" w:color="auto" w:sz="4" w:space="0"/>
            </w:tcBorders>
            <w:vAlign w:val="center"/>
          </w:tcPr>
          <w:p w14:paraId="6DAD2341">
            <w:pPr>
              <w:spacing w:line="240" w:lineRule="auto"/>
              <w:ind w:firstLine="0" w:firstLineChars="0"/>
              <w:jc w:val="center"/>
              <w:rPr>
                <w:rFonts w:hint="eastAsia"/>
                <w:color w:val="auto"/>
                <w:sz w:val="21"/>
              </w:rPr>
            </w:pPr>
            <w:r>
              <w:rPr>
                <w:rFonts w:hint="eastAsia"/>
                <w:color w:val="auto"/>
                <w:sz w:val="21"/>
              </w:rPr>
              <w:t>1.5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62E762B">
            <w:pPr>
              <w:spacing w:line="240" w:lineRule="auto"/>
              <w:ind w:firstLine="0" w:firstLineChars="0"/>
              <w:jc w:val="center"/>
              <w:rPr>
                <w:color w:val="auto"/>
                <w:sz w:val="21"/>
              </w:rPr>
            </w:pPr>
          </w:p>
        </w:tc>
      </w:tr>
      <w:tr w14:paraId="1113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1A71E3E0">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1E3FD93A">
            <w:pPr>
              <w:spacing w:line="240" w:lineRule="auto"/>
              <w:ind w:firstLine="0" w:firstLineChars="0"/>
              <w:jc w:val="center"/>
              <w:rPr>
                <w:color w:val="auto"/>
                <w:sz w:val="21"/>
              </w:rPr>
            </w:pPr>
          </w:p>
        </w:tc>
        <w:tc>
          <w:tcPr>
            <w:tcW w:w="915" w:type="pct"/>
            <w:vMerge w:val="restart"/>
            <w:tcBorders>
              <w:top w:val="nil"/>
              <w:left w:val="single" w:color="auto" w:sz="4" w:space="0"/>
              <w:bottom w:val="single" w:color="auto" w:sz="4" w:space="0"/>
              <w:right w:val="single" w:color="auto" w:sz="4" w:space="0"/>
            </w:tcBorders>
            <w:vAlign w:val="center"/>
          </w:tcPr>
          <w:p w14:paraId="127D392D">
            <w:pPr>
              <w:spacing w:line="240" w:lineRule="auto"/>
              <w:ind w:firstLine="0" w:firstLineChars="0"/>
              <w:jc w:val="center"/>
              <w:rPr>
                <w:rFonts w:hint="eastAsia"/>
                <w:color w:val="auto"/>
                <w:sz w:val="21"/>
              </w:rPr>
            </w:pPr>
            <w:r>
              <w:rPr>
                <w:rFonts w:hint="eastAsia"/>
                <w:color w:val="auto"/>
                <w:sz w:val="21"/>
              </w:rPr>
              <w:t>全长（25m）以上</w:t>
            </w:r>
          </w:p>
        </w:tc>
        <w:tc>
          <w:tcPr>
            <w:tcW w:w="917" w:type="pct"/>
            <w:tcBorders>
              <w:top w:val="single" w:color="auto" w:sz="4" w:space="0"/>
              <w:left w:val="single" w:color="auto" w:sz="4" w:space="0"/>
              <w:bottom w:val="single" w:color="auto" w:sz="4" w:space="0"/>
              <w:right w:val="single" w:color="auto" w:sz="4" w:space="0"/>
            </w:tcBorders>
            <w:vAlign w:val="center"/>
          </w:tcPr>
          <w:p w14:paraId="6907222D">
            <w:pPr>
              <w:spacing w:line="240" w:lineRule="auto"/>
              <w:ind w:firstLine="0" w:firstLineChars="0"/>
              <w:jc w:val="center"/>
              <w:rPr>
                <w:rFonts w:hint="eastAsia"/>
                <w:color w:val="auto"/>
                <w:sz w:val="21"/>
              </w:rPr>
            </w:pPr>
            <w:r>
              <w:rPr>
                <w:rFonts w:hint="eastAsia"/>
                <w:color w:val="auto"/>
                <w:sz w:val="21"/>
              </w:rPr>
              <w:t>管径≤100mm</w:t>
            </w:r>
          </w:p>
        </w:tc>
        <w:tc>
          <w:tcPr>
            <w:tcW w:w="919" w:type="pct"/>
            <w:tcBorders>
              <w:top w:val="single" w:color="auto" w:sz="4" w:space="0"/>
              <w:left w:val="single" w:color="auto" w:sz="4" w:space="0"/>
              <w:bottom w:val="single" w:color="auto" w:sz="4" w:space="0"/>
              <w:right w:val="single" w:color="auto" w:sz="4" w:space="0"/>
            </w:tcBorders>
            <w:vAlign w:val="center"/>
          </w:tcPr>
          <w:p w14:paraId="51B70657">
            <w:pPr>
              <w:spacing w:line="240" w:lineRule="auto"/>
              <w:ind w:firstLine="0" w:firstLineChars="0"/>
              <w:jc w:val="center"/>
              <w:rPr>
                <w:rFonts w:hint="eastAsia"/>
                <w:color w:val="auto"/>
                <w:sz w:val="21"/>
              </w:rPr>
            </w:pPr>
            <w:r>
              <w:rPr>
                <w:rFonts w:hint="eastAsia"/>
                <w:color w:val="auto"/>
                <w:sz w:val="21"/>
              </w:rPr>
              <w:t>≤13</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57B2A51">
            <w:pPr>
              <w:spacing w:line="240" w:lineRule="auto"/>
              <w:ind w:firstLine="0" w:firstLineChars="0"/>
              <w:jc w:val="center"/>
              <w:rPr>
                <w:color w:val="auto"/>
                <w:sz w:val="21"/>
              </w:rPr>
            </w:pPr>
          </w:p>
        </w:tc>
      </w:tr>
      <w:tr w14:paraId="146E7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0B5BD3C">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72965E3">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1A368D0F">
            <w:pPr>
              <w:spacing w:line="240" w:lineRule="auto"/>
              <w:ind w:firstLine="0" w:firstLineChars="0"/>
              <w:jc w:val="center"/>
              <w:rPr>
                <w:color w:val="auto"/>
                <w:sz w:val="21"/>
              </w:rPr>
            </w:pPr>
          </w:p>
        </w:tc>
        <w:tc>
          <w:tcPr>
            <w:tcW w:w="917" w:type="pct"/>
            <w:tcBorders>
              <w:top w:val="single" w:color="auto" w:sz="4" w:space="0"/>
              <w:left w:val="single" w:color="auto" w:sz="4" w:space="0"/>
              <w:bottom w:val="single" w:color="auto" w:sz="4" w:space="0"/>
              <w:right w:val="single" w:color="auto" w:sz="4" w:space="0"/>
            </w:tcBorders>
            <w:vAlign w:val="center"/>
          </w:tcPr>
          <w:p w14:paraId="39CE38E3">
            <w:pPr>
              <w:spacing w:line="240" w:lineRule="auto"/>
              <w:ind w:firstLine="0" w:firstLineChars="0"/>
              <w:jc w:val="center"/>
              <w:rPr>
                <w:rFonts w:hint="eastAsia"/>
                <w:color w:val="auto"/>
                <w:sz w:val="21"/>
              </w:rPr>
            </w:pPr>
            <w:r>
              <w:rPr>
                <w:rFonts w:hint="eastAsia"/>
                <w:color w:val="auto"/>
                <w:sz w:val="21"/>
              </w:rPr>
              <w:t>管径＞100mm</w:t>
            </w:r>
          </w:p>
        </w:tc>
        <w:tc>
          <w:tcPr>
            <w:tcW w:w="919" w:type="pct"/>
            <w:tcBorders>
              <w:top w:val="single" w:color="auto" w:sz="4" w:space="0"/>
              <w:left w:val="single" w:color="auto" w:sz="4" w:space="0"/>
              <w:bottom w:val="single" w:color="auto" w:sz="4" w:space="0"/>
              <w:right w:val="single" w:color="auto" w:sz="4" w:space="0"/>
            </w:tcBorders>
            <w:vAlign w:val="center"/>
          </w:tcPr>
          <w:p w14:paraId="37693E66">
            <w:pPr>
              <w:spacing w:line="240" w:lineRule="auto"/>
              <w:ind w:firstLine="0" w:firstLineChars="0"/>
              <w:jc w:val="center"/>
              <w:rPr>
                <w:rFonts w:hint="eastAsia"/>
                <w:color w:val="auto"/>
                <w:sz w:val="21"/>
              </w:rPr>
            </w:pPr>
            <w:r>
              <w:rPr>
                <w:rFonts w:hint="eastAsia"/>
                <w:color w:val="auto"/>
                <w:sz w:val="21"/>
              </w:rPr>
              <w:t>≤25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B8B920A">
            <w:pPr>
              <w:spacing w:line="240" w:lineRule="auto"/>
              <w:ind w:firstLine="0" w:firstLineChars="0"/>
              <w:jc w:val="center"/>
              <w:rPr>
                <w:color w:val="auto"/>
                <w:sz w:val="21"/>
              </w:rPr>
            </w:pPr>
          </w:p>
        </w:tc>
      </w:tr>
      <w:tr w14:paraId="2AA2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4" w:type="pct"/>
            <w:vMerge w:val="restart"/>
            <w:tcBorders>
              <w:top w:val="nil"/>
              <w:left w:val="single" w:color="auto" w:sz="4" w:space="0"/>
              <w:bottom w:val="single" w:color="auto" w:sz="4" w:space="0"/>
              <w:right w:val="single" w:color="auto" w:sz="4" w:space="0"/>
            </w:tcBorders>
            <w:vAlign w:val="center"/>
          </w:tcPr>
          <w:p w14:paraId="6C241105">
            <w:pPr>
              <w:spacing w:line="240" w:lineRule="auto"/>
              <w:ind w:firstLine="0" w:firstLineChars="0"/>
              <w:jc w:val="center"/>
              <w:rPr>
                <w:rFonts w:hint="eastAsia"/>
                <w:color w:val="auto"/>
                <w:sz w:val="21"/>
              </w:rPr>
            </w:pPr>
            <w:r>
              <w:rPr>
                <w:rFonts w:hint="eastAsia"/>
                <w:color w:val="auto"/>
                <w:sz w:val="21"/>
              </w:rPr>
              <w:t>2</w:t>
            </w:r>
          </w:p>
        </w:tc>
        <w:tc>
          <w:tcPr>
            <w:tcW w:w="835" w:type="pct"/>
            <w:vMerge w:val="restart"/>
            <w:tcBorders>
              <w:top w:val="nil"/>
              <w:left w:val="single" w:color="auto" w:sz="4" w:space="0"/>
              <w:bottom w:val="single" w:color="auto" w:sz="4" w:space="0"/>
              <w:right w:val="single" w:color="auto" w:sz="4" w:space="0"/>
            </w:tcBorders>
            <w:vAlign w:val="center"/>
          </w:tcPr>
          <w:p w14:paraId="3EADE23B">
            <w:pPr>
              <w:spacing w:line="240" w:lineRule="auto"/>
              <w:ind w:firstLine="0" w:firstLineChars="0"/>
              <w:jc w:val="center"/>
              <w:rPr>
                <w:rFonts w:hint="eastAsia"/>
                <w:color w:val="auto"/>
                <w:sz w:val="21"/>
              </w:rPr>
            </w:pPr>
            <w:r>
              <w:rPr>
                <w:rFonts w:hint="eastAsia"/>
                <w:color w:val="auto"/>
                <w:sz w:val="21"/>
              </w:rPr>
              <w:t>立管道垂直度（mm）</w:t>
            </w:r>
          </w:p>
        </w:tc>
        <w:tc>
          <w:tcPr>
            <w:tcW w:w="1832" w:type="pct"/>
            <w:gridSpan w:val="2"/>
            <w:tcBorders>
              <w:top w:val="single" w:color="auto" w:sz="4" w:space="0"/>
              <w:left w:val="single" w:color="auto" w:sz="4" w:space="0"/>
              <w:bottom w:val="single" w:color="auto" w:sz="4" w:space="0"/>
              <w:right w:val="single" w:color="auto" w:sz="4" w:space="0"/>
            </w:tcBorders>
            <w:vAlign w:val="center"/>
          </w:tcPr>
          <w:p w14:paraId="2FCCBD30">
            <w:pPr>
              <w:spacing w:line="240" w:lineRule="auto"/>
              <w:ind w:firstLine="0" w:firstLineChars="0"/>
              <w:jc w:val="center"/>
              <w:rPr>
                <w:rFonts w:hint="eastAsia"/>
                <w:color w:val="auto"/>
                <w:sz w:val="21"/>
              </w:rPr>
            </w:pPr>
            <w:r>
              <w:rPr>
                <w:rFonts w:hint="eastAsia"/>
                <w:color w:val="auto"/>
                <w:sz w:val="21"/>
              </w:rPr>
              <w:t>每1m</w:t>
            </w:r>
          </w:p>
        </w:tc>
        <w:tc>
          <w:tcPr>
            <w:tcW w:w="919" w:type="pct"/>
            <w:tcBorders>
              <w:top w:val="single" w:color="auto" w:sz="4" w:space="0"/>
              <w:left w:val="single" w:color="auto" w:sz="4" w:space="0"/>
              <w:bottom w:val="single" w:color="auto" w:sz="4" w:space="0"/>
              <w:right w:val="single" w:color="auto" w:sz="4" w:space="0"/>
            </w:tcBorders>
            <w:vAlign w:val="center"/>
          </w:tcPr>
          <w:p w14:paraId="5C82A66A">
            <w:pPr>
              <w:spacing w:line="240" w:lineRule="auto"/>
              <w:ind w:firstLine="0" w:firstLineChars="0"/>
              <w:jc w:val="center"/>
              <w:rPr>
                <w:rFonts w:hint="eastAsia"/>
                <w:color w:val="auto"/>
                <w:sz w:val="21"/>
              </w:rPr>
            </w:pPr>
            <w:r>
              <w:rPr>
                <w:rFonts w:hint="eastAsia"/>
                <w:color w:val="auto"/>
                <w:sz w:val="21"/>
              </w:rPr>
              <w:t>2</w:t>
            </w:r>
          </w:p>
        </w:tc>
        <w:tc>
          <w:tcPr>
            <w:tcW w:w="910" w:type="pct"/>
            <w:vMerge w:val="restart"/>
            <w:tcBorders>
              <w:top w:val="nil"/>
              <w:left w:val="single" w:color="auto" w:sz="4" w:space="0"/>
              <w:bottom w:val="single" w:color="auto" w:sz="4" w:space="0"/>
              <w:right w:val="single" w:color="auto" w:sz="4" w:space="0"/>
            </w:tcBorders>
            <w:vAlign w:val="center"/>
          </w:tcPr>
          <w:p w14:paraId="1B371165">
            <w:pPr>
              <w:spacing w:line="240" w:lineRule="auto"/>
              <w:ind w:firstLine="0" w:firstLineChars="0"/>
              <w:jc w:val="center"/>
              <w:rPr>
                <w:rFonts w:hint="eastAsia"/>
                <w:color w:val="auto"/>
                <w:sz w:val="21"/>
              </w:rPr>
            </w:pPr>
            <w:r>
              <w:rPr>
                <w:rFonts w:hint="eastAsia"/>
                <w:color w:val="auto"/>
                <w:sz w:val="21"/>
              </w:rPr>
              <w:t>吊线和尺量检查</w:t>
            </w:r>
          </w:p>
        </w:tc>
      </w:tr>
      <w:tr w14:paraId="0EE6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49F1437A">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7B66A66">
            <w:pPr>
              <w:spacing w:line="240" w:lineRule="auto"/>
              <w:ind w:firstLine="0" w:firstLineChars="0"/>
              <w:jc w:val="center"/>
              <w:rPr>
                <w:color w:val="auto"/>
                <w:sz w:val="21"/>
              </w:rPr>
            </w:pPr>
          </w:p>
        </w:tc>
        <w:tc>
          <w:tcPr>
            <w:tcW w:w="1832" w:type="pct"/>
            <w:gridSpan w:val="2"/>
            <w:tcBorders>
              <w:top w:val="single" w:color="auto" w:sz="4" w:space="0"/>
              <w:left w:val="single" w:color="auto" w:sz="4" w:space="0"/>
              <w:bottom w:val="single" w:color="auto" w:sz="4" w:space="0"/>
              <w:right w:val="single" w:color="auto" w:sz="4" w:space="0"/>
            </w:tcBorders>
            <w:vAlign w:val="center"/>
          </w:tcPr>
          <w:p w14:paraId="3C1CA50B">
            <w:pPr>
              <w:spacing w:line="240" w:lineRule="auto"/>
              <w:ind w:firstLine="0" w:firstLineChars="0"/>
              <w:jc w:val="center"/>
              <w:rPr>
                <w:rFonts w:hint="eastAsia"/>
                <w:color w:val="auto"/>
                <w:sz w:val="21"/>
              </w:rPr>
            </w:pPr>
            <w:r>
              <w:rPr>
                <w:rFonts w:hint="eastAsia"/>
                <w:color w:val="auto"/>
                <w:sz w:val="21"/>
              </w:rPr>
              <w:t>全长（25m）以上</w:t>
            </w:r>
          </w:p>
        </w:tc>
        <w:tc>
          <w:tcPr>
            <w:tcW w:w="919" w:type="pct"/>
            <w:tcBorders>
              <w:top w:val="single" w:color="auto" w:sz="4" w:space="0"/>
              <w:left w:val="single" w:color="auto" w:sz="4" w:space="0"/>
              <w:bottom w:val="single" w:color="auto" w:sz="4" w:space="0"/>
              <w:right w:val="single" w:color="auto" w:sz="4" w:space="0"/>
            </w:tcBorders>
            <w:vAlign w:val="center"/>
          </w:tcPr>
          <w:p w14:paraId="31F4769B">
            <w:pPr>
              <w:spacing w:line="240" w:lineRule="auto"/>
              <w:ind w:firstLine="0" w:firstLineChars="0"/>
              <w:jc w:val="center"/>
              <w:rPr>
                <w:rFonts w:hint="eastAsia"/>
                <w:color w:val="auto"/>
                <w:sz w:val="21"/>
              </w:rPr>
            </w:pPr>
            <w:r>
              <w:rPr>
                <w:rFonts w:hint="eastAsia"/>
                <w:color w:val="auto"/>
                <w:sz w:val="21"/>
              </w:rPr>
              <w:t>≤10</w:t>
            </w:r>
          </w:p>
        </w:tc>
        <w:tc>
          <w:tcPr>
            <w:tcW w:w="0" w:type="auto"/>
            <w:vMerge w:val="continue"/>
            <w:tcBorders>
              <w:top w:val="nil"/>
              <w:left w:val="single" w:color="auto" w:sz="4" w:space="0"/>
              <w:bottom w:val="single" w:color="auto" w:sz="4" w:space="0"/>
              <w:right w:val="single" w:color="auto" w:sz="4" w:space="0"/>
            </w:tcBorders>
            <w:vAlign w:val="center"/>
          </w:tcPr>
          <w:p w14:paraId="0A76E976">
            <w:pPr>
              <w:spacing w:line="240" w:lineRule="auto"/>
              <w:ind w:firstLine="0" w:firstLineChars="0"/>
              <w:jc w:val="center"/>
              <w:rPr>
                <w:color w:val="auto"/>
                <w:sz w:val="21"/>
              </w:rPr>
            </w:pPr>
          </w:p>
        </w:tc>
      </w:tr>
      <w:tr w14:paraId="7AD3D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4" w:type="pct"/>
            <w:vMerge w:val="restart"/>
            <w:tcBorders>
              <w:top w:val="nil"/>
              <w:left w:val="single" w:color="auto" w:sz="4" w:space="0"/>
              <w:bottom w:val="single" w:color="auto" w:sz="4" w:space="0"/>
              <w:right w:val="single" w:color="auto" w:sz="4" w:space="0"/>
            </w:tcBorders>
            <w:vAlign w:val="center"/>
          </w:tcPr>
          <w:p w14:paraId="4E70BF64">
            <w:pPr>
              <w:spacing w:line="240" w:lineRule="auto"/>
              <w:ind w:firstLine="0" w:firstLineChars="0"/>
              <w:jc w:val="center"/>
              <w:rPr>
                <w:rFonts w:hint="eastAsia"/>
                <w:color w:val="auto"/>
                <w:sz w:val="21"/>
              </w:rPr>
            </w:pPr>
            <w:r>
              <w:rPr>
                <w:rFonts w:hint="eastAsia"/>
                <w:color w:val="auto"/>
                <w:sz w:val="21"/>
              </w:rPr>
              <w:t>3</w:t>
            </w:r>
          </w:p>
        </w:tc>
        <w:tc>
          <w:tcPr>
            <w:tcW w:w="835" w:type="pct"/>
            <w:vMerge w:val="restart"/>
            <w:tcBorders>
              <w:top w:val="nil"/>
              <w:left w:val="single" w:color="auto" w:sz="4" w:space="0"/>
              <w:bottom w:val="single" w:color="auto" w:sz="4" w:space="0"/>
              <w:right w:val="single" w:color="auto" w:sz="4" w:space="0"/>
            </w:tcBorders>
            <w:vAlign w:val="center"/>
          </w:tcPr>
          <w:p w14:paraId="566B4ED2">
            <w:pPr>
              <w:spacing w:line="240" w:lineRule="auto"/>
              <w:ind w:firstLine="0" w:firstLineChars="0"/>
              <w:jc w:val="center"/>
              <w:rPr>
                <w:rFonts w:hint="eastAsia"/>
                <w:color w:val="auto"/>
                <w:sz w:val="21"/>
              </w:rPr>
            </w:pPr>
            <w:r>
              <w:rPr>
                <w:rFonts w:hint="eastAsia"/>
                <w:color w:val="auto"/>
                <w:sz w:val="21"/>
              </w:rPr>
              <w:t>弯管</w:t>
            </w:r>
          </w:p>
        </w:tc>
        <w:tc>
          <w:tcPr>
            <w:tcW w:w="915" w:type="pct"/>
            <w:vMerge w:val="restart"/>
            <w:tcBorders>
              <w:top w:val="nil"/>
              <w:left w:val="single" w:color="auto" w:sz="4" w:space="0"/>
              <w:bottom w:val="single" w:color="auto" w:sz="4" w:space="0"/>
              <w:right w:val="single" w:color="auto" w:sz="4" w:space="0"/>
            </w:tcBorders>
            <w:vAlign w:val="center"/>
          </w:tcPr>
          <w:p w14:paraId="6DBBB2EA">
            <w:pPr>
              <w:spacing w:line="240" w:lineRule="auto"/>
              <w:ind w:firstLine="0" w:firstLineChars="0"/>
              <w:jc w:val="center"/>
              <w:rPr>
                <w:rFonts w:hint="eastAsia"/>
                <w:color w:val="auto"/>
                <w:sz w:val="21"/>
              </w:rPr>
            </w:pPr>
            <w:r>
              <w:rPr>
                <w:rFonts w:hint="eastAsia"/>
                <w:color w:val="auto"/>
                <w:sz w:val="21"/>
              </w:rPr>
              <w:t>折皱不平度（mm）</w:t>
            </w:r>
          </w:p>
        </w:tc>
        <w:tc>
          <w:tcPr>
            <w:tcW w:w="917" w:type="pct"/>
            <w:tcBorders>
              <w:top w:val="single" w:color="auto" w:sz="4" w:space="0"/>
              <w:left w:val="single" w:color="auto" w:sz="4" w:space="0"/>
              <w:bottom w:val="single" w:color="auto" w:sz="4" w:space="0"/>
              <w:right w:val="single" w:color="auto" w:sz="4" w:space="0"/>
            </w:tcBorders>
            <w:vAlign w:val="center"/>
          </w:tcPr>
          <w:p w14:paraId="54CBB909">
            <w:pPr>
              <w:spacing w:line="240" w:lineRule="auto"/>
              <w:ind w:firstLine="0" w:firstLineChars="0"/>
              <w:jc w:val="center"/>
              <w:rPr>
                <w:rFonts w:hint="eastAsia"/>
                <w:color w:val="auto"/>
                <w:sz w:val="21"/>
              </w:rPr>
            </w:pPr>
            <w:r>
              <w:rPr>
                <w:rFonts w:hint="eastAsia"/>
                <w:color w:val="auto"/>
                <w:sz w:val="21"/>
              </w:rPr>
              <w:t>管径≤100mm</w:t>
            </w:r>
          </w:p>
        </w:tc>
        <w:tc>
          <w:tcPr>
            <w:tcW w:w="919" w:type="pct"/>
            <w:tcBorders>
              <w:top w:val="single" w:color="auto" w:sz="4" w:space="0"/>
              <w:left w:val="single" w:color="auto" w:sz="4" w:space="0"/>
              <w:bottom w:val="single" w:color="auto" w:sz="4" w:space="0"/>
              <w:right w:val="single" w:color="auto" w:sz="4" w:space="0"/>
            </w:tcBorders>
            <w:vAlign w:val="center"/>
          </w:tcPr>
          <w:p w14:paraId="26867C31">
            <w:pPr>
              <w:spacing w:line="240" w:lineRule="auto"/>
              <w:ind w:firstLine="0" w:firstLineChars="0"/>
              <w:jc w:val="center"/>
              <w:rPr>
                <w:rFonts w:hint="eastAsia"/>
                <w:color w:val="auto"/>
                <w:sz w:val="21"/>
              </w:rPr>
            </w:pPr>
            <w:r>
              <w:rPr>
                <w:rFonts w:hint="eastAsia"/>
                <w:color w:val="auto"/>
                <w:sz w:val="21"/>
              </w:rPr>
              <w:t>4</w:t>
            </w:r>
          </w:p>
        </w:tc>
        <w:tc>
          <w:tcPr>
            <w:tcW w:w="910" w:type="pct"/>
            <w:vMerge w:val="restart"/>
            <w:tcBorders>
              <w:top w:val="single" w:color="auto" w:sz="4" w:space="0"/>
              <w:left w:val="single" w:color="auto" w:sz="4" w:space="0"/>
              <w:bottom w:val="single" w:color="auto" w:sz="4" w:space="0"/>
              <w:right w:val="single" w:color="auto" w:sz="4" w:space="0"/>
            </w:tcBorders>
            <w:vAlign w:val="center"/>
          </w:tcPr>
          <w:p w14:paraId="10572930">
            <w:pPr>
              <w:spacing w:line="240" w:lineRule="auto"/>
              <w:ind w:firstLine="0" w:firstLineChars="0"/>
              <w:jc w:val="center"/>
              <w:rPr>
                <w:rFonts w:hint="eastAsia"/>
                <w:color w:val="auto"/>
                <w:sz w:val="21"/>
              </w:rPr>
            </w:pPr>
            <w:r>
              <w:rPr>
                <w:rFonts w:hint="eastAsia"/>
                <w:color w:val="auto"/>
                <w:sz w:val="21"/>
              </w:rPr>
              <w:t>用外卡钳和尺量检查</w:t>
            </w:r>
          </w:p>
        </w:tc>
      </w:tr>
      <w:tr w14:paraId="1FDDD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Merge w:val="continue"/>
            <w:tcBorders>
              <w:top w:val="nil"/>
              <w:left w:val="single" w:color="auto" w:sz="4" w:space="0"/>
              <w:bottom w:val="single" w:color="auto" w:sz="4" w:space="0"/>
              <w:right w:val="single" w:color="auto" w:sz="4" w:space="0"/>
            </w:tcBorders>
            <w:vAlign w:val="center"/>
          </w:tcPr>
          <w:p w14:paraId="2B1B1A7D">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49D40873">
            <w:pPr>
              <w:rPr>
                <w:color w:val="auto"/>
              </w:rPr>
            </w:pPr>
          </w:p>
        </w:tc>
        <w:tc>
          <w:tcPr>
            <w:tcW w:w="0" w:type="auto"/>
            <w:vMerge w:val="continue"/>
            <w:tcBorders>
              <w:top w:val="nil"/>
              <w:left w:val="single" w:color="auto" w:sz="4" w:space="0"/>
              <w:bottom w:val="single" w:color="auto" w:sz="4" w:space="0"/>
              <w:right w:val="single" w:color="auto" w:sz="4" w:space="0"/>
            </w:tcBorders>
            <w:vAlign w:val="center"/>
          </w:tcPr>
          <w:p w14:paraId="6654F1DA">
            <w:pPr>
              <w:rPr>
                <w:color w:val="auto"/>
              </w:rPr>
            </w:pPr>
          </w:p>
        </w:tc>
        <w:tc>
          <w:tcPr>
            <w:tcW w:w="917" w:type="pct"/>
            <w:tcBorders>
              <w:top w:val="single" w:color="auto" w:sz="4" w:space="0"/>
              <w:left w:val="single" w:color="auto" w:sz="4" w:space="0"/>
              <w:bottom w:val="single" w:color="auto" w:sz="4" w:space="0"/>
              <w:right w:val="single" w:color="auto" w:sz="4" w:space="0"/>
            </w:tcBorders>
            <w:vAlign w:val="center"/>
          </w:tcPr>
          <w:p w14:paraId="63CF1C5F">
            <w:pPr>
              <w:spacing w:line="240" w:lineRule="auto"/>
              <w:ind w:firstLine="0" w:firstLineChars="0"/>
              <w:jc w:val="center"/>
              <w:rPr>
                <w:rFonts w:hint="eastAsia"/>
                <w:color w:val="auto"/>
                <w:sz w:val="21"/>
              </w:rPr>
            </w:pPr>
            <w:r>
              <w:rPr>
                <w:rFonts w:hint="eastAsia"/>
                <w:color w:val="auto"/>
                <w:sz w:val="21"/>
              </w:rPr>
              <w:t>管径＞100mm</w:t>
            </w:r>
          </w:p>
        </w:tc>
        <w:tc>
          <w:tcPr>
            <w:tcW w:w="919" w:type="pct"/>
            <w:tcBorders>
              <w:top w:val="single" w:color="auto" w:sz="4" w:space="0"/>
              <w:left w:val="single" w:color="auto" w:sz="4" w:space="0"/>
              <w:bottom w:val="single" w:color="auto" w:sz="4" w:space="0"/>
              <w:right w:val="single" w:color="auto" w:sz="4" w:space="0"/>
            </w:tcBorders>
            <w:vAlign w:val="center"/>
          </w:tcPr>
          <w:p w14:paraId="1B806319">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7666FDB">
            <w:pPr>
              <w:rPr>
                <w:color w:val="auto"/>
              </w:rPr>
            </w:pPr>
          </w:p>
        </w:tc>
      </w:tr>
    </w:tbl>
    <w:p w14:paraId="1CF7BFF8">
      <w:pPr>
        <w:rPr>
          <w:rFonts w:hint="eastAsia"/>
          <w:color w:val="auto"/>
        </w:rPr>
      </w:pPr>
      <w:r>
        <w:rPr>
          <w:rFonts w:hint="eastAsia"/>
          <w:color w:val="auto"/>
        </w:rPr>
        <w:t>（11）辅助设备及散热器安装：</w:t>
      </w:r>
    </w:p>
    <w:p w14:paraId="678C546C">
      <w:pPr>
        <w:rPr>
          <w:rFonts w:hint="eastAsia"/>
          <w:color w:val="auto"/>
        </w:rPr>
      </w:pPr>
      <w:r>
        <w:rPr>
          <w:rFonts w:hint="eastAsia"/>
          <w:color w:val="auto"/>
        </w:rPr>
        <w:t>1）主控项目：</w:t>
      </w:r>
    </w:p>
    <w:p w14:paraId="0D8FB071">
      <w:pPr>
        <w:rPr>
          <w:rFonts w:hint="eastAsia"/>
          <w:color w:val="auto"/>
        </w:rPr>
      </w:pPr>
      <w:r>
        <w:rPr>
          <w:rFonts w:hint="eastAsia"/>
          <w:color w:val="auto"/>
        </w:rPr>
        <w:t>散热器组对后，以及整组出厂的散热器在安装之前应作水压试验。试验压力如设计无要求时应为工作压力的1.5倍；但不小于0.6Mpa。</w:t>
      </w:r>
    </w:p>
    <w:p w14:paraId="5C70A688">
      <w:pPr>
        <w:rPr>
          <w:rFonts w:hint="eastAsia"/>
          <w:color w:val="auto"/>
        </w:rPr>
      </w:pPr>
      <w:r>
        <w:rPr>
          <w:rFonts w:hint="eastAsia"/>
          <w:color w:val="auto"/>
        </w:rPr>
        <w:t>检验方法：试验时间为2～3min，压力不降且不渗不漏。</w:t>
      </w:r>
    </w:p>
    <w:p w14:paraId="68B1942F">
      <w:pPr>
        <w:rPr>
          <w:rFonts w:hint="eastAsia"/>
          <w:color w:val="auto"/>
        </w:rPr>
      </w:pPr>
      <w:r>
        <w:rPr>
          <w:rFonts w:hint="eastAsia"/>
          <w:color w:val="auto"/>
        </w:rPr>
        <w:t>水泵、水箱、热交换器等辅助设备安装的质量检验与验收应按规范相关规定执行。</w:t>
      </w:r>
    </w:p>
    <w:p w14:paraId="7F8EB4AC">
      <w:pPr>
        <w:rPr>
          <w:rFonts w:hint="eastAsia"/>
          <w:color w:val="auto"/>
        </w:rPr>
      </w:pPr>
      <w:r>
        <w:rPr>
          <w:rFonts w:hint="eastAsia"/>
          <w:color w:val="auto"/>
        </w:rPr>
        <w:t>2）一般项目：</w:t>
      </w:r>
    </w:p>
    <w:p w14:paraId="20B63661">
      <w:pPr>
        <w:rPr>
          <w:rFonts w:hint="eastAsia"/>
          <w:color w:val="auto"/>
        </w:rPr>
      </w:pPr>
      <w:r>
        <w:rPr>
          <w:rFonts w:hint="eastAsia"/>
          <w:color w:val="auto"/>
        </w:rPr>
        <w:t>散热器组对应平直紧密，组对后的平直度应符合下表规定。</w:t>
      </w:r>
    </w:p>
    <w:p w14:paraId="0950DF83">
      <w:pPr>
        <w:pStyle w:val="54"/>
        <w:rPr>
          <w:rFonts w:hint="eastAsia"/>
          <w:color w:val="auto"/>
        </w:rPr>
      </w:pPr>
      <w:r>
        <w:rPr>
          <w:rFonts w:hint="eastAsia"/>
          <w:color w:val="auto"/>
        </w:rPr>
        <w:t>组对后的散热器平直度允许偏差</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9"/>
        <w:gridCol w:w="2519"/>
        <w:gridCol w:w="1676"/>
        <w:gridCol w:w="3626"/>
      </w:tblGrid>
      <w:tr w14:paraId="050DF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pct"/>
            <w:tcBorders>
              <w:top w:val="single" w:color="auto" w:sz="4" w:space="0"/>
              <w:left w:val="single" w:color="auto" w:sz="4" w:space="0"/>
              <w:bottom w:val="single" w:color="auto" w:sz="4" w:space="0"/>
              <w:right w:val="single" w:color="auto" w:sz="4" w:space="0"/>
            </w:tcBorders>
            <w:vAlign w:val="center"/>
          </w:tcPr>
          <w:p w14:paraId="7E9B67DF">
            <w:pPr>
              <w:spacing w:line="240" w:lineRule="auto"/>
              <w:ind w:firstLine="0" w:firstLineChars="0"/>
              <w:jc w:val="center"/>
              <w:rPr>
                <w:rFonts w:hint="eastAsia"/>
                <w:color w:val="auto"/>
                <w:sz w:val="21"/>
              </w:rPr>
            </w:pPr>
            <w:r>
              <w:rPr>
                <w:rFonts w:hint="eastAsia"/>
                <w:color w:val="auto"/>
                <w:sz w:val="21"/>
              </w:rPr>
              <w:t>项次</w:t>
            </w:r>
          </w:p>
        </w:tc>
        <w:tc>
          <w:tcPr>
            <w:tcW w:w="1390" w:type="pct"/>
            <w:tcBorders>
              <w:top w:val="single" w:color="auto" w:sz="4" w:space="0"/>
              <w:left w:val="single" w:color="auto" w:sz="4" w:space="0"/>
              <w:bottom w:val="single" w:color="auto" w:sz="4" w:space="0"/>
              <w:right w:val="single" w:color="auto" w:sz="4" w:space="0"/>
            </w:tcBorders>
            <w:vAlign w:val="center"/>
          </w:tcPr>
          <w:p w14:paraId="2AECDA90">
            <w:pPr>
              <w:spacing w:line="240" w:lineRule="auto"/>
              <w:ind w:firstLine="0" w:firstLineChars="0"/>
              <w:jc w:val="center"/>
              <w:rPr>
                <w:rFonts w:hint="eastAsia"/>
                <w:color w:val="auto"/>
                <w:sz w:val="21"/>
              </w:rPr>
            </w:pPr>
            <w:r>
              <w:rPr>
                <w:rFonts w:hint="eastAsia"/>
                <w:color w:val="auto"/>
                <w:sz w:val="21"/>
              </w:rPr>
              <w:t>散热器类型</w:t>
            </w:r>
          </w:p>
        </w:tc>
        <w:tc>
          <w:tcPr>
            <w:tcW w:w="925" w:type="pct"/>
            <w:tcBorders>
              <w:top w:val="single" w:color="auto" w:sz="4" w:space="0"/>
              <w:left w:val="single" w:color="auto" w:sz="4" w:space="0"/>
              <w:bottom w:val="single" w:color="auto" w:sz="4" w:space="0"/>
              <w:right w:val="single" w:color="auto" w:sz="4" w:space="0"/>
            </w:tcBorders>
            <w:vAlign w:val="center"/>
          </w:tcPr>
          <w:p w14:paraId="5B89863A">
            <w:pPr>
              <w:spacing w:line="240" w:lineRule="auto"/>
              <w:ind w:firstLine="0" w:firstLineChars="0"/>
              <w:jc w:val="center"/>
              <w:rPr>
                <w:rFonts w:hint="eastAsia"/>
                <w:color w:val="auto"/>
                <w:sz w:val="21"/>
              </w:rPr>
            </w:pPr>
            <w:r>
              <w:rPr>
                <w:rFonts w:hint="eastAsia"/>
                <w:color w:val="auto"/>
                <w:sz w:val="21"/>
              </w:rPr>
              <w:t>片数</w:t>
            </w:r>
          </w:p>
        </w:tc>
        <w:tc>
          <w:tcPr>
            <w:tcW w:w="2001" w:type="pct"/>
            <w:tcBorders>
              <w:top w:val="single" w:color="auto" w:sz="4" w:space="0"/>
              <w:left w:val="single" w:color="auto" w:sz="4" w:space="0"/>
              <w:bottom w:val="single" w:color="auto" w:sz="4" w:space="0"/>
              <w:right w:val="single" w:color="auto" w:sz="4" w:space="0"/>
            </w:tcBorders>
            <w:vAlign w:val="center"/>
          </w:tcPr>
          <w:p w14:paraId="45EF3696">
            <w:pPr>
              <w:spacing w:line="240" w:lineRule="auto"/>
              <w:ind w:firstLine="0" w:firstLineChars="0"/>
              <w:jc w:val="center"/>
              <w:rPr>
                <w:rFonts w:hint="eastAsia"/>
                <w:color w:val="auto"/>
                <w:sz w:val="21"/>
              </w:rPr>
            </w:pPr>
            <w:r>
              <w:rPr>
                <w:rFonts w:hint="eastAsia"/>
                <w:color w:val="auto"/>
                <w:sz w:val="21"/>
              </w:rPr>
              <w:t>允许偏差（mm）</w:t>
            </w:r>
          </w:p>
        </w:tc>
      </w:tr>
      <w:tr w14:paraId="33F6A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pct"/>
            <w:vMerge w:val="restart"/>
            <w:tcBorders>
              <w:top w:val="nil"/>
              <w:left w:val="single" w:color="auto" w:sz="4" w:space="0"/>
              <w:bottom w:val="single" w:color="auto" w:sz="4" w:space="0"/>
              <w:right w:val="single" w:color="auto" w:sz="4" w:space="0"/>
            </w:tcBorders>
            <w:vAlign w:val="center"/>
          </w:tcPr>
          <w:p w14:paraId="03FC6E35">
            <w:pPr>
              <w:spacing w:line="240" w:lineRule="auto"/>
              <w:ind w:firstLine="0" w:firstLineChars="0"/>
              <w:jc w:val="center"/>
              <w:rPr>
                <w:rFonts w:hint="eastAsia"/>
                <w:color w:val="auto"/>
                <w:sz w:val="21"/>
              </w:rPr>
            </w:pPr>
            <w:r>
              <w:rPr>
                <w:rFonts w:hint="eastAsia"/>
                <w:color w:val="auto"/>
                <w:sz w:val="21"/>
              </w:rPr>
              <w:t>1</w:t>
            </w:r>
          </w:p>
        </w:tc>
        <w:tc>
          <w:tcPr>
            <w:tcW w:w="1390" w:type="pct"/>
            <w:vMerge w:val="restart"/>
            <w:tcBorders>
              <w:top w:val="nil"/>
              <w:left w:val="single" w:color="auto" w:sz="4" w:space="0"/>
              <w:bottom w:val="single" w:color="auto" w:sz="4" w:space="0"/>
              <w:right w:val="single" w:color="auto" w:sz="4" w:space="0"/>
            </w:tcBorders>
            <w:vAlign w:val="center"/>
          </w:tcPr>
          <w:p w14:paraId="061CA9DE">
            <w:pPr>
              <w:spacing w:line="240" w:lineRule="auto"/>
              <w:ind w:firstLine="0" w:firstLineChars="0"/>
              <w:jc w:val="center"/>
              <w:rPr>
                <w:rFonts w:hint="eastAsia"/>
                <w:color w:val="auto"/>
                <w:sz w:val="21"/>
              </w:rPr>
            </w:pPr>
            <w:r>
              <w:rPr>
                <w:rFonts w:hint="eastAsia"/>
                <w:color w:val="auto"/>
                <w:sz w:val="21"/>
              </w:rPr>
              <w:t>长翼型</w:t>
            </w:r>
          </w:p>
        </w:tc>
        <w:tc>
          <w:tcPr>
            <w:tcW w:w="925" w:type="pct"/>
            <w:tcBorders>
              <w:top w:val="single" w:color="auto" w:sz="4" w:space="0"/>
              <w:left w:val="single" w:color="auto" w:sz="4" w:space="0"/>
              <w:bottom w:val="single" w:color="auto" w:sz="4" w:space="0"/>
              <w:right w:val="single" w:color="auto" w:sz="4" w:space="0"/>
            </w:tcBorders>
            <w:vAlign w:val="center"/>
          </w:tcPr>
          <w:p w14:paraId="14AD6F7C">
            <w:pPr>
              <w:spacing w:line="240" w:lineRule="auto"/>
              <w:ind w:firstLine="0" w:firstLineChars="0"/>
              <w:jc w:val="center"/>
              <w:rPr>
                <w:rFonts w:hint="eastAsia"/>
                <w:color w:val="auto"/>
                <w:sz w:val="21"/>
              </w:rPr>
            </w:pPr>
            <w:r>
              <w:rPr>
                <w:rFonts w:hint="eastAsia"/>
                <w:color w:val="auto"/>
                <w:sz w:val="21"/>
              </w:rPr>
              <w:t>2～4</w:t>
            </w:r>
          </w:p>
        </w:tc>
        <w:tc>
          <w:tcPr>
            <w:tcW w:w="2001" w:type="pct"/>
            <w:tcBorders>
              <w:top w:val="single" w:color="auto" w:sz="4" w:space="0"/>
              <w:left w:val="single" w:color="auto" w:sz="4" w:space="0"/>
              <w:bottom w:val="single" w:color="auto" w:sz="4" w:space="0"/>
              <w:right w:val="single" w:color="auto" w:sz="4" w:space="0"/>
            </w:tcBorders>
            <w:vAlign w:val="center"/>
          </w:tcPr>
          <w:p w14:paraId="5C9AA69C">
            <w:pPr>
              <w:spacing w:line="240" w:lineRule="auto"/>
              <w:ind w:firstLine="0" w:firstLineChars="0"/>
              <w:jc w:val="center"/>
              <w:rPr>
                <w:rFonts w:hint="eastAsia"/>
                <w:color w:val="auto"/>
                <w:sz w:val="21"/>
              </w:rPr>
            </w:pPr>
            <w:r>
              <w:rPr>
                <w:rFonts w:hint="eastAsia"/>
                <w:color w:val="auto"/>
                <w:sz w:val="21"/>
              </w:rPr>
              <w:t>4</w:t>
            </w:r>
          </w:p>
        </w:tc>
      </w:tr>
      <w:tr w14:paraId="11E6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17B9CEE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E43533A">
            <w:pPr>
              <w:spacing w:line="240" w:lineRule="auto"/>
              <w:ind w:firstLine="0" w:firstLineChars="0"/>
              <w:jc w:val="center"/>
              <w:rPr>
                <w:color w:val="auto"/>
                <w:sz w:val="21"/>
              </w:rPr>
            </w:pPr>
          </w:p>
        </w:tc>
        <w:tc>
          <w:tcPr>
            <w:tcW w:w="925" w:type="pct"/>
            <w:tcBorders>
              <w:top w:val="single" w:color="auto" w:sz="4" w:space="0"/>
              <w:left w:val="single" w:color="auto" w:sz="4" w:space="0"/>
              <w:bottom w:val="single" w:color="auto" w:sz="4" w:space="0"/>
              <w:right w:val="single" w:color="auto" w:sz="4" w:space="0"/>
            </w:tcBorders>
            <w:vAlign w:val="center"/>
          </w:tcPr>
          <w:p w14:paraId="07DCB3B6">
            <w:pPr>
              <w:spacing w:line="240" w:lineRule="auto"/>
              <w:ind w:firstLine="0" w:firstLineChars="0"/>
              <w:jc w:val="center"/>
              <w:rPr>
                <w:rFonts w:hint="eastAsia"/>
                <w:color w:val="auto"/>
                <w:sz w:val="21"/>
              </w:rPr>
            </w:pPr>
            <w:r>
              <w:rPr>
                <w:rFonts w:hint="eastAsia"/>
                <w:color w:val="auto"/>
                <w:sz w:val="21"/>
              </w:rPr>
              <w:t>5～7</w:t>
            </w:r>
          </w:p>
        </w:tc>
        <w:tc>
          <w:tcPr>
            <w:tcW w:w="2001" w:type="pct"/>
            <w:tcBorders>
              <w:top w:val="single" w:color="auto" w:sz="4" w:space="0"/>
              <w:left w:val="single" w:color="auto" w:sz="4" w:space="0"/>
              <w:bottom w:val="single" w:color="auto" w:sz="4" w:space="0"/>
              <w:right w:val="single" w:color="auto" w:sz="4" w:space="0"/>
            </w:tcBorders>
            <w:vAlign w:val="center"/>
          </w:tcPr>
          <w:p w14:paraId="38E70637">
            <w:pPr>
              <w:spacing w:line="240" w:lineRule="auto"/>
              <w:ind w:firstLine="0" w:firstLineChars="0"/>
              <w:jc w:val="center"/>
              <w:rPr>
                <w:rFonts w:hint="eastAsia"/>
                <w:color w:val="auto"/>
                <w:sz w:val="21"/>
              </w:rPr>
            </w:pPr>
            <w:r>
              <w:rPr>
                <w:rFonts w:hint="eastAsia"/>
                <w:color w:val="auto"/>
                <w:sz w:val="21"/>
              </w:rPr>
              <w:t>6</w:t>
            </w:r>
          </w:p>
        </w:tc>
      </w:tr>
      <w:tr w14:paraId="4C369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4" w:type="pct"/>
            <w:vMerge w:val="restart"/>
            <w:tcBorders>
              <w:top w:val="nil"/>
              <w:left w:val="single" w:color="auto" w:sz="4" w:space="0"/>
              <w:bottom w:val="single" w:color="auto" w:sz="4" w:space="0"/>
              <w:right w:val="single" w:color="auto" w:sz="4" w:space="0"/>
            </w:tcBorders>
            <w:vAlign w:val="center"/>
          </w:tcPr>
          <w:p w14:paraId="46AD4204">
            <w:pPr>
              <w:spacing w:line="240" w:lineRule="auto"/>
              <w:ind w:firstLine="0" w:firstLineChars="0"/>
              <w:jc w:val="center"/>
              <w:rPr>
                <w:rFonts w:hint="eastAsia"/>
                <w:color w:val="auto"/>
                <w:sz w:val="21"/>
              </w:rPr>
            </w:pPr>
            <w:r>
              <w:rPr>
                <w:rFonts w:hint="eastAsia"/>
                <w:color w:val="auto"/>
                <w:sz w:val="21"/>
              </w:rPr>
              <w:t>2</w:t>
            </w:r>
          </w:p>
        </w:tc>
        <w:tc>
          <w:tcPr>
            <w:tcW w:w="1390" w:type="pct"/>
            <w:vMerge w:val="restart"/>
            <w:tcBorders>
              <w:top w:val="nil"/>
              <w:left w:val="single" w:color="auto" w:sz="4" w:space="0"/>
              <w:bottom w:val="single" w:color="auto" w:sz="4" w:space="0"/>
              <w:right w:val="single" w:color="auto" w:sz="4" w:space="0"/>
            </w:tcBorders>
            <w:vAlign w:val="center"/>
          </w:tcPr>
          <w:p w14:paraId="7FCA7DC6">
            <w:pPr>
              <w:spacing w:line="240" w:lineRule="auto"/>
              <w:ind w:firstLine="0" w:firstLineChars="0"/>
              <w:jc w:val="center"/>
              <w:rPr>
                <w:rFonts w:hint="eastAsia"/>
                <w:color w:val="auto"/>
                <w:sz w:val="21"/>
              </w:rPr>
            </w:pPr>
            <w:r>
              <w:rPr>
                <w:rFonts w:hint="eastAsia"/>
                <w:color w:val="auto"/>
                <w:sz w:val="21"/>
              </w:rPr>
              <w:t>铸铁片式</w:t>
            </w:r>
          </w:p>
          <w:p w14:paraId="16480B78">
            <w:pPr>
              <w:spacing w:line="240" w:lineRule="auto"/>
              <w:ind w:firstLine="0" w:firstLineChars="0"/>
              <w:jc w:val="center"/>
              <w:rPr>
                <w:rFonts w:hint="eastAsia"/>
                <w:color w:val="auto"/>
                <w:sz w:val="21"/>
              </w:rPr>
            </w:pPr>
            <w:r>
              <w:rPr>
                <w:rFonts w:hint="eastAsia"/>
                <w:color w:val="auto"/>
                <w:sz w:val="21"/>
              </w:rPr>
              <w:t>钢制片式</w:t>
            </w:r>
          </w:p>
        </w:tc>
        <w:tc>
          <w:tcPr>
            <w:tcW w:w="925" w:type="pct"/>
            <w:tcBorders>
              <w:top w:val="single" w:color="auto" w:sz="4" w:space="0"/>
              <w:left w:val="single" w:color="auto" w:sz="4" w:space="0"/>
              <w:bottom w:val="single" w:color="auto" w:sz="4" w:space="0"/>
              <w:right w:val="single" w:color="auto" w:sz="4" w:space="0"/>
            </w:tcBorders>
            <w:vAlign w:val="center"/>
          </w:tcPr>
          <w:p w14:paraId="64ECBBDB">
            <w:pPr>
              <w:spacing w:line="240" w:lineRule="auto"/>
              <w:ind w:firstLine="0" w:firstLineChars="0"/>
              <w:jc w:val="center"/>
              <w:rPr>
                <w:rFonts w:hint="eastAsia"/>
                <w:color w:val="auto"/>
                <w:sz w:val="21"/>
              </w:rPr>
            </w:pPr>
            <w:r>
              <w:rPr>
                <w:rFonts w:hint="eastAsia"/>
                <w:color w:val="auto"/>
                <w:sz w:val="21"/>
              </w:rPr>
              <w:t>3～15</w:t>
            </w:r>
          </w:p>
        </w:tc>
        <w:tc>
          <w:tcPr>
            <w:tcW w:w="2001" w:type="pct"/>
            <w:tcBorders>
              <w:top w:val="single" w:color="auto" w:sz="4" w:space="0"/>
              <w:left w:val="single" w:color="auto" w:sz="4" w:space="0"/>
              <w:bottom w:val="single" w:color="auto" w:sz="4" w:space="0"/>
              <w:right w:val="single" w:color="auto" w:sz="4" w:space="0"/>
            </w:tcBorders>
            <w:vAlign w:val="center"/>
          </w:tcPr>
          <w:p w14:paraId="68EFA26A">
            <w:pPr>
              <w:spacing w:line="240" w:lineRule="auto"/>
              <w:ind w:firstLine="0" w:firstLineChars="0"/>
              <w:jc w:val="center"/>
              <w:rPr>
                <w:rFonts w:hint="eastAsia"/>
                <w:color w:val="auto"/>
                <w:sz w:val="21"/>
              </w:rPr>
            </w:pPr>
            <w:r>
              <w:rPr>
                <w:rFonts w:hint="eastAsia"/>
                <w:color w:val="auto"/>
                <w:sz w:val="21"/>
              </w:rPr>
              <w:t>4</w:t>
            </w:r>
          </w:p>
        </w:tc>
      </w:tr>
      <w:tr w14:paraId="095C0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67A574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E727549">
            <w:pPr>
              <w:spacing w:line="240" w:lineRule="auto"/>
              <w:ind w:firstLine="0" w:firstLineChars="0"/>
              <w:jc w:val="center"/>
              <w:rPr>
                <w:color w:val="auto"/>
                <w:sz w:val="21"/>
              </w:rPr>
            </w:pPr>
          </w:p>
        </w:tc>
        <w:tc>
          <w:tcPr>
            <w:tcW w:w="925" w:type="pct"/>
            <w:tcBorders>
              <w:top w:val="single" w:color="auto" w:sz="4" w:space="0"/>
              <w:left w:val="single" w:color="auto" w:sz="4" w:space="0"/>
              <w:bottom w:val="single" w:color="auto" w:sz="4" w:space="0"/>
              <w:right w:val="single" w:color="auto" w:sz="4" w:space="0"/>
            </w:tcBorders>
            <w:vAlign w:val="center"/>
          </w:tcPr>
          <w:p w14:paraId="080A6A75">
            <w:pPr>
              <w:spacing w:line="240" w:lineRule="auto"/>
              <w:ind w:firstLine="0" w:firstLineChars="0"/>
              <w:jc w:val="center"/>
              <w:rPr>
                <w:rFonts w:hint="eastAsia"/>
                <w:color w:val="auto"/>
                <w:sz w:val="21"/>
              </w:rPr>
            </w:pPr>
            <w:r>
              <w:rPr>
                <w:rFonts w:hint="eastAsia"/>
                <w:color w:val="auto"/>
                <w:sz w:val="21"/>
              </w:rPr>
              <w:t>16～25</w:t>
            </w:r>
          </w:p>
        </w:tc>
        <w:tc>
          <w:tcPr>
            <w:tcW w:w="2001" w:type="pct"/>
            <w:tcBorders>
              <w:top w:val="single" w:color="auto" w:sz="4" w:space="0"/>
              <w:left w:val="single" w:color="auto" w:sz="4" w:space="0"/>
              <w:bottom w:val="single" w:color="auto" w:sz="4" w:space="0"/>
              <w:right w:val="single" w:color="auto" w:sz="4" w:space="0"/>
            </w:tcBorders>
            <w:vAlign w:val="center"/>
          </w:tcPr>
          <w:p w14:paraId="12A2C494">
            <w:pPr>
              <w:spacing w:line="240" w:lineRule="auto"/>
              <w:ind w:firstLine="0" w:firstLineChars="0"/>
              <w:jc w:val="center"/>
              <w:rPr>
                <w:rFonts w:hint="eastAsia"/>
                <w:color w:val="auto"/>
                <w:sz w:val="21"/>
              </w:rPr>
            </w:pPr>
            <w:r>
              <w:rPr>
                <w:rFonts w:hint="eastAsia"/>
                <w:color w:val="auto"/>
                <w:sz w:val="21"/>
              </w:rPr>
              <w:t>6</w:t>
            </w:r>
          </w:p>
        </w:tc>
      </w:tr>
    </w:tbl>
    <w:p w14:paraId="2B576C54">
      <w:pPr>
        <w:rPr>
          <w:rFonts w:hint="eastAsia"/>
          <w:color w:val="auto"/>
        </w:rPr>
      </w:pPr>
      <w:r>
        <w:rPr>
          <w:rFonts w:hint="eastAsia"/>
          <w:color w:val="auto"/>
        </w:rPr>
        <w:t>检验方法：拉线和尺量。</w:t>
      </w:r>
    </w:p>
    <w:p w14:paraId="53E39B58">
      <w:pPr>
        <w:rPr>
          <w:rFonts w:hint="eastAsia"/>
          <w:color w:val="auto"/>
        </w:rPr>
      </w:pPr>
      <w:r>
        <w:rPr>
          <w:rFonts w:hint="eastAsia"/>
          <w:color w:val="auto"/>
        </w:rPr>
        <w:t>组对散热器的垫片应符合下列规定：</w:t>
      </w:r>
    </w:p>
    <w:p w14:paraId="5DCB6E16">
      <w:pPr>
        <w:rPr>
          <w:rFonts w:hint="eastAsia"/>
          <w:color w:val="auto"/>
        </w:rPr>
      </w:pPr>
      <w:r>
        <w:rPr>
          <w:rFonts w:hint="eastAsia"/>
          <w:color w:val="auto"/>
        </w:rPr>
        <w:t>组对散热器垫片应使用成品，组对后垫片外露不应大于lmm。</w:t>
      </w:r>
    </w:p>
    <w:p w14:paraId="604B2A24">
      <w:pPr>
        <w:rPr>
          <w:rFonts w:hint="eastAsia"/>
          <w:color w:val="auto"/>
        </w:rPr>
      </w:pPr>
      <w:r>
        <w:rPr>
          <w:rFonts w:hint="eastAsia"/>
          <w:color w:val="auto"/>
        </w:rPr>
        <w:t>散热器垫片材质当设计无要求时，应采用耐热橡胶。</w:t>
      </w:r>
    </w:p>
    <w:p w14:paraId="3E9C935A">
      <w:pPr>
        <w:rPr>
          <w:rFonts w:hint="eastAsia"/>
          <w:color w:val="auto"/>
        </w:rPr>
      </w:pPr>
      <w:r>
        <w:rPr>
          <w:rFonts w:hint="eastAsia"/>
          <w:color w:val="auto"/>
        </w:rPr>
        <w:t>检验方法：观察和尺量检查。</w:t>
      </w:r>
    </w:p>
    <w:p w14:paraId="17CDA93B">
      <w:pPr>
        <w:rPr>
          <w:rFonts w:hint="eastAsia"/>
          <w:color w:val="auto"/>
        </w:rPr>
      </w:pPr>
      <w:r>
        <w:rPr>
          <w:rFonts w:hint="eastAsia"/>
          <w:color w:val="auto"/>
        </w:rPr>
        <w:t>散热器支架、托架安装，位置应准确，埋设牢固。散热器支架、托架数量，应符合设计或产品说明书要求。如设计未注明时，应符合下表规定。</w:t>
      </w:r>
    </w:p>
    <w:p w14:paraId="47E2057D">
      <w:pPr>
        <w:pStyle w:val="54"/>
        <w:rPr>
          <w:rFonts w:hint="eastAsia"/>
          <w:color w:val="auto"/>
        </w:rPr>
      </w:pPr>
      <w:r>
        <w:rPr>
          <w:rFonts w:hint="eastAsia"/>
          <w:color w:val="auto"/>
        </w:rPr>
        <w:t>散热器、托架数量</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
        <w:gridCol w:w="1692"/>
        <w:gridCol w:w="1294"/>
        <w:gridCol w:w="1294"/>
        <w:gridCol w:w="1294"/>
        <w:gridCol w:w="1296"/>
        <w:gridCol w:w="1296"/>
      </w:tblGrid>
      <w:tr w14:paraId="299F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tcBorders>
              <w:top w:val="single" w:color="auto" w:sz="4" w:space="0"/>
              <w:left w:val="single" w:color="auto" w:sz="4" w:space="0"/>
              <w:bottom w:val="single" w:color="auto" w:sz="4" w:space="0"/>
              <w:right w:val="single" w:color="auto" w:sz="4" w:space="0"/>
            </w:tcBorders>
            <w:vAlign w:val="center"/>
          </w:tcPr>
          <w:p w14:paraId="44F96A12">
            <w:pPr>
              <w:spacing w:line="240" w:lineRule="auto"/>
              <w:ind w:firstLine="0" w:firstLineChars="0"/>
              <w:jc w:val="center"/>
              <w:rPr>
                <w:rFonts w:hint="eastAsia"/>
                <w:color w:val="auto"/>
                <w:sz w:val="21"/>
              </w:rPr>
            </w:pPr>
            <w:r>
              <w:rPr>
                <w:rFonts w:hint="eastAsia"/>
                <w:color w:val="auto"/>
                <w:sz w:val="21"/>
              </w:rPr>
              <w:t>项次</w:t>
            </w:r>
          </w:p>
        </w:tc>
        <w:tc>
          <w:tcPr>
            <w:tcW w:w="934" w:type="pct"/>
            <w:tcBorders>
              <w:top w:val="single" w:color="auto" w:sz="4" w:space="0"/>
              <w:left w:val="single" w:color="auto" w:sz="4" w:space="0"/>
              <w:bottom w:val="single" w:color="auto" w:sz="4" w:space="0"/>
              <w:right w:val="single" w:color="auto" w:sz="4" w:space="0"/>
            </w:tcBorders>
            <w:vAlign w:val="center"/>
          </w:tcPr>
          <w:p w14:paraId="2F671054">
            <w:pPr>
              <w:spacing w:line="240" w:lineRule="auto"/>
              <w:ind w:firstLine="0" w:firstLineChars="0"/>
              <w:jc w:val="center"/>
              <w:rPr>
                <w:rFonts w:hint="eastAsia"/>
                <w:color w:val="auto"/>
                <w:sz w:val="21"/>
              </w:rPr>
            </w:pPr>
            <w:r>
              <w:rPr>
                <w:rFonts w:hint="eastAsia"/>
                <w:color w:val="auto"/>
                <w:sz w:val="21"/>
              </w:rPr>
              <w:t>散热器型式</w:t>
            </w:r>
          </w:p>
        </w:tc>
        <w:tc>
          <w:tcPr>
            <w:tcW w:w="714" w:type="pct"/>
            <w:tcBorders>
              <w:top w:val="single" w:color="auto" w:sz="4" w:space="0"/>
              <w:left w:val="single" w:color="auto" w:sz="4" w:space="0"/>
              <w:bottom w:val="single" w:color="auto" w:sz="4" w:space="0"/>
              <w:right w:val="single" w:color="auto" w:sz="4" w:space="0"/>
            </w:tcBorders>
            <w:vAlign w:val="center"/>
          </w:tcPr>
          <w:p w14:paraId="1FEA2D8D">
            <w:pPr>
              <w:spacing w:line="240" w:lineRule="auto"/>
              <w:ind w:firstLine="0" w:firstLineChars="0"/>
              <w:jc w:val="center"/>
              <w:rPr>
                <w:rFonts w:hint="eastAsia"/>
                <w:color w:val="auto"/>
                <w:sz w:val="21"/>
              </w:rPr>
            </w:pPr>
            <w:r>
              <w:rPr>
                <w:rFonts w:hint="eastAsia"/>
                <w:color w:val="auto"/>
                <w:sz w:val="21"/>
              </w:rPr>
              <w:t>安装方式</w:t>
            </w:r>
          </w:p>
        </w:tc>
        <w:tc>
          <w:tcPr>
            <w:tcW w:w="714" w:type="pct"/>
            <w:tcBorders>
              <w:top w:val="single" w:color="auto" w:sz="4" w:space="0"/>
              <w:left w:val="single" w:color="auto" w:sz="4" w:space="0"/>
              <w:bottom w:val="single" w:color="auto" w:sz="4" w:space="0"/>
              <w:right w:val="single" w:color="auto" w:sz="4" w:space="0"/>
            </w:tcBorders>
            <w:vAlign w:val="center"/>
          </w:tcPr>
          <w:p w14:paraId="75E23530">
            <w:pPr>
              <w:spacing w:line="240" w:lineRule="auto"/>
              <w:ind w:firstLine="0" w:firstLineChars="0"/>
              <w:jc w:val="center"/>
              <w:rPr>
                <w:rFonts w:hint="eastAsia"/>
                <w:color w:val="auto"/>
                <w:sz w:val="21"/>
              </w:rPr>
            </w:pPr>
            <w:r>
              <w:rPr>
                <w:rFonts w:hint="eastAsia"/>
                <w:color w:val="auto"/>
                <w:sz w:val="21"/>
              </w:rPr>
              <w:t>每组片数</w:t>
            </w:r>
          </w:p>
        </w:tc>
        <w:tc>
          <w:tcPr>
            <w:tcW w:w="714" w:type="pct"/>
            <w:tcBorders>
              <w:top w:val="single" w:color="auto" w:sz="4" w:space="0"/>
              <w:left w:val="single" w:color="auto" w:sz="4" w:space="0"/>
              <w:bottom w:val="single" w:color="auto" w:sz="4" w:space="0"/>
              <w:right w:val="single" w:color="auto" w:sz="4" w:space="0"/>
            </w:tcBorders>
            <w:vAlign w:val="center"/>
          </w:tcPr>
          <w:p w14:paraId="021F70C5">
            <w:pPr>
              <w:spacing w:line="240" w:lineRule="auto"/>
              <w:ind w:firstLine="0" w:firstLineChars="0"/>
              <w:jc w:val="center"/>
              <w:rPr>
                <w:rFonts w:hint="eastAsia"/>
                <w:color w:val="auto"/>
                <w:sz w:val="21"/>
              </w:rPr>
            </w:pPr>
            <w:r>
              <w:rPr>
                <w:rFonts w:hint="eastAsia"/>
                <w:color w:val="auto"/>
                <w:sz w:val="21"/>
              </w:rPr>
              <w:t>上部托钩或卡架数</w:t>
            </w:r>
          </w:p>
        </w:tc>
        <w:tc>
          <w:tcPr>
            <w:tcW w:w="715" w:type="pct"/>
            <w:tcBorders>
              <w:top w:val="single" w:color="auto" w:sz="4" w:space="0"/>
              <w:left w:val="single" w:color="auto" w:sz="4" w:space="0"/>
              <w:bottom w:val="single" w:color="auto" w:sz="4" w:space="0"/>
              <w:right w:val="single" w:color="auto" w:sz="4" w:space="0"/>
            </w:tcBorders>
            <w:vAlign w:val="center"/>
          </w:tcPr>
          <w:p w14:paraId="0B35F2A3">
            <w:pPr>
              <w:spacing w:line="240" w:lineRule="auto"/>
              <w:ind w:firstLine="0" w:firstLineChars="0"/>
              <w:jc w:val="center"/>
              <w:rPr>
                <w:rFonts w:hint="eastAsia"/>
                <w:color w:val="auto"/>
                <w:sz w:val="21"/>
              </w:rPr>
            </w:pPr>
            <w:r>
              <w:rPr>
                <w:rFonts w:hint="eastAsia"/>
                <w:color w:val="auto"/>
                <w:sz w:val="21"/>
              </w:rPr>
              <w:t>下部托钩或卡架数</w:t>
            </w:r>
          </w:p>
        </w:tc>
        <w:tc>
          <w:tcPr>
            <w:tcW w:w="715" w:type="pct"/>
            <w:tcBorders>
              <w:top w:val="single" w:color="auto" w:sz="4" w:space="0"/>
              <w:left w:val="single" w:color="auto" w:sz="4" w:space="0"/>
              <w:bottom w:val="single" w:color="auto" w:sz="4" w:space="0"/>
              <w:right w:val="single" w:color="auto" w:sz="4" w:space="0"/>
            </w:tcBorders>
            <w:vAlign w:val="center"/>
          </w:tcPr>
          <w:p w14:paraId="2FAA0C1E">
            <w:pPr>
              <w:spacing w:line="240" w:lineRule="auto"/>
              <w:ind w:firstLine="0" w:firstLineChars="0"/>
              <w:jc w:val="center"/>
              <w:rPr>
                <w:rFonts w:hint="eastAsia"/>
                <w:color w:val="auto"/>
                <w:sz w:val="21"/>
              </w:rPr>
            </w:pPr>
            <w:r>
              <w:rPr>
                <w:rFonts w:hint="eastAsia"/>
                <w:color w:val="auto"/>
                <w:sz w:val="21"/>
              </w:rPr>
              <w:t>合计</w:t>
            </w:r>
          </w:p>
        </w:tc>
      </w:tr>
      <w:tr w14:paraId="7819C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Merge w:val="restart"/>
            <w:tcBorders>
              <w:top w:val="nil"/>
              <w:left w:val="single" w:color="auto" w:sz="4" w:space="0"/>
              <w:bottom w:val="single" w:color="auto" w:sz="4" w:space="0"/>
              <w:right w:val="single" w:color="auto" w:sz="4" w:space="0"/>
            </w:tcBorders>
            <w:vAlign w:val="center"/>
          </w:tcPr>
          <w:p w14:paraId="6DF69717">
            <w:pPr>
              <w:spacing w:line="240" w:lineRule="auto"/>
              <w:ind w:firstLine="0" w:firstLineChars="0"/>
              <w:jc w:val="center"/>
              <w:rPr>
                <w:rFonts w:hint="eastAsia"/>
                <w:color w:val="auto"/>
                <w:sz w:val="21"/>
              </w:rPr>
            </w:pPr>
            <w:r>
              <w:rPr>
                <w:rFonts w:hint="eastAsia"/>
                <w:color w:val="auto"/>
                <w:sz w:val="21"/>
              </w:rPr>
              <w:t>1</w:t>
            </w:r>
          </w:p>
        </w:tc>
        <w:tc>
          <w:tcPr>
            <w:tcW w:w="934" w:type="pct"/>
            <w:vMerge w:val="restart"/>
            <w:tcBorders>
              <w:top w:val="nil"/>
              <w:left w:val="single" w:color="auto" w:sz="4" w:space="0"/>
              <w:bottom w:val="single" w:color="auto" w:sz="4" w:space="0"/>
              <w:right w:val="single" w:color="auto" w:sz="4" w:space="0"/>
            </w:tcBorders>
            <w:vAlign w:val="center"/>
          </w:tcPr>
          <w:p w14:paraId="280F3818">
            <w:pPr>
              <w:spacing w:line="240" w:lineRule="auto"/>
              <w:ind w:firstLine="0" w:firstLineChars="0"/>
              <w:jc w:val="center"/>
              <w:rPr>
                <w:rFonts w:hint="eastAsia"/>
                <w:color w:val="auto"/>
                <w:sz w:val="21"/>
              </w:rPr>
            </w:pPr>
            <w:r>
              <w:rPr>
                <w:rFonts w:hint="eastAsia"/>
                <w:color w:val="auto"/>
                <w:sz w:val="21"/>
              </w:rPr>
              <w:t>长翼型</w:t>
            </w:r>
          </w:p>
        </w:tc>
        <w:tc>
          <w:tcPr>
            <w:tcW w:w="714" w:type="pct"/>
            <w:vMerge w:val="restart"/>
            <w:tcBorders>
              <w:top w:val="nil"/>
              <w:left w:val="single" w:color="auto" w:sz="4" w:space="0"/>
              <w:bottom w:val="single" w:color="auto" w:sz="4" w:space="0"/>
              <w:right w:val="single" w:color="auto" w:sz="4" w:space="0"/>
            </w:tcBorders>
            <w:vAlign w:val="center"/>
          </w:tcPr>
          <w:p w14:paraId="6AE7ADC8">
            <w:pPr>
              <w:spacing w:line="240" w:lineRule="auto"/>
              <w:ind w:firstLine="0" w:firstLineChars="0"/>
              <w:jc w:val="center"/>
              <w:rPr>
                <w:rFonts w:hint="eastAsia"/>
                <w:color w:val="auto"/>
                <w:sz w:val="21"/>
              </w:rPr>
            </w:pPr>
            <w:r>
              <w:rPr>
                <w:rFonts w:hint="eastAsia"/>
                <w:color w:val="auto"/>
                <w:sz w:val="21"/>
              </w:rPr>
              <w:t>挂墙</w:t>
            </w:r>
          </w:p>
        </w:tc>
        <w:tc>
          <w:tcPr>
            <w:tcW w:w="714" w:type="pct"/>
            <w:tcBorders>
              <w:top w:val="single" w:color="auto" w:sz="4" w:space="0"/>
              <w:left w:val="single" w:color="auto" w:sz="4" w:space="0"/>
              <w:bottom w:val="single" w:color="auto" w:sz="4" w:space="0"/>
              <w:right w:val="single" w:color="auto" w:sz="4" w:space="0"/>
            </w:tcBorders>
            <w:vAlign w:val="center"/>
          </w:tcPr>
          <w:p w14:paraId="5502D348">
            <w:pPr>
              <w:spacing w:line="240" w:lineRule="auto"/>
              <w:ind w:firstLine="0" w:firstLineChars="0"/>
              <w:jc w:val="center"/>
              <w:rPr>
                <w:rFonts w:hint="eastAsia"/>
                <w:color w:val="auto"/>
                <w:sz w:val="21"/>
              </w:rPr>
            </w:pPr>
            <w:r>
              <w:rPr>
                <w:rFonts w:hint="eastAsia"/>
                <w:color w:val="auto"/>
                <w:sz w:val="21"/>
              </w:rPr>
              <w:t>2～4</w:t>
            </w:r>
          </w:p>
        </w:tc>
        <w:tc>
          <w:tcPr>
            <w:tcW w:w="714" w:type="pct"/>
            <w:tcBorders>
              <w:top w:val="single" w:color="auto" w:sz="4" w:space="0"/>
              <w:left w:val="single" w:color="auto" w:sz="4" w:space="0"/>
              <w:bottom w:val="single" w:color="auto" w:sz="4" w:space="0"/>
              <w:right w:val="single" w:color="auto" w:sz="4" w:space="0"/>
            </w:tcBorders>
            <w:vAlign w:val="center"/>
          </w:tcPr>
          <w:p w14:paraId="68705449">
            <w:pPr>
              <w:spacing w:line="240" w:lineRule="auto"/>
              <w:ind w:firstLine="0" w:firstLineChars="0"/>
              <w:jc w:val="center"/>
              <w:rPr>
                <w:rFonts w:hint="eastAsia"/>
                <w:color w:val="auto"/>
                <w:sz w:val="21"/>
              </w:rPr>
            </w:pPr>
            <w:r>
              <w:rPr>
                <w:rFonts w:hint="eastAsia"/>
                <w:color w:val="auto"/>
                <w:sz w:val="21"/>
              </w:rPr>
              <w:t>1</w:t>
            </w:r>
          </w:p>
        </w:tc>
        <w:tc>
          <w:tcPr>
            <w:tcW w:w="715" w:type="pct"/>
            <w:tcBorders>
              <w:top w:val="single" w:color="auto" w:sz="4" w:space="0"/>
              <w:left w:val="single" w:color="auto" w:sz="4" w:space="0"/>
              <w:bottom w:val="single" w:color="auto" w:sz="4" w:space="0"/>
              <w:right w:val="single" w:color="auto" w:sz="4" w:space="0"/>
            </w:tcBorders>
            <w:vAlign w:val="center"/>
          </w:tcPr>
          <w:p w14:paraId="385E5A46">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16B9FC89">
            <w:pPr>
              <w:spacing w:line="240" w:lineRule="auto"/>
              <w:ind w:firstLine="0" w:firstLineChars="0"/>
              <w:jc w:val="center"/>
              <w:rPr>
                <w:rFonts w:hint="eastAsia"/>
                <w:color w:val="auto"/>
                <w:sz w:val="21"/>
              </w:rPr>
            </w:pPr>
            <w:r>
              <w:rPr>
                <w:rFonts w:hint="eastAsia"/>
                <w:color w:val="auto"/>
                <w:sz w:val="21"/>
              </w:rPr>
              <w:t>3</w:t>
            </w:r>
          </w:p>
        </w:tc>
      </w:tr>
      <w:tr w14:paraId="1E4BC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0F7673A4">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E3F0F8D">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4447E2B">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32A931AE">
            <w:pPr>
              <w:spacing w:line="240" w:lineRule="auto"/>
              <w:ind w:firstLine="0" w:firstLineChars="0"/>
              <w:jc w:val="center"/>
              <w:rPr>
                <w:rFonts w:hint="eastAsia"/>
                <w:color w:val="auto"/>
                <w:sz w:val="21"/>
              </w:rPr>
            </w:pPr>
            <w:r>
              <w:rPr>
                <w:rFonts w:hint="eastAsia"/>
                <w:color w:val="auto"/>
                <w:sz w:val="21"/>
              </w:rPr>
              <w:t>5</w:t>
            </w:r>
          </w:p>
        </w:tc>
        <w:tc>
          <w:tcPr>
            <w:tcW w:w="714" w:type="pct"/>
            <w:tcBorders>
              <w:top w:val="single" w:color="auto" w:sz="4" w:space="0"/>
              <w:left w:val="single" w:color="auto" w:sz="4" w:space="0"/>
              <w:bottom w:val="single" w:color="auto" w:sz="4" w:space="0"/>
              <w:right w:val="single" w:color="auto" w:sz="4" w:space="0"/>
            </w:tcBorders>
            <w:vAlign w:val="center"/>
          </w:tcPr>
          <w:p w14:paraId="1FE3B5EE">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7DC73D81">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5F8F7A18">
            <w:pPr>
              <w:spacing w:line="240" w:lineRule="auto"/>
              <w:ind w:firstLine="0" w:firstLineChars="0"/>
              <w:jc w:val="center"/>
              <w:rPr>
                <w:rFonts w:hint="eastAsia"/>
                <w:color w:val="auto"/>
                <w:sz w:val="21"/>
              </w:rPr>
            </w:pPr>
            <w:r>
              <w:rPr>
                <w:rFonts w:hint="eastAsia"/>
                <w:color w:val="auto"/>
                <w:sz w:val="21"/>
              </w:rPr>
              <w:t>4</w:t>
            </w:r>
          </w:p>
        </w:tc>
      </w:tr>
      <w:tr w14:paraId="0EBC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CB1E8C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03B32F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A1F1B6C">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466BFB71">
            <w:pPr>
              <w:spacing w:line="240" w:lineRule="auto"/>
              <w:ind w:firstLine="0" w:firstLineChars="0"/>
              <w:jc w:val="center"/>
              <w:rPr>
                <w:rFonts w:hint="eastAsia"/>
                <w:color w:val="auto"/>
                <w:sz w:val="21"/>
              </w:rPr>
            </w:pPr>
            <w:r>
              <w:rPr>
                <w:rFonts w:hint="eastAsia"/>
                <w:color w:val="auto"/>
                <w:sz w:val="21"/>
              </w:rPr>
              <w:t>6</w:t>
            </w:r>
          </w:p>
        </w:tc>
        <w:tc>
          <w:tcPr>
            <w:tcW w:w="714" w:type="pct"/>
            <w:tcBorders>
              <w:top w:val="single" w:color="auto" w:sz="4" w:space="0"/>
              <w:left w:val="single" w:color="auto" w:sz="4" w:space="0"/>
              <w:bottom w:val="single" w:color="auto" w:sz="4" w:space="0"/>
              <w:right w:val="single" w:color="auto" w:sz="4" w:space="0"/>
            </w:tcBorders>
            <w:vAlign w:val="center"/>
          </w:tcPr>
          <w:p w14:paraId="3799E589">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26077730">
            <w:pPr>
              <w:spacing w:line="240" w:lineRule="auto"/>
              <w:ind w:firstLine="0" w:firstLineChars="0"/>
              <w:jc w:val="center"/>
              <w:rPr>
                <w:rFonts w:hint="eastAsia"/>
                <w:color w:val="auto"/>
                <w:sz w:val="21"/>
              </w:rPr>
            </w:pPr>
            <w:r>
              <w:rPr>
                <w:rFonts w:hint="eastAsia"/>
                <w:color w:val="auto"/>
                <w:sz w:val="21"/>
              </w:rPr>
              <w:t>3</w:t>
            </w:r>
          </w:p>
        </w:tc>
        <w:tc>
          <w:tcPr>
            <w:tcW w:w="715" w:type="pct"/>
            <w:tcBorders>
              <w:top w:val="single" w:color="auto" w:sz="4" w:space="0"/>
              <w:left w:val="single" w:color="auto" w:sz="4" w:space="0"/>
              <w:bottom w:val="single" w:color="auto" w:sz="4" w:space="0"/>
              <w:right w:val="single" w:color="auto" w:sz="4" w:space="0"/>
            </w:tcBorders>
            <w:vAlign w:val="center"/>
          </w:tcPr>
          <w:p w14:paraId="07742BAE">
            <w:pPr>
              <w:spacing w:line="240" w:lineRule="auto"/>
              <w:ind w:firstLine="0" w:firstLineChars="0"/>
              <w:jc w:val="center"/>
              <w:rPr>
                <w:rFonts w:hint="eastAsia"/>
                <w:color w:val="auto"/>
                <w:sz w:val="21"/>
              </w:rPr>
            </w:pPr>
            <w:r>
              <w:rPr>
                <w:rFonts w:hint="eastAsia"/>
                <w:color w:val="auto"/>
                <w:sz w:val="21"/>
              </w:rPr>
              <w:t>5</w:t>
            </w:r>
          </w:p>
        </w:tc>
      </w:tr>
      <w:tr w14:paraId="4BC68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E564E6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00BDB0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1DD97BE">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0D1340D3">
            <w:pPr>
              <w:spacing w:line="240" w:lineRule="auto"/>
              <w:ind w:firstLine="0" w:firstLineChars="0"/>
              <w:jc w:val="center"/>
              <w:rPr>
                <w:rFonts w:hint="eastAsia"/>
                <w:color w:val="auto"/>
                <w:sz w:val="21"/>
              </w:rPr>
            </w:pPr>
            <w:r>
              <w:rPr>
                <w:rFonts w:hint="eastAsia"/>
                <w:color w:val="auto"/>
                <w:sz w:val="21"/>
              </w:rPr>
              <w:t>7</w:t>
            </w:r>
          </w:p>
        </w:tc>
        <w:tc>
          <w:tcPr>
            <w:tcW w:w="714" w:type="pct"/>
            <w:tcBorders>
              <w:top w:val="single" w:color="auto" w:sz="4" w:space="0"/>
              <w:left w:val="single" w:color="auto" w:sz="4" w:space="0"/>
              <w:bottom w:val="single" w:color="auto" w:sz="4" w:space="0"/>
              <w:right w:val="single" w:color="auto" w:sz="4" w:space="0"/>
            </w:tcBorders>
            <w:vAlign w:val="center"/>
          </w:tcPr>
          <w:p w14:paraId="36AA95E0">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49448732">
            <w:pPr>
              <w:spacing w:line="240" w:lineRule="auto"/>
              <w:ind w:firstLine="0" w:firstLineChars="0"/>
              <w:jc w:val="center"/>
              <w:rPr>
                <w:rFonts w:hint="eastAsia"/>
                <w:color w:val="auto"/>
                <w:sz w:val="21"/>
              </w:rPr>
            </w:pPr>
            <w:r>
              <w:rPr>
                <w:rFonts w:hint="eastAsia"/>
                <w:color w:val="auto"/>
                <w:sz w:val="21"/>
              </w:rPr>
              <w:t>4</w:t>
            </w:r>
          </w:p>
        </w:tc>
        <w:tc>
          <w:tcPr>
            <w:tcW w:w="715" w:type="pct"/>
            <w:tcBorders>
              <w:top w:val="single" w:color="auto" w:sz="4" w:space="0"/>
              <w:left w:val="single" w:color="auto" w:sz="4" w:space="0"/>
              <w:bottom w:val="single" w:color="auto" w:sz="4" w:space="0"/>
              <w:right w:val="single" w:color="auto" w:sz="4" w:space="0"/>
            </w:tcBorders>
            <w:vAlign w:val="center"/>
          </w:tcPr>
          <w:p w14:paraId="65035451">
            <w:pPr>
              <w:spacing w:line="240" w:lineRule="auto"/>
              <w:ind w:firstLine="0" w:firstLineChars="0"/>
              <w:jc w:val="center"/>
              <w:rPr>
                <w:rFonts w:hint="eastAsia"/>
                <w:color w:val="auto"/>
                <w:sz w:val="21"/>
              </w:rPr>
            </w:pPr>
            <w:r>
              <w:rPr>
                <w:rFonts w:hint="eastAsia"/>
                <w:color w:val="auto"/>
                <w:sz w:val="21"/>
              </w:rPr>
              <w:t>6</w:t>
            </w:r>
          </w:p>
        </w:tc>
      </w:tr>
      <w:tr w14:paraId="38572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Merge w:val="restart"/>
            <w:tcBorders>
              <w:top w:val="nil"/>
              <w:left w:val="single" w:color="auto" w:sz="4" w:space="0"/>
              <w:bottom w:val="single" w:color="auto" w:sz="4" w:space="0"/>
              <w:right w:val="single" w:color="auto" w:sz="4" w:space="0"/>
            </w:tcBorders>
            <w:vAlign w:val="center"/>
          </w:tcPr>
          <w:p w14:paraId="1A6AF317">
            <w:pPr>
              <w:spacing w:line="240" w:lineRule="auto"/>
              <w:ind w:firstLine="0" w:firstLineChars="0"/>
              <w:jc w:val="center"/>
              <w:rPr>
                <w:rFonts w:hint="eastAsia"/>
                <w:color w:val="auto"/>
                <w:sz w:val="21"/>
              </w:rPr>
            </w:pPr>
            <w:r>
              <w:rPr>
                <w:rFonts w:hint="eastAsia"/>
                <w:color w:val="auto"/>
                <w:sz w:val="21"/>
              </w:rPr>
              <w:t>2</w:t>
            </w:r>
          </w:p>
        </w:tc>
        <w:tc>
          <w:tcPr>
            <w:tcW w:w="934" w:type="pct"/>
            <w:vMerge w:val="restart"/>
            <w:tcBorders>
              <w:top w:val="nil"/>
              <w:left w:val="single" w:color="auto" w:sz="4" w:space="0"/>
              <w:bottom w:val="single" w:color="auto" w:sz="4" w:space="0"/>
              <w:right w:val="single" w:color="auto" w:sz="4" w:space="0"/>
            </w:tcBorders>
            <w:vAlign w:val="center"/>
          </w:tcPr>
          <w:p w14:paraId="13FC8AE1">
            <w:pPr>
              <w:spacing w:line="240" w:lineRule="auto"/>
              <w:ind w:firstLine="0" w:firstLineChars="0"/>
              <w:jc w:val="center"/>
              <w:rPr>
                <w:rFonts w:hint="eastAsia"/>
                <w:color w:val="auto"/>
                <w:sz w:val="21"/>
              </w:rPr>
            </w:pPr>
            <w:r>
              <w:rPr>
                <w:rFonts w:hint="eastAsia"/>
                <w:color w:val="auto"/>
                <w:sz w:val="21"/>
              </w:rPr>
              <w:t>柱型柱翼型</w:t>
            </w:r>
          </w:p>
        </w:tc>
        <w:tc>
          <w:tcPr>
            <w:tcW w:w="714" w:type="pct"/>
            <w:vMerge w:val="restart"/>
            <w:tcBorders>
              <w:top w:val="nil"/>
              <w:left w:val="single" w:color="auto" w:sz="4" w:space="0"/>
              <w:bottom w:val="single" w:color="auto" w:sz="4" w:space="0"/>
              <w:right w:val="single" w:color="auto" w:sz="4" w:space="0"/>
            </w:tcBorders>
            <w:vAlign w:val="center"/>
          </w:tcPr>
          <w:p w14:paraId="5A68A531">
            <w:pPr>
              <w:spacing w:line="240" w:lineRule="auto"/>
              <w:ind w:firstLine="0" w:firstLineChars="0"/>
              <w:jc w:val="center"/>
              <w:rPr>
                <w:rFonts w:hint="eastAsia"/>
                <w:color w:val="auto"/>
                <w:sz w:val="21"/>
              </w:rPr>
            </w:pPr>
            <w:r>
              <w:rPr>
                <w:rFonts w:hint="eastAsia"/>
                <w:color w:val="auto"/>
                <w:sz w:val="21"/>
              </w:rPr>
              <w:t>挂墙</w:t>
            </w:r>
          </w:p>
        </w:tc>
        <w:tc>
          <w:tcPr>
            <w:tcW w:w="714" w:type="pct"/>
            <w:tcBorders>
              <w:top w:val="single" w:color="auto" w:sz="4" w:space="0"/>
              <w:left w:val="single" w:color="auto" w:sz="4" w:space="0"/>
              <w:bottom w:val="single" w:color="auto" w:sz="4" w:space="0"/>
              <w:right w:val="single" w:color="auto" w:sz="4" w:space="0"/>
            </w:tcBorders>
            <w:vAlign w:val="center"/>
          </w:tcPr>
          <w:p w14:paraId="7B961F44">
            <w:pPr>
              <w:spacing w:line="240" w:lineRule="auto"/>
              <w:ind w:firstLine="0" w:firstLineChars="0"/>
              <w:jc w:val="center"/>
              <w:rPr>
                <w:rFonts w:hint="eastAsia"/>
                <w:color w:val="auto"/>
                <w:sz w:val="21"/>
              </w:rPr>
            </w:pPr>
            <w:r>
              <w:rPr>
                <w:rFonts w:hint="eastAsia"/>
                <w:color w:val="auto"/>
                <w:sz w:val="21"/>
              </w:rPr>
              <w:t>3～8</w:t>
            </w:r>
          </w:p>
        </w:tc>
        <w:tc>
          <w:tcPr>
            <w:tcW w:w="714" w:type="pct"/>
            <w:tcBorders>
              <w:top w:val="single" w:color="auto" w:sz="4" w:space="0"/>
              <w:left w:val="single" w:color="auto" w:sz="4" w:space="0"/>
              <w:bottom w:val="single" w:color="auto" w:sz="4" w:space="0"/>
              <w:right w:val="single" w:color="auto" w:sz="4" w:space="0"/>
            </w:tcBorders>
            <w:vAlign w:val="center"/>
          </w:tcPr>
          <w:p w14:paraId="493A6512">
            <w:pPr>
              <w:spacing w:line="240" w:lineRule="auto"/>
              <w:ind w:firstLine="0" w:firstLineChars="0"/>
              <w:jc w:val="center"/>
              <w:rPr>
                <w:rFonts w:hint="eastAsia"/>
                <w:color w:val="auto"/>
                <w:sz w:val="21"/>
              </w:rPr>
            </w:pPr>
            <w:r>
              <w:rPr>
                <w:rFonts w:hint="eastAsia"/>
                <w:color w:val="auto"/>
                <w:sz w:val="21"/>
              </w:rPr>
              <w:t>1</w:t>
            </w:r>
          </w:p>
        </w:tc>
        <w:tc>
          <w:tcPr>
            <w:tcW w:w="715" w:type="pct"/>
            <w:tcBorders>
              <w:top w:val="single" w:color="auto" w:sz="4" w:space="0"/>
              <w:left w:val="single" w:color="auto" w:sz="4" w:space="0"/>
              <w:bottom w:val="single" w:color="auto" w:sz="4" w:space="0"/>
              <w:right w:val="single" w:color="auto" w:sz="4" w:space="0"/>
            </w:tcBorders>
            <w:vAlign w:val="center"/>
          </w:tcPr>
          <w:p w14:paraId="604436A2">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33F0CF8D">
            <w:pPr>
              <w:spacing w:line="240" w:lineRule="auto"/>
              <w:ind w:firstLine="0" w:firstLineChars="0"/>
              <w:jc w:val="center"/>
              <w:rPr>
                <w:rFonts w:hint="eastAsia"/>
                <w:color w:val="auto"/>
                <w:sz w:val="21"/>
              </w:rPr>
            </w:pPr>
            <w:r>
              <w:rPr>
                <w:rFonts w:hint="eastAsia"/>
                <w:color w:val="auto"/>
                <w:sz w:val="21"/>
              </w:rPr>
              <w:t>3</w:t>
            </w:r>
          </w:p>
        </w:tc>
      </w:tr>
      <w:tr w14:paraId="03D5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01950440">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CD0BAAE">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E967E39">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6E755447">
            <w:pPr>
              <w:spacing w:line="240" w:lineRule="auto"/>
              <w:ind w:firstLine="0" w:firstLineChars="0"/>
              <w:jc w:val="center"/>
              <w:rPr>
                <w:rFonts w:hint="eastAsia"/>
                <w:color w:val="auto"/>
                <w:sz w:val="21"/>
              </w:rPr>
            </w:pPr>
            <w:r>
              <w:rPr>
                <w:rFonts w:hint="eastAsia"/>
                <w:color w:val="auto"/>
                <w:sz w:val="21"/>
              </w:rPr>
              <w:t>9～12</w:t>
            </w:r>
          </w:p>
        </w:tc>
        <w:tc>
          <w:tcPr>
            <w:tcW w:w="714" w:type="pct"/>
            <w:tcBorders>
              <w:top w:val="single" w:color="auto" w:sz="4" w:space="0"/>
              <w:left w:val="single" w:color="auto" w:sz="4" w:space="0"/>
              <w:bottom w:val="single" w:color="auto" w:sz="4" w:space="0"/>
              <w:right w:val="single" w:color="auto" w:sz="4" w:space="0"/>
            </w:tcBorders>
            <w:vAlign w:val="center"/>
          </w:tcPr>
          <w:p w14:paraId="262F2680">
            <w:pPr>
              <w:spacing w:line="240" w:lineRule="auto"/>
              <w:ind w:firstLine="0" w:firstLineChars="0"/>
              <w:jc w:val="center"/>
              <w:rPr>
                <w:rFonts w:hint="eastAsia"/>
                <w:color w:val="auto"/>
                <w:sz w:val="21"/>
              </w:rPr>
            </w:pPr>
            <w:r>
              <w:rPr>
                <w:rFonts w:hint="eastAsia"/>
                <w:color w:val="auto"/>
                <w:sz w:val="21"/>
              </w:rPr>
              <w:t>1</w:t>
            </w:r>
          </w:p>
        </w:tc>
        <w:tc>
          <w:tcPr>
            <w:tcW w:w="715" w:type="pct"/>
            <w:tcBorders>
              <w:top w:val="single" w:color="auto" w:sz="4" w:space="0"/>
              <w:left w:val="single" w:color="auto" w:sz="4" w:space="0"/>
              <w:bottom w:val="single" w:color="auto" w:sz="4" w:space="0"/>
              <w:right w:val="single" w:color="auto" w:sz="4" w:space="0"/>
            </w:tcBorders>
            <w:vAlign w:val="center"/>
          </w:tcPr>
          <w:p w14:paraId="79E4B5F7">
            <w:pPr>
              <w:spacing w:line="240" w:lineRule="auto"/>
              <w:ind w:firstLine="0" w:firstLineChars="0"/>
              <w:jc w:val="center"/>
              <w:rPr>
                <w:rFonts w:hint="eastAsia"/>
                <w:color w:val="auto"/>
                <w:sz w:val="21"/>
              </w:rPr>
            </w:pPr>
            <w:r>
              <w:rPr>
                <w:rFonts w:hint="eastAsia"/>
                <w:color w:val="auto"/>
                <w:sz w:val="21"/>
              </w:rPr>
              <w:t>3</w:t>
            </w:r>
          </w:p>
        </w:tc>
        <w:tc>
          <w:tcPr>
            <w:tcW w:w="715" w:type="pct"/>
            <w:tcBorders>
              <w:top w:val="single" w:color="auto" w:sz="4" w:space="0"/>
              <w:left w:val="single" w:color="auto" w:sz="4" w:space="0"/>
              <w:bottom w:val="single" w:color="auto" w:sz="4" w:space="0"/>
              <w:right w:val="single" w:color="auto" w:sz="4" w:space="0"/>
            </w:tcBorders>
            <w:vAlign w:val="center"/>
          </w:tcPr>
          <w:p w14:paraId="5625D125">
            <w:pPr>
              <w:spacing w:line="240" w:lineRule="auto"/>
              <w:ind w:firstLine="0" w:firstLineChars="0"/>
              <w:jc w:val="center"/>
              <w:rPr>
                <w:rFonts w:hint="eastAsia"/>
                <w:color w:val="auto"/>
                <w:sz w:val="21"/>
              </w:rPr>
            </w:pPr>
            <w:r>
              <w:rPr>
                <w:rFonts w:hint="eastAsia"/>
                <w:color w:val="auto"/>
                <w:sz w:val="21"/>
              </w:rPr>
              <w:t>4</w:t>
            </w:r>
          </w:p>
        </w:tc>
      </w:tr>
      <w:tr w14:paraId="06339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C0CCB7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1E5B11B">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3C8005E">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0AC312C3">
            <w:pPr>
              <w:spacing w:line="240" w:lineRule="auto"/>
              <w:ind w:firstLine="0" w:firstLineChars="0"/>
              <w:jc w:val="center"/>
              <w:rPr>
                <w:rFonts w:hint="eastAsia"/>
                <w:color w:val="auto"/>
                <w:sz w:val="21"/>
              </w:rPr>
            </w:pPr>
            <w:r>
              <w:rPr>
                <w:rFonts w:hint="eastAsia"/>
                <w:color w:val="auto"/>
                <w:sz w:val="21"/>
              </w:rPr>
              <w:t>13～16</w:t>
            </w:r>
          </w:p>
        </w:tc>
        <w:tc>
          <w:tcPr>
            <w:tcW w:w="714" w:type="pct"/>
            <w:tcBorders>
              <w:top w:val="single" w:color="auto" w:sz="4" w:space="0"/>
              <w:left w:val="single" w:color="auto" w:sz="4" w:space="0"/>
              <w:bottom w:val="single" w:color="auto" w:sz="4" w:space="0"/>
              <w:right w:val="single" w:color="auto" w:sz="4" w:space="0"/>
            </w:tcBorders>
            <w:vAlign w:val="center"/>
          </w:tcPr>
          <w:p w14:paraId="78B36993">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15E62916">
            <w:pPr>
              <w:spacing w:line="240" w:lineRule="auto"/>
              <w:ind w:firstLine="0" w:firstLineChars="0"/>
              <w:jc w:val="center"/>
              <w:rPr>
                <w:rFonts w:hint="eastAsia"/>
                <w:color w:val="auto"/>
                <w:sz w:val="21"/>
              </w:rPr>
            </w:pPr>
            <w:r>
              <w:rPr>
                <w:rFonts w:hint="eastAsia"/>
                <w:color w:val="auto"/>
                <w:sz w:val="21"/>
              </w:rPr>
              <w:t>4</w:t>
            </w:r>
          </w:p>
        </w:tc>
        <w:tc>
          <w:tcPr>
            <w:tcW w:w="715" w:type="pct"/>
            <w:tcBorders>
              <w:top w:val="single" w:color="auto" w:sz="4" w:space="0"/>
              <w:left w:val="single" w:color="auto" w:sz="4" w:space="0"/>
              <w:bottom w:val="single" w:color="auto" w:sz="4" w:space="0"/>
              <w:right w:val="single" w:color="auto" w:sz="4" w:space="0"/>
            </w:tcBorders>
            <w:vAlign w:val="center"/>
          </w:tcPr>
          <w:p w14:paraId="39C2EE0F">
            <w:pPr>
              <w:spacing w:line="240" w:lineRule="auto"/>
              <w:ind w:firstLine="0" w:firstLineChars="0"/>
              <w:jc w:val="center"/>
              <w:rPr>
                <w:rFonts w:hint="eastAsia"/>
                <w:color w:val="auto"/>
                <w:sz w:val="21"/>
              </w:rPr>
            </w:pPr>
            <w:r>
              <w:rPr>
                <w:rFonts w:hint="eastAsia"/>
                <w:color w:val="auto"/>
                <w:sz w:val="21"/>
              </w:rPr>
              <w:t>6</w:t>
            </w:r>
          </w:p>
        </w:tc>
      </w:tr>
      <w:tr w14:paraId="5DDFA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0343791A">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E898BE6">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DC8CBE7">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6B432320">
            <w:pPr>
              <w:spacing w:line="240" w:lineRule="auto"/>
              <w:ind w:firstLine="0" w:firstLineChars="0"/>
              <w:jc w:val="center"/>
              <w:rPr>
                <w:rFonts w:hint="eastAsia"/>
                <w:color w:val="auto"/>
                <w:sz w:val="21"/>
              </w:rPr>
            </w:pPr>
            <w:r>
              <w:rPr>
                <w:rFonts w:hint="eastAsia"/>
                <w:color w:val="auto"/>
                <w:sz w:val="21"/>
              </w:rPr>
              <w:t>17～20</w:t>
            </w:r>
          </w:p>
        </w:tc>
        <w:tc>
          <w:tcPr>
            <w:tcW w:w="714" w:type="pct"/>
            <w:tcBorders>
              <w:top w:val="single" w:color="auto" w:sz="4" w:space="0"/>
              <w:left w:val="single" w:color="auto" w:sz="4" w:space="0"/>
              <w:bottom w:val="single" w:color="auto" w:sz="4" w:space="0"/>
              <w:right w:val="single" w:color="auto" w:sz="4" w:space="0"/>
            </w:tcBorders>
            <w:vAlign w:val="center"/>
          </w:tcPr>
          <w:p w14:paraId="09A76409">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75B565D6">
            <w:pPr>
              <w:spacing w:line="240" w:lineRule="auto"/>
              <w:ind w:firstLine="0" w:firstLineChars="0"/>
              <w:jc w:val="center"/>
              <w:rPr>
                <w:rFonts w:hint="eastAsia"/>
                <w:color w:val="auto"/>
                <w:sz w:val="21"/>
              </w:rPr>
            </w:pPr>
            <w:r>
              <w:rPr>
                <w:rFonts w:hint="eastAsia"/>
                <w:color w:val="auto"/>
                <w:sz w:val="21"/>
              </w:rPr>
              <w:t>5</w:t>
            </w:r>
          </w:p>
        </w:tc>
        <w:tc>
          <w:tcPr>
            <w:tcW w:w="715" w:type="pct"/>
            <w:tcBorders>
              <w:top w:val="single" w:color="auto" w:sz="4" w:space="0"/>
              <w:left w:val="single" w:color="auto" w:sz="4" w:space="0"/>
              <w:bottom w:val="single" w:color="auto" w:sz="4" w:space="0"/>
              <w:right w:val="single" w:color="auto" w:sz="4" w:space="0"/>
            </w:tcBorders>
            <w:vAlign w:val="center"/>
          </w:tcPr>
          <w:p w14:paraId="4B10C844">
            <w:pPr>
              <w:spacing w:line="240" w:lineRule="auto"/>
              <w:ind w:firstLine="0" w:firstLineChars="0"/>
              <w:jc w:val="center"/>
              <w:rPr>
                <w:rFonts w:hint="eastAsia"/>
                <w:color w:val="auto"/>
                <w:sz w:val="21"/>
              </w:rPr>
            </w:pPr>
            <w:r>
              <w:rPr>
                <w:rFonts w:hint="eastAsia"/>
                <w:color w:val="auto"/>
                <w:sz w:val="21"/>
              </w:rPr>
              <w:t>7</w:t>
            </w:r>
          </w:p>
        </w:tc>
      </w:tr>
      <w:tr w14:paraId="63A5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80564DC">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1FB2C81">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BE72FE0">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3F246424">
            <w:pPr>
              <w:spacing w:line="240" w:lineRule="auto"/>
              <w:ind w:firstLine="0" w:firstLineChars="0"/>
              <w:jc w:val="center"/>
              <w:rPr>
                <w:rFonts w:hint="eastAsia"/>
                <w:color w:val="auto"/>
                <w:sz w:val="21"/>
              </w:rPr>
            </w:pPr>
            <w:r>
              <w:rPr>
                <w:rFonts w:hint="eastAsia"/>
                <w:color w:val="auto"/>
                <w:sz w:val="21"/>
              </w:rPr>
              <w:t>21～25</w:t>
            </w:r>
          </w:p>
        </w:tc>
        <w:tc>
          <w:tcPr>
            <w:tcW w:w="714" w:type="pct"/>
            <w:tcBorders>
              <w:top w:val="single" w:color="auto" w:sz="4" w:space="0"/>
              <w:left w:val="single" w:color="auto" w:sz="4" w:space="0"/>
              <w:bottom w:val="single" w:color="auto" w:sz="4" w:space="0"/>
              <w:right w:val="single" w:color="auto" w:sz="4" w:space="0"/>
            </w:tcBorders>
            <w:vAlign w:val="center"/>
          </w:tcPr>
          <w:p w14:paraId="722282A8">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30FB4F1C">
            <w:pPr>
              <w:spacing w:line="240" w:lineRule="auto"/>
              <w:ind w:firstLine="0" w:firstLineChars="0"/>
              <w:jc w:val="center"/>
              <w:rPr>
                <w:rFonts w:hint="eastAsia"/>
                <w:color w:val="auto"/>
                <w:sz w:val="21"/>
              </w:rPr>
            </w:pPr>
            <w:r>
              <w:rPr>
                <w:rFonts w:hint="eastAsia"/>
                <w:color w:val="auto"/>
                <w:sz w:val="21"/>
              </w:rPr>
              <w:t>6</w:t>
            </w:r>
          </w:p>
        </w:tc>
        <w:tc>
          <w:tcPr>
            <w:tcW w:w="715" w:type="pct"/>
            <w:tcBorders>
              <w:top w:val="single" w:color="auto" w:sz="4" w:space="0"/>
              <w:left w:val="single" w:color="auto" w:sz="4" w:space="0"/>
              <w:bottom w:val="single" w:color="auto" w:sz="4" w:space="0"/>
              <w:right w:val="single" w:color="auto" w:sz="4" w:space="0"/>
            </w:tcBorders>
            <w:vAlign w:val="center"/>
          </w:tcPr>
          <w:p w14:paraId="3416A430">
            <w:pPr>
              <w:spacing w:line="240" w:lineRule="auto"/>
              <w:ind w:firstLine="0" w:firstLineChars="0"/>
              <w:jc w:val="center"/>
              <w:rPr>
                <w:rFonts w:hint="eastAsia"/>
                <w:color w:val="auto"/>
                <w:sz w:val="21"/>
              </w:rPr>
            </w:pPr>
            <w:r>
              <w:rPr>
                <w:rFonts w:hint="eastAsia"/>
                <w:color w:val="auto"/>
                <w:sz w:val="21"/>
              </w:rPr>
              <w:t>8</w:t>
            </w:r>
          </w:p>
        </w:tc>
      </w:tr>
      <w:tr w14:paraId="1BA46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Merge w:val="restart"/>
            <w:tcBorders>
              <w:top w:val="nil"/>
              <w:left w:val="single" w:color="auto" w:sz="4" w:space="0"/>
              <w:bottom w:val="single" w:color="auto" w:sz="4" w:space="0"/>
              <w:right w:val="single" w:color="auto" w:sz="4" w:space="0"/>
            </w:tcBorders>
            <w:vAlign w:val="center"/>
          </w:tcPr>
          <w:p w14:paraId="627AA85F">
            <w:pPr>
              <w:spacing w:line="240" w:lineRule="auto"/>
              <w:ind w:firstLine="0" w:firstLineChars="0"/>
              <w:jc w:val="center"/>
              <w:rPr>
                <w:rFonts w:hint="eastAsia"/>
                <w:color w:val="auto"/>
                <w:sz w:val="21"/>
              </w:rPr>
            </w:pPr>
            <w:r>
              <w:rPr>
                <w:rFonts w:hint="eastAsia"/>
                <w:color w:val="auto"/>
                <w:sz w:val="21"/>
              </w:rPr>
              <w:t>3</w:t>
            </w:r>
          </w:p>
        </w:tc>
        <w:tc>
          <w:tcPr>
            <w:tcW w:w="934" w:type="pct"/>
            <w:vMerge w:val="restart"/>
            <w:tcBorders>
              <w:top w:val="nil"/>
              <w:left w:val="single" w:color="auto" w:sz="4" w:space="0"/>
              <w:bottom w:val="single" w:color="auto" w:sz="4" w:space="0"/>
              <w:right w:val="single" w:color="auto" w:sz="4" w:space="0"/>
            </w:tcBorders>
            <w:vAlign w:val="center"/>
          </w:tcPr>
          <w:p w14:paraId="169A2612">
            <w:pPr>
              <w:spacing w:line="240" w:lineRule="auto"/>
              <w:ind w:firstLine="0" w:firstLineChars="0"/>
              <w:jc w:val="center"/>
              <w:rPr>
                <w:rFonts w:hint="eastAsia"/>
                <w:color w:val="auto"/>
                <w:sz w:val="21"/>
              </w:rPr>
            </w:pPr>
            <w:r>
              <w:rPr>
                <w:rFonts w:hint="eastAsia"/>
                <w:color w:val="auto"/>
                <w:sz w:val="21"/>
              </w:rPr>
              <w:t>柱型柱翼型</w:t>
            </w:r>
          </w:p>
        </w:tc>
        <w:tc>
          <w:tcPr>
            <w:tcW w:w="714" w:type="pct"/>
            <w:vMerge w:val="restart"/>
            <w:tcBorders>
              <w:top w:val="nil"/>
              <w:left w:val="single" w:color="auto" w:sz="4" w:space="0"/>
              <w:bottom w:val="single" w:color="auto" w:sz="4" w:space="0"/>
              <w:right w:val="single" w:color="auto" w:sz="4" w:space="0"/>
            </w:tcBorders>
            <w:vAlign w:val="center"/>
          </w:tcPr>
          <w:p w14:paraId="32B3470C">
            <w:pPr>
              <w:spacing w:line="240" w:lineRule="auto"/>
              <w:ind w:firstLine="0" w:firstLineChars="0"/>
              <w:jc w:val="center"/>
              <w:rPr>
                <w:rFonts w:hint="eastAsia"/>
                <w:color w:val="auto"/>
                <w:sz w:val="21"/>
              </w:rPr>
            </w:pPr>
            <w:r>
              <w:rPr>
                <w:rFonts w:hint="eastAsia"/>
                <w:color w:val="auto"/>
                <w:sz w:val="21"/>
              </w:rPr>
              <w:t>带足落地</w:t>
            </w:r>
          </w:p>
        </w:tc>
        <w:tc>
          <w:tcPr>
            <w:tcW w:w="714" w:type="pct"/>
            <w:tcBorders>
              <w:top w:val="single" w:color="auto" w:sz="4" w:space="0"/>
              <w:left w:val="single" w:color="auto" w:sz="4" w:space="0"/>
              <w:bottom w:val="single" w:color="auto" w:sz="4" w:space="0"/>
              <w:right w:val="single" w:color="auto" w:sz="4" w:space="0"/>
            </w:tcBorders>
            <w:vAlign w:val="center"/>
          </w:tcPr>
          <w:p w14:paraId="22B96E47">
            <w:pPr>
              <w:spacing w:line="240" w:lineRule="auto"/>
              <w:ind w:firstLine="0" w:firstLineChars="0"/>
              <w:jc w:val="center"/>
              <w:rPr>
                <w:rFonts w:hint="eastAsia"/>
                <w:color w:val="auto"/>
                <w:sz w:val="21"/>
              </w:rPr>
            </w:pPr>
            <w:r>
              <w:rPr>
                <w:rFonts w:hint="eastAsia"/>
                <w:color w:val="auto"/>
                <w:sz w:val="21"/>
              </w:rPr>
              <w:t>3～8</w:t>
            </w:r>
          </w:p>
        </w:tc>
        <w:tc>
          <w:tcPr>
            <w:tcW w:w="714" w:type="pct"/>
            <w:tcBorders>
              <w:top w:val="single" w:color="auto" w:sz="4" w:space="0"/>
              <w:left w:val="single" w:color="auto" w:sz="4" w:space="0"/>
              <w:bottom w:val="single" w:color="auto" w:sz="4" w:space="0"/>
              <w:right w:val="single" w:color="auto" w:sz="4" w:space="0"/>
            </w:tcBorders>
            <w:vAlign w:val="center"/>
          </w:tcPr>
          <w:p w14:paraId="3EC8683E">
            <w:pPr>
              <w:spacing w:line="240" w:lineRule="auto"/>
              <w:ind w:firstLine="0" w:firstLineChars="0"/>
              <w:jc w:val="center"/>
              <w:rPr>
                <w:rFonts w:hint="eastAsia"/>
                <w:color w:val="auto"/>
                <w:sz w:val="21"/>
              </w:rPr>
            </w:pPr>
            <w:r>
              <w:rPr>
                <w:rFonts w:hint="eastAsia"/>
                <w:color w:val="auto"/>
                <w:sz w:val="21"/>
              </w:rPr>
              <w:t>1</w:t>
            </w:r>
          </w:p>
        </w:tc>
        <w:tc>
          <w:tcPr>
            <w:tcW w:w="715" w:type="pct"/>
            <w:tcBorders>
              <w:top w:val="single" w:color="auto" w:sz="4" w:space="0"/>
              <w:left w:val="single" w:color="auto" w:sz="4" w:space="0"/>
              <w:bottom w:val="single" w:color="auto" w:sz="4" w:space="0"/>
              <w:right w:val="single" w:color="auto" w:sz="4" w:space="0"/>
            </w:tcBorders>
            <w:vAlign w:val="center"/>
          </w:tcPr>
          <w:p w14:paraId="2953F32F">
            <w:pPr>
              <w:spacing w:line="240" w:lineRule="auto"/>
              <w:ind w:firstLine="0" w:firstLineChars="0"/>
              <w:jc w:val="center"/>
              <w:rPr>
                <w:rFonts w:hint="eastAsia"/>
                <w:color w:val="auto"/>
                <w:sz w:val="21"/>
              </w:rPr>
            </w:pPr>
            <w:r>
              <w:rPr>
                <w:rFonts w:hint="eastAsia"/>
                <w:color w:val="auto"/>
                <w:sz w:val="21"/>
              </w:rPr>
              <w:t>-</w:t>
            </w:r>
          </w:p>
        </w:tc>
        <w:tc>
          <w:tcPr>
            <w:tcW w:w="715" w:type="pct"/>
            <w:tcBorders>
              <w:top w:val="single" w:color="auto" w:sz="4" w:space="0"/>
              <w:left w:val="single" w:color="auto" w:sz="4" w:space="0"/>
              <w:bottom w:val="single" w:color="auto" w:sz="4" w:space="0"/>
              <w:right w:val="single" w:color="auto" w:sz="4" w:space="0"/>
            </w:tcBorders>
            <w:vAlign w:val="center"/>
          </w:tcPr>
          <w:p w14:paraId="14A511B1">
            <w:pPr>
              <w:spacing w:line="240" w:lineRule="auto"/>
              <w:ind w:firstLine="0" w:firstLineChars="0"/>
              <w:jc w:val="center"/>
              <w:rPr>
                <w:rFonts w:hint="eastAsia"/>
                <w:color w:val="auto"/>
                <w:sz w:val="21"/>
              </w:rPr>
            </w:pPr>
            <w:r>
              <w:rPr>
                <w:rFonts w:hint="eastAsia"/>
                <w:color w:val="auto"/>
                <w:sz w:val="21"/>
              </w:rPr>
              <w:t>1</w:t>
            </w:r>
          </w:p>
        </w:tc>
      </w:tr>
      <w:tr w14:paraId="4184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0E4103DF">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F3E4033">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231DB97">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0DC1FB76">
            <w:pPr>
              <w:spacing w:line="240" w:lineRule="auto"/>
              <w:ind w:firstLine="0" w:firstLineChars="0"/>
              <w:jc w:val="center"/>
              <w:rPr>
                <w:rFonts w:hint="eastAsia"/>
                <w:color w:val="auto"/>
                <w:sz w:val="21"/>
              </w:rPr>
            </w:pPr>
            <w:r>
              <w:rPr>
                <w:rFonts w:hint="eastAsia"/>
                <w:color w:val="auto"/>
                <w:sz w:val="21"/>
              </w:rPr>
              <w:t>8～12</w:t>
            </w:r>
          </w:p>
        </w:tc>
        <w:tc>
          <w:tcPr>
            <w:tcW w:w="714" w:type="pct"/>
            <w:tcBorders>
              <w:top w:val="single" w:color="auto" w:sz="4" w:space="0"/>
              <w:left w:val="single" w:color="auto" w:sz="4" w:space="0"/>
              <w:bottom w:val="single" w:color="auto" w:sz="4" w:space="0"/>
              <w:right w:val="single" w:color="auto" w:sz="4" w:space="0"/>
            </w:tcBorders>
            <w:vAlign w:val="center"/>
          </w:tcPr>
          <w:p w14:paraId="65D89BE8">
            <w:pPr>
              <w:spacing w:line="240" w:lineRule="auto"/>
              <w:ind w:firstLine="0" w:firstLineChars="0"/>
              <w:jc w:val="center"/>
              <w:rPr>
                <w:rFonts w:hint="eastAsia"/>
                <w:color w:val="auto"/>
                <w:sz w:val="21"/>
              </w:rPr>
            </w:pPr>
            <w:r>
              <w:rPr>
                <w:rFonts w:hint="eastAsia"/>
                <w:color w:val="auto"/>
                <w:sz w:val="21"/>
              </w:rPr>
              <w:t>1</w:t>
            </w:r>
          </w:p>
        </w:tc>
        <w:tc>
          <w:tcPr>
            <w:tcW w:w="715" w:type="pct"/>
            <w:tcBorders>
              <w:top w:val="single" w:color="auto" w:sz="4" w:space="0"/>
              <w:left w:val="single" w:color="auto" w:sz="4" w:space="0"/>
              <w:bottom w:val="single" w:color="auto" w:sz="4" w:space="0"/>
              <w:right w:val="single" w:color="auto" w:sz="4" w:space="0"/>
            </w:tcBorders>
            <w:vAlign w:val="center"/>
          </w:tcPr>
          <w:p w14:paraId="41E1FC68">
            <w:pPr>
              <w:spacing w:line="240" w:lineRule="auto"/>
              <w:ind w:firstLine="0" w:firstLineChars="0"/>
              <w:jc w:val="center"/>
              <w:rPr>
                <w:rFonts w:hint="eastAsia"/>
                <w:color w:val="auto"/>
                <w:sz w:val="21"/>
              </w:rPr>
            </w:pPr>
            <w:r>
              <w:rPr>
                <w:rFonts w:hint="eastAsia"/>
                <w:color w:val="auto"/>
                <w:sz w:val="21"/>
              </w:rPr>
              <w:t>-</w:t>
            </w:r>
          </w:p>
        </w:tc>
        <w:tc>
          <w:tcPr>
            <w:tcW w:w="715" w:type="pct"/>
            <w:tcBorders>
              <w:top w:val="single" w:color="auto" w:sz="4" w:space="0"/>
              <w:left w:val="single" w:color="auto" w:sz="4" w:space="0"/>
              <w:bottom w:val="single" w:color="auto" w:sz="4" w:space="0"/>
              <w:right w:val="single" w:color="auto" w:sz="4" w:space="0"/>
            </w:tcBorders>
            <w:vAlign w:val="center"/>
          </w:tcPr>
          <w:p w14:paraId="159CF58E">
            <w:pPr>
              <w:spacing w:line="240" w:lineRule="auto"/>
              <w:ind w:firstLine="0" w:firstLineChars="0"/>
              <w:jc w:val="center"/>
              <w:rPr>
                <w:rFonts w:hint="eastAsia"/>
                <w:color w:val="auto"/>
                <w:sz w:val="21"/>
              </w:rPr>
            </w:pPr>
            <w:r>
              <w:rPr>
                <w:rFonts w:hint="eastAsia"/>
                <w:color w:val="auto"/>
                <w:sz w:val="21"/>
              </w:rPr>
              <w:t>1</w:t>
            </w:r>
          </w:p>
        </w:tc>
      </w:tr>
      <w:tr w14:paraId="25EE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633FE92">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33B9FD48">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1368F9F">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25307FC9">
            <w:pPr>
              <w:spacing w:line="240" w:lineRule="auto"/>
              <w:ind w:firstLine="0" w:firstLineChars="0"/>
              <w:jc w:val="center"/>
              <w:rPr>
                <w:rFonts w:hint="eastAsia"/>
                <w:color w:val="auto"/>
                <w:sz w:val="21"/>
              </w:rPr>
            </w:pPr>
            <w:r>
              <w:rPr>
                <w:rFonts w:hint="eastAsia"/>
                <w:color w:val="auto"/>
                <w:sz w:val="21"/>
              </w:rPr>
              <w:t>13～16</w:t>
            </w:r>
          </w:p>
        </w:tc>
        <w:tc>
          <w:tcPr>
            <w:tcW w:w="714" w:type="pct"/>
            <w:tcBorders>
              <w:top w:val="single" w:color="auto" w:sz="4" w:space="0"/>
              <w:left w:val="single" w:color="auto" w:sz="4" w:space="0"/>
              <w:bottom w:val="single" w:color="auto" w:sz="4" w:space="0"/>
              <w:right w:val="single" w:color="auto" w:sz="4" w:space="0"/>
            </w:tcBorders>
            <w:vAlign w:val="center"/>
          </w:tcPr>
          <w:p w14:paraId="50A2FE43">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1801372F">
            <w:pPr>
              <w:spacing w:line="240" w:lineRule="auto"/>
              <w:ind w:firstLine="0" w:firstLineChars="0"/>
              <w:jc w:val="center"/>
              <w:rPr>
                <w:rFonts w:hint="eastAsia"/>
                <w:color w:val="auto"/>
                <w:sz w:val="21"/>
              </w:rPr>
            </w:pPr>
            <w:r>
              <w:rPr>
                <w:rFonts w:hint="eastAsia"/>
                <w:color w:val="auto"/>
                <w:sz w:val="21"/>
              </w:rPr>
              <w:t>-</w:t>
            </w:r>
          </w:p>
        </w:tc>
        <w:tc>
          <w:tcPr>
            <w:tcW w:w="715" w:type="pct"/>
            <w:tcBorders>
              <w:top w:val="single" w:color="auto" w:sz="4" w:space="0"/>
              <w:left w:val="single" w:color="auto" w:sz="4" w:space="0"/>
              <w:bottom w:val="single" w:color="auto" w:sz="4" w:space="0"/>
              <w:right w:val="single" w:color="auto" w:sz="4" w:space="0"/>
            </w:tcBorders>
            <w:vAlign w:val="center"/>
          </w:tcPr>
          <w:p w14:paraId="01AEB1FD">
            <w:pPr>
              <w:spacing w:line="240" w:lineRule="auto"/>
              <w:ind w:firstLine="0" w:firstLineChars="0"/>
              <w:jc w:val="center"/>
              <w:rPr>
                <w:rFonts w:hint="eastAsia"/>
                <w:color w:val="auto"/>
                <w:sz w:val="21"/>
              </w:rPr>
            </w:pPr>
            <w:r>
              <w:rPr>
                <w:rFonts w:hint="eastAsia"/>
                <w:color w:val="auto"/>
                <w:sz w:val="21"/>
              </w:rPr>
              <w:t>2</w:t>
            </w:r>
          </w:p>
        </w:tc>
      </w:tr>
      <w:tr w14:paraId="3A9A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66C8EA0">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1DA875E1">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62BF05D6">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554FDF6C">
            <w:pPr>
              <w:spacing w:line="240" w:lineRule="auto"/>
              <w:ind w:firstLine="0" w:firstLineChars="0"/>
              <w:jc w:val="center"/>
              <w:rPr>
                <w:rFonts w:hint="eastAsia"/>
                <w:color w:val="auto"/>
                <w:sz w:val="21"/>
              </w:rPr>
            </w:pPr>
            <w:r>
              <w:rPr>
                <w:rFonts w:hint="eastAsia"/>
                <w:color w:val="auto"/>
                <w:sz w:val="21"/>
              </w:rPr>
              <w:t>17～20</w:t>
            </w:r>
          </w:p>
        </w:tc>
        <w:tc>
          <w:tcPr>
            <w:tcW w:w="714" w:type="pct"/>
            <w:tcBorders>
              <w:top w:val="single" w:color="auto" w:sz="4" w:space="0"/>
              <w:left w:val="single" w:color="auto" w:sz="4" w:space="0"/>
              <w:bottom w:val="single" w:color="auto" w:sz="4" w:space="0"/>
              <w:right w:val="single" w:color="auto" w:sz="4" w:space="0"/>
            </w:tcBorders>
            <w:vAlign w:val="center"/>
          </w:tcPr>
          <w:p w14:paraId="743B15A9">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19BAF606">
            <w:pPr>
              <w:spacing w:line="240" w:lineRule="auto"/>
              <w:ind w:firstLine="0" w:firstLineChars="0"/>
              <w:jc w:val="center"/>
              <w:rPr>
                <w:rFonts w:hint="eastAsia"/>
                <w:color w:val="auto"/>
                <w:sz w:val="21"/>
              </w:rPr>
            </w:pPr>
            <w:r>
              <w:rPr>
                <w:rFonts w:hint="eastAsia"/>
                <w:color w:val="auto"/>
                <w:sz w:val="21"/>
              </w:rPr>
              <w:t>-</w:t>
            </w:r>
          </w:p>
        </w:tc>
        <w:tc>
          <w:tcPr>
            <w:tcW w:w="715" w:type="pct"/>
            <w:tcBorders>
              <w:top w:val="single" w:color="auto" w:sz="4" w:space="0"/>
              <w:left w:val="single" w:color="auto" w:sz="4" w:space="0"/>
              <w:bottom w:val="single" w:color="auto" w:sz="4" w:space="0"/>
              <w:right w:val="single" w:color="auto" w:sz="4" w:space="0"/>
            </w:tcBorders>
            <w:vAlign w:val="center"/>
          </w:tcPr>
          <w:p w14:paraId="347D00F3">
            <w:pPr>
              <w:spacing w:line="240" w:lineRule="auto"/>
              <w:ind w:firstLine="0" w:firstLineChars="0"/>
              <w:jc w:val="center"/>
              <w:rPr>
                <w:rFonts w:hint="eastAsia"/>
                <w:color w:val="auto"/>
                <w:sz w:val="21"/>
              </w:rPr>
            </w:pPr>
            <w:r>
              <w:rPr>
                <w:rFonts w:hint="eastAsia"/>
                <w:color w:val="auto"/>
                <w:sz w:val="21"/>
              </w:rPr>
              <w:t>2</w:t>
            </w:r>
          </w:p>
        </w:tc>
      </w:tr>
      <w:tr w14:paraId="12F63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473D5239">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16882B07">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00E7689D">
            <w:pPr>
              <w:spacing w:line="240" w:lineRule="auto"/>
              <w:ind w:firstLine="0" w:firstLineChars="0"/>
              <w:jc w:val="center"/>
              <w:rPr>
                <w:color w:val="auto"/>
                <w:sz w:val="21"/>
              </w:rPr>
            </w:pPr>
          </w:p>
        </w:tc>
        <w:tc>
          <w:tcPr>
            <w:tcW w:w="714" w:type="pct"/>
            <w:tcBorders>
              <w:top w:val="single" w:color="auto" w:sz="4" w:space="0"/>
              <w:left w:val="single" w:color="auto" w:sz="4" w:space="0"/>
              <w:bottom w:val="single" w:color="auto" w:sz="4" w:space="0"/>
              <w:right w:val="single" w:color="auto" w:sz="4" w:space="0"/>
            </w:tcBorders>
            <w:vAlign w:val="center"/>
          </w:tcPr>
          <w:p w14:paraId="48A503EF">
            <w:pPr>
              <w:spacing w:line="240" w:lineRule="auto"/>
              <w:ind w:firstLine="0" w:firstLineChars="0"/>
              <w:jc w:val="center"/>
              <w:rPr>
                <w:rFonts w:hint="eastAsia"/>
                <w:color w:val="auto"/>
                <w:sz w:val="21"/>
              </w:rPr>
            </w:pPr>
            <w:r>
              <w:rPr>
                <w:rFonts w:hint="eastAsia"/>
                <w:color w:val="auto"/>
                <w:sz w:val="21"/>
              </w:rPr>
              <w:t>21～25</w:t>
            </w:r>
          </w:p>
        </w:tc>
        <w:tc>
          <w:tcPr>
            <w:tcW w:w="714" w:type="pct"/>
            <w:tcBorders>
              <w:top w:val="single" w:color="auto" w:sz="4" w:space="0"/>
              <w:left w:val="single" w:color="auto" w:sz="4" w:space="0"/>
              <w:bottom w:val="single" w:color="auto" w:sz="4" w:space="0"/>
              <w:right w:val="single" w:color="auto" w:sz="4" w:space="0"/>
            </w:tcBorders>
            <w:vAlign w:val="center"/>
          </w:tcPr>
          <w:p w14:paraId="7D94CACD">
            <w:pPr>
              <w:spacing w:line="240" w:lineRule="auto"/>
              <w:ind w:firstLine="0" w:firstLineChars="0"/>
              <w:jc w:val="center"/>
              <w:rPr>
                <w:rFonts w:hint="eastAsia"/>
                <w:color w:val="auto"/>
                <w:sz w:val="21"/>
              </w:rPr>
            </w:pPr>
            <w:r>
              <w:rPr>
                <w:rFonts w:hint="eastAsia"/>
                <w:color w:val="auto"/>
                <w:sz w:val="21"/>
              </w:rPr>
              <w:t>2</w:t>
            </w:r>
          </w:p>
        </w:tc>
        <w:tc>
          <w:tcPr>
            <w:tcW w:w="715" w:type="pct"/>
            <w:tcBorders>
              <w:top w:val="single" w:color="auto" w:sz="4" w:space="0"/>
              <w:left w:val="single" w:color="auto" w:sz="4" w:space="0"/>
              <w:bottom w:val="single" w:color="auto" w:sz="4" w:space="0"/>
              <w:right w:val="single" w:color="auto" w:sz="4" w:space="0"/>
            </w:tcBorders>
            <w:vAlign w:val="center"/>
          </w:tcPr>
          <w:p w14:paraId="5035241E">
            <w:pPr>
              <w:spacing w:line="240" w:lineRule="auto"/>
              <w:ind w:firstLine="0" w:firstLineChars="0"/>
              <w:jc w:val="center"/>
              <w:rPr>
                <w:rFonts w:hint="eastAsia"/>
                <w:color w:val="auto"/>
                <w:sz w:val="21"/>
              </w:rPr>
            </w:pPr>
            <w:r>
              <w:rPr>
                <w:rFonts w:hint="eastAsia"/>
                <w:color w:val="auto"/>
                <w:sz w:val="21"/>
              </w:rPr>
              <w:t>-</w:t>
            </w:r>
          </w:p>
        </w:tc>
        <w:tc>
          <w:tcPr>
            <w:tcW w:w="715" w:type="pct"/>
            <w:tcBorders>
              <w:top w:val="single" w:color="auto" w:sz="4" w:space="0"/>
              <w:left w:val="single" w:color="auto" w:sz="4" w:space="0"/>
              <w:bottom w:val="single" w:color="auto" w:sz="4" w:space="0"/>
              <w:right w:val="single" w:color="auto" w:sz="4" w:space="0"/>
            </w:tcBorders>
            <w:vAlign w:val="center"/>
          </w:tcPr>
          <w:p w14:paraId="21B7604D">
            <w:pPr>
              <w:spacing w:line="240" w:lineRule="auto"/>
              <w:ind w:firstLine="0" w:firstLineChars="0"/>
              <w:jc w:val="center"/>
              <w:rPr>
                <w:rFonts w:hint="eastAsia"/>
                <w:color w:val="auto"/>
                <w:sz w:val="21"/>
              </w:rPr>
            </w:pPr>
            <w:r>
              <w:rPr>
                <w:rFonts w:hint="eastAsia"/>
                <w:color w:val="auto"/>
                <w:sz w:val="21"/>
              </w:rPr>
              <w:t>2</w:t>
            </w:r>
          </w:p>
        </w:tc>
      </w:tr>
    </w:tbl>
    <w:p w14:paraId="0A7ACC6C">
      <w:pPr>
        <w:rPr>
          <w:rFonts w:hint="eastAsia"/>
          <w:color w:val="auto"/>
        </w:rPr>
      </w:pPr>
      <w:r>
        <w:rPr>
          <w:rFonts w:hint="eastAsia"/>
          <w:color w:val="auto"/>
        </w:rPr>
        <w:t>检验方法：现场清点检查。</w:t>
      </w:r>
    </w:p>
    <w:p w14:paraId="240101A2">
      <w:pPr>
        <w:rPr>
          <w:rFonts w:hint="eastAsia"/>
          <w:color w:val="auto"/>
        </w:rPr>
      </w:pPr>
      <w:r>
        <w:rPr>
          <w:rFonts w:hint="eastAsia"/>
          <w:color w:val="auto"/>
        </w:rPr>
        <w:t>散热器背面与装饰后的墙内表面安装距离，应符合设计或产品说明书要求。如设计无注明，应为30mm。</w:t>
      </w:r>
    </w:p>
    <w:p w14:paraId="55A878BF">
      <w:pPr>
        <w:rPr>
          <w:rFonts w:hint="eastAsia"/>
          <w:color w:val="auto"/>
        </w:rPr>
      </w:pPr>
      <w:r>
        <w:rPr>
          <w:rFonts w:hint="eastAsia"/>
          <w:color w:val="auto"/>
        </w:rPr>
        <w:t>检验方法：尺量检查。</w:t>
      </w:r>
    </w:p>
    <w:p w14:paraId="3B2D0982">
      <w:pPr>
        <w:rPr>
          <w:rFonts w:hint="eastAsia"/>
          <w:color w:val="auto"/>
        </w:rPr>
      </w:pPr>
      <w:r>
        <w:rPr>
          <w:rFonts w:hint="eastAsia"/>
          <w:color w:val="auto"/>
        </w:rPr>
        <w:t>散热器安装允许偏差应符合下表中规定：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
        <w:gridCol w:w="3976"/>
        <w:gridCol w:w="2374"/>
        <w:gridCol w:w="1817"/>
      </w:tblGrid>
      <w:tr w14:paraId="0D029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3" w:type="pct"/>
            <w:tcBorders>
              <w:top w:val="single" w:color="auto" w:sz="4" w:space="0"/>
              <w:left w:val="single" w:color="auto" w:sz="4" w:space="0"/>
              <w:bottom w:val="single" w:color="auto" w:sz="4" w:space="0"/>
              <w:right w:val="single" w:color="auto" w:sz="4" w:space="0"/>
            </w:tcBorders>
            <w:vAlign w:val="center"/>
          </w:tcPr>
          <w:p w14:paraId="49D29D10">
            <w:pPr>
              <w:spacing w:line="240" w:lineRule="auto"/>
              <w:ind w:firstLine="0" w:firstLineChars="0"/>
              <w:jc w:val="center"/>
              <w:rPr>
                <w:rFonts w:hint="eastAsia"/>
                <w:color w:val="auto"/>
                <w:sz w:val="21"/>
              </w:rPr>
            </w:pPr>
            <w:r>
              <w:rPr>
                <w:rFonts w:hint="eastAsia"/>
                <w:color w:val="auto"/>
                <w:sz w:val="21"/>
              </w:rPr>
              <w:t>项次</w:t>
            </w:r>
          </w:p>
        </w:tc>
        <w:tc>
          <w:tcPr>
            <w:tcW w:w="2194" w:type="pct"/>
            <w:tcBorders>
              <w:top w:val="single" w:color="auto" w:sz="4" w:space="0"/>
              <w:left w:val="single" w:color="auto" w:sz="4" w:space="0"/>
              <w:bottom w:val="single" w:color="auto" w:sz="4" w:space="0"/>
              <w:right w:val="single" w:color="auto" w:sz="4" w:space="0"/>
            </w:tcBorders>
            <w:vAlign w:val="center"/>
          </w:tcPr>
          <w:p w14:paraId="2FE04AAD">
            <w:pPr>
              <w:spacing w:line="240" w:lineRule="auto"/>
              <w:ind w:firstLine="0" w:firstLineChars="0"/>
              <w:jc w:val="center"/>
              <w:rPr>
                <w:rFonts w:hint="eastAsia"/>
                <w:color w:val="auto"/>
                <w:sz w:val="21"/>
              </w:rPr>
            </w:pPr>
            <w:r>
              <w:rPr>
                <w:rFonts w:hint="eastAsia"/>
                <w:color w:val="auto"/>
                <w:sz w:val="21"/>
              </w:rPr>
              <w:t>项目</w:t>
            </w:r>
          </w:p>
        </w:tc>
        <w:tc>
          <w:tcPr>
            <w:tcW w:w="1310" w:type="pct"/>
            <w:tcBorders>
              <w:top w:val="single" w:color="auto" w:sz="4" w:space="0"/>
              <w:left w:val="single" w:color="auto" w:sz="4" w:space="0"/>
              <w:bottom w:val="single" w:color="auto" w:sz="4" w:space="0"/>
              <w:right w:val="single" w:color="auto" w:sz="4" w:space="0"/>
            </w:tcBorders>
            <w:vAlign w:val="center"/>
          </w:tcPr>
          <w:p w14:paraId="4A9D9CD9">
            <w:pPr>
              <w:spacing w:line="240" w:lineRule="auto"/>
              <w:ind w:firstLine="0" w:firstLineChars="0"/>
              <w:jc w:val="center"/>
              <w:rPr>
                <w:rFonts w:hint="eastAsia"/>
                <w:color w:val="auto"/>
                <w:sz w:val="21"/>
              </w:rPr>
            </w:pPr>
            <w:r>
              <w:rPr>
                <w:rFonts w:hint="eastAsia"/>
                <w:color w:val="auto"/>
                <w:sz w:val="21"/>
              </w:rPr>
              <w:t>允许偏差（m）</w:t>
            </w:r>
          </w:p>
        </w:tc>
        <w:tc>
          <w:tcPr>
            <w:tcW w:w="1003" w:type="pct"/>
            <w:tcBorders>
              <w:top w:val="single" w:color="auto" w:sz="4" w:space="0"/>
              <w:left w:val="single" w:color="auto" w:sz="4" w:space="0"/>
              <w:bottom w:val="single" w:color="auto" w:sz="4" w:space="0"/>
              <w:right w:val="single" w:color="auto" w:sz="4" w:space="0"/>
            </w:tcBorders>
            <w:vAlign w:val="center"/>
          </w:tcPr>
          <w:p w14:paraId="1B970E0C">
            <w:pPr>
              <w:spacing w:line="240" w:lineRule="auto"/>
              <w:ind w:firstLine="0" w:firstLineChars="0"/>
              <w:jc w:val="center"/>
              <w:rPr>
                <w:rFonts w:hint="eastAsia"/>
                <w:color w:val="auto"/>
                <w:sz w:val="21"/>
              </w:rPr>
            </w:pPr>
            <w:r>
              <w:rPr>
                <w:rFonts w:hint="eastAsia"/>
                <w:color w:val="auto"/>
                <w:sz w:val="21"/>
              </w:rPr>
              <w:t>检验方法</w:t>
            </w:r>
          </w:p>
        </w:tc>
      </w:tr>
      <w:tr w14:paraId="54409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3" w:type="pct"/>
            <w:tcBorders>
              <w:top w:val="single" w:color="auto" w:sz="4" w:space="0"/>
              <w:left w:val="single" w:color="auto" w:sz="4" w:space="0"/>
              <w:bottom w:val="single" w:color="auto" w:sz="4" w:space="0"/>
              <w:right w:val="single" w:color="auto" w:sz="4" w:space="0"/>
            </w:tcBorders>
            <w:vAlign w:val="center"/>
          </w:tcPr>
          <w:p w14:paraId="37018700">
            <w:pPr>
              <w:spacing w:line="240" w:lineRule="auto"/>
              <w:ind w:firstLine="0" w:firstLineChars="0"/>
              <w:jc w:val="center"/>
              <w:rPr>
                <w:rFonts w:hint="eastAsia"/>
                <w:color w:val="auto"/>
                <w:sz w:val="21"/>
              </w:rPr>
            </w:pPr>
            <w:r>
              <w:rPr>
                <w:rFonts w:hint="eastAsia"/>
                <w:color w:val="auto"/>
                <w:sz w:val="21"/>
              </w:rPr>
              <w:t>1</w:t>
            </w:r>
          </w:p>
        </w:tc>
        <w:tc>
          <w:tcPr>
            <w:tcW w:w="2194" w:type="pct"/>
            <w:tcBorders>
              <w:top w:val="single" w:color="auto" w:sz="4" w:space="0"/>
              <w:left w:val="single" w:color="auto" w:sz="4" w:space="0"/>
              <w:bottom w:val="single" w:color="auto" w:sz="4" w:space="0"/>
              <w:right w:val="single" w:color="auto" w:sz="4" w:space="0"/>
            </w:tcBorders>
            <w:vAlign w:val="center"/>
          </w:tcPr>
          <w:p w14:paraId="50A4EA15">
            <w:pPr>
              <w:spacing w:line="240" w:lineRule="auto"/>
              <w:ind w:firstLine="0" w:firstLineChars="0"/>
              <w:jc w:val="center"/>
              <w:rPr>
                <w:rFonts w:hint="eastAsia"/>
                <w:color w:val="auto"/>
                <w:sz w:val="21"/>
              </w:rPr>
            </w:pPr>
            <w:r>
              <w:rPr>
                <w:rFonts w:hint="eastAsia"/>
                <w:color w:val="auto"/>
                <w:sz w:val="21"/>
              </w:rPr>
              <w:t>散热器背面与墙内表面距离</w:t>
            </w:r>
          </w:p>
        </w:tc>
        <w:tc>
          <w:tcPr>
            <w:tcW w:w="1310" w:type="pct"/>
            <w:tcBorders>
              <w:top w:val="single" w:color="auto" w:sz="4" w:space="0"/>
              <w:left w:val="single" w:color="auto" w:sz="4" w:space="0"/>
              <w:bottom w:val="single" w:color="auto" w:sz="4" w:space="0"/>
              <w:right w:val="single" w:color="auto" w:sz="4" w:space="0"/>
            </w:tcBorders>
            <w:vAlign w:val="center"/>
          </w:tcPr>
          <w:p w14:paraId="61B514B9">
            <w:pPr>
              <w:spacing w:line="240" w:lineRule="auto"/>
              <w:ind w:firstLine="0" w:firstLineChars="0"/>
              <w:jc w:val="center"/>
              <w:rPr>
                <w:rFonts w:hint="eastAsia"/>
                <w:color w:val="auto"/>
                <w:sz w:val="21"/>
              </w:rPr>
            </w:pPr>
            <w:r>
              <w:rPr>
                <w:rFonts w:hint="eastAsia"/>
                <w:color w:val="auto"/>
                <w:sz w:val="21"/>
              </w:rPr>
              <w:t>3</w:t>
            </w:r>
          </w:p>
        </w:tc>
        <w:tc>
          <w:tcPr>
            <w:tcW w:w="1003" w:type="pct"/>
            <w:vMerge w:val="restart"/>
            <w:tcBorders>
              <w:top w:val="nil"/>
              <w:left w:val="single" w:color="auto" w:sz="4" w:space="0"/>
              <w:bottom w:val="single" w:color="auto" w:sz="4" w:space="0"/>
              <w:right w:val="single" w:color="auto" w:sz="4" w:space="0"/>
            </w:tcBorders>
            <w:vAlign w:val="center"/>
          </w:tcPr>
          <w:p w14:paraId="7AE8E907">
            <w:pPr>
              <w:spacing w:line="240" w:lineRule="auto"/>
              <w:ind w:firstLine="0" w:firstLineChars="0"/>
              <w:jc w:val="center"/>
              <w:rPr>
                <w:rFonts w:hint="eastAsia"/>
                <w:color w:val="auto"/>
                <w:sz w:val="21"/>
              </w:rPr>
            </w:pPr>
            <w:r>
              <w:rPr>
                <w:rFonts w:hint="eastAsia"/>
                <w:color w:val="auto"/>
                <w:sz w:val="21"/>
              </w:rPr>
              <w:t>尺量</w:t>
            </w:r>
          </w:p>
        </w:tc>
      </w:tr>
      <w:tr w14:paraId="153B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3" w:type="pct"/>
            <w:tcBorders>
              <w:top w:val="single" w:color="auto" w:sz="4" w:space="0"/>
              <w:left w:val="single" w:color="auto" w:sz="4" w:space="0"/>
              <w:bottom w:val="single" w:color="auto" w:sz="4" w:space="0"/>
              <w:right w:val="single" w:color="auto" w:sz="4" w:space="0"/>
            </w:tcBorders>
            <w:vAlign w:val="center"/>
          </w:tcPr>
          <w:p w14:paraId="4D608734">
            <w:pPr>
              <w:spacing w:line="240" w:lineRule="auto"/>
              <w:ind w:firstLine="0" w:firstLineChars="0"/>
              <w:jc w:val="center"/>
              <w:rPr>
                <w:rFonts w:hint="eastAsia"/>
                <w:color w:val="auto"/>
                <w:sz w:val="21"/>
              </w:rPr>
            </w:pPr>
            <w:r>
              <w:rPr>
                <w:rFonts w:hint="eastAsia"/>
                <w:color w:val="auto"/>
                <w:sz w:val="21"/>
              </w:rPr>
              <w:t>2</w:t>
            </w:r>
          </w:p>
        </w:tc>
        <w:tc>
          <w:tcPr>
            <w:tcW w:w="2194" w:type="pct"/>
            <w:tcBorders>
              <w:top w:val="single" w:color="auto" w:sz="4" w:space="0"/>
              <w:left w:val="single" w:color="auto" w:sz="4" w:space="0"/>
              <w:bottom w:val="single" w:color="auto" w:sz="4" w:space="0"/>
              <w:right w:val="single" w:color="auto" w:sz="4" w:space="0"/>
            </w:tcBorders>
            <w:vAlign w:val="center"/>
          </w:tcPr>
          <w:p w14:paraId="0B2FBF3E">
            <w:pPr>
              <w:spacing w:line="240" w:lineRule="auto"/>
              <w:ind w:firstLine="0" w:firstLineChars="0"/>
              <w:jc w:val="center"/>
              <w:rPr>
                <w:rFonts w:hint="eastAsia"/>
                <w:color w:val="auto"/>
                <w:sz w:val="21"/>
              </w:rPr>
            </w:pPr>
            <w:r>
              <w:rPr>
                <w:rFonts w:hint="eastAsia"/>
                <w:color w:val="auto"/>
                <w:sz w:val="21"/>
              </w:rPr>
              <w:t>与窗中心线或设计定位尺寸</w:t>
            </w:r>
          </w:p>
        </w:tc>
        <w:tc>
          <w:tcPr>
            <w:tcW w:w="1310" w:type="pct"/>
            <w:tcBorders>
              <w:top w:val="single" w:color="auto" w:sz="4" w:space="0"/>
              <w:left w:val="single" w:color="auto" w:sz="4" w:space="0"/>
              <w:bottom w:val="single" w:color="auto" w:sz="4" w:space="0"/>
              <w:right w:val="single" w:color="auto" w:sz="4" w:space="0"/>
            </w:tcBorders>
            <w:vAlign w:val="center"/>
          </w:tcPr>
          <w:p w14:paraId="41C86FD6">
            <w:pPr>
              <w:spacing w:line="240" w:lineRule="auto"/>
              <w:ind w:firstLine="0" w:firstLineChars="0"/>
              <w:jc w:val="center"/>
              <w:rPr>
                <w:rFonts w:hint="eastAsia"/>
                <w:color w:val="auto"/>
                <w:sz w:val="21"/>
              </w:rPr>
            </w:pPr>
            <w:r>
              <w:rPr>
                <w:rFonts w:hint="eastAsia"/>
                <w:color w:val="auto"/>
                <w:sz w:val="21"/>
              </w:rPr>
              <w:t>20</w:t>
            </w:r>
          </w:p>
        </w:tc>
        <w:tc>
          <w:tcPr>
            <w:tcW w:w="0" w:type="auto"/>
            <w:vMerge w:val="continue"/>
            <w:tcBorders>
              <w:top w:val="nil"/>
              <w:left w:val="single" w:color="auto" w:sz="4" w:space="0"/>
              <w:bottom w:val="single" w:color="auto" w:sz="4" w:space="0"/>
              <w:right w:val="single" w:color="auto" w:sz="4" w:space="0"/>
            </w:tcBorders>
            <w:vAlign w:val="center"/>
          </w:tcPr>
          <w:p w14:paraId="41773511">
            <w:pPr>
              <w:spacing w:line="240" w:lineRule="auto"/>
              <w:ind w:firstLine="0" w:firstLineChars="0"/>
              <w:jc w:val="center"/>
              <w:rPr>
                <w:color w:val="auto"/>
                <w:sz w:val="21"/>
              </w:rPr>
            </w:pPr>
          </w:p>
        </w:tc>
      </w:tr>
      <w:tr w14:paraId="236E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3" w:type="pct"/>
            <w:tcBorders>
              <w:top w:val="single" w:color="auto" w:sz="4" w:space="0"/>
              <w:left w:val="single" w:color="auto" w:sz="4" w:space="0"/>
              <w:bottom w:val="single" w:color="auto" w:sz="4" w:space="0"/>
              <w:right w:val="single" w:color="auto" w:sz="4" w:space="0"/>
            </w:tcBorders>
            <w:vAlign w:val="center"/>
          </w:tcPr>
          <w:p w14:paraId="2AE528C0">
            <w:pPr>
              <w:spacing w:line="240" w:lineRule="auto"/>
              <w:ind w:firstLine="0" w:firstLineChars="0"/>
              <w:jc w:val="center"/>
              <w:rPr>
                <w:rFonts w:hint="eastAsia"/>
                <w:color w:val="auto"/>
                <w:sz w:val="21"/>
              </w:rPr>
            </w:pPr>
            <w:r>
              <w:rPr>
                <w:rFonts w:hint="eastAsia"/>
                <w:color w:val="auto"/>
                <w:sz w:val="21"/>
              </w:rPr>
              <w:t>3</w:t>
            </w:r>
          </w:p>
        </w:tc>
        <w:tc>
          <w:tcPr>
            <w:tcW w:w="2194" w:type="pct"/>
            <w:tcBorders>
              <w:top w:val="single" w:color="auto" w:sz="4" w:space="0"/>
              <w:left w:val="single" w:color="auto" w:sz="4" w:space="0"/>
              <w:bottom w:val="single" w:color="auto" w:sz="4" w:space="0"/>
              <w:right w:val="single" w:color="auto" w:sz="4" w:space="0"/>
            </w:tcBorders>
            <w:vAlign w:val="center"/>
          </w:tcPr>
          <w:p w14:paraId="345912C3">
            <w:pPr>
              <w:spacing w:line="240" w:lineRule="auto"/>
              <w:ind w:firstLine="0" w:firstLineChars="0"/>
              <w:jc w:val="center"/>
              <w:rPr>
                <w:rFonts w:hint="eastAsia"/>
                <w:color w:val="auto"/>
                <w:sz w:val="21"/>
              </w:rPr>
            </w:pPr>
            <w:r>
              <w:rPr>
                <w:rFonts w:hint="eastAsia"/>
                <w:color w:val="auto"/>
                <w:sz w:val="21"/>
              </w:rPr>
              <w:t>散热器垂直度</w:t>
            </w:r>
          </w:p>
        </w:tc>
        <w:tc>
          <w:tcPr>
            <w:tcW w:w="1310" w:type="pct"/>
            <w:tcBorders>
              <w:top w:val="single" w:color="auto" w:sz="4" w:space="0"/>
              <w:left w:val="single" w:color="auto" w:sz="4" w:space="0"/>
              <w:bottom w:val="single" w:color="auto" w:sz="4" w:space="0"/>
              <w:right w:val="single" w:color="auto" w:sz="4" w:space="0"/>
            </w:tcBorders>
            <w:vAlign w:val="center"/>
          </w:tcPr>
          <w:p w14:paraId="5831817B">
            <w:pPr>
              <w:spacing w:line="240" w:lineRule="auto"/>
              <w:ind w:firstLine="0" w:firstLineChars="0"/>
              <w:jc w:val="center"/>
              <w:rPr>
                <w:rFonts w:hint="eastAsia"/>
                <w:color w:val="auto"/>
                <w:sz w:val="21"/>
              </w:rPr>
            </w:pPr>
            <w:r>
              <w:rPr>
                <w:rFonts w:hint="eastAsia"/>
                <w:color w:val="auto"/>
                <w:sz w:val="21"/>
              </w:rPr>
              <w:t>3</w:t>
            </w:r>
          </w:p>
        </w:tc>
        <w:tc>
          <w:tcPr>
            <w:tcW w:w="1003" w:type="pct"/>
            <w:tcBorders>
              <w:top w:val="single" w:color="auto" w:sz="4" w:space="0"/>
              <w:left w:val="single" w:color="auto" w:sz="4" w:space="0"/>
              <w:bottom w:val="single" w:color="auto" w:sz="4" w:space="0"/>
              <w:right w:val="single" w:color="auto" w:sz="4" w:space="0"/>
            </w:tcBorders>
            <w:vAlign w:val="center"/>
          </w:tcPr>
          <w:p w14:paraId="7E411FD3">
            <w:pPr>
              <w:spacing w:line="240" w:lineRule="auto"/>
              <w:ind w:firstLine="0" w:firstLineChars="0"/>
              <w:jc w:val="center"/>
              <w:rPr>
                <w:rFonts w:hint="eastAsia"/>
                <w:color w:val="auto"/>
                <w:sz w:val="21"/>
              </w:rPr>
            </w:pPr>
            <w:r>
              <w:rPr>
                <w:rFonts w:hint="eastAsia"/>
                <w:color w:val="auto"/>
                <w:sz w:val="21"/>
              </w:rPr>
              <w:t>吊线和尺量</w:t>
            </w:r>
          </w:p>
        </w:tc>
      </w:tr>
    </w:tbl>
    <w:p w14:paraId="6FC1818B">
      <w:pPr>
        <w:rPr>
          <w:rFonts w:hint="eastAsia"/>
          <w:color w:val="auto"/>
        </w:rPr>
      </w:pPr>
      <w:r>
        <w:rPr>
          <w:rFonts w:hint="eastAsia"/>
          <w:color w:val="auto"/>
        </w:rPr>
        <w:t>铸铁或钢制散热器表面的防腐及面漆应附着良好，色泽均匀，无脱落、起泡、流淌和漏涂缺陷。</w:t>
      </w:r>
    </w:p>
    <w:p w14:paraId="6D93978C">
      <w:pPr>
        <w:rPr>
          <w:rFonts w:hint="eastAsia"/>
          <w:color w:val="auto"/>
        </w:rPr>
      </w:pPr>
      <w:r>
        <w:rPr>
          <w:rFonts w:hint="eastAsia"/>
          <w:color w:val="auto"/>
        </w:rPr>
        <w:t>检验方法：现场观察。</w:t>
      </w:r>
    </w:p>
    <w:p w14:paraId="5229BEFC">
      <w:pPr>
        <w:rPr>
          <w:rFonts w:hint="eastAsia"/>
          <w:color w:val="auto"/>
        </w:rPr>
      </w:pPr>
      <w:r>
        <w:rPr>
          <w:rFonts w:hint="eastAsia"/>
          <w:color w:val="auto"/>
        </w:rPr>
        <w:t>（12）金属辐射板安装：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77"/>
        <w:gridCol w:w="5519"/>
        <w:gridCol w:w="2438"/>
      </w:tblGrid>
      <w:tr w14:paraId="21C3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26909D65">
            <w:pPr>
              <w:spacing w:line="240" w:lineRule="auto"/>
              <w:ind w:firstLine="0" w:firstLineChars="0"/>
              <w:jc w:val="center"/>
              <w:rPr>
                <w:rFonts w:hint="eastAsia"/>
                <w:color w:val="auto"/>
                <w:sz w:val="21"/>
              </w:rPr>
            </w:pPr>
            <w:r>
              <w:rPr>
                <w:rFonts w:hint="eastAsia"/>
                <w:color w:val="auto"/>
                <w:sz w:val="21"/>
              </w:rPr>
              <w:t>序号</w:t>
            </w:r>
          </w:p>
        </w:tc>
        <w:tc>
          <w:tcPr>
            <w:tcW w:w="382" w:type="pct"/>
            <w:tcBorders>
              <w:top w:val="single" w:color="auto" w:sz="4" w:space="0"/>
              <w:left w:val="single" w:color="auto" w:sz="4" w:space="0"/>
              <w:bottom w:val="single" w:color="auto" w:sz="4" w:space="0"/>
              <w:right w:val="single" w:color="auto" w:sz="4" w:space="0"/>
            </w:tcBorders>
            <w:vAlign w:val="center"/>
          </w:tcPr>
          <w:p w14:paraId="14F2E8FC">
            <w:pPr>
              <w:spacing w:line="240" w:lineRule="auto"/>
              <w:ind w:firstLine="0" w:firstLineChars="0"/>
              <w:jc w:val="center"/>
              <w:rPr>
                <w:rFonts w:hint="eastAsia"/>
                <w:color w:val="auto"/>
                <w:sz w:val="21"/>
              </w:rPr>
            </w:pPr>
            <w:r>
              <w:rPr>
                <w:rFonts w:hint="eastAsia"/>
                <w:color w:val="auto"/>
                <w:sz w:val="21"/>
              </w:rPr>
              <w:t>项目类型</w:t>
            </w:r>
          </w:p>
        </w:tc>
        <w:tc>
          <w:tcPr>
            <w:tcW w:w="3054" w:type="pct"/>
            <w:tcBorders>
              <w:top w:val="single" w:color="auto" w:sz="4" w:space="0"/>
              <w:left w:val="single" w:color="auto" w:sz="4" w:space="0"/>
              <w:bottom w:val="single" w:color="auto" w:sz="4" w:space="0"/>
              <w:right w:val="single" w:color="auto" w:sz="4" w:space="0"/>
            </w:tcBorders>
            <w:vAlign w:val="center"/>
          </w:tcPr>
          <w:p w14:paraId="45E0D55A">
            <w:pPr>
              <w:spacing w:line="240" w:lineRule="auto"/>
              <w:ind w:firstLine="0" w:firstLineChars="0"/>
              <w:jc w:val="center"/>
              <w:rPr>
                <w:rFonts w:hint="eastAsia"/>
                <w:color w:val="auto"/>
                <w:sz w:val="21"/>
              </w:rPr>
            </w:pPr>
            <w:r>
              <w:rPr>
                <w:rFonts w:hint="eastAsia"/>
                <w:color w:val="auto"/>
                <w:sz w:val="21"/>
              </w:rPr>
              <w:t>内容</w:t>
            </w:r>
          </w:p>
        </w:tc>
        <w:tc>
          <w:tcPr>
            <w:tcW w:w="1353" w:type="pct"/>
            <w:tcBorders>
              <w:top w:val="single" w:color="auto" w:sz="4" w:space="0"/>
              <w:left w:val="single" w:color="auto" w:sz="4" w:space="0"/>
              <w:bottom w:val="single" w:color="auto" w:sz="4" w:space="0"/>
              <w:right w:val="single" w:color="auto" w:sz="4" w:space="0"/>
            </w:tcBorders>
            <w:vAlign w:val="center"/>
          </w:tcPr>
          <w:p w14:paraId="5D65B450">
            <w:pPr>
              <w:spacing w:line="240" w:lineRule="auto"/>
              <w:ind w:firstLine="0" w:firstLineChars="0"/>
              <w:jc w:val="center"/>
              <w:rPr>
                <w:rFonts w:hint="eastAsia"/>
                <w:color w:val="auto"/>
                <w:sz w:val="21"/>
              </w:rPr>
            </w:pPr>
            <w:r>
              <w:rPr>
                <w:rFonts w:hint="eastAsia"/>
                <w:color w:val="auto"/>
                <w:sz w:val="21"/>
              </w:rPr>
              <w:t>检验方法</w:t>
            </w:r>
          </w:p>
        </w:tc>
      </w:tr>
      <w:tr w14:paraId="4991F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59950324">
            <w:pPr>
              <w:spacing w:line="240" w:lineRule="auto"/>
              <w:ind w:firstLine="0" w:firstLineChars="0"/>
              <w:jc w:val="center"/>
              <w:rPr>
                <w:rFonts w:hint="eastAsia"/>
                <w:color w:val="auto"/>
                <w:sz w:val="21"/>
              </w:rPr>
            </w:pPr>
            <w:r>
              <w:rPr>
                <w:rFonts w:hint="eastAsia"/>
                <w:color w:val="auto"/>
                <w:sz w:val="21"/>
              </w:rPr>
              <w:t>1</w:t>
            </w:r>
          </w:p>
        </w:tc>
        <w:tc>
          <w:tcPr>
            <w:tcW w:w="382" w:type="pct"/>
            <w:vMerge w:val="restart"/>
            <w:tcBorders>
              <w:top w:val="nil"/>
              <w:left w:val="single" w:color="auto" w:sz="4" w:space="0"/>
              <w:bottom w:val="single" w:color="auto" w:sz="4" w:space="0"/>
              <w:right w:val="single" w:color="auto" w:sz="4" w:space="0"/>
            </w:tcBorders>
            <w:vAlign w:val="center"/>
          </w:tcPr>
          <w:p w14:paraId="44A6608F">
            <w:pPr>
              <w:spacing w:line="240" w:lineRule="auto"/>
              <w:ind w:firstLine="0" w:firstLineChars="0"/>
              <w:jc w:val="center"/>
              <w:rPr>
                <w:rFonts w:hint="eastAsia"/>
                <w:color w:val="auto"/>
                <w:sz w:val="21"/>
              </w:rPr>
            </w:pPr>
            <w:r>
              <w:rPr>
                <w:rFonts w:hint="eastAsia"/>
                <w:color w:val="auto"/>
                <w:sz w:val="21"/>
              </w:rPr>
              <w:t>主控项目</w:t>
            </w:r>
          </w:p>
        </w:tc>
        <w:tc>
          <w:tcPr>
            <w:tcW w:w="3054" w:type="pct"/>
            <w:tcBorders>
              <w:top w:val="single" w:color="auto" w:sz="4" w:space="0"/>
              <w:left w:val="single" w:color="auto" w:sz="4" w:space="0"/>
              <w:bottom w:val="single" w:color="auto" w:sz="4" w:space="0"/>
              <w:right w:val="single" w:color="auto" w:sz="4" w:space="0"/>
            </w:tcBorders>
            <w:vAlign w:val="center"/>
          </w:tcPr>
          <w:p w14:paraId="3DD317AE">
            <w:pPr>
              <w:spacing w:line="240" w:lineRule="auto"/>
              <w:ind w:firstLine="0" w:firstLineChars="0"/>
              <w:jc w:val="center"/>
              <w:rPr>
                <w:rFonts w:hint="eastAsia"/>
                <w:color w:val="auto"/>
                <w:sz w:val="21"/>
              </w:rPr>
            </w:pPr>
            <w:r>
              <w:rPr>
                <w:rFonts w:hint="eastAsia"/>
                <w:color w:val="auto"/>
                <w:sz w:val="21"/>
              </w:rPr>
              <w:t>辐射板在安装前应作水压试验，如设计无要求时试验压力应为工作压力1.5倍，但不得小于0.6Mpa。</w:t>
            </w:r>
          </w:p>
        </w:tc>
        <w:tc>
          <w:tcPr>
            <w:tcW w:w="1353" w:type="pct"/>
            <w:tcBorders>
              <w:top w:val="single" w:color="auto" w:sz="4" w:space="0"/>
              <w:left w:val="single" w:color="auto" w:sz="4" w:space="0"/>
              <w:bottom w:val="single" w:color="auto" w:sz="4" w:space="0"/>
              <w:right w:val="single" w:color="auto" w:sz="4" w:space="0"/>
            </w:tcBorders>
            <w:vAlign w:val="center"/>
          </w:tcPr>
          <w:p w14:paraId="66403DDC">
            <w:pPr>
              <w:spacing w:line="240" w:lineRule="auto"/>
              <w:ind w:firstLine="0" w:firstLineChars="0"/>
              <w:jc w:val="center"/>
              <w:rPr>
                <w:rFonts w:hint="eastAsia"/>
                <w:color w:val="auto"/>
                <w:sz w:val="21"/>
              </w:rPr>
            </w:pPr>
            <w:r>
              <w:rPr>
                <w:rFonts w:hint="eastAsia"/>
                <w:color w:val="auto"/>
                <w:sz w:val="21"/>
              </w:rPr>
              <w:t>试验压力下2～3min压力不降且不渗不漏</w:t>
            </w:r>
          </w:p>
        </w:tc>
      </w:tr>
      <w:tr w14:paraId="4C17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00C976F4">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4BE53047">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3279F221">
            <w:pPr>
              <w:spacing w:line="240" w:lineRule="auto"/>
              <w:ind w:firstLine="0" w:firstLineChars="0"/>
              <w:jc w:val="center"/>
              <w:rPr>
                <w:rFonts w:hint="eastAsia"/>
                <w:color w:val="auto"/>
                <w:sz w:val="21"/>
              </w:rPr>
            </w:pPr>
            <w:r>
              <w:rPr>
                <w:rFonts w:hint="eastAsia"/>
                <w:color w:val="auto"/>
                <w:sz w:val="21"/>
              </w:rPr>
              <w:t>水平安装的辐射扳应有不小于5%的坡度坡向回水管。</w:t>
            </w:r>
          </w:p>
        </w:tc>
        <w:tc>
          <w:tcPr>
            <w:tcW w:w="1353" w:type="pct"/>
            <w:tcBorders>
              <w:top w:val="single" w:color="auto" w:sz="4" w:space="0"/>
              <w:left w:val="single" w:color="auto" w:sz="4" w:space="0"/>
              <w:bottom w:val="single" w:color="auto" w:sz="4" w:space="0"/>
              <w:right w:val="single" w:color="auto" w:sz="4" w:space="0"/>
            </w:tcBorders>
            <w:vAlign w:val="center"/>
          </w:tcPr>
          <w:p w14:paraId="0B4AB53B">
            <w:pPr>
              <w:spacing w:line="240" w:lineRule="auto"/>
              <w:ind w:firstLine="0" w:firstLineChars="0"/>
              <w:jc w:val="center"/>
              <w:rPr>
                <w:rFonts w:hint="eastAsia"/>
                <w:color w:val="auto"/>
                <w:sz w:val="21"/>
              </w:rPr>
            </w:pPr>
            <w:r>
              <w:rPr>
                <w:rFonts w:hint="eastAsia"/>
                <w:color w:val="auto"/>
                <w:sz w:val="21"/>
              </w:rPr>
              <w:t>水平尺、拉线和尺量检查</w:t>
            </w:r>
          </w:p>
        </w:tc>
      </w:tr>
      <w:tr w14:paraId="08590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36B38534">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2009E71F">
            <w:pPr>
              <w:spacing w:line="240" w:lineRule="auto"/>
              <w:ind w:firstLine="0" w:firstLineChars="0"/>
              <w:jc w:val="center"/>
              <w:rPr>
                <w:color w:val="auto"/>
                <w:sz w:val="21"/>
              </w:rPr>
            </w:pPr>
          </w:p>
        </w:tc>
        <w:tc>
          <w:tcPr>
            <w:tcW w:w="3054" w:type="pct"/>
            <w:tcBorders>
              <w:top w:val="single" w:color="auto" w:sz="4" w:space="0"/>
              <w:left w:val="single" w:color="auto" w:sz="4" w:space="0"/>
              <w:bottom w:val="single" w:color="auto" w:sz="4" w:space="0"/>
              <w:right w:val="single" w:color="auto" w:sz="4" w:space="0"/>
            </w:tcBorders>
            <w:vAlign w:val="center"/>
          </w:tcPr>
          <w:p w14:paraId="36F451D3">
            <w:pPr>
              <w:spacing w:line="240" w:lineRule="auto"/>
              <w:ind w:firstLine="0" w:firstLineChars="0"/>
              <w:jc w:val="center"/>
              <w:rPr>
                <w:rFonts w:hint="eastAsia"/>
                <w:color w:val="auto"/>
                <w:sz w:val="21"/>
              </w:rPr>
            </w:pPr>
            <w:r>
              <w:rPr>
                <w:rFonts w:hint="eastAsia"/>
                <w:color w:val="auto"/>
                <w:sz w:val="21"/>
              </w:rPr>
              <w:t>辐射板管道及带状辐射板之间的连接，应使用法兰连接。</w:t>
            </w:r>
          </w:p>
        </w:tc>
        <w:tc>
          <w:tcPr>
            <w:tcW w:w="1353" w:type="pct"/>
            <w:tcBorders>
              <w:top w:val="single" w:color="auto" w:sz="4" w:space="0"/>
              <w:left w:val="single" w:color="auto" w:sz="4" w:space="0"/>
              <w:bottom w:val="single" w:color="auto" w:sz="4" w:space="0"/>
              <w:right w:val="single" w:color="auto" w:sz="4" w:space="0"/>
            </w:tcBorders>
            <w:vAlign w:val="center"/>
          </w:tcPr>
          <w:p w14:paraId="55F3E305">
            <w:pPr>
              <w:spacing w:line="240" w:lineRule="auto"/>
              <w:ind w:firstLine="0" w:firstLineChars="0"/>
              <w:jc w:val="center"/>
              <w:rPr>
                <w:rFonts w:hint="eastAsia"/>
                <w:color w:val="auto"/>
                <w:sz w:val="21"/>
              </w:rPr>
            </w:pPr>
            <w:r>
              <w:rPr>
                <w:rFonts w:hint="eastAsia"/>
                <w:color w:val="auto"/>
                <w:sz w:val="21"/>
              </w:rPr>
              <w:t>观察检查</w:t>
            </w:r>
          </w:p>
        </w:tc>
      </w:tr>
    </w:tbl>
    <w:p w14:paraId="5AB01C69">
      <w:pPr>
        <w:rPr>
          <w:rFonts w:hint="eastAsia"/>
          <w:color w:val="auto"/>
        </w:rPr>
      </w:pPr>
      <w:r>
        <w:rPr>
          <w:rFonts w:hint="eastAsia"/>
          <w:color w:val="auto"/>
        </w:rPr>
        <w:t>（13）低温热水地板辐射系网系统安装。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2"/>
        <w:gridCol w:w="690"/>
        <w:gridCol w:w="5396"/>
        <w:gridCol w:w="2452"/>
      </w:tblGrid>
      <w:tr w14:paraId="6ABE9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313ED05F">
            <w:pPr>
              <w:spacing w:line="240" w:lineRule="auto"/>
              <w:ind w:firstLine="0" w:firstLineChars="0"/>
              <w:jc w:val="center"/>
              <w:rPr>
                <w:rFonts w:hint="eastAsia"/>
                <w:color w:val="auto"/>
                <w:sz w:val="21"/>
              </w:rPr>
            </w:pPr>
            <w:r>
              <w:rPr>
                <w:rFonts w:hint="eastAsia"/>
                <w:color w:val="auto"/>
                <w:sz w:val="21"/>
              </w:rPr>
              <w:t>序号</w:t>
            </w:r>
          </w:p>
        </w:tc>
        <w:tc>
          <w:tcPr>
            <w:tcW w:w="381" w:type="pct"/>
            <w:tcBorders>
              <w:top w:val="single" w:color="auto" w:sz="4" w:space="0"/>
              <w:left w:val="single" w:color="auto" w:sz="4" w:space="0"/>
              <w:bottom w:val="single" w:color="auto" w:sz="4" w:space="0"/>
              <w:right w:val="single" w:color="auto" w:sz="4" w:space="0"/>
            </w:tcBorders>
            <w:vAlign w:val="center"/>
          </w:tcPr>
          <w:p w14:paraId="51CC9963">
            <w:pPr>
              <w:spacing w:line="240" w:lineRule="auto"/>
              <w:ind w:firstLine="0" w:firstLineChars="0"/>
              <w:jc w:val="center"/>
              <w:rPr>
                <w:rFonts w:hint="eastAsia"/>
                <w:color w:val="auto"/>
                <w:sz w:val="21"/>
              </w:rPr>
            </w:pPr>
            <w:r>
              <w:rPr>
                <w:rFonts w:hint="eastAsia"/>
                <w:color w:val="auto"/>
                <w:sz w:val="21"/>
              </w:rPr>
              <w:t>项目类型</w:t>
            </w:r>
          </w:p>
        </w:tc>
        <w:tc>
          <w:tcPr>
            <w:tcW w:w="2978" w:type="pct"/>
            <w:tcBorders>
              <w:top w:val="single" w:color="auto" w:sz="4" w:space="0"/>
              <w:left w:val="single" w:color="auto" w:sz="4" w:space="0"/>
              <w:bottom w:val="single" w:color="auto" w:sz="4" w:space="0"/>
              <w:right w:val="single" w:color="auto" w:sz="4" w:space="0"/>
            </w:tcBorders>
            <w:vAlign w:val="center"/>
          </w:tcPr>
          <w:p w14:paraId="312552BE">
            <w:pPr>
              <w:spacing w:line="240" w:lineRule="auto"/>
              <w:ind w:firstLine="0" w:firstLineChars="0"/>
              <w:jc w:val="center"/>
              <w:rPr>
                <w:rFonts w:hint="eastAsia"/>
                <w:color w:val="auto"/>
                <w:sz w:val="21"/>
              </w:rPr>
            </w:pPr>
            <w:r>
              <w:rPr>
                <w:rFonts w:hint="eastAsia"/>
                <w:color w:val="auto"/>
                <w:sz w:val="21"/>
              </w:rPr>
              <w:t>内容</w:t>
            </w:r>
          </w:p>
        </w:tc>
        <w:tc>
          <w:tcPr>
            <w:tcW w:w="1353" w:type="pct"/>
            <w:tcBorders>
              <w:top w:val="single" w:color="auto" w:sz="4" w:space="0"/>
              <w:left w:val="single" w:color="auto" w:sz="4" w:space="0"/>
              <w:bottom w:val="single" w:color="auto" w:sz="4" w:space="0"/>
              <w:right w:val="single" w:color="auto" w:sz="4" w:space="0"/>
            </w:tcBorders>
            <w:vAlign w:val="center"/>
          </w:tcPr>
          <w:p w14:paraId="7FE40C73">
            <w:pPr>
              <w:spacing w:line="240" w:lineRule="auto"/>
              <w:ind w:firstLine="0" w:firstLineChars="0"/>
              <w:jc w:val="center"/>
              <w:rPr>
                <w:rFonts w:hint="eastAsia"/>
                <w:color w:val="auto"/>
                <w:sz w:val="21"/>
              </w:rPr>
            </w:pPr>
            <w:r>
              <w:rPr>
                <w:rFonts w:hint="eastAsia"/>
                <w:color w:val="auto"/>
                <w:sz w:val="21"/>
              </w:rPr>
              <w:t>检验方法</w:t>
            </w:r>
          </w:p>
        </w:tc>
      </w:tr>
      <w:tr w14:paraId="573ED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2CE4C96A">
            <w:pPr>
              <w:spacing w:line="240" w:lineRule="auto"/>
              <w:ind w:firstLine="0" w:firstLineChars="0"/>
              <w:jc w:val="center"/>
              <w:rPr>
                <w:rFonts w:hint="eastAsia"/>
                <w:color w:val="auto"/>
                <w:sz w:val="21"/>
              </w:rPr>
            </w:pPr>
            <w:r>
              <w:rPr>
                <w:rFonts w:hint="eastAsia"/>
                <w:color w:val="auto"/>
                <w:sz w:val="21"/>
              </w:rPr>
              <w:t>1</w:t>
            </w:r>
          </w:p>
        </w:tc>
        <w:tc>
          <w:tcPr>
            <w:tcW w:w="381" w:type="pct"/>
            <w:vMerge w:val="restart"/>
            <w:tcBorders>
              <w:top w:val="nil"/>
              <w:left w:val="single" w:color="auto" w:sz="4" w:space="0"/>
              <w:bottom w:val="single" w:color="auto" w:sz="4" w:space="0"/>
              <w:right w:val="single" w:color="auto" w:sz="4" w:space="0"/>
            </w:tcBorders>
            <w:vAlign w:val="center"/>
          </w:tcPr>
          <w:p w14:paraId="600FB761">
            <w:pPr>
              <w:spacing w:line="240" w:lineRule="auto"/>
              <w:ind w:firstLine="0" w:firstLineChars="0"/>
              <w:jc w:val="center"/>
              <w:rPr>
                <w:rFonts w:hint="eastAsia"/>
                <w:color w:val="auto"/>
                <w:sz w:val="21"/>
              </w:rPr>
            </w:pPr>
            <w:r>
              <w:rPr>
                <w:rFonts w:hint="eastAsia"/>
                <w:color w:val="auto"/>
                <w:sz w:val="21"/>
              </w:rPr>
              <w:t>主控项目</w:t>
            </w:r>
          </w:p>
        </w:tc>
        <w:tc>
          <w:tcPr>
            <w:tcW w:w="2978" w:type="pct"/>
            <w:tcBorders>
              <w:top w:val="single" w:color="auto" w:sz="4" w:space="0"/>
              <w:left w:val="single" w:color="auto" w:sz="4" w:space="0"/>
              <w:bottom w:val="single" w:color="auto" w:sz="4" w:space="0"/>
              <w:right w:val="single" w:color="auto" w:sz="4" w:space="0"/>
            </w:tcBorders>
            <w:vAlign w:val="center"/>
          </w:tcPr>
          <w:p w14:paraId="55FAF634">
            <w:pPr>
              <w:spacing w:line="240" w:lineRule="auto"/>
              <w:ind w:firstLine="0" w:firstLineChars="0"/>
              <w:jc w:val="center"/>
              <w:rPr>
                <w:rFonts w:hint="eastAsia"/>
                <w:color w:val="auto"/>
                <w:sz w:val="21"/>
              </w:rPr>
            </w:pPr>
            <w:r>
              <w:rPr>
                <w:rFonts w:hint="eastAsia"/>
                <w:color w:val="auto"/>
                <w:sz w:val="21"/>
              </w:rPr>
              <w:t>地面下敷设的盘管离地部分不应有接头。</w:t>
            </w:r>
          </w:p>
        </w:tc>
        <w:tc>
          <w:tcPr>
            <w:tcW w:w="1353" w:type="pct"/>
            <w:tcBorders>
              <w:top w:val="single" w:color="auto" w:sz="4" w:space="0"/>
              <w:left w:val="single" w:color="auto" w:sz="4" w:space="0"/>
              <w:bottom w:val="single" w:color="auto" w:sz="4" w:space="0"/>
              <w:right w:val="single" w:color="auto" w:sz="4" w:space="0"/>
            </w:tcBorders>
            <w:vAlign w:val="center"/>
          </w:tcPr>
          <w:p w14:paraId="17C40D4C">
            <w:pPr>
              <w:spacing w:line="240" w:lineRule="auto"/>
              <w:ind w:firstLine="0" w:firstLineChars="0"/>
              <w:jc w:val="center"/>
              <w:rPr>
                <w:rFonts w:hint="eastAsia"/>
                <w:color w:val="auto"/>
                <w:sz w:val="21"/>
              </w:rPr>
            </w:pPr>
            <w:r>
              <w:rPr>
                <w:rFonts w:hint="eastAsia"/>
                <w:color w:val="auto"/>
                <w:sz w:val="21"/>
              </w:rPr>
              <w:t>隐蔽前现场查看</w:t>
            </w:r>
          </w:p>
        </w:tc>
      </w:tr>
      <w:tr w14:paraId="79C4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220C1349">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444C8DD8">
            <w:pPr>
              <w:spacing w:line="240" w:lineRule="auto"/>
              <w:ind w:firstLine="0" w:firstLineChars="0"/>
              <w:jc w:val="center"/>
              <w:rPr>
                <w:color w:val="auto"/>
                <w:sz w:val="21"/>
              </w:rPr>
            </w:pPr>
          </w:p>
        </w:tc>
        <w:tc>
          <w:tcPr>
            <w:tcW w:w="2978" w:type="pct"/>
            <w:tcBorders>
              <w:top w:val="single" w:color="auto" w:sz="4" w:space="0"/>
              <w:left w:val="single" w:color="auto" w:sz="4" w:space="0"/>
              <w:bottom w:val="single" w:color="auto" w:sz="4" w:space="0"/>
              <w:right w:val="single" w:color="auto" w:sz="4" w:space="0"/>
            </w:tcBorders>
            <w:vAlign w:val="center"/>
          </w:tcPr>
          <w:p w14:paraId="47EA6565">
            <w:pPr>
              <w:spacing w:line="240" w:lineRule="auto"/>
              <w:ind w:firstLine="0" w:firstLineChars="0"/>
              <w:jc w:val="center"/>
              <w:rPr>
                <w:rFonts w:hint="eastAsia"/>
                <w:color w:val="auto"/>
                <w:sz w:val="21"/>
              </w:rPr>
            </w:pPr>
            <w:r>
              <w:rPr>
                <w:rFonts w:hint="eastAsia"/>
                <w:color w:val="auto"/>
                <w:sz w:val="21"/>
              </w:rPr>
              <w:t>盘管隐蔽前必须进行水压试验，试驻压力为工作压力的1.5倍，但不小于0.6Mpa。</w:t>
            </w:r>
          </w:p>
        </w:tc>
        <w:tc>
          <w:tcPr>
            <w:tcW w:w="1353" w:type="pct"/>
            <w:tcBorders>
              <w:top w:val="single" w:color="auto" w:sz="4" w:space="0"/>
              <w:left w:val="single" w:color="auto" w:sz="4" w:space="0"/>
              <w:bottom w:val="single" w:color="auto" w:sz="4" w:space="0"/>
              <w:right w:val="single" w:color="auto" w:sz="4" w:space="0"/>
            </w:tcBorders>
            <w:vAlign w:val="center"/>
          </w:tcPr>
          <w:p w14:paraId="0640A9F0">
            <w:pPr>
              <w:spacing w:line="240" w:lineRule="auto"/>
              <w:ind w:firstLine="0" w:firstLineChars="0"/>
              <w:jc w:val="center"/>
              <w:rPr>
                <w:rFonts w:hint="eastAsia"/>
                <w:color w:val="auto"/>
                <w:sz w:val="21"/>
              </w:rPr>
            </w:pPr>
            <w:r>
              <w:rPr>
                <w:rFonts w:hint="eastAsia"/>
                <w:color w:val="auto"/>
                <w:sz w:val="21"/>
              </w:rPr>
              <w:t>稳压1h内压力降不大于0.05Mpa且不渗不漏</w:t>
            </w:r>
          </w:p>
        </w:tc>
      </w:tr>
      <w:tr w14:paraId="79098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71FE59E7">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45CBD599">
            <w:pPr>
              <w:spacing w:line="240" w:lineRule="auto"/>
              <w:ind w:firstLine="0" w:firstLineChars="0"/>
              <w:jc w:val="center"/>
              <w:rPr>
                <w:color w:val="auto"/>
                <w:sz w:val="21"/>
              </w:rPr>
            </w:pPr>
          </w:p>
        </w:tc>
        <w:tc>
          <w:tcPr>
            <w:tcW w:w="2978" w:type="pct"/>
            <w:tcBorders>
              <w:top w:val="single" w:color="auto" w:sz="4" w:space="0"/>
              <w:left w:val="single" w:color="auto" w:sz="4" w:space="0"/>
              <w:bottom w:val="single" w:color="auto" w:sz="4" w:space="0"/>
              <w:right w:val="single" w:color="auto" w:sz="4" w:space="0"/>
            </w:tcBorders>
            <w:vAlign w:val="center"/>
          </w:tcPr>
          <w:p w14:paraId="37CE30F7">
            <w:pPr>
              <w:spacing w:line="240" w:lineRule="auto"/>
              <w:ind w:firstLine="0" w:firstLineChars="0"/>
              <w:jc w:val="center"/>
              <w:rPr>
                <w:rFonts w:hint="eastAsia"/>
                <w:color w:val="auto"/>
                <w:sz w:val="21"/>
              </w:rPr>
            </w:pPr>
            <w:r>
              <w:rPr>
                <w:rFonts w:hint="eastAsia"/>
                <w:color w:val="auto"/>
                <w:sz w:val="21"/>
              </w:rPr>
              <w:t>加热盘管弯曲部分不得出现硬折弯现象，曲率半径应符合下列规定：</w:t>
            </w:r>
          </w:p>
          <w:p w14:paraId="7C393A29">
            <w:pPr>
              <w:spacing w:line="240" w:lineRule="auto"/>
              <w:ind w:firstLine="0" w:firstLineChars="0"/>
              <w:jc w:val="center"/>
              <w:rPr>
                <w:rFonts w:hint="eastAsia"/>
                <w:color w:val="auto"/>
                <w:sz w:val="21"/>
              </w:rPr>
            </w:pPr>
            <w:r>
              <w:rPr>
                <w:rFonts w:hint="eastAsia"/>
                <w:color w:val="auto"/>
                <w:sz w:val="21"/>
              </w:rPr>
              <w:t>塑料管：不应小于管道外径的8倍。</w:t>
            </w:r>
          </w:p>
          <w:p w14:paraId="3A792D35">
            <w:pPr>
              <w:spacing w:line="240" w:lineRule="auto"/>
              <w:ind w:firstLine="0" w:firstLineChars="0"/>
              <w:jc w:val="center"/>
              <w:rPr>
                <w:rFonts w:hint="eastAsia"/>
                <w:color w:val="auto"/>
                <w:sz w:val="21"/>
              </w:rPr>
            </w:pPr>
            <w:r>
              <w:rPr>
                <w:rFonts w:hint="eastAsia"/>
                <w:color w:val="auto"/>
                <w:sz w:val="21"/>
              </w:rPr>
              <w:t>复合管：不应小于管道外径的5倍。</w:t>
            </w:r>
          </w:p>
        </w:tc>
        <w:tc>
          <w:tcPr>
            <w:tcW w:w="1353" w:type="pct"/>
            <w:tcBorders>
              <w:top w:val="single" w:color="auto" w:sz="4" w:space="0"/>
              <w:left w:val="single" w:color="auto" w:sz="4" w:space="0"/>
              <w:bottom w:val="single" w:color="auto" w:sz="4" w:space="0"/>
              <w:right w:val="single" w:color="auto" w:sz="4" w:space="0"/>
            </w:tcBorders>
            <w:vAlign w:val="center"/>
          </w:tcPr>
          <w:p w14:paraId="55C81CE6">
            <w:pPr>
              <w:spacing w:line="240" w:lineRule="auto"/>
              <w:ind w:firstLine="0" w:firstLineChars="0"/>
              <w:jc w:val="center"/>
              <w:rPr>
                <w:rFonts w:hint="eastAsia"/>
                <w:color w:val="auto"/>
                <w:sz w:val="21"/>
              </w:rPr>
            </w:pPr>
            <w:r>
              <w:rPr>
                <w:rFonts w:hint="eastAsia"/>
                <w:color w:val="auto"/>
                <w:sz w:val="21"/>
              </w:rPr>
              <w:t>尺量检查</w:t>
            </w:r>
          </w:p>
        </w:tc>
      </w:tr>
      <w:tr w14:paraId="53F4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7E1EE636">
            <w:pPr>
              <w:spacing w:line="240" w:lineRule="auto"/>
              <w:ind w:firstLine="0" w:firstLineChars="0"/>
              <w:jc w:val="center"/>
              <w:rPr>
                <w:rFonts w:hint="eastAsia"/>
                <w:color w:val="auto"/>
                <w:sz w:val="21"/>
              </w:rPr>
            </w:pPr>
            <w:r>
              <w:rPr>
                <w:rFonts w:hint="eastAsia"/>
                <w:color w:val="auto"/>
                <w:sz w:val="21"/>
              </w:rPr>
              <w:t>4</w:t>
            </w:r>
          </w:p>
        </w:tc>
        <w:tc>
          <w:tcPr>
            <w:tcW w:w="381" w:type="pct"/>
            <w:vMerge w:val="restart"/>
            <w:tcBorders>
              <w:top w:val="nil"/>
              <w:left w:val="single" w:color="auto" w:sz="4" w:space="0"/>
              <w:bottom w:val="single" w:color="auto" w:sz="4" w:space="0"/>
              <w:right w:val="single" w:color="auto" w:sz="4" w:space="0"/>
            </w:tcBorders>
            <w:vAlign w:val="center"/>
          </w:tcPr>
          <w:p w14:paraId="02729CAF">
            <w:pPr>
              <w:spacing w:line="240" w:lineRule="auto"/>
              <w:ind w:firstLine="0" w:firstLineChars="0"/>
              <w:jc w:val="center"/>
              <w:rPr>
                <w:rFonts w:hint="eastAsia"/>
                <w:color w:val="auto"/>
                <w:sz w:val="21"/>
              </w:rPr>
            </w:pPr>
            <w:r>
              <w:rPr>
                <w:rFonts w:hint="eastAsia"/>
                <w:color w:val="auto"/>
                <w:sz w:val="21"/>
              </w:rPr>
              <w:t>一般项目</w:t>
            </w:r>
          </w:p>
        </w:tc>
        <w:tc>
          <w:tcPr>
            <w:tcW w:w="2978" w:type="pct"/>
            <w:tcBorders>
              <w:top w:val="single" w:color="auto" w:sz="4" w:space="0"/>
              <w:left w:val="single" w:color="auto" w:sz="4" w:space="0"/>
              <w:bottom w:val="single" w:color="auto" w:sz="4" w:space="0"/>
              <w:right w:val="single" w:color="auto" w:sz="4" w:space="0"/>
            </w:tcBorders>
            <w:vAlign w:val="center"/>
          </w:tcPr>
          <w:p w14:paraId="01F18AD1">
            <w:pPr>
              <w:spacing w:line="240" w:lineRule="auto"/>
              <w:ind w:firstLine="0" w:firstLineChars="0"/>
              <w:jc w:val="center"/>
              <w:rPr>
                <w:rFonts w:hint="eastAsia"/>
                <w:color w:val="auto"/>
                <w:sz w:val="21"/>
              </w:rPr>
            </w:pPr>
            <w:r>
              <w:rPr>
                <w:rFonts w:hint="eastAsia"/>
                <w:color w:val="auto"/>
                <w:sz w:val="21"/>
              </w:rPr>
              <w:t>分、集水器型号、规格、公称压力及安装位置、高度等应符合设计要求。</w:t>
            </w:r>
          </w:p>
        </w:tc>
        <w:tc>
          <w:tcPr>
            <w:tcW w:w="1353" w:type="pct"/>
            <w:tcBorders>
              <w:top w:val="single" w:color="auto" w:sz="4" w:space="0"/>
              <w:left w:val="single" w:color="auto" w:sz="4" w:space="0"/>
              <w:bottom w:val="single" w:color="auto" w:sz="4" w:space="0"/>
              <w:right w:val="single" w:color="auto" w:sz="4" w:space="0"/>
            </w:tcBorders>
            <w:vAlign w:val="center"/>
          </w:tcPr>
          <w:p w14:paraId="2A6731F8">
            <w:pPr>
              <w:spacing w:line="240" w:lineRule="auto"/>
              <w:ind w:firstLine="0" w:firstLineChars="0"/>
              <w:jc w:val="center"/>
              <w:rPr>
                <w:rFonts w:hint="eastAsia"/>
                <w:color w:val="auto"/>
                <w:sz w:val="21"/>
              </w:rPr>
            </w:pPr>
            <w:r>
              <w:rPr>
                <w:rFonts w:hint="eastAsia"/>
                <w:color w:val="auto"/>
                <w:sz w:val="21"/>
              </w:rPr>
              <w:t>对照图纸及产品说明书，尺量检查</w:t>
            </w:r>
          </w:p>
        </w:tc>
      </w:tr>
      <w:tr w14:paraId="4044E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71FD249E">
            <w:pPr>
              <w:spacing w:line="240" w:lineRule="auto"/>
              <w:ind w:firstLine="0" w:firstLineChars="0"/>
              <w:jc w:val="center"/>
              <w:rPr>
                <w:rFonts w:hint="eastAsia"/>
                <w:color w:val="auto"/>
                <w:sz w:val="21"/>
              </w:rPr>
            </w:pPr>
            <w:r>
              <w:rPr>
                <w:rFonts w:hint="eastAsia"/>
                <w:color w:val="auto"/>
                <w:sz w:val="21"/>
              </w:rPr>
              <w:t>5</w:t>
            </w:r>
          </w:p>
        </w:tc>
        <w:tc>
          <w:tcPr>
            <w:tcW w:w="0" w:type="auto"/>
            <w:vMerge w:val="continue"/>
            <w:tcBorders>
              <w:top w:val="nil"/>
              <w:left w:val="single" w:color="auto" w:sz="4" w:space="0"/>
              <w:bottom w:val="single" w:color="auto" w:sz="4" w:space="0"/>
              <w:right w:val="single" w:color="auto" w:sz="4" w:space="0"/>
            </w:tcBorders>
            <w:vAlign w:val="center"/>
          </w:tcPr>
          <w:p w14:paraId="1772B10B">
            <w:pPr>
              <w:spacing w:line="240" w:lineRule="auto"/>
              <w:ind w:firstLine="0" w:firstLineChars="0"/>
              <w:jc w:val="center"/>
              <w:rPr>
                <w:color w:val="auto"/>
                <w:sz w:val="21"/>
              </w:rPr>
            </w:pPr>
          </w:p>
        </w:tc>
        <w:tc>
          <w:tcPr>
            <w:tcW w:w="2978" w:type="pct"/>
            <w:tcBorders>
              <w:top w:val="single" w:color="auto" w:sz="4" w:space="0"/>
              <w:left w:val="single" w:color="auto" w:sz="4" w:space="0"/>
              <w:bottom w:val="single" w:color="auto" w:sz="4" w:space="0"/>
              <w:right w:val="single" w:color="auto" w:sz="4" w:space="0"/>
            </w:tcBorders>
            <w:vAlign w:val="center"/>
          </w:tcPr>
          <w:p w14:paraId="25FEBF5A">
            <w:pPr>
              <w:spacing w:line="240" w:lineRule="auto"/>
              <w:ind w:firstLine="0" w:firstLineChars="0"/>
              <w:jc w:val="center"/>
              <w:rPr>
                <w:rFonts w:hint="eastAsia"/>
                <w:color w:val="auto"/>
                <w:sz w:val="21"/>
              </w:rPr>
            </w:pPr>
            <w:r>
              <w:rPr>
                <w:rFonts w:hint="eastAsia"/>
                <w:color w:val="auto"/>
                <w:sz w:val="21"/>
              </w:rPr>
              <w:t>加热盘管管径、间距和长度应符合设计要求。间距偏差不大于±10mm。</w:t>
            </w:r>
          </w:p>
        </w:tc>
        <w:tc>
          <w:tcPr>
            <w:tcW w:w="1353" w:type="pct"/>
            <w:tcBorders>
              <w:top w:val="single" w:color="auto" w:sz="4" w:space="0"/>
              <w:left w:val="single" w:color="auto" w:sz="4" w:space="0"/>
              <w:bottom w:val="single" w:color="auto" w:sz="4" w:space="0"/>
              <w:right w:val="single" w:color="auto" w:sz="4" w:space="0"/>
            </w:tcBorders>
            <w:vAlign w:val="center"/>
          </w:tcPr>
          <w:p w14:paraId="38FF96B2">
            <w:pPr>
              <w:spacing w:line="240" w:lineRule="auto"/>
              <w:ind w:firstLine="0" w:firstLineChars="0"/>
              <w:jc w:val="center"/>
              <w:rPr>
                <w:rFonts w:hint="eastAsia"/>
                <w:color w:val="auto"/>
                <w:sz w:val="21"/>
              </w:rPr>
            </w:pPr>
            <w:r>
              <w:rPr>
                <w:rFonts w:hint="eastAsia"/>
                <w:color w:val="auto"/>
                <w:sz w:val="21"/>
              </w:rPr>
              <w:t>拉线和尺量检查</w:t>
            </w:r>
          </w:p>
        </w:tc>
      </w:tr>
      <w:tr w14:paraId="0307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2EE80749">
            <w:pPr>
              <w:spacing w:line="240" w:lineRule="auto"/>
              <w:ind w:firstLine="0" w:firstLineChars="0"/>
              <w:jc w:val="center"/>
              <w:rPr>
                <w:rFonts w:hint="eastAsia"/>
                <w:color w:val="auto"/>
                <w:sz w:val="21"/>
              </w:rPr>
            </w:pPr>
            <w:r>
              <w:rPr>
                <w:rFonts w:hint="eastAsia"/>
                <w:color w:val="auto"/>
                <w:sz w:val="21"/>
              </w:rPr>
              <w:t>6</w:t>
            </w:r>
          </w:p>
        </w:tc>
        <w:tc>
          <w:tcPr>
            <w:tcW w:w="0" w:type="auto"/>
            <w:vMerge w:val="continue"/>
            <w:tcBorders>
              <w:top w:val="nil"/>
              <w:left w:val="single" w:color="auto" w:sz="4" w:space="0"/>
              <w:bottom w:val="single" w:color="auto" w:sz="4" w:space="0"/>
              <w:right w:val="single" w:color="auto" w:sz="4" w:space="0"/>
            </w:tcBorders>
            <w:vAlign w:val="center"/>
          </w:tcPr>
          <w:p w14:paraId="166C34FE">
            <w:pPr>
              <w:spacing w:line="240" w:lineRule="auto"/>
              <w:ind w:firstLine="0" w:firstLineChars="0"/>
              <w:jc w:val="center"/>
              <w:rPr>
                <w:color w:val="auto"/>
                <w:sz w:val="21"/>
              </w:rPr>
            </w:pPr>
          </w:p>
        </w:tc>
        <w:tc>
          <w:tcPr>
            <w:tcW w:w="2978" w:type="pct"/>
            <w:tcBorders>
              <w:top w:val="single" w:color="auto" w:sz="4" w:space="0"/>
              <w:left w:val="single" w:color="auto" w:sz="4" w:space="0"/>
              <w:bottom w:val="single" w:color="auto" w:sz="4" w:space="0"/>
              <w:right w:val="single" w:color="auto" w:sz="4" w:space="0"/>
            </w:tcBorders>
            <w:vAlign w:val="center"/>
          </w:tcPr>
          <w:p w14:paraId="5039B3F6">
            <w:pPr>
              <w:spacing w:line="240" w:lineRule="auto"/>
              <w:ind w:firstLine="0" w:firstLineChars="0"/>
              <w:jc w:val="center"/>
              <w:rPr>
                <w:rFonts w:hint="eastAsia"/>
                <w:color w:val="auto"/>
                <w:sz w:val="21"/>
              </w:rPr>
            </w:pPr>
            <w:r>
              <w:rPr>
                <w:rFonts w:hint="eastAsia"/>
                <w:color w:val="auto"/>
                <w:sz w:val="21"/>
              </w:rPr>
              <w:t>防潮层、防水层、隔热层及伸缩缝应符合设计要求。</w:t>
            </w:r>
          </w:p>
        </w:tc>
        <w:tc>
          <w:tcPr>
            <w:tcW w:w="1353" w:type="pct"/>
            <w:tcBorders>
              <w:top w:val="single" w:color="auto" w:sz="4" w:space="0"/>
              <w:left w:val="single" w:color="auto" w:sz="4" w:space="0"/>
              <w:bottom w:val="single" w:color="auto" w:sz="4" w:space="0"/>
              <w:right w:val="single" w:color="auto" w:sz="4" w:space="0"/>
            </w:tcBorders>
            <w:vAlign w:val="center"/>
          </w:tcPr>
          <w:p w14:paraId="50B9CD57">
            <w:pPr>
              <w:spacing w:line="240" w:lineRule="auto"/>
              <w:ind w:firstLine="0" w:firstLineChars="0"/>
              <w:jc w:val="center"/>
              <w:rPr>
                <w:rFonts w:hint="eastAsia"/>
                <w:color w:val="auto"/>
                <w:sz w:val="21"/>
              </w:rPr>
            </w:pPr>
            <w:r>
              <w:rPr>
                <w:rFonts w:hint="eastAsia"/>
                <w:color w:val="auto"/>
                <w:sz w:val="21"/>
              </w:rPr>
              <w:t>填充层浇灌前观察检查</w:t>
            </w:r>
          </w:p>
        </w:tc>
      </w:tr>
      <w:tr w14:paraId="62DB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88" w:type="pct"/>
            <w:tcBorders>
              <w:top w:val="single" w:color="auto" w:sz="4" w:space="0"/>
              <w:left w:val="single" w:color="auto" w:sz="4" w:space="0"/>
              <w:bottom w:val="single" w:color="auto" w:sz="4" w:space="0"/>
              <w:right w:val="single" w:color="auto" w:sz="4" w:space="0"/>
            </w:tcBorders>
            <w:vAlign w:val="center"/>
          </w:tcPr>
          <w:p w14:paraId="4F329367">
            <w:pPr>
              <w:spacing w:line="240" w:lineRule="auto"/>
              <w:ind w:firstLine="0" w:firstLineChars="0"/>
              <w:jc w:val="center"/>
              <w:rPr>
                <w:rFonts w:hint="eastAsia"/>
                <w:color w:val="auto"/>
                <w:sz w:val="21"/>
              </w:rPr>
            </w:pPr>
            <w:r>
              <w:rPr>
                <w:rFonts w:hint="eastAsia"/>
                <w:color w:val="auto"/>
                <w:sz w:val="21"/>
              </w:rPr>
              <w:t>7</w:t>
            </w:r>
          </w:p>
        </w:tc>
        <w:tc>
          <w:tcPr>
            <w:tcW w:w="0" w:type="auto"/>
            <w:vMerge w:val="continue"/>
            <w:tcBorders>
              <w:top w:val="nil"/>
              <w:left w:val="single" w:color="auto" w:sz="4" w:space="0"/>
              <w:bottom w:val="single" w:color="auto" w:sz="4" w:space="0"/>
              <w:right w:val="single" w:color="auto" w:sz="4" w:space="0"/>
            </w:tcBorders>
            <w:vAlign w:val="center"/>
          </w:tcPr>
          <w:p w14:paraId="624DA398">
            <w:pPr>
              <w:spacing w:line="240" w:lineRule="auto"/>
              <w:ind w:firstLine="0" w:firstLineChars="0"/>
              <w:jc w:val="center"/>
              <w:rPr>
                <w:color w:val="auto"/>
                <w:sz w:val="21"/>
              </w:rPr>
            </w:pPr>
          </w:p>
        </w:tc>
        <w:tc>
          <w:tcPr>
            <w:tcW w:w="2978" w:type="pct"/>
            <w:tcBorders>
              <w:top w:val="single" w:color="auto" w:sz="4" w:space="0"/>
              <w:left w:val="single" w:color="auto" w:sz="4" w:space="0"/>
              <w:bottom w:val="single" w:color="auto" w:sz="4" w:space="0"/>
              <w:right w:val="single" w:color="auto" w:sz="4" w:space="0"/>
            </w:tcBorders>
            <w:vAlign w:val="center"/>
          </w:tcPr>
          <w:p w14:paraId="5789F282">
            <w:pPr>
              <w:spacing w:line="240" w:lineRule="auto"/>
              <w:ind w:firstLine="0" w:firstLineChars="0"/>
              <w:jc w:val="center"/>
              <w:rPr>
                <w:rFonts w:hint="eastAsia"/>
                <w:color w:val="auto"/>
                <w:sz w:val="21"/>
              </w:rPr>
            </w:pPr>
            <w:r>
              <w:rPr>
                <w:rFonts w:hint="eastAsia"/>
                <w:color w:val="auto"/>
                <w:sz w:val="21"/>
              </w:rPr>
              <w:t>填充层强度标号应符合设计要求。</w:t>
            </w:r>
          </w:p>
        </w:tc>
        <w:tc>
          <w:tcPr>
            <w:tcW w:w="1353" w:type="pct"/>
            <w:tcBorders>
              <w:top w:val="single" w:color="auto" w:sz="4" w:space="0"/>
              <w:left w:val="single" w:color="auto" w:sz="4" w:space="0"/>
              <w:bottom w:val="single" w:color="auto" w:sz="4" w:space="0"/>
              <w:right w:val="single" w:color="auto" w:sz="4" w:space="0"/>
            </w:tcBorders>
            <w:vAlign w:val="center"/>
          </w:tcPr>
          <w:p w14:paraId="62293B78">
            <w:pPr>
              <w:spacing w:line="240" w:lineRule="auto"/>
              <w:ind w:firstLine="0" w:firstLineChars="0"/>
              <w:jc w:val="center"/>
              <w:rPr>
                <w:rFonts w:hint="eastAsia"/>
                <w:color w:val="auto"/>
                <w:sz w:val="21"/>
              </w:rPr>
            </w:pPr>
            <w:r>
              <w:rPr>
                <w:rFonts w:hint="eastAsia"/>
                <w:color w:val="auto"/>
                <w:sz w:val="21"/>
              </w:rPr>
              <w:t>作试块抗压试验</w:t>
            </w:r>
          </w:p>
        </w:tc>
      </w:tr>
    </w:tbl>
    <w:p w14:paraId="1141C379">
      <w:pPr>
        <w:rPr>
          <w:rFonts w:hint="eastAsia"/>
          <w:color w:val="auto"/>
        </w:rPr>
      </w:pPr>
      <w:r>
        <w:rPr>
          <w:rFonts w:hint="eastAsia"/>
          <w:color w:val="auto"/>
        </w:rPr>
        <w:t>（14）系统水压试验及调试：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677"/>
        <w:gridCol w:w="6074"/>
        <w:gridCol w:w="1883"/>
      </w:tblGrid>
      <w:tr w14:paraId="5058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22F4B534">
            <w:pPr>
              <w:spacing w:line="240" w:lineRule="auto"/>
              <w:ind w:firstLine="0" w:firstLineChars="0"/>
              <w:jc w:val="center"/>
              <w:rPr>
                <w:rFonts w:hint="eastAsia"/>
                <w:color w:val="auto"/>
                <w:sz w:val="21"/>
              </w:rPr>
            </w:pPr>
            <w:r>
              <w:rPr>
                <w:rFonts w:hint="eastAsia"/>
                <w:color w:val="auto"/>
                <w:sz w:val="21"/>
              </w:rPr>
              <w:t>序号</w:t>
            </w:r>
          </w:p>
        </w:tc>
        <w:tc>
          <w:tcPr>
            <w:tcW w:w="382" w:type="pct"/>
            <w:tcBorders>
              <w:top w:val="single" w:color="auto" w:sz="4" w:space="0"/>
              <w:left w:val="single" w:color="auto" w:sz="4" w:space="0"/>
              <w:bottom w:val="single" w:color="auto" w:sz="4" w:space="0"/>
              <w:right w:val="single" w:color="auto" w:sz="4" w:space="0"/>
            </w:tcBorders>
            <w:vAlign w:val="center"/>
          </w:tcPr>
          <w:p w14:paraId="20D840DE">
            <w:pPr>
              <w:spacing w:line="240" w:lineRule="auto"/>
              <w:ind w:firstLine="0" w:firstLineChars="0"/>
              <w:jc w:val="center"/>
              <w:rPr>
                <w:rFonts w:hint="eastAsia"/>
                <w:color w:val="auto"/>
                <w:sz w:val="21"/>
              </w:rPr>
            </w:pPr>
            <w:r>
              <w:rPr>
                <w:rFonts w:hint="eastAsia"/>
                <w:color w:val="auto"/>
                <w:sz w:val="21"/>
              </w:rPr>
              <w:t>项目类型</w:t>
            </w:r>
          </w:p>
        </w:tc>
        <w:tc>
          <w:tcPr>
            <w:tcW w:w="3360" w:type="pct"/>
            <w:tcBorders>
              <w:top w:val="single" w:color="auto" w:sz="4" w:space="0"/>
              <w:left w:val="single" w:color="auto" w:sz="4" w:space="0"/>
              <w:bottom w:val="single" w:color="auto" w:sz="4" w:space="0"/>
              <w:right w:val="single" w:color="auto" w:sz="4" w:space="0"/>
            </w:tcBorders>
            <w:vAlign w:val="center"/>
          </w:tcPr>
          <w:p w14:paraId="233D483C">
            <w:pPr>
              <w:spacing w:line="240" w:lineRule="auto"/>
              <w:ind w:firstLine="0" w:firstLineChars="0"/>
              <w:jc w:val="center"/>
              <w:rPr>
                <w:rFonts w:hint="eastAsia"/>
                <w:color w:val="auto"/>
                <w:sz w:val="21"/>
              </w:rPr>
            </w:pPr>
            <w:r>
              <w:rPr>
                <w:rFonts w:hint="eastAsia"/>
                <w:color w:val="auto"/>
                <w:sz w:val="21"/>
              </w:rPr>
              <w:t>内容</w:t>
            </w:r>
          </w:p>
        </w:tc>
        <w:tc>
          <w:tcPr>
            <w:tcW w:w="1047" w:type="pct"/>
            <w:tcBorders>
              <w:top w:val="single" w:color="auto" w:sz="4" w:space="0"/>
              <w:left w:val="single" w:color="auto" w:sz="4" w:space="0"/>
              <w:bottom w:val="single" w:color="auto" w:sz="4" w:space="0"/>
              <w:right w:val="single" w:color="auto" w:sz="4" w:space="0"/>
            </w:tcBorders>
            <w:vAlign w:val="center"/>
          </w:tcPr>
          <w:p w14:paraId="0108F97F">
            <w:pPr>
              <w:spacing w:line="240" w:lineRule="auto"/>
              <w:ind w:firstLine="0" w:firstLineChars="0"/>
              <w:jc w:val="center"/>
              <w:rPr>
                <w:rFonts w:hint="eastAsia"/>
                <w:color w:val="auto"/>
                <w:sz w:val="21"/>
              </w:rPr>
            </w:pPr>
            <w:r>
              <w:rPr>
                <w:rFonts w:hint="eastAsia"/>
                <w:color w:val="auto"/>
                <w:sz w:val="21"/>
              </w:rPr>
              <w:t>检验方法</w:t>
            </w:r>
          </w:p>
        </w:tc>
      </w:tr>
      <w:tr w14:paraId="406C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61AFAFD2">
            <w:pPr>
              <w:spacing w:line="240" w:lineRule="auto"/>
              <w:ind w:firstLine="0" w:firstLineChars="0"/>
              <w:jc w:val="center"/>
              <w:rPr>
                <w:rFonts w:hint="eastAsia"/>
                <w:color w:val="auto"/>
                <w:sz w:val="21"/>
              </w:rPr>
            </w:pPr>
            <w:r>
              <w:rPr>
                <w:rFonts w:hint="eastAsia"/>
                <w:color w:val="auto"/>
                <w:sz w:val="21"/>
              </w:rPr>
              <w:t>1</w:t>
            </w:r>
          </w:p>
        </w:tc>
        <w:tc>
          <w:tcPr>
            <w:tcW w:w="382" w:type="pct"/>
            <w:vMerge w:val="restart"/>
            <w:tcBorders>
              <w:top w:val="nil"/>
              <w:left w:val="single" w:color="auto" w:sz="4" w:space="0"/>
              <w:bottom w:val="single" w:color="auto" w:sz="4" w:space="0"/>
              <w:right w:val="single" w:color="auto" w:sz="4" w:space="0"/>
            </w:tcBorders>
            <w:vAlign w:val="center"/>
          </w:tcPr>
          <w:p w14:paraId="2BF8EC9F">
            <w:pPr>
              <w:spacing w:line="240" w:lineRule="auto"/>
              <w:ind w:firstLine="0" w:firstLineChars="0"/>
              <w:jc w:val="center"/>
              <w:rPr>
                <w:rFonts w:hint="eastAsia"/>
                <w:color w:val="auto"/>
                <w:sz w:val="21"/>
              </w:rPr>
            </w:pPr>
            <w:r>
              <w:rPr>
                <w:rFonts w:hint="eastAsia"/>
                <w:color w:val="auto"/>
                <w:sz w:val="21"/>
              </w:rPr>
              <w:t>主控项目</w:t>
            </w:r>
          </w:p>
        </w:tc>
        <w:tc>
          <w:tcPr>
            <w:tcW w:w="3360" w:type="pct"/>
            <w:tcBorders>
              <w:top w:val="single" w:color="auto" w:sz="4" w:space="0"/>
              <w:left w:val="single" w:color="auto" w:sz="4" w:space="0"/>
              <w:bottom w:val="single" w:color="auto" w:sz="4" w:space="0"/>
              <w:right w:val="single" w:color="auto" w:sz="4" w:space="0"/>
            </w:tcBorders>
            <w:vAlign w:val="center"/>
          </w:tcPr>
          <w:p w14:paraId="079A67BB">
            <w:pPr>
              <w:spacing w:line="240" w:lineRule="auto"/>
              <w:ind w:firstLine="420"/>
              <w:jc w:val="left"/>
              <w:rPr>
                <w:rFonts w:hint="eastAsia"/>
                <w:color w:val="auto"/>
                <w:sz w:val="21"/>
              </w:rPr>
            </w:pPr>
            <w:r>
              <w:rPr>
                <w:rFonts w:hint="eastAsia"/>
                <w:color w:val="auto"/>
                <w:sz w:val="21"/>
              </w:rPr>
              <w:t>采暖系统安装完毕，管道保温之前应进行水压试验。试验压力应符合设计要求。当设计未注明时，应符合下列规定：</w:t>
            </w:r>
          </w:p>
          <w:p w14:paraId="498A2DDA">
            <w:pPr>
              <w:spacing w:line="240" w:lineRule="auto"/>
              <w:ind w:firstLine="420"/>
              <w:jc w:val="left"/>
              <w:rPr>
                <w:rFonts w:hint="eastAsia"/>
                <w:color w:val="auto"/>
                <w:sz w:val="21"/>
              </w:rPr>
            </w:pPr>
            <w:r>
              <w:rPr>
                <w:rFonts w:hint="eastAsia"/>
                <w:color w:val="auto"/>
                <w:sz w:val="21"/>
              </w:rPr>
              <w:t>蒸汽、热水采暖系统，应以系统顶点工作压力加0.1Mpa作水压试验，同时在系统顶点的试验压力不小于0.3Mpa。</w:t>
            </w:r>
          </w:p>
          <w:p w14:paraId="550DD185">
            <w:pPr>
              <w:spacing w:line="240" w:lineRule="auto"/>
              <w:ind w:firstLine="420"/>
              <w:jc w:val="left"/>
              <w:rPr>
                <w:rFonts w:hint="eastAsia"/>
                <w:color w:val="auto"/>
                <w:sz w:val="21"/>
              </w:rPr>
            </w:pPr>
            <w:r>
              <w:rPr>
                <w:rFonts w:hint="eastAsia"/>
                <w:color w:val="auto"/>
                <w:sz w:val="21"/>
              </w:rPr>
              <w:t>使用塑料管及复合管的热水采暖系统；应以系统顶点工作压力加0.2Mpa作水压试验，同时在系统顶点的试验压力不小于0.4Mpa。</w:t>
            </w:r>
          </w:p>
        </w:tc>
        <w:tc>
          <w:tcPr>
            <w:tcW w:w="1047" w:type="pct"/>
            <w:tcBorders>
              <w:top w:val="single" w:color="auto" w:sz="4" w:space="0"/>
              <w:left w:val="single" w:color="auto" w:sz="4" w:space="0"/>
              <w:bottom w:val="single" w:color="auto" w:sz="4" w:space="0"/>
              <w:right w:val="single" w:color="auto" w:sz="4" w:space="0"/>
            </w:tcBorders>
            <w:vAlign w:val="center"/>
          </w:tcPr>
          <w:p w14:paraId="0E2BC68B">
            <w:pPr>
              <w:spacing w:line="240" w:lineRule="auto"/>
              <w:ind w:firstLine="0" w:firstLineChars="0"/>
              <w:jc w:val="center"/>
              <w:rPr>
                <w:rFonts w:hint="eastAsia"/>
                <w:color w:val="auto"/>
                <w:sz w:val="21"/>
              </w:rPr>
            </w:pPr>
            <w:r>
              <w:rPr>
                <w:rFonts w:hint="eastAsia"/>
                <w:color w:val="auto"/>
                <w:sz w:val="21"/>
              </w:rPr>
              <w:t>使用钢管及复合管的采暖系统应在试验压力下10min内压力降不大干0.02Mpa，降至工作压力后检查，不渗、不漏</w:t>
            </w:r>
          </w:p>
        </w:tc>
      </w:tr>
      <w:tr w14:paraId="70E88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1B8C47EB">
            <w:pPr>
              <w:spacing w:line="240" w:lineRule="auto"/>
              <w:ind w:firstLine="0" w:firstLineChars="0"/>
              <w:jc w:val="center"/>
              <w:rPr>
                <w:rFonts w:hint="eastAsia"/>
                <w:color w:val="auto"/>
                <w:sz w:val="21"/>
              </w:rPr>
            </w:pPr>
            <w:r>
              <w:rPr>
                <w:rFonts w:hint="eastAsia"/>
                <w:color w:val="auto"/>
                <w:sz w:val="21"/>
              </w:rPr>
              <w:t>2</w:t>
            </w:r>
          </w:p>
        </w:tc>
        <w:tc>
          <w:tcPr>
            <w:tcW w:w="0" w:type="auto"/>
            <w:vMerge w:val="continue"/>
            <w:tcBorders>
              <w:top w:val="nil"/>
              <w:left w:val="single" w:color="auto" w:sz="4" w:space="0"/>
              <w:bottom w:val="single" w:color="auto" w:sz="4" w:space="0"/>
              <w:right w:val="single" w:color="auto" w:sz="4" w:space="0"/>
            </w:tcBorders>
            <w:vAlign w:val="center"/>
          </w:tcPr>
          <w:p w14:paraId="6FAFB46C">
            <w:pPr>
              <w:spacing w:line="240" w:lineRule="auto"/>
              <w:ind w:firstLine="0" w:firstLineChars="0"/>
              <w:jc w:val="center"/>
              <w:rPr>
                <w:color w:val="auto"/>
                <w:sz w:val="21"/>
              </w:rPr>
            </w:pPr>
          </w:p>
        </w:tc>
        <w:tc>
          <w:tcPr>
            <w:tcW w:w="3360" w:type="pct"/>
            <w:tcBorders>
              <w:top w:val="single" w:color="auto" w:sz="4" w:space="0"/>
              <w:left w:val="single" w:color="auto" w:sz="4" w:space="0"/>
              <w:bottom w:val="single" w:color="auto" w:sz="4" w:space="0"/>
              <w:right w:val="single" w:color="auto" w:sz="4" w:space="0"/>
            </w:tcBorders>
            <w:vAlign w:val="center"/>
          </w:tcPr>
          <w:p w14:paraId="42A979F6">
            <w:pPr>
              <w:spacing w:line="240" w:lineRule="auto"/>
              <w:ind w:firstLine="420"/>
              <w:jc w:val="left"/>
              <w:rPr>
                <w:rFonts w:hint="eastAsia"/>
                <w:color w:val="auto"/>
                <w:sz w:val="21"/>
              </w:rPr>
            </w:pPr>
            <w:r>
              <w:rPr>
                <w:rFonts w:hint="eastAsia"/>
                <w:color w:val="auto"/>
                <w:sz w:val="21"/>
              </w:rPr>
              <w:t>使用塑料管的采暖系统应在试验压力下1h内压力降不大干0.05Mpa，然后降压至工作压力的1.15倍，稳压2h，压力降不大于0.03Mpa，同时各连接处不渗、不漏。</w:t>
            </w:r>
          </w:p>
          <w:p w14:paraId="7AB8AD67">
            <w:pPr>
              <w:spacing w:line="240" w:lineRule="auto"/>
              <w:ind w:firstLine="420"/>
              <w:jc w:val="left"/>
              <w:rPr>
                <w:rFonts w:hint="eastAsia"/>
                <w:color w:val="auto"/>
                <w:sz w:val="21"/>
              </w:rPr>
            </w:pPr>
            <w:r>
              <w:rPr>
                <w:rFonts w:hint="eastAsia"/>
                <w:color w:val="auto"/>
                <w:sz w:val="21"/>
              </w:rPr>
              <w:t>系统试压合格后，应对系统进行冲洗并清扫过滤器及除污器。</w:t>
            </w:r>
          </w:p>
        </w:tc>
        <w:tc>
          <w:tcPr>
            <w:tcW w:w="1047" w:type="pct"/>
            <w:tcBorders>
              <w:top w:val="single" w:color="auto" w:sz="4" w:space="0"/>
              <w:left w:val="single" w:color="auto" w:sz="4" w:space="0"/>
              <w:bottom w:val="single" w:color="auto" w:sz="4" w:space="0"/>
              <w:right w:val="single" w:color="auto" w:sz="4" w:space="0"/>
            </w:tcBorders>
            <w:vAlign w:val="center"/>
          </w:tcPr>
          <w:p w14:paraId="19E13CDC">
            <w:pPr>
              <w:spacing w:line="240" w:lineRule="auto"/>
              <w:ind w:firstLine="0" w:firstLineChars="0"/>
              <w:jc w:val="center"/>
              <w:rPr>
                <w:rFonts w:hint="eastAsia"/>
                <w:color w:val="auto"/>
                <w:sz w:val="21"/>
              </w:rPr>
            </w:pPr>
            <w:r>
              <w:rPr>
                <w:rFonts w:hint="eastAsia"/>
                <w:color w:val="auto"/>
                <w:sz w:val="21"/>
              </w:rPr>
              <w:t>现场观察，直至排出水不含泥沙、铁屑等杂质，且水色不浑浊为合格</w:t>
            </w:r>
          </w:p>
        </w:tc>
      </w:tr>
      <w:tr w14:paraId="48205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1" w:type="pct"/>
            <w:tcBorders>
              <w:top w:val="single" w:color="auto" w:sz="4" w:space="0"/>
              <w:left w:val="single" w:color="auto" w:sz="4" w:space="0"/>
              <w:bottom w:val="single" w:color="auto" w:sz="4" w:space="0"/>
              <w:right w:val="single" w:color="auto" w:sz="4" w:space="0"/>
            </w:tcBorders>
            <w:vAlign w:val="center"/>
          </w:tcPr>
          <w:p w14:paraId="22CBC39F">
            <w:pPr>
              <w:spacing w:line="240" w:lineRule="auto"/>
              <w:ind w:firstLine="0" w:firstLineChars="0"/>
              <w:jc w:val="center"/>
              <w:rPr>
                <w:rFonts w:hint="eastAsia"/>
                <w:color w:val="auto"/>
                <w:sz w:val="21"/>
              </w:rPr>
            </w:pPr>
            <w:r>
              <w:rPr>
                <w:rFonts w:hint="eastAsia"/>
                <w:color w:val="auto"/>
                <w:sz w:val="21"/>
              </w:rPr>
              <w:t>3</w:t>
            </w:r>
          </w:p>
        </w:tc>
        <w:tc>
          <w:tcPr>
            <w:tcW w:w="0" w:type="auto"/>
            <w:vMerge w:val="continue"/>
            <w:tcBorders>
              <w:top w:val="nil"/>
              <w:left w:val="single" w:color="auto" w:sz="4" w:space="0"/>
              <w:bottom w:val="single" w:color="auto" w:sz="4" w:space="0"/>
              <w:right w:val="single" w:color="auto" w:sz="4" w:space="0"/>
            </w:tcBorders>
            <w:vAlign w:val="center"/>
          </w:tcPr>
          <w:p w14:paraId="7E1C82CD">
            <w:pPr>
              <w:spacing w:line="240" w:lineRule="auto"/>
              <w:ind w:firstLine="0" w:firstLineChars="0"/>
              <w:jc w:val="center"/>
              <w:rPr>
                <w:color w:val="auto"/>
                <w:sz w:val="21"/>
              </w:rPr>
            </w:pPr>
          </w:p>
        </w:tc>
        <w:tc>
          <w:tcPr>
            <w:tcW w:w="3360" w:type="pct"/>
            <w:tcBorders>
              <w:top w:val="single" w:color="auto" w:sz="4" w:space="0"/>
              <w:left w:val="single" w:color="auto" w:sz="4" w:space="0"/>
              <w:bottom w:val="single" w:color="auto" w:sz="4" w:space="0"/>
              <w:right w:val="single" w:color="auto" w:sz="4" w:space="0"/>
            </w:tcBorders>
            <w:vAlign w:val="center"/>
          </w:tcPr>
          <w:p w14:paraId="26D2DCB9">
            <w:pPr>
              <w:spacing w:line="240" w:lineRule="auto"/>
              <w:ind w:firstLine="420"/>
              <w:jc w:val="left"/>
              <w:rPr>
                <w:rFonts w:hint="eastAsia"/>
                <w:color w:val="auto"/>
                <w:sz w:val="21"/>
              </w:rPr>
            </w:pPr>
            <w:r>
              <w:rPr>
                <w:rFonts w:hint="eastAsia"/>
                <w:color w:val="auto"/>
                <w:sz w:val="21"/>
              </w:rPr>
              <w:t>系统冲洗完毕应充水、加热，进行试运行和调试。</w:t>
            </w:r>
          </w:p>
        </w:tc>
        <w:tc>
          <w:tcPr>
            <w:tcW w:w="1047" w:type="pct"/>
            <w:tcBorders>
              <w:top w:val="single" w:color="auto" w:sz="4" w:space="0"/>
              <w:left w:val="single" w:color="auto" w:sz="4" w:space="0"/>
              <w:bottom w:val="single" w:color="auto" w:sz="4" w:space="0"/>
              <w:right w:val="single" w:color="auto" w:sz="4" w:space="0"/>
            </w:tcBorders>
            <w:vAlign w:val="center"/>
          </w:tcPr>
          <w:p w14:paraId="026A6E91">
            <w:pPr>
              <w:spacing w:line="240" w:lineRule="auto"/>
              <w:ind w:firstLine="0" w:firstLineChars="0"/>
              <w:jc w:val="center"/>
              <w:rPr>
                <w:rFonts w:hint="eastAsia"/>
                <w:color w:val="auto"/>
                <w:sz w:val="21"/>
              </w:rPr>
            </w:pPr>
            <w:r>
              <w:rPr>
                <w:rFonts w:hint="eastAsia"/>
                <w:color w:val="auto"/>
                <w:sz w:val="21"/>
              </w:rPr>
              <w:t>观察、测量室温应满足设计要求</w:t>
            </w:r>
          </w:p>
        </w:tc>
      </w:tr>
    </w:tbl>
    <w:p w14:paraId="1CAF295B">
      <w:pPr>
        <w:rPr>
          <w:rFonts w:hint="eastAsia"/>
          <w:color w:val="auto"/>
        </w:rPr>
      </w:pPr>
      <w:r>
        <w:rPr>
          <w:rFonts w:hint="eastAsia"/>
          <w:color w:val="auto"/>
        </w:rPr>
        <w:t>（15）通风空调系统安装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3BF7E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6D2413C">
            <w:pPr>
              <w:spacing w:line="240" w:lineRule="auto"/>
              <w:ind w:firstLine="0" w:firstLineChars="0"/>
              <w:jc w:val="center"/>
              <w:rPr>
                <w:rFonts w:hint="eastAsia"/>
                <w:color w:val="auto"/>
                <w:sz w:val="21"/>
              </w:rPr>
            </w:pPr>
            <w:r>
              <w:rPr>
                <w:rFonts w:hint="eastAsia"/>
                <w:color w:val="auto"/>
                <w:sz w:val="21"/>
              </w:rPr>
              <w:t>项目</w:t>
            </w:r>
          </w:p>
        </w:tc>
        <w:tc>
          <w:tcPr>
            <w:tcW w:w="4637" w:type="pct"/>
            <w:tcBorders>
              <w:top w:val="single" w:color="auto" w:sz="4" w:space="0"/>
              <w:left w:val="single" w:color="auto" w:sz="4" w:space="0"/>
              <w:bottom w:val="single" w:color="auto" w:sz="4" w:space="0"/>
              <w:right w:val="single" w:color="auto" w:sz="4" w:space="0"/>
            </w:tcBorders>
            <w:vAlign w:val="center"/>
          </w:tcPr>
          <w:p w14:paraId="4B1D3E9D">
            <w:pPr>
              <w:spacing w:line="240" w:lineRule="auto"/>
              <w:ind w:firstLine="0" w:firstLineChars="0"/>
              <w:jc w:val="center"/>
              <w:rPr>
                <w:rFonts w:hint="eastAsia"/>
                <w:color w:val="auto"/>
                <w:sz w:val="21"/>
              </w:rPr>
            </w:pPr>
            <w:r>
              <w:rPr>
                <w:rFonts w:hint="eastAsia"/>
                <w:color w:val="auto"/>
                <w:sz w:val="21"/>
              </w:rPr>
              <w:t>保证措施</w:t>
            </w:r>
          </w:p>
        </w:tc>
      </w:tr>
      <w:tr w14:paraId="22F7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F5E3CB0">
            <w:pPr>
              <w:spacing w:line="240" w:lineRule="auto"/>
              <w:ind w:firstLine="0" w:firstLineChars="0"/>
              <w:jc w:val="center"/>
              <w:rPr>
                <w:rFonts w:hint="eastAsia"/>
                <w:color w:val="auto"/>
                <w:sz w:val="21"/>
              </w:rPr>
            </w:pPr>
            <w:r>
              <w:rPr>
                <w:rFonts w:hint="eastAsia"/>
                <w:color w:val="auto"/>
                <w:sz w:val="21"/>
              </w:rPr>
              <w:t>基本规定</w:t>
            </w:r>
          </w:p>
        </w:tc>
        <w:tc>
          <w:tcPr>
            <w:tcW w:w="4637" w:type="pct"/>
            <w:tcBorders>
              <w:top w:val="single" w:color="auto" w:sz="4" w:space="0"/>
              <w:left w:val="single" w:color="auto" w:sz="4" w:space="0"/>
              <w:bottom w:val="single" w:color="auto" w:sz="4" w:space="0"/>
              <w:right w:val="single" w:color="auto" w:sz="4" w:space="0"/>
            </w:tcBorders>
            <w:vAlign w:val="center"/>
          </w:tcPr>
          <w:p w14:paraId="4D4AF897">
            <w:pPr>
              <w:spacing w:line="240" w:lineRule="auto"/>
              <w:ind w:firstLine="420"/>
              <w:jc w:val="left"/>
              <w:rPr>
                <w:rFonts w:hint="eastAsia"/>
                <w:color w:val="auto"/>
                <w:sz w:val="21"/>
              </w:rPr>
            </w:pPr>
            <w:r>
              <w:rPr>
                <w:rFonts w:hint="eastAsia"/>
                <w:color w:val="auto"/>
                <w:sz w:val="21"/>
              </w:rPr>
              <w:t>通风与空调工程所使用的主要原材料、成品、半成品和设备的材质、规格及性能应符合设计文件和国家现行标准的规定，不得采用国家明令禁止使用或淘汰的材料与设备。主要原材料、成品、半成品和设备的进场验收应符合下列规定：</w:t>
            </w:r>
          </w:p>
          <w:p w14:paraId="502F8BBA">
            <w:pPr>
              <w:spacing w:line="240" w:lineRule="auto"/>
              <w:ind w:firstLine="420"/>
              <w:jc w:val="left"/>
              <w:rPr>
                <w:rFonts w:hint="eastAsia"/>
                <w:color w:val="auto"/>
                <w:sz w:val="21"/>
              </w:rPr>
            </w:pPr>
            <w:r>
              <w:rPr>
                <w:rFonts w:hint="eastAsia"/>
                <w:color w:val="auto"/>
                <w:sz w:val="21"/>
              </w:rPr>
              <w:t>（1）进场质量验收应经监理工程师或建设单位相关责任人确认，并应形成相应的书面记录。</w:t>
            </w:r>
          </w:p>
          <w:p w14:paraId="4B10345D">
            <w:pPr>
              <w:spacing w:line="240" w:lineRule="auto"/>
              <w:ind w:firstLine="420"/>
              <w:jc w:val="left"/>
              <w:rPr>
                <w:rFonts w:hint="eastAsia"/>
                <w:color w:val="auto"/>
                <w:sz w:val="21"/>
              </w:rPr>
            </w:pPr>
            <w:r>
              <w:rPr>
                <w:rFonts w:hint="eastAsia"/>
                <w:color w:val="auto"/>
                <w:sz w:val="21"/>
              </w:rPr>
              <w:t>（2） 进口材料与设备应提供有效的商检合格证明、中文质量证明等文件。</w:t>
            </w:r>
          </w:p>
          <w:p w14:paraId="47B5ACCD">
            <w:pPr>
              <w:spacing w:line="240" w:lineRule="auto"/>
              <w:ind w:firstLine="420"/>
              <w:jc w:val="left"/>
              <w:rPr>
                <w:rFonts w:hint="eastAsia"/>
                <w:color w:val="auto"/>
                <w:sz w:val="21"/>
              </w:rPr>
            </w:pPr>
            <w:r>
              <w:rPr>
                <w:rFonts w:hint="eastAsia"/>
                <w:color w:val="auto"/>
                <w:sz w:val="21"/>
              </w:rPr>
              <w:t>通风与空调工程采用的新技术、新工艺、新材料与新设备，均应有通过专项技术鉴定验收合格的证明文件。</w:t>
            </w:r>
          </w:p>
          <w:p w14:paraId="1FB30639">
            <w:pPr>
              <w:spacing w:line="240" w:lineRule="auto"/>
              <w:ind w:firstLine="420"/>
              <w:jc w:val="left"/>
              <w:rPr>
                <w:rFonts w:hint="eastAsia"/>
                <w:color w:val="auto"/>
                <w:sz w:val="21"/>
              </w:rPr>
            </w:pPr>
            <w:r>
              <w:rPr>
                <w:rFonts w:hint="eastAsia"/>
                <w:color w:val="auto"/>
                <w:sz w:val="21"/>
              </w:rPr>
              <w:t>通风与空调工程的施工应按规定的程序进行，并应与土建及其他专业工种相互配合;与通风与空调系统有关的土建工程施工完毕后，应由建设（或总承包）、监理、设计及施工单位共同会检。会检的组织宜由建设、监理或总承包单位负责。</w:t>
            </w:r>
          </w:p>
          <w:p w14:paraId="320272B4">
            <w:pPr>
              <w:spacing w:line="240" w:lineRule="auto"/>
              <w:ind w:firstLine="420"/>
              <w:jc w:val="left"/>
              <w:rPr>
                <w:rFonts w:hint="eastAsia"/>
                <w:color w:val="auto"/>
                <w:sz w:val="21"/>
              </w:rPr>
            </w:pPr>
            <w:r>
              <w:rPr>
                <w:rFonts w:hint="eastAsia"/>
                <w:color w:val="auto"/>
                <w:sz w:val="21"/>
              </w:rPr>
              <w:t>通风与空调工程中的隐蔽工程，在隐蔽前应经监理或建设单位验收及确认，必要时应留下影像资料。</w:t>
            </w:r>
          </w:p>
        </w:tc>
      </w:tr>
      <w:tr w14:paraId="33DEB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F992D43">
            <w:pPr>
              <w:spacing w:line="240" w:lineRule="auto"/>
              <w:ind w:firstLine="0" w:firstLineChars="0"/>
              <w:jc w:val="center"/>
              <w:rPr>
                <w:rFonts w:hint="eastAsia"/>
                <w:color w:val="auto"/>
                <w:sz w:val="21"/>
              </w:rPr>
            </w:pPr>
            <w:r>
              <w:rPr>
                <w:rFonts w:hint="eastAsia"/>
                <w:color w:val="auto"/>
                <w:sz w:val="21"/>
              </w:rPr>
              <w:t>风管制作安装</w:t>
            </w:r>
          </w:p>
        </w:tc>
        <w:tc>
          <w:tcPr>
            <w:tcW w:w="4637" w:type="pct"/>
            <w:tcBorders>
              <w:top w:val="single" w:color="auto" w:sz="4" w:space="0"/>
              <w:left w:val="single" w:color="auto" w:sz="4" w:space="0"/>
              <w:bottom w:val="single" w:color="auto" w:sz="4" w:space="0"/>
              <w:right w:val="single" w:color="auto" w:sz="4" w:space="0"/>
            </w:tcBorders>
            <w:vAlign w:val="center"/>
          </w:tcPr>
          <w:p w14:paraId="326A5229">
            <w:pPr>
              <w:spacing w:line="240" w:lineRule="auto"/>
              <w:ind w:firstLine="420"/>
              <w:jc w:val="left"/>
              <w:rPr>
                <w:rFonts w:hint="eastAsia"/>
                <w:color w:val="auto"/>
                <w:sz w:val="21"/>
              </w:rPr>
            </w:pPr>
            <w:r>
              <w:rPr>
                <w:rFonts w:hint="eastAsia"/>
                <w:color w:val="auto"/>
                <w:sz w:val="21"/>
              </w:rPr>
              <w:t>风管在制作选材时，应根据图纸和《通风与空调工程施工质量验收规范》中的有关规定选用，避免因刚度不够而使风管大边上下有不同程度的下沉、变形，进而使系统运转时，表面颤动产生噪音，造成 环境污染和降低使用寿命。玻璃钢风管制作一般采用开模手糊法，即在模具上边铺玻璃布边涂刷胶料，待固化后脱膜而成，实际操作过程中要注意不能过早脱膜，且脱膜后要将其放在平整的场地上，以免引起风管本体变形、歪斜。风管翻边法兰连接时翻边&lt;6mm，相互紧贴，且风管翻边四角开裂处应用锡焊或涂密封胶处置。法兰连接时螺栓方向应一致，有垫片，螺纹外露2～3牙。</w:t>
            </w:r>
          </w:p>
        </w:tc>
      </w:tr>
      <w:tr w14:paraId="6C132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2C23D40">
            <w:pPr>
              <w:spacing w:line="240" w:lineRule="auto"/>
              <w:ind w:firstLine="0" w:firstLineChars="0"/>
              <w:jc w:val="center"/>
              <w:rPr>
                <w:rFonts w:hint="eastAsia"/>
                <w:color w:val="auto"/>
                <w:sz w:val="21"/>
              </w:rPr>
            </w:pPr>
            <w:r>
              <w:rPr>
                <w:rFonts w:hint="eastAsia"/>
                <w:color w:val="auto"/>
                <w:sz w:val="21"/>
              </w:rPr>
              <w:t>干管的坡度控制</w:t>
            </w:r>
          </w:p>
          <w:p w14:paraId="70B48029">
            <w:pPr>
              <w:spacing w:line="240" w:lineRule="auto"/>
              <w:ind w:firstLine="0" w:firstLineChars="0"/>
              <w:jc w:val="center"/>
              <w:rPr>
                <w:rFonts w:hint="eastAsia"/>
                <w:color w:val="auto"/>
                <w:sz w:val="21"/>
              </w:rPr>
            </w:pPr>
          </w:p>
        </w:tc>
        <w:tc>
          <w:tcPr>
            <w:tcW w:w="4637" w:type="pct"/>
            <w:tcBorders>
              <w:top w:val="single" w:color="auto" w:sz="4" w:space="0"/>
              <w:left w:val="single" w:color="auto" w:sz="4" w:space="0"/>
              <w:bottom w:val="single" w:color="auto" w:sz="4" w:space="0"/>
              <w:right w:val="single" w:color="auto" w:sz="4" w:space="0"/>
            </w:tcBorders>
            <w:vAlign w:val="center"/>
          </w:tcPr>
          <w:p w14:paraId="57A5A2C6">
            <w:pPr>
              <w:spacing w:line="240" w:lineRule="auto"/>
              <w:ind w:firstLine="420"/>
              <w:jc w:val="left"/>
              <w:rPr>
                <w:rFonts w:hint="eastAsia"/>
                <w:color w:val="auto"/>
                <w:sz w:val="21"/>
              </w:rPr>
            </w:pPr>
            <w:r>
              <w:rPr>
                <w:rFonts w:hint="eastAsia"/>
                <w:color w:val="auto"/>
                <w:sz w:val="21"/>
              </w:rPr>
              <w:t>干管的坡度是通过管道支架来决定的，在施工过程中只要能够保证管道支架的位置、标高符合设计，那么就不会出现坡度不当的问题。而在实际工程中，坡度不合适的问题经常出现，因此有必要对干管坡度不当的原因进行分析，并采取针对性的措施。</w:t>
            </w:r>
          </w:p>
          <w:p w14:paraId="08627CD8">
            <w:pPr>
              <w:spacing w:line="240" w:lineRule="auto"/>
              <w:ind w:firstLine="420"/>
              <w:jc w:val="left"/>
              <w:rPr>
                <w:rFonts w:hint="eastAsia"/>
                <w:color w:val="auto"/>
                <w:sz w:val="21"/>
              </w:rPr>
            </w:pPr>
            <w:r>
              <w:rPr>
                <w:rFonts w:hint="eastAsia"/>
                <w:color w:val="auto"/>
                <w:sz w:val="21"/>
              </w:rPr>
              <w:t>通过众多的工程实践发现，坡度不当原因主要有两个方面：</w:t>
            </w:r>
          </w:p>
          <w:p w14:paraId="455C280F">
            <w:pPr>
              <w:spacing w:line="240" w:lineRule="auto"/>
              <w:ind w:firstLine="420"/>
              <w:jc w:val="left"/>
              <w:rPr>
                <w:rFonts w:hint="eastAsia"/>
                <w:color w:val="auto"/>
                <w:sz w:val="21"/>
              </w:rPr>
            </w:pPr>
            <w:r>
              <w:rPr>
                <w:rFonts w:hint="eastAsia"/>
                <w:color w:val="auto"/>
                <w:sz w:val="21"/>
              </w:rPr>
              <w:t>（1）施工过程中干管可能没有调直，或者是在对管道墙洞的空隙进行填堵时，填充物挤压干管导致其位置发生很大的变化，这样也会导致坡度不当;</w:t>
            </w:r>
          </w:p>
          <w:p w14:paraId="7B79AD20">
            <w:pPr>
              <w:spacing w:line="240" w:lineRule="auto"/>
              <w:ind w:firstLine="420"/>
              <w:jc w:val="left"/>
              <w:rPr>
                <w:rFonts w:hint="eastAsia"/>
                <w:color w:val="auto"/>
                <w:sz w:val="21"/>
              </w:rPr>
            </w:pPr>
            <w:r>
              <w:rPr>
                <w:rFonts w:hint="eastAsia"/>
                <w:color w:val="auto"/>
                <w:sz w:val="21"/>
              </w:rPr>
              <w:t>（2）决定干管坡度的管道支架的施工质量不符合设计要求，如位置、标高与设计存在较大的偏差，从而管道会出现一定的弯曲，干管局部会出现反坡或者坡度发生很大的变化这样会导致管内积存气体和 水，对系统功能的正常运行造成不利的影响。</w:t>
            </w:r>
          </w:p>
          <w:p w14:paraId="05F39120">
            <w:pPr>
              <w:spacing w:line="240" w:lineRule="auto"/>
              <w:ind w:firstLine="420"/>
              <w:jc w:val="left"/>
              <w:rPr>
                <w:rFonts w:hint="eastAsia"/>
                <w:color w:val="auto"/>
                <w:sz w:val="21"/>
              </w:rPr>
            </w:pPr>
            <w:r>
              <w:rPr>
                <w:rFonts w:hint="eastAsia"/>
                <w:color w:val="auto"/>
                <w:sz w:val="21"/>
              </w:rPr>
              <w:t>针对导致干管坡度不当的两个方面的原因，要较好地解决干管坡度不当的问题，就要采取针对性的措施。首先在进行干管安装前，要将干管进行调直。对于空调水管，如水平距离过大，在爬高处应装排气阀，在降低处应装泄水阀。为避免类似情况发生，在施工过程中就应做到对整个系统的全面考虑，避免返工造成损失。</w:t>
            </w:r>
          </w:p>
        </w:tc>
      </w:tr>
      <w:tr w14:paraId="248D5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6A6B215">
            <w:pPr>
              <w:spacing w:line="240" w:lineRule="auto"/>
              <w:ind w:firstLine="0" w:firstLineChars="0"/>
              <w:jc w:val="center"/>
              <w:rPr>
                <w:rFonts w:hint="eastAsia"/>
                <w:color w:val="auto"/>
                <w:sz w:val="21"/>
              </w:rPr>
            </w:pPr>
            <w:r>
              <w:rPr>
                <w:rFonts w:hint="eastAsia"/>
                <w:color w:val="auto"/>
                <w:sz w:val="21"/>
              </w:rPr>
              <w:t>支吊架制作安装</w:t>
            </w:r>
          </w:p>
          <w:p w14:paraId="340AAE90">
            <w:pPr>
              <w:spacing w:line="240" w:lineRule="auto"/>
              <w:ind w:firstLine="0" w:firstLineChars="0"/>
              <w:jc w:val="center"/>
              <w:rPr>
                <w:rFonts w:hint="eastAsia"/>
                <w:color w:val="auto"/>
                <w:sz w:val="21"/>
              </w:rPr>
            </w:pPr>
          </w:p>
        </w:tc>
        <w:tc>
          <w:tcPr>
            <w:tcW w:w="4637" w:type="pct"/>
            <w:tcBorders>
              <w:top w:val="single" w:color="auto" w:sz="4" w:space="0"/>
              <w:left w:val="single" w:color="auto" w:sz="4" w:space="0"/>
              <w:bottom w:val="single" w:color="auto" w:sz="4" w:space="0"/>
              <w:right w:val="single" w:color="auto" w:sz="4" w:space="0"/>
            </w:tcBorders>
            <w:vAlign w:val="center"/>
          </w:tcPr>
          <w:p w14:paraId="18D7A979">
            <w:pPr>
              <w:spacing w:line="240" w:lineRule="auto"/>
              <w:ind w:firstLine="420"/>
              <w:jc w:val="left"/>
              <w:rPr>
                <w:rFonts w:hint="eastAsia"/>
                <w:color w:val="auto"/>
                <w:sz w:val="21"/>
              </w:rPr>
            </w:pPr>
            <w:r>
              <w:rPr>
                <w:rFonts w:hint="eastAsia"/>
                <w:color w:val="auto"/>
                <w:sz w:val="21"/>
              </w:rPr>
              <w:t>暖通空调安装施工过程中还经常出现固定支架和活动支架混用的问题，一些项目中还存在着仅使用某一种支架的情况，支架混用或者仅使用某一种支架会导致管道伸缩时无法向预定的方向进行。要进一步解决这一问题，就需要加强对施工技术人员的质量教育，让施工人员对固定支架、导向支架和活动支架的区别有着深刻的认识，确保工过程中能够正确选择支架的类型，这样在施工中就能够避免上述问题的产生。</w:t>
            </w:r>
          </w:p>
        </w:tc>
      </w:tr>
      <w:tr w14:paraId="4268B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CF598BB">
            <w:pPr>
              <w:spacing w:line="240" w:lineRule="auto"/>
              <w:ind w:firstLine="0" w:firstLineChars="0"/>
              <w:jc w:val="center"/>
              <w:rPr>
                <w:rFonts w:hint="eastAsia"/>
                <w:color w:val="auto"/>
                <w:sz w:val="21"/>
              </w:rPr>
            </w:pPr>
            <w:r>
              <w:rPr>
                <w:rFonts w:hint="eastAsia"/>
                <w:color w:val="auto"/>
                <w:sz w:val="21"/>
              </w:rPr>
              <w:t>干、立管甩口位置控制</w:t>
            </w:r>
          </w:p>
        </w:tc>
        <w:tc>
          <w:tcPr>
            <w:tcW w:w="4637" w:type="pct"/>
            <w:tcBorders>
              <w:top w:val="single" w:color="auto" w:sz="4" w:space="0"/>
              <w:left w:val="single" w:color="auto" w:sz="4" w:space="0"/>
              <w:bottom w:val="single" w:color="auto" w:sz="4" w:space="0"/>
              <w:right w:val="single" w:color="auto" w:sz="4" w:space="0"/>
            </w:tcBorders>
            <w:vAlign w:val="center"/>
          </w:tcPr>
          <w:p w14:paraId="54F126C2">
            <w:pPr>
              <w:spacing w:line="240" w:lineRule="auto"/>
              <w:ind w:firstLine="420"/>
              <w:jc w:val="left"/>
              <w:rPr>
                <w:rFonts w:hint="eastAsia"/>
                <w:color w:val="auto"/>
                <w:sz w:val="21"/>
              </w:rPr>
            </w:pPr>
            <w:r>
              <w:rPr>
                <w:rFonts w:hint="eastAsia"/>
                <w:color w:val="auto"/>
                <w:sz w:val="21"/>
              </w:rPr>
              <w:t>干、立管甩口位置不准，散热器坐标、标高不准确。干、立管甩口位置不准确，主要是由于测量误差造成的，其次是由土建施工中轴线偏移造成的。而标高不准确主要表现在同一场所标高差太太，超过 15mm。安装前应先弹画出统一标高线，以保证标高的一致。</w:t>
            </w:r>
          </w:p>
        </w:tc>
      </w:tr>
      <w:tr w14:paraId="1321A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76A1F78">
            <w:pPr>
              <w:spacing w:line="240" w:lineRule="auto"/>
              <w:ind w:firstLine="0" w:firstLineChars="0"/>
              <w:jc w:val="center"/>
              <w:rPr>
                <w:rFonts w:hint="eastAsia"/>
                <w:color w:val="auto"/>
                <w:sz w:val="21"/>
              </w:rPr>
            </w:pPr>
            <w:r>
              <w:rPr>
                <w:rFonts w:hint="eastAsia"/>
                <w:color w:val="auto"/>
                <w:sz w:val="21"/>
              </w:rPr>
              <w:t>设备安装</w:t>
            </w:r>
          </w:p>
        </w:tc>
        <w:tc>
          <w:tcPr>
            <w:tcW w:w="4637" w:type="pct"/>
            <w:tcBorders>
              <w:top w:val="single" w:color="auto" w:sz="4" w:space="0"/>
              <w:left w:val="single" w:color="auto" w:sz="4" w:space="0"/>
              <w:bottom w:val="single" w:color="auto" w:sz="4" w:space="0"/>
              <w:right w:val="single" w:color="auto" w:sz="4" w:space="0"/>
            </w:tcBorders>
            <w:vAlign w:val="center"/>
          </w:tcPr>
          <w:p w14:paraId="4D460B05">
            <w:pPr>
              <w:spacing w:line="240" w:lineRule="auto"/>
              <w:ind w:firstLine="420"/>
              <w:jc w:val="left"/>
              <w:rPr>
                <w:rFonts w:hint="eastAsia"/>
                <w:color w:val="auto"/>
                <w:sz w:val="21"/>
              </w:rPr>
            </w:pPr>
            <w:r>
              <w:rPr>
                <w:rFonts w:hint="eastAsia"/>
                <w:color w:val="auto"/>
                <w:sz w:val="21"/>
              </w:rPr>
              <w:t>暖通设备安装施工之前，机房地坪应已做好，墙面已粉刷完毕，设备基础竣工验收合格。世纪星介绍设备摆布方位应尽量与管道走向相对应，还应考虑设备四周是否有检修空间。风机盘管的安装应与装修顶棚高度 以及送回风口位置相配合，其积水盘方位应与排水方向相一致风机盘管与管道的连接宜采用弹性接管或软接管连接，其耐压值应高于，1.5倍的工作压力，软管连接应牢靠、不应有强扭或瘪管。风机盘管进场前应进行进场验收，做单机三速试运转及水压试验。试验压力为系统工作压力的1.5倍，不漏为合格。排水管坡度要符合设计要求，冷凝水应畅通地流到设计指定位置，供回水阀及水过虑器应靠近风机盘管机组安装。两台冷却塔并联时集水盘中间最好设一根均压管，管径与进水管相同，中间设阀门。主机等设备的减震基础一定要做好，并保证水平度等在允许偏差之内。</w:t>
            </w:r>
          </w:p>
        </w:tc>
      </w:tr>
    </w:tbl>
    <w:p w14:paraId="0C7CA49A">
      <w:pPr>
        <w:pStyle w:val="6"/>
        <w:bidi w:val="0"/>
        <w:rPr>
          <w:rFonts w:hint="eastAsia"/>
          <w:color w:val="auto"/>
        </w:rPr>
      </w:pPr>
      <w:r>
        <w:rPr>
          <w:rFonts w:hint="eastAsia"/>
          <w:color w:val="auto"/>
        </w:rPr>
        <w:t>电气工程施工质量控制措施</w:t>
      </w:r>
    </w:p>
    <w:p w14:paraId="24C3597A">
      <w:pPr>
        <w:rPr>
          <w:rFonts w:hint="eastAsia"/>
          <w:color w:val="auto"/>
        </w:rPr>
      </w:pPr>
      <w:r>
        <w:rPr>
          <w:rFonts w:hint="eastAsia"/>
          <w:color w:val="auto"/>
        </w:rPr>
        <w:t>1、保证措施</w:t>
      </w:r>
    </w:p>
    <w:p w14:paraId="754C5344">
      <w:pPr>
        <w:rPr>
          <w:rFonts w:hint="eastAsia"/>
          <w:color w:val="auto"/>
        </w:rPr>
      </w:pPr>
      <w:r>
        <w:rPr>
          <w:rFonts w:hint="eastAsia"/>
          <w:color w:val="auto"/>
        </w:rPr>
        <w:t>建筑电器工程施工现场的质量管理，除应符合现行国家标准《建筑工程质量验收统一标准》GB50300的规定外，尚应符合下列规定：</w:t>
      </w:r>
    </w:p>
    <w:p w14:paraId="0C234F84">
      <w:pPr>
        <w:rPr>
          <w:rFonts w:hint="eastAsia"/>
          <w:color w:val="auto"/>
        </w:rPr>
      </w:pPr>
      <w:r>
        <w:rPr>
          <w:rFonts w:hint="eastAsia"/>
          <w:color w:val="auto"/>
        </w:rPr>
        <w:t>安装电工、焊工、起重吊装工和电气调试人员等，按有关要求持证上岗；</w:t>
      </w:r>
    </w:p>
    <w:p w14:paraId="41AE3F83">
      <w:pPr>
        <w:rPr>
          <w:rFonts w:hint="eastAsia"/>
          <w:color w:val="auto"/>
        </w:rPr>
      </w:pPr>
      <w:r>
        <w:rPr>
          <w:rFonts w:hint="eastAsia"/>
          <w:color w:val="auto"/>
        </w:rPr>
        <w:t>安装和调试用各类计量器具，应检定合格，使用时在有效期内。</w:t>
      </w:r>
    </w:p>
    <w:p w14:paraId="54C76625">
      <w:pPr>
        <w:rPr>
          <w:rFonts w:hint="eastAsia"/>
          <w:color w:val="auto"/>
        </w:rPr>
      </w:pPr>
      <w:r>
        <w:rPr>
          <w:rFonts w:hint="eastAsia"/>
          <w:color w:val="auto"/>
        </w:rPr>
        <w:t>建筑电气工程施工，基本上在建筑结构施工完成以后，才能全面展开。</w:t>
      </w:r>
    </w:p>
    <w:p w14:paraId="00A68651">
      <w:pPr>
        <w:rPr>
          <w:rFonts w:hint="eastAsia"/>
          <w:color w:val="auto"/>
        </w:rPr>
      </w:pPr>
      <w:r>
        <w:rPr>
          <w:rFonts w:hint="eastAsia"/>
          <w:color w:val="auto"/>
        </w:rPr>
        <w:t>额定电压交流1KV及以下的应为低压电器设备、器具和材料；额定电压大于交流1KV、直流1.5KV的应为高压电器设备、器具和材料。</w:t>
      </w:r>
    </w:p>
    <w:p w14:paraId="0F7B81FC">
      <w:pPr>
        <w:rPr>
          <w:rFonts w:hint="eastAsia"/>
          <w:color w:val="auto"/>
        </w:rPr>
      </w:pPr>
      <w:r>
        <w:rPr>
          <w:rFonts w:hint="eastAsia"/>
          <w:color w:val="auto"/>
        </w:rPr>
        <w:t>电气设备上计量仪表和电气保护有关的仪表应检定合格，当投入试运行时，应在有效期内。</w:t>
      </w:r>
    </w:p>
    <w:p w14:paraId="103648A3">
      <w:pPr>
        <w:rPr>
          <w:rFonts w:hint="eastAsia"/>
          <w:color w:val="auto"/>
        </w:rPr>
      </w:pPr>
      <w:r>
        <w:rPr>
          <w:rFonts w:hint="eastAsia"/>
          <w:color w:val="auto"/>
        </w:rPr>
        <w:t>建筑电气动力工程的空载试运行和建筑电气照明工程的负荷试运行，应按相关规定执行；建筑电气动力工程的负荷试运行，依据电气设备及相关建筑设备的种类、特性，编制试运行方案或作业指导书，并应经施工单位审查批准、监理单位确认后执行。</w:t>
      </w:r>
    </w:p>
    <w:p w14:paraId="0D8D5B04">
      <w:pPr>
        <w:rPr>
          <w:rFonts w:hint="eastAsia"/>
          <w:color w:val="auto"/>
        </w:rPr>
      </w:pPr>
      <w:r>
        <w:rPr>
          <w:rFonts w:hint="eastAsia"/>
          <w:color w:val="auto"/>
        </w:rPr>
        <w:t>动力和照明工程的漏电保护装置应做模拟动作试验。</w:t>
      </w:r>
    </w:p>
    <w:p w14:paraId="02E9505B">
      <w:pPr>
        <w:rPr>
          <w:rFonts w:hint="eastAsia"/>
          <w:color w:val="auto"/>
        </w:rPr>
      </w:pPr>
      <w:r>
        <w:rPr>
          <w:rFonts w:hint="eastAsia"/>
          <w:color w:val="auto"/>
        </w:rPr>
        <w:t>漏电保护装置，也称残余（冗余）电流保护装置，是当用电设备发生电气故障形成电气设备可接近裸露导体带电时，为避免造成电击伤害人或动物而迅速切断电源的保护装置，故而在安装前或安装后要作模拟动作试验，以保证其灵敏度和可靠性。</w:t>
      </w:r>
    </w:p>
    <w:p w14:paraId="4BBC6F1D">
      <w:pPr>
        <w:rPr>
          <w:rFonts w:hint="eastAsia"/>
          <w:color w:val="auto"/>
        </w:rPr>
      </w:pPr>
      <w:r>
        <w:rPr>
          <w:rFonts w:hint="eastAsia"/>
          <w:color w:val="auto"/>
        </w:rPr>
        <w:t>接地（PE）或接零（PEN）支线必须单独与接地（PE）或接零（PEN）干线相连接，不得串联连接。</w:t>
      </w:r>
    </w:p>
    <w:p w14:paraId="16FF88A4">
      <w:pPr>
        <w:rPr>
          <w:rFonts w:hint="eastAsia"/>
          <w:color w:val="auto"/>
        </w:rPr>
      </w:pPr>
      <w:r>
        <w:rPr>
          <w:rFonts w:hint="eastAsia"/>
          <w:color w:val="auto"/>
        </w:rPr>
        <w:t>高压的电气设备和布线系统继电保护系统的交接试验，必须符合现行国家标准《电气装置安装工程电气设备交接试验标准》GB50150-2016的规定。</w:t>
      </w:r>
    </w:p>
    <w:p w14:paraId="6429A6E3">
      <w:pPr>
        <w:rPr>
          <w:rFonts w:hint="eastAsia"/>
          <w:color w:val="auto"/>
        </w:rPr>
      </w:pPr>
      <w:r>
        <w:rPr>
          <w:rFonts w:hint="eastAsia"/>
          <w:color w:val="auto"/>
        </w:rPr>
        <w:t>高压的电气设备和布线系统及继电保护系统，在建筑电气工程中，是电网电力供应的高压终端，在投入运行前必须做交接试验，试验标准统一按现行国家标准《电气装置安装工程电气设备交接试验标准》GB50150-2016执行。</w:t>
      </w:r>
    </w:p>
    <w:p w14:paraId="2CF42BDB">
      <w:pPr>
        <w:rPr>
          <w:rFonts w:hint="eastAsia"/>
          <w:color w:val="auto"/>
        </w:rPr>
      </w:pPr>
      <w:r>
        <w:rPr>
          <w:rFonts w:hint="eastAsia"/>
          <w:color w:val="auto"/>
        </w:rPr>
        <w:t>低压的电气设备和布线系统的交接试验，应符合规范规定。</w:t>
      </w:r>
    </w:p>
    <w:p w14:paraId="2E433EC9">
      <w:pPr>
        <w:rPr>
          <w:rFonts w:hint="eastAsia"/>
          <w:color w:val="auto"/>
        </w:rPr>
      </w:pPr>
      <w:r>
        <w:rPr>
          <w:rFonts w:hint="eastAsia"/>
          <w:color w:val="auto"/>
        </w:rPr>
        <w:t>主要设备、材料、成品和半成品进场检验结论应有记录，确认符合规范规定，才能在施工中应用。</w:t>
      </w:r>
    </w:p>
    <w:p w14:paraId="64CC70C5">
      <w:pPr>
        <w:rPr>
          <w:rFonts w:hint="eastAsia"/>
          <w:color w:val="auto"/>
        </w:rPr>
      </w:pPr>
      <w:r>
        <w:rPr>
          <w:rFonts w:hint="eastAsia"/>
          <w:color w:val="auto"/>
        </w:rPr>
        <w:t>主要设备、材料、成品和半成品进场检验工作，是施工管理的停止点，其工作过程、检验结构要有书面证据，所以要有记录，检验工作应有施工单位和监理单位参加，施工单位为主，监理单位确认。</w:t>
      </w:r>
    </w:p>
    <w:p w14:paraId="120F27E9">
      <w:pPr>
        <w:rPr>
          <w:rFonts w:hint="eastAsia"/>
          <w:color w:val="auto"/>
        </w:rPr>
      </w:pPr>
      <w:r>
        <w:rPr>
          <w:rFonts w:hint="eastAsia"/>
          <w:color w:val="auto"/>
        </w:rPr>
        <w:t>因有异议送有资质试验室进行抽样检测，试验室应出具检测报告，确认符合规范和相关技术规定，才能在施工中应用。</w:t>
      </w:r>
    </w:p>
    <w:p w14:paraId="6A7AD029">
      <w:pPr>
        <w:rPr>
          <w:rFonts w:hint="eastAsia"/>
          <w:color w:val="auto"/>
        </w:rPr>
      </w:pPr>
      <w:r>
        <w:rPr>
          <w:rFonts w:hint="eastAsia"/>
          <w:color w:val="auto"/>
        </w:rPr>
        <w:t>因有异议而送有资质的试验室进行检测，检测的结果描述在检测报告中，经异议各方共同确认是否符合要求，符合要求，才能使用，不符合要求应退货或做其他处理。有资质的试验室是指依照法律、法规规定，经相应政府行政主管部门或其授权机构认可的试验室。</w:t>
      </w:r>
    </w:p>
    <w:p w14:paraId="0490AFC8">
      <w:pPr>
        <w:rPr>
          <w:rFonts w:hint="eastAsia"/>
          <w:color w:val="auto"/>
        </w:rPr>
      </w:pPr>
      <w:r>
        <w:rPr>
          <w:rFonts w:hint="eastAsia"/>
          <w:color w:val="auto"/>
        </w:rPr>
        <w:t>依法定程序批准进入市场的新电气设备、器具和材料进场验收，除符合规范规定外，尚应提供安装、使用、维修和试验要求等技术文件。</w:t>
      </w:r>
    </w:p>
    <w:p w14:paraId="3DB43AF0">
      <w:pPr>
        <w:rPr>
          <w:rFonts w:hint="eastAsia"/>
          <w:color w:val="auto"/>
        </w:rPr>
      </w:pPr>
      <w:r>
        <w:rPr>
          <w:rFonts w:hint="eastAsia"/>
          <w:color w:val="auto"/>
        </w:rPr>
        <w:t>新的电气设备、器具、材料随着技术进步和创新，必然会不断涌现，而被积极推广应用。正因为新，认知的人少，也必然有新的安装技术要求，使用维修保养有特定的规定。为使新设备、器具、材料顺利进入市场，作出此条规定。</w:t>
      </w:r>
    </w:p>
    <w:p w14:paraId="4645D444">
      <w:pPr>
        <w:rPr>
          <w:rFonts w:hint="eastAsia"/>
          <w:color w:val="auto"/>
        </w:rPr>
      </w:pPr>
      <w:r>
        <w:rPr>
          <w:rFonts w:hint="eastAsia"/>
          <w:color w:val="auto"/>
        </w:rPr>
        <w:t>进口电气设备、器具和材料进场验收，除符合规范规定外，尚应提供商检证明和中文的质量合格证明文件、规格、型号、性能检测报告以及中文的安装、使用、维修和试验要求等技术文件。</w:t>
      </w:r>
    </w:p>
    <w:p w14:paraId="7FED0EB0">
      <w:pPr>
        <w:rPr>
          <w:rFonts w:hint="eastAsia"/>
          <w:color w:val="auto"/>
        </w:rPr>
      </w:pPr>
      <w:r>
        <w:rPr>
          <w:rFonts w:hint="eastAsia"/>
          <w:color w:val="auto"/>
        </w:rPr>
        <w:t>经批准的免检产品或认定的名牌产品，当进场验收时，宜不做抽样检测。</w:t>
      </w:r>
    </w:p>
    <w:p w14:paraId="44597BE9">
      <w:pPr>
        <w:rPr>
          <w:rFonts w:hint="eastAsia"/>
          <w:color w:val="auto"/>
        </w:rPr>
      </w:pPr>
      <w:r>
        <w:rPr>
          <w:rFonts w:hint="eastAsia"/>
          <w:color w:val="auto"/>
        </w:rPr>
        <w:t>变压器、箱式变电所、高压电器及电瓷制品应符合下列规定：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1DD8C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7F36ACB">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1054BCB9">
            <w:pPr>
              <w:spacing w:line="240" w:lineRule="auto"/>
              <w:ind w:firstLine="0" w:firstLineChars="0"/>
              <w:jc w:val="center"/>
              <w:rPr>
                <w:rFonts w:hint="eastAsia"/>
                <w:color w:val="auto"/>
                <w:sz w:val="21"/>
              </w:rPr>
            </w:pPr>
            <w:r>
              <w:rPr>
                <w:rFonts w:hint="eastAsia"/>
                <w:color w:val="auto"/>
                <w:sz w:val="21"/>
              </w:rPr>
              <w:t>规定内容</w:t>
            </w:r>
          </w:p>
        </w:tc>
      </w:tr>
      <w:tr w14:paraId="1E7E9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0C70581">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0E2AE422">
            <w:pPr>
              <w:spacing w:line="240" w:lineRule="auto"/>
              <w:ind w:firstLine="0" w:firstLineChars="0"/>
              <w:jc w:val="center"/>
              <w:rPr>
                <w:rFonts w:hint="eastAsia"/>
                <w:color w:val="auto"/>
                <w:sz w:val="21"/>
              </w:rPr>
            </w:pPr>
            <w:r>
              <w:rPr>
                <w:rFonts w:hint="eastAsia"/>
                <w:color w:val="auto"/>
                <w:sz w:val="21"/>
              </w:rPr>
              <w:t>查验合格证和随带技术文件，变压器有出厂试验记录。</w:t>
            </w:r>
          </w:p>
        </w:tc>
      </w:tr>
      <w:tr w14:paraId="279AE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A72FD6F">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28718F80">
            <w:pPr>
              <w:spacing w:line="240" w:lineRule="auto"/>
              <w:ind w:firstLine="0" w:firstLineChars="0"/>
              <w:jc w:val="center"/>
              <w:rPr>
                <w:rFonts w:hint="eastAsia"/>
                <w:color w:val="auto"/>
                <w:sz w:val="21"/>
              </w:rPr>
            </w:pPr>
            <w:r>
              <w:rPr>
                <w:rFonts w:hint="eastAsia"/>
                <w:color w:val="auto"/>
                <w:sz w:val="21"/>
              </w:rPr>
              <w:t>外观检查：有铭牌，附件齐全，绝缘见无缺损、裂纹，充油部分不渗漏，充气高压设备气压指示正常，涂层完整。</w:t>
            </w:r>
          </w:p>
        </w:tc>
      </w:tr>
    </w:tbl>
    <w:p w14:paraId="7C4AB112">
      <w:pPr>
        <w:rPr>
          <w:rFonts w:hint="eastAsia"/>
          <w:color w:val="auto"/>
        </w:rPr>
      </w:pPr>
      <w:r>
        <w:rPr>
          <w:rFonts w:hint="eastAsia"/>
          <w:color w:val="auto"/>
        </w:rPr>
        <w:t>合格证表示制造商已做有关试验检测并符合标准，可以出厂进入市场，同时也表明制造商对产品质量的承诺和负有相关质量法律责任。出厂试验记录至关重要，交接试验的结果要与出厂试验记录相对比，用以判断在运输、保管、安装中是否失当，而导致变压器内部结构遭到损坏或变异。</w:t>
      </w:r>
    </w:p>
    <w:p w14:paraId="587807FB">
      <w:pPr>
        <w:rPr>
          <w:rFonts w:hint="eastAsia"/>
          <w:color w:val="auto"/>
        </w:rPr>
      </w:pPr>
      <w:r>
        <w:rPr>
          <w:rFonts w:hint="eastAsia"/>
          <w:color w:val="auto"/>
        </w:rPr>
        <w:t>通过对设备、器具和材料表面检查是否有缺损，从而判断到达施工现场前有否因运输、保管不当而遭到损坏，尤其是电瓷、充油、充气的部位要认真检查。</w:t>
      </w:r>
    </w:p>
    <w:p w14:paraId="0FD71F8C">
      <w:pPr>
        <w:rPr>
          <w:rFonts w:hint="eastAsia"/>
          <w:color w:val="auto"/>
        </w:rPr>
      </w:pPr>
      <w:r>
        <w:rPr>
          <w:rFonts w:hint="eastAsia"/>
          <w:color w:val="auto"/>
        </w:rPr>
        <w:t>高低压成套配电柜、蓄电池柜、不间断电源柜、控制柜（屏、台）及动力、照明配电箱（盘）应符合下列规定：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255A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AE1FEE6">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5AFC8A81">
            <w:pPr>
              <w:spacing w:line="240" w:lineRule="auto"/>
              <w:ind w:firstLine="0" w:firstLineChars="0"/>
              <w:jc w:val="center"/>
              <w:rPr>
                <w:rFonts w:hint="eastAsia"/>
                <w:color w:val="auto"/>
                <w:sz w:val="21"/>
              </w:rPr>
            </w:pPr>
            <w:r>
              <w:rPr>
                <w:rFonts w:hint="eastAsia"/>
                <w:color w:val="auto"/>
                <w:sz w:val="21"/>
              </w:rPr>
              <w:t>规定内容</w:t>
            </w:r>
          </w:p>
        </w:tc>
      </w:tr>
      <w:tr w14:paraId="2C84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7F8D6FC">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405C35B3">
            <w:pPr>
              <w:spacing w:line="240" w:lineRule="auto"/>
              <w:ind w:firstLine="0" w:firstLineChars="0"/>
              <w:jc w:val="center"/>
              <w:rPr>
                <w:rFonts w:hint="eastAsia"/>
                <w:color w:val="auto"/>
                <w:sz w:val="21"/>
              </w:rPr>
            </w:pPr>
            <w:r>
              <w:rPr>
                <w:rFonts w:hint="eastAsia"/>
                <w:color w:val="auto"/>
                <w:sz w:val="21"/>
              </w:rPr>
              <w:t>查验合格证和随带技术文件，实行生产许可证和安全认证制度的产品，有许可证编号和安全认证标志。不间断电源柜有出场试验记录。</w:t>
            </w:r>
          </w:p>
        </w:tc>
      </w:tr>
      <w:tr w14:paraId="34589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F535599">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3B07C68B">
            <w:pPr>
              <w:spacing w:line="240" w:lineRule="auto"/>
              <w:ind w:firstLine="0" w:firstLineChars="0"/>
              <w:jc w:val="center"/>
              <w:rPr>
                <w:rFonts w:hint="eastAsia"/>
                <w:color w:val="auto"/>
                <w:sz w:val="21"/>
              </w:rPr>
            </w:pPr>
            <w:r>
              <w:rPr>
                <w:rFonts w:hint="eastAsia"/>
                <w:color w:val="auto"/>
                <w:sz w:val="21"/>
              </w:rPr>
              <w:t>外观检查：有铭牌，柜内元器件无损坏丢失、接线无脱落焊，蓄电池柜内电池壳体无碎裂、漏夜，充油、充气设备无泄露，涂层完整，无明显碰撞凹陷。</w:t>
            </w:r>
          </w:p>
        </w:tc>
      </w:tr>
    </w:tbl>
    <w:p w14:paraId="4558AD97">
      <w:pPr>
        <w:rPr>
          <w:rFonts w:hint="eastAsia"/>
          <w:color w:val="auto"/>
        </w:rPr>
      </w:pPr>
      <w:r>
        <w:rPr>
          <w:rFonts w:hint="eastAsia"/>
          <w:color w:val="auto"/>
        </w:rPr>
        <w:t>不间断电源柜或成套柜要提供出厂试验记录，目的是为了在交接试验时作对比用。</w:t>
      </w:r>
    </w:p>
    <w:p w14:paraId="7608411C">
      <w:pPr>
        <w:rPr>
          <w:rFonts w:hint="eastAsia"/>
          <w:color w:val="auto"/>
        </w:rPr>
      </w:pPr>
      <w:r>
        <w:rPr>
          <w:rFonts w:hint="eastAsia"/>
          <w:color w:val="auto"/>
        </w:rPr>
        <w:t>成套配电柜、屏、台、箱、盘在运输过程中，因受振使螺栓松动或导线连接脱落焊是经常发生的，所以进场验收时要注意检查，以利采取措施，使其正确复位。</w:t>
      </w:r>
    </w:p>
    <w:p w14:paraId="35B6C569">
      <w:pPr>
        <w:rPr>
          <w:rFonts w:hint="eastAsia"/>
          <w:color w:val="auto"/>
        </w:rPr>
      </w:pPr>
      <w:r>
        <w:rPr>
          <w:rFonts w:hint="eastAsia"/>
          <w:color w:val="auto"/>
        </w:rPr>
        <w:t>柴油发电机组应符合下列规定：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46C97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FC018E6">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4787FB88">
            <w:pPr>
              <w:spacing w:line="240" w:lineRule="auto"/>
              <w:ind w:firstLine="0" w:firstLineChars="0"/>
              <w:jc w:val="center"/>
              <w:rPr>
                <w:rFonts w:hint="eastAsia"/>
                <w:color w:val="auto"/>
                <w:sz w:val="21"/>
              </w:rPr>
            </w:pPr>
            <w:r>
              <w:rPr>
                <w:rFonts w:hint="eastAsia"/>
                <w:color w:val="auto"/>
                <w:sz w:val="21"/>
              </w:rPr>
              <w:t>规定内容</w:t>
            </w:r>
          </w:p>
        </w:tc>
      </w:tr>
      <w:tr w14:paraId="4F0FF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90BF867">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1B455D10">
            <w:pPr>
              <w:spacing w:line="240" w:lineRule="auto"/>
              <w:ind w:firstLine="0" w:firstLineChars="0"/>
              <w:jc w:val="center"/>
              <w:rPr>
                <w:rFonts w:hint="eastAsia"/>
                <w:color w:val="auto"/>
                <w:sz w:val="21"/>
              </w:rPr>
            </w:pPr>
            <w:r>
              <w:rPr>
                <w:rFonts w:hint="eastAsia"/>
                <w:color w:val="auto"/>
                <w:sz w:val="21"/>
              </w:rPr>
              <w:t>依据装箱单，核对主机、附件、专用工具、备品备件和随带技术文件，查验合格证和出厂试运行记录，发电机及其控制柜有出厂试验记录。</w:t>
            </w:r>
          </w:p>
        </w:tc>
      </w:tr>
      <w:tr w14:paraId="542B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2F279D1">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1B382689">
            <w:pPr>
              <w:spacing w:line="240" w:lineRule="auto"/>
              <w:ind w:firstLine="0" w:firstLineChars="0"/>
              <w:jc w:val="center"/>
              <w:rPr>
                <w:rFonts w:hint="eastAsia"/>
                <w:color w:val="auto"/>
                <w:sz w:val="21"/>
              </w:rPr>
            </w:pPr>
            <w:r>
              <w:rPr>
                <w:rFonts w:hint="eastAsia"/>
                <w:color w:val="auto"/>
                <w:sz w:val="21"/>
              </w:rPr>
              <w:t>外观检查：有铭牌，机身无缺件，涂层完整。</w:t>
            </w:r>
          </w:p>
        </w:tc>
      </w:tr>
    </w:tbl>
    <w:p w14:paraId="1680D459">
      <w:pPr>
        <w:rPr>
          <w:rFonts w:hint="eastAsia"/>
          <w:color w:val="auto"/>
        </w:rPr>
      </w:pPr>
      <w:r>
        <w:rPr>
          <w:rFonts w:hint="eastAsia"/>
          <w:color w:val="auto"/>
        </w:rPr>
        <w:t>柴油发电机组供货时，零部件多，要依据装箱单逐一清点。通常发电机是由柴油机厂向电机厂订货后，统一组装成发电机组，有电机制造厂的出厂试验记录，可在交接试验时作对比用。</w:t>
      </w:r>
    </w:p>
    <w:p w14:paraId="675F1F0A">
      <w:pPr>
        <w:rPr>
          <w:rFonts w:hint="eastAsia"/>
          <w:color w:val="auto"/>
        </w:rPr>
      </w:pPr>
      <w:r>
        <w:rPr>
          <w:rFonts w:hint="eastAsia"/>
          <w:color w:val="auto"/>
        </w:rPr>
        <w:t>电动机、电加热器、电动执行机构和低压开关设备等应符合下列规定：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29FF4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736B220">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185C5A42">
            <w:pPr>
              <w:spacing w:line="240" w:lineRule="auto"/>
              <w:ind w:firstLine="0" w:firstLineChars="0"/>
              <w:jc w:val="center"/>
              <w:rPr>
                <w:rFonts w:hint="eastAsia"/>
                <w:color w:val="auto"/>
                <w:sz w:val="21"/>
              </w:rPr>
            </w:pPr>
            <w:r>
              <w:rPr>
                <w:rFonts w:hint="eastAsia"/>
                <w:color w:val="auto"/>
                <w:sz w:val="21"/>
              </w:rPr>
              <w:t>规定内容</w:t>
            </w:r>
          </w:p>
        </w:tc>
      </w:tr>
      <w:tr w14:paraId="34833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15E5C90">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C11DE1F">
            <w:pPr>
              <w:spacing w:line="240" w:lineRule="auto"/>
              <w:ind w:firstLine="0" w:firstLineChars="0"/>
              <w:jc w:val="center"/>
              <w:rPr>
                <w:rFonts w:hint="eastAsia"/>
                <w:color w:val="auto"/>
                <w:sz w:val="21"/>
              </w:rPr>
            </w:pPr>
            <w:r>
              <w:rPr>
                <w:rFonts w:hint="eastAsia"/>
                <w:color w:val="auto"/>
                <w:sz w:val="21"/>
              </w:rPr>
              <w:t>查验合格证和随带技术文件，实行生产许可证和安全认证制度的产品，有许可证编号和安全认证标志。</w:t>
            </w:r>
          </w:p>
        </w:tc>
      </w:tr>
      <w:tr w14:paraId="5959B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8948CB4">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65E6911B">
            <w:pPr>
              <w:spacing w:line="240" w:lineRule="auto"/>
              <w:ind w:firstLine="0" w:firstLineChars="0"/>
              <w:jc w:val="center"/>
              <w:rPr>
                <w:rFonts w:hint="eastAsia"/>
                <w:color w:val="auto"/>
                <w:sz w:val="21"/>
              </w:rPr>
            </w:pPr>
            <w:r>
              <w:rPr>
                <w:rFonts w:hint="eastAsia"/>
                <w:color w:val="auto"/>
                <w:sz w:val="21"/>
              </w:rPr>
              <w:t>外观检查：有铭牌，附件齐全，电气接线端子完好，设备器件无缺损，涂层完整。</w:t>
            </w:r>
          </w:p>
        </w:tc>
      </w:tr>
    </w:tbl>
    <w:p w14:paraId="60C56926">
      <w:pPr>
        <w:rPr>
          <w:rFonts w:hint="eastAsia"/>
          <w:color w:val="auto"/>
        </w:rPr>
      </w:pPr>
      <w:r>
        <w:rPr>
          <w:rFonts w:hint="eastAsia"/>
          <w:color w:val="auto"/>
        </w:rPr>
        <w:t>照明灯具及附件应符合下列规定：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01207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05FCE3E">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4677E888">
            <w:pPr>
              <w:spacing w:line="240" w:lineRule="auto"/>
              <w:ind w:firstLine="0" w:firstLineChars="0"/>
              <w:jc w:val="center"/>
              <w:rPr>
                <w:rFonts w:hint="eastAsia"/>
                <w:color w:val="auto"/>
                <w:sz w:val="21"/>
              </w:rPr>
            </w:pPr>
            <w:r>
              <w:rPr>
                <w:rFonts w:hint="eastAsia"/>
                <w:color w:val="auto"/>
                <w:sz w:val="21"/>
              </w:rPr>
              <w:t>规定内容</w:t>
            </w:r>
          </w:p>
        </w:tc>
      </w:tr>
      <w:tr w14:paraId="769AF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4CB56EA">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17D23729">
            <w:pPr>
              <w:spacing w:line="240" w:lineRule="auto"/>
              <w:ind w:firstLine="0" w:firstLineChars="0"/>
              <w:jc w:val="center"/>
              <w:rPr>
                <w:rFonts w:hint="eastAsia"/>
                <w:color w:val="auto"/>
                <w:sz w:val="21"/>
              </w:rPr>
            </w:pPr>
            <w:r>
              <w:rPr>
                <w:rFonts w:hint="eastAsia"/>
                <w:color w:val="auto"/>
                <w:sz w:val="21"/>
              </w:rPr>
              <w:t>查验合格证，新型气体放电灯具有随带技术文件。</w:t>
            </w:r>
          </w:p>
        </w:tc>
      </w:tr>
      <w:tr w14:paraId="6B96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126A195">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3211AFEA">
            <w:pPr>
              <w:spacing w:line="240" w:lineRule="auto"/>
              <w:ind w:firstLine="0" w:firstLineChars="0"/>
              <w:jc w:val="center"/>
              <w:rPr>
                <w:rFonts w:hint="eastAsia"/>
                <w:color w:val="auto"/>
                <w:sz w:val="21"/>
              </w:rPr>
            </w:pPr>
            <w:r>
              <w:rPr>
                <w:rFonts w:hint="eastAsia"/>
                <w:color w:val="auto"/>
                <w:sz w:val="21"/>
              </w:rPr>
              <w:t>外观检查：灯具涂层完整，无损伤，附件齐全。防爆灯具铭牌上有防爆标志和防爆合格证号，普通等具有安全认证标志。</w:t>
            </w:r>
          </w:p>
        </w:tc>
      </w:tr>
    </w:tbl>
    <w:p w14:paraId="061C2E61">
      <w:pPr>
        <w:rPr>
          <w:rFonts w:hint="eastAsia"/>
          <w:color w:val="auto"/>
        </w:rPr>
      </w:pPr>
      <w:r>
        <w:rPr>
          <w:rFonts w:hint="eastAsia"/>
          <w:color w:val="auto"/>
        </w:rPr>
        <w:t>对成套灯具的绝缘电阻、内部接线等性能进行现场抽样检测。灯具的绝缘电阻值不小于2MΩ，内部接线为铜芯绝缘电线，芯线截面积不小于0.5mm²，橡胶或聚氯乙烯（PVC）绝缘电线的绝缘层厚度不小于0.6mm。</w:t>
      </w:r>
    </w:p>
    <w:p w14:paraId="022BFFE8">
      <w:pPr>
        <w:rPr>
          <w:rFonts w:hint="eastAsia"/>
          <w:color w:val="auto"/>
        </w:rPr>
      </w:pPr>
      <w:r>
        <w:rPr>
          <w:rFonts w:hint="eastAsia"/>
          <w:color w:val="auto"/>
        </w:rPr>
        <w:t>气体放电灯具通常接线比普通灯具复杂，且附件多，有防高温要求，尤其新型气体放电灯具，功率也大，因而需要提供技术文件，以利正确安装。</w:t>
      </w:r>
    </w:p>
    <w:p w14:paraId="6D051163">
      <w:pPr>
        <w:rPr>
          <w:rFonts w:hint="eastAsia"/>
          <w:color w:val="auto"/>
        </w:rPr>
      </w:pPr>
      <w:r>
        <w:rPr>
          <w:rFonts w:hint="eastAsia"/>
          <w:color w:val="auto"/>
        </w:rPr>
        <w:t>按现行国家标准《爆炸性环境用防爆电气设备》的规定，防爆电气产品获得防爆合格证后方可生产。防爆电气设备的类型、级别、组别和外壳上的“EX”标志，是其重要特征，验收时要依据设计图纸认真仔细核对。</w:t>
      </w:r>
    </w:p>
    <w:p w14:paraId="76790650">
      <w:pPr>
        <w:rPr>
          <w:rFonts w:hint="eastAsia"/>
          <w:color w:val="auto"/>
        </w:rPr>
      </w:pPr>
      <w:r>
        <w:rPr>
          <w:rFonts w:hint="eastAsia"/>
          <w:color w:val="auto"/>
        </w:rPr>
        <w:t>对成套灯具的使用安全发生异议，以现场抽样检测为主，重点在于导电部分的绝缘电阻和使用的电线芯线大小是否符合要求。由于建筑电气工程中Ⅱ类灯具很少使用，所以未将Ⅱ类灯具的有关要求纳入。</w:t>
      </w:r>
    </w:p>
    <w:p w14:paraId="1BF42BDE">
      <w:pPr>
        <w:rPr>
          <w:rFonts w:hint="eastAsia"/>
          <w:color w:val="auto"/>
        </w:rPr>
      </w:pPr>
      <w:r>
        <w:rPr>
          <w:rFonts w:hint="eastAsia"/>
          <w:color w:val="auto"/>
        </w:rPr>
        <w:t>测量绝缘电阻时，兆欧表的电压等级，按现行国家标准《电气装置安装工程电气设备交接试验标准》GB50150-2016规定执行，即：</w:t>
      </w:r>
    </w:p>
    <w:p w14:paraId="0143A06B">
      <w:pPr>
        <w:rPr>
          <w:rFonts w:hint="eastAsia"/>
          <w:color w:val="auto"/>
        </w:rPr>
      </w:pPr>
      <w:r>
        <w:rPr>
          <w:rFonts w:hint="eastAsia"/>
          <w:color w:val="auto"/>
        </w:rPr>
        <w:t>1、100V以下的电气设备或线路，采用250V兆欧表；</w:t>
      </w:r>
    </w:p>
    <w:p w14:paraId="1A6DE843">
      <w:pPr>
        <w:rPr>
          <w:rFonts w:hint="eastAsia"/>
          <w:color w:val="auto"/>
        </w:rPr>
      </w:pPr>
      <w:r>
        <w:rPr>
          <w:rFonts w:hint="eastAsia"/>
          <w:color w:val="auto"/>
        </w:rPr>
        <w:t>2、100～500V的电气设备或线路，采用500V兆欧表；</w:t>
      </w:r>
    </w:p>
    <w:p w14:paraId="05741F72">
      <w:pPr>
        <w:rPr>
          <w:rFonts w:hint="eastAsia"/>
          <w:color w:val="auto"/>
        </w:rPr>
      </w:pPr>
      <w:r>
        <w:rPr>
          <w:rFonts w:hint="eastAsia"/>
          <w:color w:val="auto"/>
        </w:rPr>
        <w:t>3、500～3000V的电气设备或线路，采用1000V兆欧表；</w:t>
      </w:r>
    </w:p>
    <w:p w14:paraId="52E713DE">
      <w:pPr>
        <w:rPr>
          <w:rFonts w:hint="eastAsia"/>
          <w:color w:val="auto"/>
        </w:rPr>
      </w:pPr>
      <w:r>
        <w:rPr>
          <w:rFonts w:hint="eastAsia"/>
          <w:color w:val="auto"/>
        </w:rPr>
        <w:t>4、3000～10000V的电气设备或线路，采用2500V兆欧表。</w:t>
      </w:r>
    </w:p>
    <w:p w14:paraId="05F21DBB">
      <w:pPr>
        <w:rPr>
          <w:rFonts w:hint="eastAsia"/>
          <w:color w:val="auto"/>
        </w:rPr>
      </w:pPr>
      <w:r>
        <w:rPr>
          <w:rFonts w:hint="eastAsia"/>
          <w:color w:val="auto"/>
        </w:rPr>
        <w:t>开关、插座、接线盒和风扇及其附件应符合下列规定：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0C4A8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46B4449">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12276496">
            <w:pPr>
              <w:spacing w:line="240" w:lineRule="auto"/>
              <w:ind w:firstLine="0" w:firstLineChars="0"/>
              <w:jc w:val="center"/>
              <w:rPr>
                <w:rFonts w:hint="eastAsia"/>
                <w:color w:val="auto"/>
                <w:sz w:val="21"/>
              </w:rPr>
            </w:pPr>
            <w:r>
              <w:rPr>
                <w:rFonts w:hint="eastAsia"/>
                <w:color w:val="auto"/>
                <w:sz w:val="21"/>
              </w:rPr>
              <w:t>规定内容</w:t>
            </w:r>
          </w:p>
        </w:tc>
      </w:tr>
      <w:tr w14:paraId="07C8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32664B9">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12F2CDA6">
            <w:pPr>
              <w:spacing w:line="240" w:lineRule="auto"/>
              <w:ind w:firstLine="0" w:firstLineChars="0"/>
              <w:jc w:val="center"/>
              <w:rPr>
                <w:rFonts w:hint="eastAsia"/>
                <w:color w:val="auto"/>
                <w:sz w:val="21"/>
              </w:rPr>
            </w:pPr>
            <w:r>
              <w:rPr>
                <w:rFonts w:hint="eastAsia"/>
                <w:color w:val="auto"/>
                <w:sz w:val="21"/>
              </w:rPr>
              <w:t>查验合格证，防爆产品有防爆合格证号，实行安全认证制度繁荣产品有安全认证标志。</w:t>
            </w:r>
          </w:p>
        </w:tc>
      </w:tr>
      <w:tr w14:paraId="141B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1D5985D">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1A42EA19">
            <w:pPr>
              <w:spacing w:line="240" w:lineRule="auto"/>
              <w:ind w:firstLine="0" w:firstLineChars="0"/>
              <w:jc w:val="center"/>
              <w:rPr>
                <w:rFonts w:hint="eastAsia"/>
                <w:color w:val="auto"/>
                <w:sz w:val="21"/>
              </w:rPr>
            </w:pPr>
            <w:r>
              <w:rPr>
                <w:rFonts w:hint="eastAsia"/>
                <w:color w:val="auto"/>
                <w:sz w:val="21"/>
              </w:rPr>
              <w:t>外观检查：开关、插座的面板及接线盒盒体完整、无碎裂、零件齐全，风扇无损坏，涂层完整，调速器等附件适配。</w:t>
            </w:r>
          </w:p>
        </w:tc>
      </w:tr>
    </w:tbl>
    <w:p w14:paraId="00A611D6">
      <w:pPr>
        <w:rPr>
          <w:rFonts w:hint="eastAsia"/>
          <w:color w:val="auto"/>
        </w:rPr>
      </w:pPr>
      <w:r>
        <w:rPr>
          <w:rFonts w:hint="eastAsia"/>
          <w:color w:val="auto"/>
        </w:rPr>
        <w:t>对开关、插座的电气和机械性能进行现场抽样检测。检测规定如下：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4FE7F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E06E40E">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6967D875">
            <w:pPr>
              <w:spacing w:line="240" w:lineRule="auto"/>
              <w:ind w:firstLine="0" w:firstLineChars="0"/>
              <w:jc w:val="center"/>
              <w:rPr>
                <w:rFonts w:hint="eastAsia"/>
                <w:color w:val="auto"/>
                <w:sz w:val="21"/>
              </w:rPr>
            </w:pPr>
            <w:r>
              <w:rPr>
                <w:rFonts w:hint="eastAsia"/>
                <w:color w:val="auto"/>
                <w:sz w:val="21"/>
              </w:rPr>
              <w:t>规定内容</w:t>
            </w:r>
          </w:p>
        </w:tc>
      </w:tr>
      <w:tr w14:paraId="09707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01A0C54">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257B2BA">
            <w:pPr>
              <w:spacing w:line="240" w:lineRule="auto"/>
              <w:ind w:firstLine="0" w:firstLineChars="0"/>
              <w:jc w:val="center"/>
              <w:rPr>
                <w:rFonts w:hint="eastAsia"/>
                <w:color w:val="auto"/>
                <w:sz w:val="21"/>
              </w:rPr>
            </w:pPr>
            <w:r>
              <w:rPr>
                <w:rFonts w:hint="eastAsia"/>
                <w:color w:val="auto"/>
                <w:sz w:val="21"/>
              </w:rPr>
              <w:t>不同极性带电部件间的电气间隙和爬电距离不小于3mm。</w:t>
            </w:r>
          </w:p>
        </w:tc>
      </w:tr>
      <w:tr w14:paraId="133B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B76B8B8">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54992C08">
            <w:pPr>
              <w:spacing w:line="240" w:lineRule="auto"/>
              <w:ind w:firstLine="0" w:firstLineChars="0"/>
              <w:jc w:val="center"/>
              <w:rPr>
                <w:rFonts w:hint="eastAsia"/>
                <w:color w:val="auto"/>
                <w:sz w:val="21"/>
              </w:rPr>
            </w:pPr>
            <w:r>
              <w:rPr>
                <w:rFonts w:hint="eastAsia"/>
                <w:color w:val="auto"/>
                <w:sz w:val="21"/>
              </w:rPr>
              <w:t>绝缘电阻值不小于5MΩ。</w:t>
            </w:r>
          </w:p>
        </w:tc>
      </w:tr>
      <w:tr w14:paraId="2CC30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AF3973F">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4DFE384F">
            <w:pPr>
              <w:spacing w:line="240" w:lineRule="auto"/>
              <w:ind w:firstLine="0" w:firstLineChars="0"/>
              <w:jc w:val="center"/>
              <w:rPr>
                <w:rFonts w:hint="eastAsia"/>
                <w:color w:val="auto"/>
                <w:sz w:val="21"/>
              </w:rPr>
            </w:pPr>
            <w:r>
              <w:rPr>
                <w:rFonts w:hint="eastAsia"/>
                <w:color w:val="auto"/>
                <w:sz w:val="21"/>
              </w:rPr>
              <w:t>用自攻锁紧螺钉或自切螺钉安装的，螺钉与软塑固定件悬合长度不小于8mm，软塑固定件在经受10次拧紧退出试验后，无松动或掉渣，螺钉及螺纹无损坏现象。</w:t>
            </w:r>
          </w:p>
        </w:tc>
      </w:tr>
      <w:tr w14:paraId="7E0F9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03712CC">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6BD8FA84">
            <w:pPr>
              <w:spacing w:line="240" w:lineRule="auto"/>
              <w:ind w:firstLine="0" w:firstLineChars="0"/>
              <w:jc w:val="center"/>
              <w:rPr>
                <w:rFonts w:hint="eastAsia"/>
                <w:color w:val="auto"/>
                <w:sz w:val="21"/>
              </w:rPr>
            </w:pPr>
            <w:r>
              <w:rPr>
                <w:rFonts w:hint="eastAsia"/>
                <w:color w:val="auto"/>
                <w:sz w:val="21"/>
              </w:rPr>
              <w:t>金属间相旋合的螺钉螺母，拧紧后完全退出，反复5次仍能正常使用。</w:t>
            </w:r>
          </w:p>
        </w:tc>
      </w:tr>
      <w:tr w14:paraId="79E67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6D64B13">
            <w:pPr>
              <w:spacing w:line="240" w:lineRule="auto"/>
              <w:ind w:firstLine="0" w:firstLineChars="0"/>
              <w:jc w:val="center"/>
              <w:rPr>
                <w:rFonts w:hint="eastAsia"/>
                <w:color w:val="auto"/>
                <w:sz w:val="21"/>
              </w:rPr>
            </w:pPr>
            <w:r>
              <w:rPr>
                <w:rFonts w:hint="eastAsia"/>
                <w:color w:val="auto"/>
                <w:sz w:val="21"/>
              </w:rPr>
              <w:t>5</w:t>
            </w:r>
          </w:p>
        </w:tc>
        <w:tc>
          <w:tcPr>
            <w:tcW w:w="4637" w:type="pct"/>
            <w:tcBorders>
              <w:top w:val="single" w:color="auto" w:sz="4" w:space="0"/>
              <w:left w:val="single" w:color="auto" w:sz="4" w:space="0"/>
              <w:bottom w:val="single" w:color="auto" w:sz="4" w:space="0"/>
              <w:right w:val="single" w:color="auto" w:sz="4" w:space="0"/>
            </w:tcBorders>
            <w:vAlign w:val="center"/>
          </w:tcPr>
          <w:p w14:paraId="560ADDA9">
            <w:pPr>
              <w:spacing w:line="240" w:lineRule="auto"/>
              <w:ind w:firstLine="0" w:firstLineChars="0"/>
              <w:jc w:val="center"/>
              <w:rPr>
                <w:rFonts w:hint="eastAsia"/>
                <w:color w:val="auto"/>
                <w:sz w:val="21"/>
              </w:rPr>
            </w:pPr>
            <w:r>
              <w:rPr>
                <w:rFonts w:hint="eastAsia"/>
                <w:color w:val="auto"/>
                <w:sz w:val="21"/>
              </w:rPr>
              <w:t>对开关、插座、接线盒及其面板等塑料绝缘材料阻燃性能有异议时，按批抽样送有资质的试验室检测。</w:t>
            </w:r>
          </w:p>
        </w:tc>
      </w:tr>
    </w:tbl>
    <w:p w14:paraId="19F0C65C">
      <w:pPr>
        <w:rPr>
          <w:rFonts w:hint="eastAsia"/>
          <w:color w:val="auto"/>
        </w:rPr>
      </w:pPr>
      <w:r>
        <w:rPr>
          <w:rFonts w:hint="eastAsia"/>
          <w:color w:val="auto"/>
        </w:rPr>
        <w:t>工作电压大于20～400V不同极性带电部件之间2～4mm，考虑到所述电器为有防止污染物沉积保护的，故取3mm；其绝缘电阻按II类器具加以考虑，绝缘电阻值为5MΩ；阻燃性能试验，现场不能满足规定条件时，应送有资质的试验室进行检测。</w:t>
      </w:r>
    </w:p>
    <w:p w14:paraId="44F66E0B">
      <w:pPr>
        <w:rPr>
          <w:rFonts w:hint="eastAsia"/>
          <w:color w:val="auto"/>
        </w:rPr>
      </w:pPr>
      <w:r>
        <w:rPr>
          <w:rFonts w:hint="eastAsia"/>
          <w:color w:val="auto"/>
        </w:rPr>
        <w:t>电线、电缆应符合下列规定：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20982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CE885CC">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3F61A8DE">
            <w:pPr>
              <w:spacing w:line="240" w:lineRule="auto"/>
              <w:ind w:firstLine="0" w:firstLineChars="0"/>
              <w:jc w:val="center"/>
              <w:rPr>
                <w:rFonts w:hint="eastAsia"/>
                <w:color w:val="auto"/>
                <w:sz w:val="21"/>
              </w:rPr>
            </w:pPr>
            <w:r>
              <w:rPr>
                <w:rFonts w:hint="eastAsia"/>
                <w:color w:val="auto"/>
                <w:sz w:val="21"/>
              </w:rPr>
              <w:t>规定内容</w:t>
            </w:r>
          </w:p>
        </w:tc>
      </w:tr>
      <w:tr w14:paraId="21A3D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8A773F9">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1B18CE02">
            <w:pPr>
              <w:spacing w:line="240" w:lineRule="auto"/>
              <w:ind w:firstLine="420"/>
              <w:rPr>
                <w:rFonts w:hint="eastAsia"/>
                <w:color w:val="auto"/>
                <w:sz w:val="21"/>
              </w:rPr>
            </w:pPr>
            <w:r>
              <w:rPr>
                <w:rFonts w:hint="eastAsia"/>
                <w:color w:val="auto"/>
                <w:sz w:val="21"/>
              </w:rPr>
              <w:t>按批查验合格证，合格证有生产许可证编号，按《额定电压450/750V及以下聚乙烯绝缘电缆》标准生产的产品有安全认证标志。</w:t>
            </w:r>
          </w:p>
        </w:tc>
      </w:tr>
      <w:tr w14:paraId="065A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6B64B0C">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3A69C295">
            <w:pPr>
              <w:spacing w:line="240" w:lineRule="auto"/>
              <w:ind w:firstLine="420"/>
              <w:rPr>
                <w:rFonts w:hint="eastAsia"/>
                <w:color w:val="auto"/>
                <w:sz w:val="21"/>
              </w:rPr>
            </w:pPr>
            <w:r>
              <w:rPr>
                <w:rFonts w:hint="eastAsia"/>
                <w:color w:val="auto"/>
                <w:sz w:val="21"/>
              </w:rPr>
              <w:t>外观检查：包装完好，抽检的电线绝缘层完整无损，厚度均匀。电缆无压扁、扭曲，铠装不松卷。耐热、阻燃的电线、电缆外护层有明显标识和制造厂标。</w:t>
            </w:r>
          </w:p>
        </w:tc>
      </w:tr>
      <w:tr w14:paraId="7D9B4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E2A0F6E">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0E9ECFEC">
            <w:pPr>
              <w:spacing w:line="240" w:lineRule="auto"/>
              <w:ind w:firstLine="420"/>
              <w:rPr>
                <w:rFonts w:hint="eastAsia"/>
                <w:color w:val="auto"/>
                <w:sz w:val="21"/>
              </w:rPr>
            </w:pPr>
            <w:r>
              <w:rPr>
                <w:rFonts w:hint="eastAsia"/>
                <w:color w:val="auto"/>
                <w:sz w:val="21"/>
              </w:rPr>
              <w:t>按制造标准，现场抽样检测绝缘层厚度和圆形线芯的直径；线芯直径误差不大于标称直径的1%。</w:t>
            </w:r>
          </w:p>
        </w:tc>
      </w:tr>
      <w:tr w14:paraId="2090A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8D3DA72">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027012DF">
            <w:pPr>
              <w:spacing w:line="240" w:lineRule="auto"/>
              <w:ind w:firstLine="420"/>
              <w:rPr>
                <w:rFonts w:hint="eastAsia"/>
                <w:color w:val="auto"/>
                <w:sz w:val="21"/>
              </w:rPr>
            </w:pPr>
            <w:r>
              <w:rPr>
                <w:rFonts w:hint="eastAsia"/>
                <w:color w:val="auto"/>
                <w:sz w:val="21"/>
              </w:rPr>
              <w:t>通常在进场验收时，对电线、电缆的绝缘层厚度和电线的线芯直径比较关注，数据与国际标准的规定是一致的。</w:t>
            </w:r>
          </w:p>
        </w:tc>
      </w:tr>
    </w:tbl>
    <w:p w14:paraId="681B3AE7">
      <w:pPr>
        <w:rPr>
          <w:rFonts w:hint="eastAsia"/>
          <w:color w:val="auto"/>
        </w:rPr>
      </w:pPr>
      <w:r>
        <w:rPr>
          <w:rFonts w:hint="eastAsia"/>
          <w:color w:val="auto"/>
        </w:rPr>
        <w:t>仅从电线、电缆的几何尺寸，不足以说明其导电性能、绝缘性能一定能满足要求。电线、电缆的绝缘性能、导电性能和阻燃性能，除与几何尺寸有关外，更重要的是与构成的化学成份有关，在进场验收时无法判定的，要送有资质的试验室进行检测。</w:t>
      </w:r>
    </w:p>
    <w:p w14:paraId="77AF99F0">
      <w:pPr>
        <w:rPr>
          <w:rFonts w:hint="eastAsia"/>
          <w:color w:val="auto"/>
        </w:rPr>
      </w:pPr>
      <w:r>
        <w:rPr>
          <w:rFonts w:hint="eastAsia"/>
          <w:color w:val="auto"/>
        </w:rPr>
        <w:t>导管应符合下列规定：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3B89E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6B18D37">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048348BB">
            <w:pPr>
              <w:spacing w:line="240" w:lineRule="auto"/>
              <w:ind w:firstLine="0" w:firstLineChars="0"/>
              <w:jc w:val="center"/>
              <w:rPr>
                <w:rFonts w:hint="eastAsia"/>
                <w:color w:val="auto"/>
                <w:sz w:val="21"/>
              </w:rPr>
            </w:pPr>
            <w:r>
              <w:rPr>
                <w:rFonts w:hint="eastAsia"/>
                <w:color w:val="auto"/>
                <w:sz w:val="21"/>
              </w:rPr>
              <w:t>规定内容</w:t>
            </w:r>
          </w:p>
        </w:tc>
      </w:tr>
      <w:tr w14:paraId="0C72E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4935F91">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14C609CE">
            <w:pPr>
              <w:spacing w:line="240" w:lineRule="auto"/>
              <w:ind w:firstLine="420"/>
              <w:rPr>
                <w:rFonts w:hint="eastAsia"/>
                <w:color w:val="auto"/>
                <w:sz w:val="21"/>
              </w:rPr>
            </w:pPr>
            <w:r>
              <w:rPr>
                <w:rFonts w:hint="eastAsia"/>
                <w:color w:val="auto"/>
                <w:sz w:val="21"/>
              </w:rPr>
              <w:t>按批查验合格证。</w:t>
            </w:r>
          </w:p>
        </w:tc>
      </w:tr>
      <w:tr w14:paraId="1F09A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FDFC586">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36A97C13">
            <w:pPr>
              <w:spacing w:line="240" w:lineRule="auto"/>
              <w:ind w:firstLine="420"/>
              <w:rPr>
                <w:rFonts w:hint="eastAsia"/>
                <w:color w:val="auto"/>
                <w:sz w:val="21"/>
              </w:rPr>
            </w:pPr>
            <w:r>
              <w:rPr>
                <w:rFonts w:hint="eastAsia"/>
                <w:color w:val="auto"/>
                <w:sz w:val="21"/>
              </w:rPr>
              <w:t>外观检查：钢导管无压扁、内壁光滑。非镀锌钢导管无严重锈蚀，按制造标准油漆出厂的油漆完整；镀锌钢导管镀层覆盖完整、表面无锈斑；绝缘导管及配件不碎裂、表面有阻燃标记和制造厂标。</w:t>
            </w:r>
          </w:p>
        </w:tc>
      </w:tr>
      <w:tr w14:paraId="6D3D3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63" w:type="pct"/>
            <w:tcBorders>
              <w:top w:val="single" w:color="auto" w:sz="4" w:space="0"/>
              <w:left w:val="single" w:color="auto" w:sz="4" w:space="0"/>
              <w:bottom w:val="single" w:color="auto" w:sz="4" w:space="0"/>
              <w:right w:val="single" w:color="auto" w:sz="4" w:space="0"/>
            </w:tcBorders>
            <w:vAlign w:val="center"/>
          </w:tcPr>
          <w:p w14:paraId="50A2D654">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120537E0">
            <w:pPr>
              <w:spacing w:line="240" w:lineRule="auto"/>
              <w:ind w:firstLine="420"/>
              <w:rPr>
                <w:rFonts w:hint="eastAsia"/>
                <w:color w:val="auto"/>
                <w:sz w:val="21"/>
              </w:rPr>
            </w:pPr>
            <w:r>
              <w:rPr>
                <w:rFonts w:hint="eastAsia"/>
                <w:color w:val="auto"/>
                <w:sz w:val="21"/>
              </w:rPr>
              <w:t>按制造标准现场抽样检测导管的管径、壁厚及均匀度。对绝缘导管及配件的阻燃性能有异议时，按批抽样送有资质的试验室检测。</w:t>
            </w:r>
          </w:p>
        </w:tc>
      </w:tr>
    </w:tbl>
    <w:p w14:paraId="60F2A970">
      <w:pPr>
        <w:rPr>
          <w:rFonts w:hint="eastAsia"/>
          <w:color w:val="auto"/>
        </w:rPr>
      </w:pPr>
      <w:r>
        <w:rPr>
          <w:rFonts w:hint="eastAsia"/>
          <w:color w:val="auto"/>
        </w:rPr>
        <w:t>电气安装用导管也是建筑电气工程中作用的大宗材料，按国家推荐性标准《电气安装用导管的技术要求通用要求》和特殊要求等标准，进行现场验收。</w:t>
      </w:r>
    </w:p>
    <w:p w14:paraId="585B0521">
      <w:pPr>
        <w:rPr>
          <w:rFonts w:hint="eastAsia"/>
          <w:color w:val="auto"/>
        </w:rPr>
      </w:pPr>
      <w:r>
        <w:rPr>
          <w:rFonts w:hint="eastAsia"/>
          <w:color w:val="auto"/>
        </w:rPr>
        <w:t>型钢和电焊条应符合下列规定：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4C90D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6E09BDB">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61C7E45E">
            <w:pPr>
              <w:spacing w:line="240" w:lineRule="auto"/>
              <w:ind w:firstLine="0" w:firstLineChars="0"/>
              <w:jc w:val="center"/>
              <w:rPr>
                <w:rFonts w:hint="eastAsia"/>
                <w:color w:val="auto"/>
                <w:sz w:val="21"/>
              </w:rPr>
            </w:pPr>
            <w:r>
              <w:rPr>
                <w:rFonts w:hint="eastAsia"/>
                <w:color w:val="auto"/>
                <w:sz w:val="21"/>
              </w:rPr>
              <w:t>规定内容</w:t>
            </w:r>
          </w:p>
        </w:tc>
      </w:tr>
      <w:tr w14:paraId="5D5F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AF1D91A">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B22B3FA">
            <w:pPr>
              <w:spacing w:line="240" w:lineRule="auto"/>
              <w:ind w:firstLine="420"/>
              <w:rPr>
                <w:rFonts w:hint="eastAsia"/>
                <w:color w:val="auto"/>
                <w:sz w:val="21"/>
              </w:rPr>
            </w:pPr>
            <w:r>
              <w:rPr>
                <w:rFonts w:hint="eastAsia"/>
                <w:color w:val="auto"/>
                <w:sz w:val="21"/>
              </w:rPr>
              <w:t>按批查验合格证和材质证明书；有异议时，按批抽样送有资质的试验室检测。</w:t>
            </w:r>
          </w:p>
        </w:tc>
      </w:tr>
      <w:tr w14:paraId="71353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 w:hRule="atLeast"/>
        </w:trPr>
        <w:tc>
          <w:tcPr>
            <w:tcW w:w="363" w:type="pct"/>
            <w:tcBorders>
              <w:top w:val="single" w:color="auto" w:sz="4" w:space="0"/>
              <w:left w:val="single" w:color="auto" w:sz="4" w:space="0"/>
              <w:bottom w:val="single" w:color="auto" w:sz="4" w:space="0"/>
              <w:right w:val="single" w:color="auto" w:sz="4" w:space="0"/>
            </w:tcBorders>
            <w:vAlign w:val="center"/>
          </w:tcPr>
          <w:p w14:paraId="314A96AF">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15838295">
            <w:pPr>
              <w:spacing w:line="240" w:lineRule="auto"/>
              <w:ind w:firstLine="420"/>
              <w:rPr>
                <w:rFonts w:hint="eastAsia"/>
                <w:color w:val="auto"/>
                <w:sz w:val="21"/>
              </w:rPr>
            </w:pPr>
            <w:r>
              <w:rPr>
                <w:rFonts w:hint="eastAsia"/>
                <w:color w:val="auto"/>
                <w:sz w:val="21"/>
              </w:rPr>
              <w:t>外观检查：型钢表面无严重锈蚀，无过度扭曲、弯折变形；电焊条包装完整，拆包抽检，焊条尾部无锈斑。</w:t>
            </w:r>
          </w:p>
        </w:tc>
      </w:tr>
    </w:tbl>
    <w:p w14:paraId="221D14C0">
      <w:pPr>
        <w:rPr>
          <w:rFonts w:hint="eastAsia"/>
          <w:color w:val="auto"/>
        </w:rPr>
      </w:pPr>
      <w:r>
        <w:rPr>
          <w:rFonts w:hint="eastAsia"/>
          <w:color w:val="auto"/>
        </w:rPr>
        <w:t>镀锌制品（支架、横担、接地极、避雷用型钢等）和外线金具应符合下列规定：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162E1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0B1DA99">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521BF90C">
            <w:pPr>
              <w:spacing w:line="240" w:lineRule="auto"/>
              <w:ind w:firstLine="0" w:firstLineChars="0"/>
              <w:jc w:val="center"/>
              <w:rPr>
                <w:rFonts w:hint="eastAsia"/>
                <w:color w:val="auto"/>
                <w:sz w:val="21"/>
              </w:rPr>
            </w:pPr>
            <w:r>
              <w:rPr>
                <w:rFonts w:hint="eastAsia"/>
                <w:color w:val="auto"/>
                <w:sz w:val="21"/>
              </w:rPr>
              <w:t>规定内容</w:t>
            </w:r>
          </w:p>
        </w:tc>
      </w:tr>
      <w:tr w14:paraId="4CE12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1240D39">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F1BE9B2">
            <w:pPr>
              <w:spacing w:line="240" w:lineRule="auto"/>
              <w:ind w:firstLine="0" w:firstLineChars="0"/>
              <w:jc w:val="center"/>
              <w:rPr>
                <w:rFonts w:hint="eastAsia"/>
                <w:color w:val="auto"/>
                <w:sz w:val="21"/>
              </w:rPr>
            </w:pPr>
            <w:r>
              <w:rPr>
                <w:rFonts w:hint="eastAsia"/>
                <w:color w:val="auto"/>
                <w:sz w:val="21"/>
              </w:rPr>
              <w:t>按批查验合格证或镀锌厂出具的镀锌质量证明书。</w:t>
            </w:r>
          </w:p>
        </w:tc>
      </w:tr>
      <w:tr w14:paraId="2AFAD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5D5EAEB">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2AA22F3C">
            <w:pPr>
              <w:spacing w:line="240" w:lineRule="auto"/>
              <w:ind w:firstLine="0" w:firstLineChars="0"/>
              <w:jc w:val="center"/>
              <w:rPr>
                <w:rFonts w:hint="eastAsia"/>
                <w:color w:val="auto"/>
                <w:sz w:val="21"/>
              </w:rPr>
            </w:pPr>
            <w:r>
              <w:rPr>
                <w:rFonts w:hint="eastAsia"/>
                <w:color w:val="auto"/>
                <w:sz w:val="21"/>
              </w:rPr>
              <w:t>外观检查：镀锌层覆盖完整、表面无锈斑，金具配件齐全，无砂眼。</w:t>
            </w:r>
          </w:p>
        </w:tc>
      </w:tr>
      <w:tr w14:paraId="6867A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570133F">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679F6161">
            <w:pPr>
              <w:spacing w:line="240" w:lineRule="auto"/>
              <w:ind w:firstLine="0" w:firstLineChars="0"/>
              <w:jc w:val="center"/>
              <w:rPr>
                <w:rFonts w:hint="eastAsia"/>
                <w:color w:val="auto"/>
                <w:sz w:val="21"/>
              </w:rPr>
            </w:pPr>
            <w:r>
              <w:rPr>
                <w:rFonts w:hint="eastAsia"/>
                <w:color w:val="auto"/>
                <w:sz w:val="21"/>
              </w:rPr>
              <w:t>对镀锌质量有异议时，按批抽样送、有资质的试验室检测。</w:t>
            </w:r>
          </w:p>
        </w:tc>
      </w:tr>
    </w:tbl>
    <w:p w14:paraId="6C40DC3E">
      <w:pPr>
        <w:rPr>
          <w:rFonts w:hint="eastAsia"/>
          <w:color w:val="auto"/>
        </w:rPr>
      </w:pPr>
      <w:r>
        <w:rPr>
          <w:rFonts w:hint="eastAsia"/>
          <w:color w:val="auto"/>
        </w:rPr>
        <w:t>镀锌制品通常有两种供应方法，一种是进入现场是已镀好锌的成品或半成品，只要查验合格证即可；另一种是进货为未镀锌的钢材，经加工后，出场委托进行热浸镀锌质量证明书。</w:t>
      </w:r>
    </w:p>
    <w:p w14:paraId="0F4E2F16">
      <w:pPr>
        <w:rPr>
          <w:rFonts w:hint="eastAsia"/>
          <w:color w:val="auto"/>
        </w:rPr>
      </w:pPr>
      <w:r>
        <w:rPr>
          <w:rFonts w:hint="eastAsia"/>
          <w:color w:val="auto"/>
        </w:rPr>
        <w:t>电气工程使用的镀锌制品，在许多产品标准中均规定为热浸镀锌工艺所制成。热浸镀锌的工艺镀层厚，使制品的使用年限长，虽然外观质量比电镀锌工艺差一点，但电气工程中使用的镀锌横担、支架、接地极和避雷线等以使用寿命为主要考虑因素，况且室外和埋入地下较多，故规定要用热浸镀锌的制品。</w:t>
      </w:r>
    </w:p>
    <w:p w14:paraId="45711C82">
      <w:pPr>
        <w:rPr>
          <w:rFonts w:hint="eastAsia"/>
          <w:color w:val="auto"/>
        </w:rPr>
      </w:pPr>
      <w:r>
        <w:rPr>
          <w:rFonts w:hint="eastAsia"/>
          <w:color w:val="auto"/>
        </w:rPr>
        <w:t>电缆桥架、线槽应符合下列规定：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1AAA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F5F85F0">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2EA21271">
            <w:pPr>
              <w:spacing w:line="240" w:lineRule="auto"/>
              <w:ind w:firstLine="0" w:firstLineChars="0"/>
              <w:jc w:val="center"/>
              <w:rPr>
                <w:rFonts w:hint="eastAsia"/>
                <w:color w:val="auto"/>
                <w:sz w:val="21"/>
              </w:rPr>
            </w:pPr>
            <w:r>
              <w:rPr>
                <w:rFonts w:hint="eastAsia"/>
                <w:color w:val="auto"/>
                <w:sz w:val="21"/>
              </w:rPr>
              <w:t>规定内容</w:t>
            </w:r>
          </w:p>
        </w:tc>
      </w:tr>
      <w:tr w14:paraId="7813E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343661D">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1BB13390">
            <w:pPr>
              <w:spacing w:line="240" w:lineRule="auto"/>
              <w:ind w:firstLine="420"/>
              <w:rPr>
                <w:rFonts w:hint="eastAsia"/>
                <w:color w:val="auto"/>
                <w:sz w:val="21"/>
              </w:rPr>
            </w:pPr>
            <w:r>
              <w:rPr>
                <w:rFonts w:hint="eastAsia"/>
                <w:color w:val="auto"/>
                <w:sz w:val="21"/>
              </w:rPr>
              <w:t>查验合格证。</w:t>
            </w:r>
          </w:p>
        </w:tc>
      </w:tr>
      <w:tr w14:paraId="5B866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F1E3CF2">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3614EAF4">
            <w:pPr>
              <w:spacing w:line="240" w:lineRule="auto"/>
              <w:ind w:firstLine="420"/>
              <w:rPr>
                <w:rFonts w:hint="eastAsia"/>
                <w:color w:val="auto"/>
                <w:sz w:val="21"/>
              </w:rPr>
            </w:pPr>
            <w:r>
              <w:rPr>
                <w:rFonts w:hint="eastAsia"/>
                <w:color w:val="auto"/>
                <w:sz w:val="21"/>
              </w:rPr>
              <w:t>外观检查：部件齐全，表面光滑、不变形；钢制桥架涂层完整，无锈蚀；玻璃钢制桥架色泽均匀，无破损碎裂。铝合金桥架涂层完整，无扭曲变形，不压扁，表面不划伤。</w:t>
            </w:r>
          </w:p>
        </w:tc>
      </w:tr>
    </w:tbl>
    <w:p w14:paraId="4D3930A9">
      <w:pPr>
        <w:rPr>
          <w:rFonts w:hint="eastAsia"/>
          <w:color w:val="auto"/>
        </w:rPr>
      </w:pPr>
      <w:r>
        <w:rPr>
          <w:rFonts w:hint="eastAsia"/>
          <w:color w:val="auto"/>
        </w:rPr>
        <w:t>由于不同材质的电缆桥架应用的环境不同，防腐蚀的性能也不同，所以对外观质量的要求也各有特点。</w:t>
      </w:r>
    </w:p>
    <w:p w14:paraId="260C979E">
      <w:pPr>
        <w:rPr>
          <w:rFonts w:hint="eastAsia"/>
          <w:color w:val="auto"/>
        </w:rPr>
      </w:pPr>
      <w:r>
        <w:rPr>
          <w:rFonts w:hint="eastAsia"/>
          <w:color w:val="auto"/>
        </w:rPr>
        <w:t>封闭母线、插接母线应符合下列规定：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605BA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C21422B">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32F4472F">
            <w:pPr>
              <w:spacing w:line="240" w:lineRule="auto"/>
              <w:ind w:firstLine="0" w:firstLineChars="0"/>
              <w:jc w:val="center"/>
              <w:rPr>
                <w:rFonts w:hint="eastAsia"/>
                <w:color w:val="auto"/>
                <w:sz w:val="21"/>
              </w:rPr>
            </w:pPr>
            <w:r>
              <w:rPr>
                <w:rFonts w:hint="eastAsia"/>
                <w:color w:val="auto"/>
                <w:sz w:val="21"/>
              </w:rPr>
              <w:t>规定内容</w:t>
            </w:r>
          </w:p>
        </w:tc>
      </w:tr>
      <w:tr w14:paraId="13E6D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844B802">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3F53FB92">
            <w:pPr>
              <w:spacing w:line="240" w:lineRule="auto"/>
              <w:ind w:firstLine="420"/>
              <w:rPr>
                <w:rFonts w:hint="eastAsia"/>
                <w:color w:val="auto"/>
                <w:sz w:val="21"/>
              </w:rPr>
            </w:pPr>
            <w:r>
              <w:rPr>
                <w:rFonts w:hint="eastAsia"/>
                <w:color w:val="auto"/>
                <w:sz w:val="21"/>
              </w:rPr>
              <w:t>查验合格证和随带安装技术文件。</w:t>
            </w:r>
          </w:p>
        </w:tc>
      </w:tr>
      <w:tr w14:paraId="48D1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9E6EE19">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4B48F452">
            <w:pPr>
              <w:spacing w:line="240" w:lineRule="auto"/>
              <w:ind w:firstLine="420"/>
              <w:rPr>
                <w:rFonts w:hint="eastAsia"/>
                <w:color w:val="auto"/>
                <w:sz w:val="21"/>
              </w:rPr>
            </w:pPr>
            <w:r>
              <w:rPr>
                <w:rFonts w:hint="eastAsia"/>
                <w:color w:val="auto"/>
                <w:sz w:val="21"/>
              </w:rPr>
              <w:t>外观检查：防潮密封良好，各段编号标志清晰，附件齐全，外壳不变形，母线螺栓搭接面平整、镀层覆盖完整、无起皮和麻面；插接母线上的竟触头无缺损、表面光滑、镀层完整。</w:t>
            </w:r>
          </w:p>
        </w:tc>
      </w:tr>
      <w:tr w14:paraId="3E6FC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4A4A8FC">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2BF3AE3B">
            <w:pPr>
              <w:spacing w:line="240" w:lineRule="auto"/>
              <w:ind w:firstLine="420"/>
              <w:rPr>
                <w:rFonts w:hint="eastAsia"/>
                <w:color w:val="auto"/>
                <w:sz w:val="21"/>
              </w:rPr>
            </w:pPr>
            <w:r>
              <w:rPr>
                <w:rFonts w:hint="eastAsia"/>
                <w:color w:val="auto"/>
                <w:sz w:val="21"/>
              </w:rPr>
              <w:t>封闭母线、插接母线订货时，除指定导电部分的规格尺寸外，还要根据电气设备布置位置和建筑物层高、母线敷设位置等条件，提出母线外形尺寸的规格和要求，这些是制造商必须满足的，且应在其提供的安装技术文件上作出说明，包括编号或安装顺序号，安装注意事项等。</w:t>
            </w:r>
          </w:p>
        </w:tc>
      </w:tr>
    </w:tbl>
    <w:p w14:paraId="618D4DB3">
      <w:pPr>
        <w:rPr>
          <w:rFonts w:hint="eastAsia"/>
          <w:color w:val="auto"/>
        </w:rPr>
      </w:pPr>
      <w:r>
        <w:rPr>
          <w:rFonts w:hint="eastAsia"/>
          <w:color w:val="auto"/>
        </w:rPr>
        <w:t>母线搭接面和插接式母线静触头表面的镀层质量及平整度是导电良好的关键，也是查验的重点。</w:t>
      </w:r>
    </w:p>
    <w:p w14:paraId="04EAC677">
      <w:pPr>
        <w:rPr>
          <w:rFonts w:hint="eastAsia"/>
          <w:color w:val="auto"/>
        </w:rPr>
      </w:pPr>
      <w:r>
        <w:rPr>
          <w:rFonts w:hint="eastAsia"/>
          <w:color w:val="auto"/>
        </w:rPr>
        <w:t>裸母线、裸导线应符合下列规定：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78FE3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DCC6F10">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66CD9C9D">
            <w:pPr>
              <w:spacing w:line="240" w:lineRule="auto"/>
              <w:ind w:firstLine="0" w:firstLineChars="0"/>
              <w:jc w:val="center"/>
              <w:rPr>
                <w:rFonts w:hint="eastAsia"/>
                <w:color w:val="auto"/>
                <w:sz w:val="21"/>
              </w:rPr>
            </w:pPr>
            <w:r>
              <w:rPr>
                <w:rFonts w:hint="eastAsia"/>
                <w:color w:val="auto"/>
                <w:sz w:val="21"/>
              </w:rPr>
              <w:t>规定内容</w:t>
            </w:r>
          </w:p>
        </w:tc>
      </w:tr>
      <w:tr w14:paraId="061FD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AB00074">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D0E3BFA">
            <w:pPr>
              <w:spacing w:line="240" w:lineRule="auto"/>
              <w:ind w:firstLine="420"/>
              <w:rPr>
                <w:rFonts w:hint="eastAsia"/>
                <w:color w:val="auto"/>
                <w:sz w:val="21"/>
              </w:rPr>
            </w:pPr>
            <w:r>
              <w:rPr>
                <w:rFonts w:hint="eastAsia"/>
                <w:color w:val="auto"/>
                <w:sz w:val="21"/>
              </w:rPr>
              <w:t>查验合格证。</w:t>
            </w:r>
          </w:p>
        </w:tc>
      </w:tr>
      <w:tr w14:paraId="57F5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F8EF3F4">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7A317F80">
            <w:pPr>
              <w:spacing w:line="240" w:lineRule="auto"/>
              <w:ind w:firstLine="420"/>
              <w:rPr>
                <w:rFonts w:hint="eastAsia"/>
                <w:color w:val="auto"/>
                <w:sz w:val="21"/>
              </w:rPr>
            </w:pPr>
            <w:r>
              <w:rPr>
                <w:rFonts w:hint="eastAsia"/>
                <w:color w:val="auto"/>
                <w:sz w:val="21"/>
              </w:rPr>
              <w:t>外观检查：包装完好，裸母线平直，表面无明显划痕，测量厚度和宽度符合制造标准；裸导线表面无明显损伤，不松股，扭折和断股（线），测量线径符合制造标准。</w:t>
            </w:r>
          </w:p>
        </w:tc>
      </w:tr>
    </w:tbl>
    <w:p w14:paraId="772FD073">
      <w:pPr>
        <w:rPr>
          <w:rFonts w:hint="eastAsia"/>
          <w:color w:val="auto"/>
        </w:rPr>
      </w:pPr>
      <w:r>
        <w:rPr>
          <w:rFonts w:hint="eastAsia"/>
          <w:color w:val="auto"/>
        </w:rPr>
        <w:t>电缆头部件及接线端子应符合下列规定：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392F5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05CB3A2">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7F63F808">
            <w:pPr>
              <w:spacing w:line="240" w:lineRule="auto"/>
              <w:ind w:firstLine="0" w:firstLineChars="0"/>
              <w:jc w:val="center"/>
              <w:rPr>
                <w:rFonts w:hint="eastAsia"/>
                <w:color w:val="auto"/>
                <w:sz w:val="21"/>
              </w:rPr>
            </w:pPr>
            <w:r>
              <w:rPr>
                <w:rFonts w:hint="eastAsia"/>
                <w:color w:val="auto"/>
                <w:sz w:val="21"/>
              </w:rPr>
              <w:t>规定内容</w:t>
            </w:r>
          </w:p>
        </w:tc>
      </w:tr>
      <w:tr w14:paraId="10E94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7E55FC5">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6597F044">
            <w:pPr>
              <w:spacing w:line="240" w:lineRule="auto"/>
              <w:ind w:firstLine="420"/>
              <w:rPr>
                <w:rFonts w:hint="eastAsia"/>
                <w:color w:val="auto"/>
                <w:sz w:val="21"/>
              </w:rPr>
            </w:pPr>
            <w:r>
              <w:rPr>
                <w:rFonts w:hint="eastAsia"/>
                <w:color w:val="auto"/>
                <w:sz w:val="21"/>
              </w:rPr>
              <w:t>查验合格证。</w:t>
            </w:r>
          </w:p>
        </w:tc>
      </w:tr>
      <w:tr w14:paraId="11D3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0B69E4D">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58E3DD24">
            <w:pPr>
              <w:spacing w:line="240" w:lineRule="auto"/>
              <w:ind w:firstLine="420"/>
              <w:rPr>
                <w:rFonts w:hint="eastAsia"/>
                <w:color w:val="auto"/>
                <w:sz w:val="21"/>
              </w:rPr>
            </w:pPr>
            <w:r>
              <w:rPr>
                <w:rFonts w:hint="eastAsia"/>
                <w:color w:val="auto"/>
                <w:sz w:val="21"/>
              </w:rPr>
              <w:t>外观检查：部件齐全，表面无裂纹和气孔，随带的袋装涂料或填料不泄漏。</w:t>
            </w:r>
          </w:p>
          <w:p w14:paraId="38A7A0DE">
            <w:pPr>
              <w:spacing w:line="240" w:lineRule="auto"/>
              <w:ind w:firstLine="420"/>
              <w:rPr>
                <w:rFonts w:hint="eastAsia"/>
                <w:color w:val="auto"/>
                <w:sz w:val="21"/>
              </w:rPr>
            </w:pPr>
            <w:r>
              <w:rPr>
                <w:rFonts w:hint="eastAsia"/>
                <w:color w:val="auto"/>
                <w:sz w:val="21"/>
              </w:rPr>
              <w:t>钢制灯柱应符合下列规定。</w:t>
            </w:r>
          </w:p>
        </w:tc>
      </w:tr>
    </w:tbl>
    <w:p w14:paraId="71A380F9">
      <w:pPr>
        <w:rPr>
          <w:rFonts w:hint="eastAsia"/>
          <w:color w:val="auto"/>
        </w:rPr>
      </w:pPr>
      <w:r>
        <w:rPr>
          <w:rFonts w:hint="eastAsia"/>
          <w:color w:val="auto"/>
        </w:rPr>
        <w:t>钢制灯柱应符合下列规定：</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12074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897CEB7">
            <w:pPr>
              <w:spacing w:line="240" w:lineRule="auto"/>
              <w:ind w:firstLine="0" w:firstLineChars="0"/>
              <w:jc w:val="center"/>
              <w:rPr>
                <w:rFonts w:hint="eastAsia"/>
                <w:color w:val="auto"/>
                <w:sz w:val="21"/>
              </w:rPr>
            </w:pPr>
            <w:r>
              <w:rPr>
                <w:rFonts w:hint="eastAsia"/>
                <w:color w:val="auto"/>
                <w:sz w:val="21"/>
              </w:rPr>
              <w:t>序号</w:t>
            </w:r>
          </w:p>
        </w:tc>
        <w:tc>
          <w:tcPr>
            <w:tcW w:w="4637" w:type="pct"/>
            <w:tcBorders>
              <w:top w:val="single" w:color="auto" w:sz="4" w:space="0"/>
              <w:left w:val="single" w:color="auto" w:sz="4" w:space="0"/>
              <w:bottom w:val="single" w:color="auto" w:sz="4" w:space="0"/>
              <w:right w:val="single" w:color="auto" w:sz="4" w:space="0"/>
            </w:tcBorders>
            <w:vAlign w:val="center"/>
          </w:tcPr>
          <w:p w14:paraId="62E1F881">
            <w:pPr>
              <w:spacing w:line="240" w:lineRule="auto"/>
              <w:ind w:firstLine="0" w:firstLineChars="0"/>
              <w:jc w:val="center"/>
              <w:rPr>
                <w:rFonts w:hint="eastAsia"/>
                <w:color w:val="auto"/>
                <w:sz w:val="21"/>
              </w:rPr>
            </w:pPr>
            <w:r>
              <w:rPr>
                <w:rFonts w:hint="eastAsia"/>
                <w:color w:val="auto"/>
                <w:sz w:val="21"/>
              </w:rPr>
              <w:t>规定内容</w:t>
            </w:r>
          </w:p>
        </w:tc>
      </w:tr>
      <w:tr w14:paraId="57404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BF99B85">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71D01847">
            <w:pPr>
              <w:spacing w:line="240" w:lineRule="auto"/>
              <w:ind w:firstLine="420"/>
              <w:rPr>
                <w:rFonts w:hint="eastAsia"/>
                <w:color w:val="auto"/>
                <w:sz w:val="21"/>
              </w:rPr>
            </w:pPr>
            <w:r>
              <w:rPr>
                <w:rFonts w:hint="eastAsia"/>
                <w:color w:val="auto"/>
                <w:sz w:val="21"/>
              </w:rPr>
              <w:t>按批查验合格证。</w:t>
            </w:r>
          </w:p>
        </w:tc>
      </w:tr>
      <w:tr w14:paraId="4F3B5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84777B7">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48C8824B">
            <w:pPr>
              <w:spacing w:line="240" w:lineRule="auto"/>
              <w:ind w:firstLine="420"/>
              <w:rPr>
                <w:rFonts w:hint="eastAsia"/>
                <w:color w:val="auto"/>
                <w:sz w:val="21"/>
              </w:rPr>
            </w:pPr>
            <w:r>
              <w:rPr>
                <w:rFonts w:hint="eastAsia"/>
                <w:color w:val="auto"/>
                <w:sz w:val="21"/>
              </w:rPr>
              <w:t>外观检查：涂层完整，根部接线盒盒盖紧固件和内置熔断器、开关等器件齐全，盒盖密封垫片完整。钢柱内设有专用接地螺栓，地脚螺孔位置按提供的的附图尺寸，允许偏差为+2mm。</w:t>
            </w:r>
          </w:p>
        </w:tc>
      </w:tr>
    </w:tbl>
    <w:p w14:paraId="327D00D6">
      <w:pPr>
        <w:rPr>
          <w:rFonts w:hint="eastAsia"/>
          <w:color w:val="auto"/>
        </w:rPr>
      </w:pPr>
      <w:r>
        <w:rPr>
          <w:rFonts w:hint="eastAsia"/>
          <w:color w:val="auto"/>
        </w:rPr>
        <w:t>变压器、箱式变电所安装应按以下程序进行：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62E14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095E4D8">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1178D071">
            <w:pPr>
              <w:spacing w:line="240" w:lineRule="auto"/>
              <w:ind w:firstLine="0" w:firstLineChars="0"/>
              <w:jc w:val="center"/>
              <w:rPr>
                <w:rFonts w:hint="eastAsia"/>
                <w:color w:val="auto"/>
                <w:sz w:val="21"/>
              </w:rPr>
            </w:pPr>
            <w:r>
              <w:rPr>
                <w:rFonts w:hint="eastAsia"/>
                <w:color w:val="auto"/>
                <w:sz w:val="21"/>
              </w:rPr>
              <w:t>程序内容</w:t>
            </w:r>
          </w:p>
        </w:tc>
      </w:tr>
      <w:tr w14:paraId="20B2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82216C2">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4ED01B3E">
            <w:pPr>
              <w:spacing w:line="240" w:lineRule="auto"/>
              <w:ind w:firstLine="420"/>
              <w:rPr>
                <w:rFonts w:hint="eastAsia"/>
                <w:color w:val="auto"/>
                <w:sz w:val="21"/>
              </w:rPr>
            </w:pPr>
            <w:r>
              <w:rPr>
                <w:rFonts w:hint="eastAsia"/>
                <w:color w:val="auto"/>
                <w:sz w:val="21"/>
              </w:rPr>
              <w:t>变压器、箱式变电所的基础验收合格，且对埋入基础的电线导管、电缆导管和变压器进、出线预留孔及相关预埋件进行检查，才能安装变压器、箱式变电所。</w:t>
            </w:r>
          </w:p>
        </w:tc>
      </w:tr>
      <w:tr w14:paraId="123E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81C6E13">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25B7AB97">
            <w:pPr>
              <w:spacing w:line="240" w:lineRule="auto"/>
              <w:ind w:firstLine="420"/>
              <w:rPr>
                <w:rFonts w:hint="eastAsia"/>
                <w:color w:val="auto"/>
                <w:sz w:val="21"/>
              </w:rPr>
            </w:pPr>
            <w:r>
              <w:rPr>
                <w:rFonts w:hint="eastAsia"/>
                <w:color w:val="auto"/>
                <w:sz w:val="21"/>
              </w:rPr>
              <w:t>变压器及接地装置交接试验合格，才能通电。</w:t>
            </w:r>
          </w:p>
        </w:tc>
      </w:tr>
    </w:tbl>
    <w:p w14:paraId="04D207E7">
      <w:pPr>
        <w:rPr>
          <w:rFonts w:hint="eastAsia"/>
          <w:color w:val="auto"/>
        </w:rPr>
      </w:pPr>
      <w:r>
        <w:rPr>
          <w:rFonts w:hint="eastAsia"/>
          <w:color w:val="auto"/>
        </w:rPr>
        <w:t>基础验收是土建工作和安装工作的中间工序交接，只有验收合格，才能开展安装工作。验收时应依据施工设计图纸核对形位尺寸，并对是否可以安装（指混凝土强度、基坑回填、集油坑卵石铺设等条件）作出判断。</w:t>
      </w:r>
    </w:p>
    <w:p w14:paraId="0885DF05">
      <w:pPr>
        <w:rPr>
          <w:rFonts w:hint="eastAsia"/>
          <w:color w:val="auto"/>
        </w:rPr>
      </w:pPr>
      <w:r>
        <w:rPr>
          <w:rFonts w:hint="eastAsia"/>
          <w:color w:val="auto"/>
        </w:rPr>
        <w:t>成套配电柜、控制柜（屏、台）和动力、照明配电箱（盘）安装应按以下程序进行：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6BA7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2C97BD7">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56A0A359">
            <w:pPr>
              <w:spacing w:line="240" w:lineRule="auto"/>
              <w:ind w:firstLine="0" w:firstLineChars="0"/>
              <w:jc w:val="center"/>
              <w:rPr>
                <w:rFonts w:hint="eastAsia"/>
                <w:color w:val="auto"/>
                <w:sz w:val="21"/>
              </w:rPr>
            </w:pPr>
            <w:r>
              <w:rPr>
                <w:rFonts w:hint="eastAsia"/>
                <w:color w:val="auto"/>
                <w:sz w:val="21"/>
              </w:rPr>
              <w:t>程序内容</w:t>
            </w:r>
          </w:p>
        </w:tc>
      </w:tr>
      <w:tr w14:paraId="144C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0675213">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66C45062">
            <w:pPr>
              <w:spacing w:line="240" w:lineRule="auto"/>
              <w:ind w:firstLine="420"/>
              <w:rPr>
                <w:rFonts w:hint="eastAsia"/>
                <w:color w:val="auto"/>
                <w:sz w:val="21"/>
              </w:rPr>
            </w:pPr>
            <w:r>
              <w:rPr>
                <w:rFonts w:hint="eastAsia"/>
                <w:color w:val="auto"/>
                <w:sz w:val="21"/>
              </w:rPr>
              <w:t>埋设的基础型钢和柜、屏、台下的电缆沟等相关建筑物检查合格，才能安装柜、屏、台。</w:t>
            </w:r>
          </w:p>
        </w:tc>
      </w:tr>
      <w:tr w14:paraId="07BC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B1FE4C8">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7198A345">
            <w:pPr>
              <w:spacing w:line="240" w:lineRule="auto"/>
              <w:ind w:firstLine="420"/>
              <w:rPr>
                <w:rFonts w:hint="eastAsia"/>
                <w:color w:val="auto"/>
                <w:sz w:val="21"/>
              </w:rPr>
            </w:pPr>
            <w:r>
              <w:rPr>
                <w:rFonts w:hint="eastAsia"/>
                <w:color w:val="auto"/>
                <w:sz w:val="21"/>
              </w:rPr>
              <w:t>室内外落地动力配电箱的基础验收合格，且对埋入基础的电线导管、电缆导管进行检查，才能安装箱体。</w:t>
            </w:r>
          </w:p>
        </w:tc>
      </w:tr>
      <w:tr w14:paraId="1193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788405D">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711A1B3B">
            <w:pPr>
              <w:spacing w:line="240" w:lineRule="auto"/>
              <w:ind w:firstLine="420"/>
              <w:rPr>
                <w:rFonts w:hint="eastAsia"/>
                <w:color w:val="auto"/>
                <w:sz w:val="21"/>
              </w:rPr>
            </w:pPr>
            <w:r>
              <w:rPr>
                <w:rFonts w:hint="eastAsia"/>
                <w:color w:val="auto"/>
                <w:sz w:val="21"/>
              </w:rPr>
              <w:t>墙上明装的动力、照明配电箱（盘）的预埋件（金属埋件、螺栓），在抹灰前预留和预埋；暗装的动力、照明配电箱的预留孔和动力、照明配线的线盒及电线导管等，经检查确认到位，才能安装配电箱（盘）。</w:t>
            </w:r>
          </w:p>
        </w:tc>
      </w:tr>
      <w:tr w14:paraId="7861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5646FE1">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5924EB3F">
            <w:pPr>
              <w:spacing w:line="240" w:lineRule="auto"/>
              <w:ind w:firstLine="420"/>
              <w:rPr>
                <w:rFonts w:hint="eastAsia"/>
                <w:color w:val="auto"/>
                <w:sz w:val="21"/>
              </w:rPr>
            </w:pPr>
            <w:r>
              <w:rPr>
                <w:rFonts w:hint="eastAsia"/>
                <w:color w:val="auto"/>
                <w:sz w:val="21"/>
              </w:rPr>
              <w:t>接地（PE）或接零（PEN）连接完成后，核对柜、屏、台、箱、盘内的元件规定、型号，且交接试验合格，才能投入试运行。</w:t>
            </w:r>
          </w:p>
        </w:tc>
      </w:tr>
    </w:tbl>
    <w:p w14:paraId="55741958">
      <w:pPr>
        <w:rPr>
          <w:rFonts w:hint="eastAsia"/>
          <w:color w:val="auto"/>
        </w:rPr>
      </w:pPr>
      <w:r>
        <w:rPr>
          <w:rFonts w:hint="eastAsia"/>
          <w:color w:val="auto"/>
        </w:rPr>
        <w:t>低压电动机、电加热器及电动执行机构应与机械设备完成连接，绝缘电阻测试合格，经手动操作符合工艺要求，才能接线。</w:t>
      </w:r>
    </w:p>
    <w:p w14:paraId="61FD34AF">
      <w:pPr>
        <w:rPr>
          <w:rFonts w:hint="eastAsia"/>
          <w:color w:val="auto"/>
        </w:rPr>
      </w:pPr>
      <w:r>
        <w:rPr>
          <w:rFonts w:hint="eastAsia"/>
          <w:color w:val="auto"/>
        </w:rPr>
        <w:t>这是操作工序，要十分注意电气设备的动作方向符合建筑设备的工艺要求。如电动机正转打开阀门，反转关闭阀门；温度控制器接通，电加热器通电加温，反之断电停止加温。若与工艺要求不一致，轻则不能达到预期功能要求，重则损坏电气设备或其他建筑设备，也可能给智能化系统联动调校带来麻烦。</w:t>
      </w:r>
    </w:p>
    <w:p w14:paraId="49DB171C">
      <w:pPr>
        <w:rPr>
          <w:rFonts w:hint="eastAsia"/>
          <w:color w:val="auto"/>
        </w:rPr>
      </w:pPr>
      <w:r>
        <w:rPr>
          <w:rFonts w:hint="eastAsia"/>
          <w:color w:val="auto"/>
        </w:rPr>
        <w:t>不间断电源按产品技术要求试验调整，应检查确认，才能接至馈电网路。</w:t>
      </w:r>
    </w:p>
    <w:p w14:paraId="75125879">
      <w:pPr>
        <w:rPr>
          <w:rFonts w:hint="eastAsia"/>
          <w:color w:val="auto"/>
        </w:rPr>
      </w:pPr>
      <w:r>
        <w:rPr>
          <w:rFonts w:hint="eastAsia"/>
          <w:color w:val="auto"/>
        </w:rPr>
        <w:t>不间断电源主要供给计算机和智能化系统，其输出的电压或电流的质量要求高，要满足需要，所以调试合格后，才能允许接至馈电网络，否则会导致整个智能化系统失灵损坏，甚至崩溃。</w:t>
      </w:r>
    </w:p>
    <w:p w14:paraId="5BD908D9">
      <w:pPr>
        <w:rPr>
          <w:rFonts w:hint="eastAsia"/>
          <w:color w:val="auto"/>
        </w:rPr>
      </w:pPr>
      <w:r>
        <w:rPr>
          <w:rFonts w:hint="eastAsia"/>
          <w:color w:val="auto"/>
        </w:rPr>
        <w:t>低压电气动力设备试验和试运行应按以下程序进行：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3FC96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30356671">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0BA7CF53">
            <w:pPr>
              <w:spacing w:line="240" w:lineRule="auto"/>
              <w:ind w:firstLine="0" w:firstLineChars="0"/>
              <w:jc w:val="center"/>
              <w:rPr>
                <w:rFonts w:hint="eastAsia"/>
                <w:color w:val="auto"/>
                <w:sz w:val="21"/>
              </w:rPr>
            </w:pPr>
            <w:r>
              <w:rPr>
                <w:rFonts w:hint="eastAsia"/>
                <w:color w:val="auto"/>
                <w:sz w:val="21"/>
              </w:rPr>
              <w:t>程序内容</w:t>
            </w:r>
          </w:p>
        </w:tc>
      </w:tr>
      <w:tr w14:paraId="3CDB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C96D2EF">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3126E993">
            <w:pPr>
              <w:spacing w:line="240" w:lineRule="auto"/>
              <w:ind w:firstLine="420"/>
              <w:rPr>
                <w:rFonts w:hint="eastAsia"/>
                <w:color w:val="auto"/>
                <w:sz w:val="21"/>
              </w:rPr>
            </w:pPr>
            <w:r>
              <w:rPr>
                <w:rFonts w:hint="eastAsia"/>
                <w:color w:val="auto"/>
                <w:sz w:val="21"/>
              </w:rPr>
              <w:t>设备的可接近裸露导体接地（PE）或接零（PEN）连接完成，经检查合格，才能进行试验。</w:t>
            </w:r>
          </w:p>
        </w:tc>
      </w:tr>
      <w:tr w14:paraId="72D5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C2CF088">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731474E9">
            <w:pPr>
              <w:spacing w:line="240" w:lineRule="auto"/>
              <w:ind w:firstLine="420"/>
              <w:rPr>
                <w:rFonts w:hint="eastAsia"/>
                <w:color w:val="auto"/>
                <w:sz w:val="21"/>
              </w:rPr>
            </w:pPr>
            <w:r>
              <w:rPr>
                <w:rFonts w:hint="eastAsia"/>
                <w:color w:val="auto"/>
                <w:sz w:val="21"/>
              </w:rPr>
              <w:t>动力成套配电（控制）柜、屏、台、箱、盘的交流工频耐压试验、保护装置的动作试验合格，才能通电。</w:t>
            </w:r>
          </w:p>
        </w:tc>
      </w:tr>
      <w:tr w14:paraId="7FDC0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486A050">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0BC0D5F0">
            <w:pPr>
              <w:spacing w:line="240" w:lineRule="auto"/>
              <w:ind w:firstLine="420"/>
              <w:rPr>
                <w:rFonts w:hint="eastAsia"/>
                <w:color w:val="auto"/>
                <w:sz w:val="21"/>
              </w:rPr>
            </w:pPr>
            <w:r>
              <w:rPr>
                <w:rFonts w:hint="eastAsia"/>
                <w:color w:val="auto"/>
                <w:sz w:val="21"/>
              </w:rPr>
              <w:t>控制回路模拟动作试验合格，盘车或手动操作，电气部分与机械部分的转动或动作协调一致，经检查确认，才能空载试运行。</w:t>
            </w:r>
          </w:p>
        </w:tc>
      </w:tr>
    </w:tbl>
    <w:p w14:paraId="36F1F35B">
      <w:pPr>
        <w:rPr>
          <w:rFonts w:hint="eastAsia"/>
          <w:color w:val="auto"/>
        </w:rPr>
      </w:pPr>
      <w:r>
        <w:rPr>
          <w:rFonts w:hint="eastAsia"/>
          <w:color w:val="auto"/>
        </w:rPr>
        <w:t>规定先试验，合格后通电，是重要的、合理的工作顺序，目的是确保安全。</w:t>
      </w:r>
    </w:p>
    <w:p w14:paraId="7B11ACF7">
      <w:pPr>
        <w:rPr>
          <w:rFonts w:hint="eastAsia"/>
          <w:color w:val="auto"/>
        </w:rPr>
      </w:pPr>
      <w:r>
        <w:rPr>
          <w:rFonts w:hint="eastAsia"/>
          <w:color w:val="auto"/>
        </w:rPr>
        <w:t>电气设备的转向或直线运动均是为了给建筑设备提供符合需要的动力，动作方向是否正确是关键，不然建筑设备无法正常工作；不能逆向动作的设备，方向错了会造成损坏。控制回路的模拟动作试验，是指电气线路的主回路开关出线处断开，电动机等电气设备不受电动作；但是控制回路是通电的，可以模拟合闸、分闸，也可以将各个联锁接点（包括电信号和非电信号），进行人工模拟动作而控制主回路开关的动作。</w:t>
      </w:r>
    </w:p>
    <w:p w14:paraId="702587CC">
      <w:pPr>
        <w:rPr>
          <w:rFonts w:hint="eastAsia"/>
          <w:color w:val="auto"/>
        </w:rPr>
      </w:pPr>
      <w:r>
        <w:rPr>
          <w:rFonts w:hint="eastAsia"/>
          <w:color w:val="auto"/>
        </w:rPr>
        <w:t>裸母线、封闭母线、插接式母线安装应按以下程序进行：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53283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AD797EA">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6BEBE11E">
            <w:pPr>
              <w:spacing w:line="240" w:lineRule="auto"/>
              <w:ind w:firstLine="0" w:firstLineChars="0"/>
              <w:jc w:val="center"/>
              <w:rPr>
                <w:rFonts w:hint="eastAsia"/>
                <w:color w:val="auto"/>
                <w:sz w:val="21"/>
              </w:rPr>
            </w:pPr>
            <w:r>
              <w:rPr>
                <w:rFonts w:hint="eastAsia"/>
                <w:color w:val="auto"/>
                <w:sz w:val="21"/>
              </w:rPr>
              <w:t>程序内容</w:t>
            </w:r>
          </w:p>
        </w:tc>
      </w:tr>
      <w:tr w14:paraId="7650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90C8966">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00FFF469">
            <w:pPr>
              <w:spacing w:line="240" w:lineRule="auto"/>
              <w:ind w:firstLine="420"/>
              <w:rPr>
                <w:rFonts w:hint="eastAsia"/>
                <w:color w:val="auto"/>
                <w:sz w:val="21"/>
              </w:rPr>
            </w:pPr>
            <w:r>
              <w:rPr>
                <w:rFonts w:hint="eastAsia"/>
                <w:color w:val="auto"/>
                <w:sz w:val="21"/>
              </w:rPr>
              <w:t>变压器、高低压成套配电柜、穿墙管及绝缘子等安装就位，经检查合格，才能安装变压器和高低压成套配电柜的母线。</w:t>
            </w:r>
          </w:p>
        </w:tc>
      </w:tr>
      <w:tr w14:paraId="2354E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9BFC46A">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4CDF0879">
            <w:pPr>
              <w:spacing w:line="240" w:lineRule="auto"/>
              <w:ind w:firstLine="420"/>
              <w:rPr>
                <w:rFonts w:hint="eastAsia"/>
                <w:color w:val="auto"/>
                <w:sz w:val="21"/>
              </w:rPr>
            </w:pPr>
            <w:r>
              <w:rPr>
                <w:rFonts w:hint="eastAsia"/>
                <w:color w:val="auto"/>
                <w:sz w:val="21"/>
              </w:rPr>
              <w:t>封闭、插接式母线安装，在结构封顶、室内底层地面施工完成或已确定地面标高、场地清理、层间距离复核后，才能确定支架设施位置。</w:t>
            </w:r>
          </w:p>
        </w:tc>
      </w:tr>
      <w:tr w14:paraId="7E458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C4C086C">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5BEBC085">
            <w:pPr>
              <w:spacing w:line="240" w:lineRule="auto"/>
              <w:ind w:firstLine="420"/>
              <w:rPr>
                <w:rFonts w:hint="eastAsia"/>
                <w:color w:val="auto"/>
                <w:sz w:val="21"/>
              </w:rPr>
            </w:pPr>
            <w:r>
              <w:rPr>
                <w:rFonts w:hint="eastAsia"/>
                <w:color w:val="auto"/>
                <w:sz w:val="21"/>
              </w:rPr>
              <w:t>与封闭、插接式母线安装位置有关的管道、空调及建筑装修工程施工基本结束，确认扫尾施工不会影响已安装的母线，才能安装母线。</w:t>
            </w:r>
          </w:p>
        </w:tc>
      </w:tr>
      <w:tr w14:paraId="46B47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D00D2A4">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339DC5A8">
            <w:pPr>
              <w:spacing w:line="240" w:lineRule="auto"/>
              <w:ind w:firstLine="420"/>
              <w:rPr>
                <w:rFonts w:hint="eastAsia"/>
                <w:color w:val="auto"/>
                <w:sz w:val="21"/>
              </w:rPr>
            </w:pPr>
            <w:r>
              <w:rPr>
                <w:rFonts w:hint="eastAsia"/>
                <w:color w:val="auto"/>
                <w:sz w:val="21"/>
              </w:rPr>
              <w:t>封闭、插接式母线每段母线组对接续前，绝缘电阻测试合格，绝缘电阻值大于20MΩ，才能安装组对。</w:t>
            </w:r>
          </w:p>
        </w:tc>
      </w:tr>
      <w:tr w14:paraId="4F22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52B261D">
            <w:pPr>
              <w:spacing w:line="240" w:lineRule="auto"/>
              <w:ind w:firstLine="0" w:firstLineChars="0"/>
              <w:jc w:val="center"/>
              <w:rPr>
                <w:rFonts w:hint="eastAsia"/>
                <w:color w:val="auto"/>
                <w:sz w:val="21"/>
              </w:rPr>
            </w:pPr>
            <w:r>
              <w:rPr>
                <w:rFonts w:hint="eastAsia"/>
                <w:color w:val="auto"/>
                <w:sz w:val="21"/>
              </w:rPr>
              <w:t>5</w:t>
            </w:r>
          </w:p>
        </w:tc>
        <w:tc>
          <w:tcPr>
            <w:tcW w:w="4637" w:type="pct"/>
            <w:tcBorders>
              <w:top w:val="single" w:color="auto" w:sz="4" w:space="0"/>
              <w:left w:val="single" w:color="auto" w:sz="4" w:space="0"/>
              <w:bottom w:val="single" w:color="auto" w:sz="4" w:space="0"/>
              <w:right w:val="single" w:color="auto" w:sz="4" w:space="0"/>
            </w:tcBorders>
            <w:vAlign w:val="center"/>
          </w:tcPr>
          <w:p w14:paraId="3361EF37">
            <w:pPr>
              <w:spacing w:line="240" w:lineRule="auto"/>
              <w:ind w:firstLine="420"/>
              <w:rPr>
                <w:rFonts w:hint="eastAsia"/>
                <w:color w:val="auto"/>
                <w:sz w:val="21"/>
              </w:rPr>
            </w:pPr>
            <w:r>
              <w:rPr>
                <w:rFonts w:hint="eastAsia"/>
                <w:color w:val="auto"/>
                <w:sz w:val="21"/>
              </w:rPr>
              <w:t>母线支架和封闭、插接式母线的外壳接地（PE）或零（PEN）连接完成，母线绝缘电阻测试和交流工频耐压试验合格，才能通电。</w:t>
            </w:r>
          </w:p>
        </w:tc>
      </w:tr>
    </w:tbl>
    <w:p w14:paraId="0AB0FF4A">
      <w:pPr>
        <w:rPr>
          <w:rFonts w:hint="eastAsia"/>
          <w:color w:val="auto"/>
        </w:rPr>
      </w:pPr>
      <w:r>
        <w:rPr>
          <w:rFonts w:hint="eastAsia"/>
          <w:color w:val="auto"/>
        </w:rPr>
        <w:t>封闭母线和插接式母线是依据建筑结构和母线布置位置的订货图分段制造，进场验收也依照订货图查验规格尺寸和外观质量。建筑物的实际尺寸和图纸标注尺寸有一定的误差，所以要验证建筑物的实际尺寸，是否与预期尺寸基本一致，若有差异（指超过预期误差）可及时设法处理。</w:t>
      </w:r>
    </w:p>
    <w:p w14:paraId="433E7F0B">
      <w:pPr>
        <w:rPr>
          <w:rFonts w:hint="eastAsia"/>
          <w:color w:val="auto"/>
        </w:rPr>
      </w:pPr>
      <w:r>
        <w:rPr>
          <w:rFonts w:hint="eastAsia"/>
          <w:color w:val="auto"/>
        </w:rPr>
        <w:t>封闭母线和插接式母线外壳比管道包括有些风管在内强度要差一些，所以各专业安装的程序安排为各种管道先装、母线殿后。这是因为母线先装，会影响粉刷工程的操作，而使局部位置无法粉刷，后装则可以避免粉刷中对母线外壳的污染。</w:t>
      </w:r>
    </w:p>
    <w:p w14:paraId="4F9C9592">
      <w:pPr>
        <w:rPr>
          <w:rFonts w:hint="eastAsia"/>
          <w:color w:val="auto"/>
        </w:rPr>
      </w:pPr>
      <w:r>
        <w:rPr>
          <w:rFonts w:hint="eastAsia"/>
          <w:color w:val="auto"/>
        </w:rPr>
        <w:t>封闭母线和插接式母线是分段供货，现场组对连接，完成后要检查总体交流工频耐压水平和绝缘程度。为了能顺利通过最终检验，防患于未然，所以安装前要对各段母线进行绝缘检查，包括各相对的和相间的绝缘检查。</w:t>
      </w:r>
    </w:p>
    <w:p w14:paraId="4522F44E">
      <w:pPr>
        <w:rPr>
          <w:rFonts w:hint="eastAsia"/>
          <w:color w:val="auto"/>
        </w:rPr>
      </w:pPr>
      <w:r>
        <w:rPr>
          <w:rFonts w:hint="eastAsia"/>
          <w:color w:val="auto"/>
        </w:rPr>
        <w:t>电缆桥架安装和桥架内电缆敷设应按以下程序进行：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65447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9032E3F">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3A1225E4">
            <w:pPr>
              <w:spacing w:line="240" w:lineRule="auto"/>
              <w:ind w:firstLine="0" w:firstLineChars="0"/>
              <w:jc w:val="center"/>
              <w:rPr>
                <w:rFonts w:hint="eastAsia"/>
                <w:color w:val="auto"/>
                <w:sz w:val="21"/>
              </w:rPr>
            </w:pPr>
            <w:r>
              <w:rPr>
                <w:rFonts w:hint="eastAsia"/>
                <w:color w:val="auto"/>
                <w:sz w:val="21"/>
              </w:rPr>
              <w:t>程序内容</w:t>
            </w:r>
          </w:p>
        </w:tc>
      </w:tr>
      <w:tr w14:paraId="03330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DB39AAF">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3E41F3CE">
            <w:pPr>
              <w:spacing w:line="240" w:lineRule="auto"/>
              <w:ind w:firstLine="420"/>
              <w:rPr>
                <w:rFonts w:hint="eastAsia"/>
                <w:color w:val="auto"/>
                <w:sz w:val="21"/>
              </w:rPr>
            </w:pPr>
            <w:r>
              <w:rPr>
                <w:rFonts w:hint="eastAsia"/>
                <w:color w:val="auto"/>
                <w:sz w:val="21"/>
              </w:rPr>
              <w:t>测量定位，安装桥架的支架，经检查确认，才能安装桥架。</w:t>
            </w:r>
          </w:p>
        </w:tc>
      </w:tr>
      <w:tr w14:paraId="4102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71CDACB">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09028707">
            <w:pPr>
              <w:spacing w:line="240" w:lineRule="auto"/>
              <w:ind w:firstLine="420"/>
              <w:rPr>
                <w:rFonts w:hint="eastAsia"/>
                <w:color w:val="auto"/>
                <w:sz w:val="21"/>
              </w:rPr>
            </w:pPr>
            <w:r>
              <w:rPr>
                <w:rFonts w:hint="eastAsia"/>
                <w:color w:val="auto"/>
                <w:sz w:val="21"/>
              </w:rPr>
              <w:t>桥架安装检查合格，才能敷设电缆。</w:t>
            </w:r>
          </w:p>
        </w:tc>
      </w:tr>
      <w:tr w14:paraId="1126C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213DD6C">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6F2247BB">
            <w:pPr>
              <w:spacing w:line="240" w:lineRule="auto"/>
              <w:ind w:firstLine="420"/>
              <w:rPr>
                <w:rFonts w:hint="eastAsia"/>
                <w:color w:val="auto"/>
                <w:sz w:val="21"/>
              </w:rPr>
            </w:pPr>
            <w:r>
              <w:rPr>
                <w:rFonts w:hint="eastAsia"/>
                <w:color w:val="auto"/>
                <w:sz w:val="21"/>
              </w:rPr>
              <w:t>电缆敷设前绝缘测试合格，才能敷设。</w:t>
            </w:r>
          </w:p>
        </w:tc>
      </w:tr>
      <w:tr w14:paraId="2B8A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796EFE2">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147D71FE">
            <w:pPr>
              <w:spacing w:line="240" w:lineRule="auto"/>
              <w:ind w:firstLine="420"/>
              <w:rPr>
                <w:rFonts w:hint="eastAsia"/>
                <w:color w:val="auto"/>
                <w:sz w:val="21"/>
              </w:rPr>
            </w:pPr>
            <w:r>
              <w:rPr>
                <w:rFonts w:hint="eastAsia"/>
                <w:color w:val="auto"/>
                <w:sz w:val="21"/>
              </w:rPr>
              <w:t>电缆电气交接试验合格，且对接线去向、相位和防火隔堵措施等检查确认，才能通电。</w:t>
            </w:r>
          </w:p>
        </w:tc>
      </w:tr>
    </w:tbl>
    <w:p w14:paraId="0931D382">
      <w:pPr>
        <w:rPr>
          <w:rFonts w:hint="eastAsia"/>
          <w:color w:val="auto"/>
        </w:rPr>
      </w:pPr>
      <w:r>
        <w:rPr>
          <w:rFonts w:hint="eastAsia"/>
          <w:color w:val="auto"/>
        </w:rPr>
        <w:t>先装支架是合理的工序，如反过来进行施工，不仅会导致电缆桥架损坏，而且要用大量的临时支撑，也是极不经济的。</w:t>
      </w:r>
    </w:p>
    <w:p w14:paraId="578BE6C9">
      <w:pPr>
        <w:rPr>
          <w:rFonts w:hint="eastAsia"/>
          <w:color w:val="auto"/>
        </w:rPr>
      </w:pPr>
      <w:r>
        <w:rPr>
          <w:rFonts w:hint="eastAsia"/>
          <w:color w:val="auto"/>
        </w:rPr>
        <w:t>电缆敷设前要做预试绝缘检查，如合格则可进行敷设，否则最终试验不合格，拆下返工浪费太大。</w:t>
      </w:r>
    </w:p>
    <w:p w14:paraId="2D218E94">
      <w:pPr>
        <w:rPr>
          <w:rFonts w:hint="eastAsia"/>
          <w:color w:val="auto"/>
        </w:rPr>
      </w:pPr>
      <w:r>
        <w:rPr>
          <w:rFonts w:hint="eastAsia"/>
          <w:color w:val="auto"/>
        </w:rPr>
        <w:t>电缆在沟内、竖井内支架上敷设按以下程序进行：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34390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B678A45">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4E307659">
            <w:pPr>
              <w:spacing w:line="240" w:lineRule="auto"/>
              <w:ind w:firstLine="0" w:firstLineChars="0"/>
              <w:jc w:val="center"/>
              <w:rPr>
                <w:rFonts w:hint="eastAsia"/>
                <w:color w:val="auto"/>
                <w:sz w:val="21"/>
              </w:rPr>
            </w:pPr>
            <w:r>
              <w:rPr>
                <w:rFonts w:hint="eastAsia"/>
                <w:color w:val="auto"/>
                <w:sz w:val="21"/>
              </w:rPr>
              <w:t>程序内容</w:t>
            </w:r>
          </w:p>
        </w:tc>
      </w:tr>
      <w:tr w14:paraId="37514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A2C9351">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6B1C4A0A">
            <w:pPr>
              <w:spacing w:line="240" w:lineRule="auto"/>
              <w:ind w:firstLine="420"/>
              <w:rPr>
                <w:rFonts w:hint="eastAsia"/>
                <w:color w:val="auto"/>
                <w:sz w:val="21"/>
              </w:rPr>
            </w:pPr>
            <w:r>
              <w:rPr>
                <w:rFonts w:hint="eastAsia"/>
                <w:color w:val="auto"/>
                <w:sz w:val="21"/>
              </w:rPr>
              <w:t>电缆沟；电缆坚进内的设施，模板及建筑料等清除，测量后定位，才能安装支架。</w:t>
            </w:r>
          </w:p>
        </w:tc>
      </w:tr>
      <w:tr w14:paraId="79731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39CB488">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6DC6A9F5">
            <w:pPr>
              <w:spacing w:line="240" w:lineRule="auto"/>
              <w:ind w:firstLine="420"/>
              <w:rPr>
                <w:rFonts w:hint="eastAsia"/>
                <w:color w:val="auto"/>
                <w:sz w:val="21"/>
              </w:rPr>
            </w:pPr>
            <w:r>
              <w:rPr>
                <w:rFonts w:hint="eastAsia"/>
                <w:color w:val="auto"/>
                <w:sz w:val="21"/>
              </w:rPr>
              <w:t>电缆沟、电缆竖井内支架安装及电缆导管敷设结束，接地（PE）或接零（PEN）连接完成，经检查确认，才能设电缆。</w:t>
            </w:r>
          </w:p>
        </w:tc>
      </w:tr>
      <w:tr w14:paraId="3B10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EAF3EC7">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34083CC6">
            <w:pPr>
              <w:spacing w:line="240" w:lineRule="auto"/>
              <w:ind w:firstLine="420"/>
              <w:rPr>
                <w:rFonts w:hint="eastAsia"/>
                <w:color w:val="auto"/>
                <w:sz w:val="21"/>
              </w:rPr>
            </w:pPr>
            <w:r>
              <w:rPr>
                <w:rFonts w:hint="eastAsia"/>
                <w:color w:val="auto"/>
                <w:sz w:val="21"/>
              </w:rPr>
              <w:t>电缆敷设前绝缘测试合格，才能敷设。</w:t>
            </w:r>
          </w:p>
        </w:tc>
      </w:tr>
      <w:tr w14:paraId="19A8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9B3C00A">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7FDB430E">
            <w:pPr>
              <w:spacing w:line="240" w:lineRule="auto"/>
              <w:ind w:firstLine="420"/>
              <w:rPr>
                <w:rFonts w:hint="eastAsia"/>
                <w:color w:val="auto"/>
                <w:sz w:val="21"/>
              </w:rPr>
            </w:pPr>
            <w:r>
              <w:rPr>
                <w:rFonts w:hint="eastAsia"/>
                <w:color w:val="auto"/>
                <w:sz w:val="21"/>
              </w:rPr>
              <w:t>电缆交接试验合格，且对接线去向，相位和防火隔堵措施等检查确认，才能通电。</w:t>
            </w:r>
          </w:p>
        </w:tc>
      </w:tr>
      <w:tr w14:paraId="40A5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B9E3302">
            <w:pPr>
              <w:spacing w:line="240" w:lineRule="auto"/>
              <w:ind w:firstLine="0" w:firstLineChars="0"/>
              <w:jc w:val="center"/>
              <w:rPr>
                <w:rFonts w:hint="eastAsia"/>
                <w:color w:val="auto"/>
                <w:sz w:val="21"/>
              </w:rPr>
            </w:pPr>
            <w:r>
              <w:rPr>
                <w:rFonts w:hint="eastAsia"/>
                <w:color w:val="auto"/>
                <w:sz w:val="21"/>
              </w:rPr>
              <w:t>5</w:t>
            </w:r>
          </w:p>
        </w:tc>
        <w:tc>
          <w:tcPr>
            <w:tcW w:w="4637" w:type="pct"/>
            <w:tcBorders>
              <w:top w:val="single" w:color="auto" w:sz="4" w:space="0"/>
              <w:left w:val="single" w:color="auto" w:sz="4" w:space="0"/>
              <w:bottom w:val="single" w:color="auto" w:sz="4" w:space="0"/>
              <w:right w:val="single" w:color="auto" w:sz="4" w:space="0"/>
            </w:tcBorders>
            <w:vAlign w:val="center"/>
          </w:tcPr>
          <w:p w14:paraId="2F17D727">
            <w:pPr>
              <w:spacing w:line="240" w:lineRule="auto"/>
              <w:ind w:firstLine="420"/>
              <w:rPr>
                <w:rFonts w:hint="eastAsia"/>
                <w:color w:val="auto"/>
                <w:sz w:val="21"/>
              </w:rPr>
            </w:pPr>
            <w:r>
              <w:rPr>
                <w:rFonts w:hint="eastAsia"/>
                <w:color w:val="auto"/>
                <w:sz w:val="21"/>
              </w:rPr>
              <w:t>电缆在沟内、竖井内支架上敷设，支架要经预制、防腐和安装，且还要焊接接地（PE）或接零（PEN）线，同时对有碍安装或安装后不便清理的建筑垃圾进行清除，具备这样的条件，才以敷设固定电缆，否则不能施工。</w:t>
            </w:r>
          </w:p>
        </w:tc>
      </w:tr>
    </w:tbl>
    <w:p w14:paraId="316C31C8">
      <w:pPr>
        <w:rPr>
          <w:rFonts w:hint="eastAsia"/>
          <w:color w:val="auto"/>
        </w:rPr>
      </w:pPr>
      <w:r>
        <w:rPr>
          <w:rFonts w:hint="eastAsia"/>
          <w:color w:val="auto"/>
        </w:rPr>
        <w:t>线导管、电缆导管和线槽敷设应按以下程序进行：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4"/>
        <w:gridCol w:w="8326"/>
      </w:tblGrid>
      <w:tr w14:paraId="2640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1EBE9BC0">
            <w:pPr>
              <w:spacing w:line="240" w:lineRule="auto"/>
              <w:ind w:firstLine="0" w:firstLineChars="0"/>
              <w:jc w:val="center"/>
              <w:rPr>
                <w:rFonts w:hint="eastAsia"/>
                <w:color w:val="auto"/>
                <w:sz w:val="21"/>
              </w:rPr>
            </w:pPr>
            <w:r>
              <w:rPr>
                <w:rFonts w:hint="eastAsia"/>
                <w:color w:val="auto"/>
                <w:sz w:val="21"/>
              </w:rPr>
              <w:t>步骤</w:t>
            </w:r>
          </w:p>
        </w:tc>
        <w:tc>
          <w:tcPr>
            <w:tcW w:w="4595" w:type="pct"/>
            <w:tcBorders>
              <w:top w:val="single" w:color="auto" w:sz="4" w:space="0"/>
              <w:left w:val="single" w:color="auto" w:sz="4" w:space="0"/>
              <w:bottom w:val="single" w:color="auto" w:sz="4" w:space="0"/>
              <w:right w:val="single" w:color="auto" w:sz="4" w:space="0"/>
            </w:tcBorders>
            <w:vAlign w:val="center"/>
          </w:tcPr>
          <w:p w14:paraId="1169E347">
            <w:pPr>
              <w:spacing w:line="240" w:lineRule="auto"/>
              <w:ind w:firstLine="0" w:firstLineChars="0"/>
              <w:jc w:val="center"/>
              <w:rPr>
                <w:rFonts w:hint="eastAsia"/>
                <w:color w:val="auto"/>
                <w:sz w:val="21"/>
              </w:rPr>
            </w:pPr>
            <w:r>
              <w:rPr>
                <w:rFonts w:hint="eastAsia"/>
                <w:color w:val="auto"/>
                <w:sz w:val="21"/>
              </w:rPr>
              <w:t>程序内容</w:t>
            </w:r>
          </w:p>
        </w:tc>
      </w:tr>
      <w:tr w14:paraId="544F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2146E6F2">
            <w:pPr>
              <w:spacing w:line="240" w:lineRule="auto"/>
              <w:ind w:firstLine="0" w:firstLineChars="0"/>
              <w:jc w:val="center"/>
              <w:rPr>
                <w:rFonts w:hint="eastAsia"/>
                <w:color w:val="auto"/>
                <w:sz w:val="21"/>
              </w:rPr>
            </w:pPr>
            <w:r>
              <w:rPr>
                <w:rFonts w:hint="eastAsia"/>
                <w:color w:val="auto"/>
                <w:sz w:val="21"/>
              </w:rPr>
              <w:t>1</w:t>
            </w:r>
          </w:p>
        </w:tc>
        <w:tc>
          <w:tcPr>
            <w:tcW w:w="4595" w:type="pct"/>
            <w:tcBorders>
              <w:top w:val="single" w:color="auto" w:sz="4" w:space="0"/>
              <w:left w:val="single" w:color="auto" w:sz="4" w:space="0"/>
              <w:bottom w:val="single" w:color="auto" w:sz="4" w:space="0"/>
              <w:right w:val="single" w:color="auto" w:sz="4" w:space="0"/>
            </w:tcBorders>
            <w:vAlign w:val="center"/>
          </w:tcPr>
          <w:p w14:paraId="38168DEF">
            <w:pPr>
              <w:spacing w:line="240" w:lineRule="auto"/>
              <w:ind w:firstLine="420"/>
              <w:rPr>
                <w:rFonts w:hint="eastAsia"/>
                <w:color w:val="auto"/>
                <w:sz w:val="21"/>
              </w:rPr>
            </w:pPr>
            <w:r>
              <w:rPr>
                <w:rFonts w:hint="eastAsia"/>
                <w:color w:val="auto"/>
                <w:sz w:val="21"/>
              </w:rPr>
              <w:t>除埋入混凝土的非镀锌钢管外壁不做防腐处理外，其他场所的非镀锌钢管内外壁均做防腐处理，经检查确认，才能配管。</w:t>
            </w:r>
          </w:p>
        </w:tc>
      </w:tr>
      <w:tr w14:paraId="2C82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14F543EE">
            <w:pPr>
              <w:spacing w:line="240" w:lineRule="auto"/>
              <w:ind w:firstLine="0" w:firstLineChars="0"/>
              <w:jc w:val="center"/>
              <w:rPr>
                <w:rFonts w:hint="eastAsia"/>
                <w:color w:val="auto"/>
                <w:sz w:val="21"/>
              </w:rPr>
            </w:pPr>
            <w:r>
              <w:rPr>
                <w:rFonts w:hint="eastAsia"/>
                <w:color w:val="auto"/>
                <w:sz w:val="21"/>
              </w:rPr>
              <w:t>2</w:t>
            </w:r>
          </w:p>
        </w:tc>
        <w:tc>
          <w:tcPr>
            <w:tcW w:w="4595" w:type="pct"/>
            <w:tcBorders>
              <w:top w:val="single" w:color="auto" w:sz="4" w:space="0"/>
              <w:left w:val="single" w:color="auto" w:sz="4" w:space="0"/>
              <w:bottom w:val="single" w:color="auto" w:sz="4" w:space="0"/>
              <w:right w:val="single" w:color="auto" w:sz="4" w:space="0"/>
            </w:tcBorders>
            <w:vAlign w:val="center"/>
          </w:tcPr>
          <w:p w14:paraId="203BADAC">
            <w:pPr>
              <w:spacing w:line="240" w:lineRule="auto"/>
              <w:ind w:firstLine="420"/>
              <w:rPr>
                <w:rFonts w:hint="eastAsia"/>
                <w:color w:val="auto"/>
                <w:sz w:val="21"/>
              </w:rPr>
            </w:pPr>
            <w:r>
              <w:rPr>
                <w:rFonts w:hint="eastAsia"/>
                <w:color w:val="auto"/>
                <w:sz w:val="21"/>
              </w:rPr>
              <w:t>室外直埋导管的路径、沟槽深度、宽度及垫层处理经检查确认，才能埋设导管。</w:t>
            </w:r>
          </w:p>
        </w:tc>
      </w:tr>
      <w:tr w14:paraId="09EDF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1FACADEB">
            <w:pPr>
              <w:spacing w:line="240" w:lineRule="auto"/>
              <w:ind w:firstLine="0" w:firstLineChars="0"/>
              <w:jc w:val="center"/>
              <w:rPr>
                <w:rFonts w:hint="eastAsia"/>
                <w:color w:val="auto"/>
                <w:sz w:val="21"/>
              </w:rPr>
            </w:pPr>
            <w:r>
              <w:rPr>
                <w:rFonts w:hint="eastAsia"/>
                <w:color w:val="auto"/>
                <w:sz w:val="21"/>
              </w:rPr>
              <w:t>3</w:t>
            </w:r>
          </w:p>
        </w:tc>
        <w:tc>
          <w:tcPr>
            <w:tcW w:w="4595" w:type="pct"/>
            <w:tcBorders>
              <w:top w:val="single" w:color="auto" w:sz="4" w:space="0"/>
              <w:left w:val="single" w:color="auto" w:sz="4" w:space="0"/>
              <w:bottom w:val="single" w:color="auto" w:sz="4" w:space="0"/>
              <w:right w:val="single" w:color="auto" w:sz="4" w:space="0"/>
            </w:tcBorders>
            <w:vAlign w:val="center"/>
          </w:tcPr>
          <w:p w14:paraId="3E98E09F">
            <w:pPr>
              <w:spacing w:line="240" w:lineRule="auto"/>
              <w:ind w:firstLine="420"/>
              <w:rPr>
                <w:rFonts w:hint="eastAsia"/>
                <w:color w:val="auto"/>
                <w:sz w:val="21"/>
              </w:rPr>
            </w:pPr>
            <w:r>
              <w:rPr>
                <w:rFonts w:hint="eastAsia"/>
                <w:color w:val="auto"/>
                <w:sz w:val="21"/>
              </w:rPr>
              <w:t>现浇混凝土板内配管在底层钢筋绑扎完成，上层钢筋未绑扎前敷设，且检查确认才能绑扎上层钢筋和浇捣混凝土。</w:t>
            </w:r>
          </w:p>
        </w:tc>
      </w:tr>
      <w:tr w14:paraId="62BB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09E35D45">
            <w:pPr>
              <w:spacing w:line="240" w:lineRule="auto"/>
              <w:ind w:firstLine="0" w:firstLineChars="0"/>
              <w:jc w:val="center"/>
              <w:rPr>
                <w:rFonts w:hint="eastAsia"/>
                <w:color w:val="auto"/>
                <w:sz w:val="21"/>
              </w:rPr>
            </w:pPr>
            <w:r>
              <w:rPr>
                <w:rFonts w:hint="eastAsia"/>
                <w:color w:val="auto"/>
                <w:sz w:val="21"/>
              </w:rPr>
              <w:t>4</w:t>
            </w:r>
          </w:p>
        </w:tc>
        <w:tc>
          <w:tcPr>
            <w:tcW w:w="4595" w:type="pct"/>
            <w:tcBorders>
              <w:top w:val="single" w:color="auto" w:sz="4" w:space="0"/>
              <w:left w:val="single" w:color="auto" w:sz="4" w:space="0"/>
              <w:bottom w:val="single" w:color="auto" w:sz="4" w:space="0"/>
              <w:right w:val="single" w:color="auto" w:sz="4" w:space="0"/>
            </w:tcBorders>
            <w:vAlign w:val="center"/>
          </w:tcPr>
          <w:p w14:paraId="727DE4B3">
            <w:pPr>
              <w:spacing w:line="240" w:lineRule="auto"/>
              <w:ind w:firstLine="420"/>
              <w:rPr>
                <w:rFonts w:hint="eastAsia"/>
                <w:color w:val="auto"/>
                <w:sz w:val="21"/>
              </w:rPr>
            </w:pPr>
            <w:r>
              <w:rPr>
                <w:rFonts w:hint="eastAsia"/>
                <w:color w:val="auto"/>
                <w:sz w:val="21"/>
              </w:rPr>
              <w:t>现浇混凝土墙体内的钢筋网片绑扎完成，门、窗等位置已放线，经检查确认，才能在墙体内配管。</w:t>
            </w:r>
          </w:p>
        </w:tc>
      </w:tr>
      <w:tr w14:paraId="54320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507EFD0C">
            <w:pPr>
              <w:spacing w:line="240" w:lineRule="auto"/>
              <w:ind w:firstLine="0" w:firstLineChars="0"/>
              <w:jc w:val="center"/>
              <w:rPr>
                <w:rFonts w:hint="eastAsia"/>
                <w:color w:val="auto"/>
                <w:sz w:val="21"/>
              </w:rPr>
            </w:pPr>
            <w:r>
              <w:rPr>
                <w:rFonts w:hint="eastAsia"/>
                <w:color w:val="auto"/>
                <w:sz w:val="21"/>
              </w:rPr>
              <w:t>5</w:t>
            </w:r>
          </w:p>
        </w:tc>
        <w:tc>
          <w:tcPr>
            <w:tcW w:w="4595" w:type="pct"/>
            <w:tcBorders>
              <w:top w:val="single" w:color="auto" w:sz="4" w:space="0"/>
              <w:left w:val="single" w:color="auto" w:sz="4" w:space="0"/>
              <w:bottom w:val="single" w:color="auto" w:sz="4" w:space="0"/>
              <w:right w:val="single" w:color="auto" w:sz="4" w:space="0"/>
            </w:tcBorders>
            <w:vAlign w:val="center"/>
          </w:tcPr>
          <w:p w14:paraId="32BE939F">
            <w:pPr>
              <w:spacing w:line="240" w:lineRule="auto"/>
              <w:ind w:firstLine="420"/>
              <w:rPr>
                <w:rFonts w:hint="eastAsia"/>
                <w:color w:val="auto"/>
                <w:sz w:val="21"/>
              </w:rPr>
            </w:pPr>
            <w:r>
              <w:rPr>
                <w:rFonts w:hint="eastAsia"/>
                <w:color w:val="auto"/>
                <w:sz w:val="21"/>
              </w:rPr>
              <w:t>被隐蔽的接线盒和导管在隐蔽前检查合格，才能隐蔽。</w:t>
            </w:r>
          </w:p>
        </w:tc>
      </w:tr>
      <w:tr w14:paraId="08765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1D730A78">
            <w:pPr>
              <w:spacing w:line="240" w:lineRule="auto"/>
              <w:ind w:firstLine="0" w:firstLineChars="0"/>
              <w:jc w:val="center"/>
              <w:rPr>
                <w:rFonts w:hint="eastAsia"/>
                <w:color w:val="auto"/>
                <w:sz w:val="21"/>
              </w:rPr>
            </w:pPr>
            <w:r>
              <w:rPr>
                <w:rFonts w:hint="eastAsia"/>
                <w:color w:val="auto"/>
                <w:sz w:val="21"/>
              </w:rPr>
              <w:t>6</w:t>
            </w:r>
          </w:p>
        </w:tc>
        <w:tc>
          <w:tcPr>
            <w:tcW w:w="4595" w:type="pct"/>
            <w:tcBorders>
              <w:top w:val="single" w:color="auto" w:sz="4" w:space="0"/>
              <w:left w:val="single" w:color="auto" w:sz="4" w:space="0"/>
              <w:bottom w:val="single" w:color="auto" w:sz="4" w:space="0"/>
              <w:right w:val="single" w:color="auto" w:sz="4" w:space="0"/>
            </w:tcBorders>
            <w:vAlign w:val="center"/>
          </w:tcPr>
          <w:p w14:paraId="61655B8F">
            <w:pPr>
              <w:spacing w:line="240" w:lineRule="auto"/>
              <w:ind w:firstLine="420"/>
              <w:rPr>
                <w:rFonts w:hint="eastAsia"/>
                <w:color w:val="auto"/>
                <w:sz w:val="21"/>
              </w:rPr>
            </w:pPr>
            <w:r>
              <w:rPr>
                <w:rFonts w:hint="eastAsia"/>
                <w:color w:val="auto"/>
                <w:sz w:val="21"/>
              </w:rPr>
              <w:t>在板、柱等部位明配管的导管套管、埋件、支架等检查合格，才能配管。</w:t>
            </w:r>
          </w:p>
        </w:tc>
      </w:tr>
      <w:tr w14:paraId="62DF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402B66B3">
            <w:pPr>
              <w:spacing w:line="240" w:lineRule="auto"/>
              <w:ind w:firstLine="0" w:firstLineChars="0"/>
              <w:jc w:val="center"/>
              <w:rPr>
                <w:rFonts w:hint="eastAsia"/>
                <w:color w:val="auto"/>
                <w:sz w:val="21"/>
              </w:rPr>
            </w:pPr>
            <w:r>
              <w:rPr>
                <w:rFonts w:hint="eastAsia"/>
                <w:color w:val="auto"/>
                <w:sz w:val="21"/>
              </w:rPr>
              <w:t>7</w:t>
            </w:r>
          </w:p>
        </w:tc>
        <w:tc>
          <w:tcPr>
            <w:tcW w:w="4595" w:type="pct"/>
            <w:tcBorders>
              <w:top w:val="single" w:color="auto" w:sz="4" w:space="0"/>
              <w:left w:val="single" w:color="auto" w:sz="4" w:space="0"/>
              <w:bottom w:val="single" w:color="auto" w:sz="4" w:space="0"/>
              <w:right w:val="single" w:color="auto" w:sz="4" w:space="0"/>
            </w:tcBorders>
            <w:vAlign w:val="center"/>
          </w:tcPr>
          <w:p w14:paraId="5C0FBD56">
            <w:pPr>
              <w:spacing w:line="240" w:lineRule="auto"/>
              <w:ind w:firstLine="420"/>
              <w:rPr>
                <w:rFonts w:hint="eastAsia"/>
                <w:color w:val="auto"/>
                <w:sz w:val="21"/>
              </w:rPr>
            </w:pPr>
            <w:r>
              <w:rPr>
                <w:rFonts w:hint="eastAsia"/>
                <w:color w:val="auto"/>
                <w:sz w:val="21"/>
              </w:rPr>
              <w:t>吊顶上的灯位及电气器具位置先放样，且与土建及各专业施工单位商定，才能在吊顶内配管。</w:t>
            </w:r>
          </w:p>
        </w:tc>
      </w:tr>
      <w:tr w14:paraId="12D6F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05" w:type="pct"/>
            <w:tcBorders>
              <w:top w:val="single" w:color="auto" w:sz="4" w:space="0"/>
              <w:left w:val="single" w:color="auto" w:sz="4" w:space="0"/>
              <w:bottom w:val="single" w:color="auto" w:sz="4" w:space="0"/>
              <w:right w:val="single" w:color="auto" w:sz="4" w:space="0"/>
            </w:tcBorders>
            <w:vAlign w:val="center"/>
          </w:tcPr>
          <w:p w14:paraId="33D9D192">
            <w:pPr>
              <w:spacing w:line="240" w:lineRule="auto"/>
              <w:ind w:firstLine="0" w:firstLineChars="0"/>
              <w:jc w:val="center"/>
              <w:rPr>
                <w:rFonts w:hint="eastAsia"/>
                <w:color w:val="auto"/>
                <w:sz w:val="21"/>
              </w:rPr>
            </w:pPr>
            <w:r>
              <w:rPr>
                <w:rFonts w:hint="eastAsia"/>
                <w:color w:val="auto"/>
                <w:sz w:val="21"/>
              </w:rPr>
              <w:t>8</w:t>
            </w:r>
          </w:p>
        </w:tc>
        <w:tc>
          <w:tcPr>
            <w:tcW w:w="4595" w:type="pct"/>
            <w:tcBorders>
              <w:top w:val="single" w:color="auto" w:sz="4" w:space="0"/>
              <w:left w:val="single" w:color="auto" w:sz="4" w:space="0"/>
              <w:bottom w:val="single" w:color="auto" w:sz="4" w:space="0"/>
              <w:right w:val="single" w:color="auto" w:sz="4" w:space="0"/>
            </w:tcBorders>
            <w:vAlign w:val="center"/>
          </w:tcPr>
          <w:p w14:paraId="4649A8A1">
            <w:pPr>
              <w:spacing w:line="240" w:lineRule="auto"/>
              <w:ind w:firstLine="420"/>
              <w:rPr>
                <w:rFonts w:hint="eastAsia"/>
                <w:color w:val="auto"/>
                <w:sz w:val="21"/>
              </w:rPr>
            </w:pPr>
            <w:r>
              <w:rPr>
                <w:rFonts w:hint="eastAsia"/>
                <w:color w:val="auto"/>
                <w:sz w:val="21"/>
              </w:rPr>
              <w:t>顶棚和墙壁面喷浆、油漆或壁纸等基本完成，才能敷设结槽、槽板。</w:t>
            </w:r>
          </w:p>
        </w:tc>
      </w:tr>
    </w:tbl>
    <w:p w14:paraId="5B399C70">
      <w:pPr>
        <w:rPr>
          <w:rFonts w:hint="eastAsia"/>
          <w:color w:val="auto"/>
        </w:rPr>
      </w:pPr>
      <w:r>
        <w:rPr>
          <w:rFonts w:hint="eastAsia"/>
          <w:color w:val="auto"/>
        </w:rPr>
        <w:t>明确现浇混凝土楼板内钢筋绑扎与电气配管的关系，是电气安装与建筑工程土建施工合理搭接的工序，这样做，可以既保证钢筋工程质量，又保证电气配管质量。</w:t>
      </w:r>
    </w:p>
    <w:p w14:paraId="4C336D06">
      <w:pPr>
        <w:rPr>
          <w:rFonts w:hint="eastAsia"/>
          <w:color w:val="auto"/>
        </w:rPr>
      </w:pPr>
      <w:r>
        <w:rPr>
          <w:rFonts w:hint="eastAsia"/>
          <w:color w:val="auto"/>
        </w:rPr>
        <w:t>电线、电缆穿管及线槽敷线应按以下程序进行：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341F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BEA4E14">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16C2395F">
            <w:pPr>
              <w:spacing w:line="240" w:lineRule="auto"/>
              <w:ind w:firstLine="0" w:firstLineChars="0"/>
              <w:jc w:val="center"/>
              <w:rPr>
                <w:rFonts w:hint="eastAsia"/>
                <w:color w:val="auto"/>
                <w:sz w:val="21"/>
              </w:rPr>
            </w:pPr>
            <w:r>
              <w:rPr>
                <w:rFonts w:hint="eastAsia"/>
                <w:color w:val="auto"/>
                <w:sz w:val="21"/>
              </w:rPr>
              <w:t>程序内容</w:t>
            </w:r>
          </w:p>
        </w:tc>
      </w:tr>
      <w:tr w14:paraId="5AC3E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0E62318">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7DD2AE8">
            <w:pPr>
              <w:spacing w:line="240" w:lineRule="auto"/>
              <w:ind w:firstLine="420"/>
              <w:rPr>
                <w:rFonts w:hint="eastAsia"/>
                <w:color w:val="auto"/>
                <w:sz w:val="21"/>
              </w:rPr>
            </w:pPr>
            <w:r>
              <w:rPr>
                <w:rFonts w:hint="eastAsia"/>
                <w:color w:val="auto"/>
                <w:sz w:val="21"/>
              </w:rPr>
              <w:t>接地（PE）或接零（PEN）及其他焊接施工完成，经检查确认，才能穿入电线或电缆以及线槽内敷线。</w:t>
            </w:r>
          </w:p>
        </w:tc>
      </w:tr>
      <w:tr w14:paraId="304A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7CD332F">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0631670C">
            <w:pPr>
              <w:spacing w:line="240" w:lineRule="auto"/>
              <w:ind w:firstLine="420"/>
              <w:rPr>
                <w:rFonts w:hint="eastAsia"/>
                <w:color w:val="auto"/>
                <w:sz w:val="21"/>
              </w:rPr>
            </w:pPr>
            <w:r>
              <w:rPr>
                <w:rFonts w:hint="eastAsia"/>
                <w:color w:val="auto"/>
                <w:sz w:val="21"/>
              </w:rPr>
              <w:t>与导管连接的柜、屏、台、箱、盘安装完成，管内积水及杂物清理干净，经检查确认，才能穿入电线、电缆。</w:t>
            </w:r>
          </w:p>
        </w:tc>
      </w:tr>
      <w:tr w14:paraId="4481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50326B5">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24F0C9FE">
            <w:pPr>
              <w:spacing w:line="240" w:lineRule="auto"/>
              <w:ind w:firstLine="420"/>
              <w:rPr>
                <w:rFonts w:hint="eastAsia"/>
                <w:color w:val="auto"/>
                <w:sz w:val="21"/>
              </w:rPr>
            </w:pPr>
            <w:r>
              <w:rPr>
                <w:rFonts w:hint="eastAsia"/>
                <w:color w:val="auto"/>
                <w:sz w:val="21"/>
              </w:rPr>
              <w:t>电缆穿管前绝缘测试合格，才能穿入导管。</w:t>
            </w:r>
          </w:p>
        </w:tc>
      </w:tr>
      <w:tr w14:paraId="7C505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571B7B8">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36A1E80F">
            <w:pPr>
              <w:spacing w:line="240" w:lineRule="auto"/>
              <w:ind w:firstLine="420"/>
              <w:rPr>
                <w:rFonts w:hint="eastAsia"/>
                <w:color w:val="auto"/>
                <w:sz w:val="21"/>
              </w:rPr>
            </w:pPr>
            <w:r>
              <w:rPr>
                <w:rFonts w:hint="eastAsia"/>
                <w:color w:val="auto"/>
                <w:sz w:val="21"/>
              </w:rPr>
              <w:t>电线、电缆交接试验合格，且对接线去向和相位等检查确认，才能通电。</w:t>
            </w:r>
          </w:p>
        </w:tc>
      </w:tr>
    </w:tbl>
    <w:p w14:paraId="30F0B9BB">
      <w:pPr>
        <w:rPr>
          <w:rFonts w:hint="eastAsia"/>
          <w:color w:val="auto"/>
        </w:rPr>
      </w:pPr>
      <w:r>
        <w:rPr>
          <w:rFonts w:hint="eastAsia"/>
          <w:color w:val="auto"/>
        </w:rPr>
        <w:t>电线、电缆的绝缘外保护层是不允许高温灼烤的，否则要影响其绝缘的可靠性和完整性，所以在穿管敷线前应将焊接施工尤其是熔焊施工全部结束。</w:t>
      </w:r>
    </w:p>
    <w:p w14:paraId="1E120B2F">
      <w:pPr>
        <w:rPr>
          <w:rFonts w:hint="eastAsia"/>
          <w:color w:val="auto"/>
        </w:rPr>
      </w:pPr>
      <w:r>
        <w:rPr>
          <w:rFonts w:hint="eastAsia"/>
          <w:color w:val="auto"/>
        </w:rPr>
        <w:t>索配管的预埋件及预留孔，应预埋、预留完成；装修工程除地面外基本结束，才能吊装钢索及敷设线路。</w:t>
      </w:r>
    </w:p>
    <w:p w14:paraId="3543D228">
      <w:pPr>
        <w:rPr>
          <w:rFonts w:hint="eastAsia"/>
          <w:color w:val="auto"/>
        </w:rPr>
      </w:pPr>
      <w:r>
        <w:rPr>
          <w:rFonts w:hint="eastAsia"/>
          <w:color w:val="auto"/>
        </w:rPr>
        <w:t>缆头制作和接线应按以下程序进行：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2EC73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5E21855">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4DCC3983">
            <w:pPr>
              <w:spacing w:line="240" w:lineRule="auto"/>
              <w:ind w:firstLine="0" w:firstLineChars="0"/>
              <w:jc w:val="center"/>
              <w:rPr>
                <w:rFonts w:hint="eastAsia"/>
                <w:color w:val="auto"/>
                <w:sz w:val="21"/>
              </w:rPr>
            </w:pPr>
            <w:r>
              <w:rPr>
                <w:rFonts w:hint="eastAsia"/>
                <w:color w:val="auto"/>
                <w:sz w:val="21"/>
              </w:rPr>
              <w:t>程序内容</w:t>
            </w:r>
          </w:p>
        </w:tc>
      </w:tr>
      <w:tr w14:paraId="76FE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CCD2449">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4F5DBCF">
            <w:pPr>
              <w:spacing w:line="240" w:lineRule="auto"/>
              <w:ind w:firstLine="0" w:firstLineChars="0"/>
              <w:jc w:val="center"/>
              <w:rPr>
                <w:rFonts w:hint="eastAsia"/>
                <w:color w:val="auto"/>
                <w:sz w:val="21"/>
              </w:rPr>
            </w:pPr>
            <w:r>
              <w:rPr>
                <w:rFonts w:hint="eastAsia"/>
                <w:color w:val="auto"/>
                <w:sz w:val="21"/>
              </w:rPr>
              <w:t>电缆连接位置、连接长度和绝缘测试经检查确认，才能制作电缆头。</w:t>
            </w:r>
          </w:p>
        </w:tc>
      </w:tr>
      <w:tr w14:paraId="21AC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D53FED4">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3A63CC94">
            <w:pPr>
              <w:spacing w:line="240" w:lineRule="auto"/>
              <w:ind w:firstLine="0" w:firstLineChars="0"/>
              <w:jc w:val="center"/>
              <w:rPr>
                <w:rFonts w:hint="eastAsia"/>
                <w:color w:val="auto"/>
                <w:sz w:val="21"/>
              </w:rPr>
            </w:pPr>
            <w:r>
              <w:rPr>
                <w:rFonts w:hint="eastAsia"/>
                <w:color w:val="auto"/>
                <w:sz w:val="21"/>
              </w:rPr>
              <w:t>控制电缆绝缘电阻测试和校线合格，才能接线。</w:t>
            </w:r>
          </w:p>
        </w:tc>
      </w:tr>
      <w:tr w14:paraId="2A45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37FE73F">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3CD74A2F">
            <w:pPr>
              <w:spacing w:line="240" w:lineRule="auto"/>
              <w:ind w:firstLine="0" w:firstLineChars="0"/>
              <w:jc w:val="center"/>
              <w:rPr>
                <w:rFonts w:hint="eastAsia"/>
                <w:color w:val="auto"/>
                <w:sz w:val="21"/>
              </w:rPr>
            </w:pPr>
            <w:r>
              <w:rPr>
                <w:rFonts w:hint="eastAsia"/>
                <w:color w:val="auto"/>
                <w:sz w:val="21"/>
              </w:rPr>
              <w:t>电线、电缆交接试验和相位校对合格，才能接线。</w:t>
            </w:r>
          </w:p>
        </w:tc>
      </w:tr>
    </w:tbl>
    <w:p w14:paraId="4E54FA10">
      <w:pPr>
        <w:rPr>
          <w:rFonts w:hint="eastAsia"/>
          <w:color w:val="auto"/>
        </w:rPr>
      </w:pPr>
      <w:r>
        <w:rPr>
          <w:rFonts w:hint="eastAsia"/>
          <w:color w:val="auto"/>
        </w:rPr>
        <w:t>电缆头制作是电缆安装的关键工序，尤其是芯线截面较大的电力电缆，电缆头的引线与开关设备连接时要注意引线的方向，留有足够的长度，不致使开关设备的连接处受额外引力或发生强行组对一样的强制力，以避免受到振动后使设备损坏。剖开电缆前，应先确认一下连接的开关设备是否施工设计的位置。</w:t>
      </w:r>
    </w:p>
    <w:p w14:paraId="2D0A1F97">
      <w:pPr>
        <w:rPr>
          <w:rFonts w:hint="eastAsia"/>
          <w:color w:val="auto"/>
        </w:rPr>
      </w:pPr>
      <w:r>
        <w:rPr>
          <w:rFonts w:hint="eastAsia"/>
          <w:color w:val="auto"/>
        </w:rPr>
        <w:t>照明灯具安装应按以下程序进行：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5B415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86AAD48">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2F86A3A9">
            <w:pPr>
              <w:spacing w:line="240" w:lineRule="auto"/>
              <w:ind w:firstLine="0" w:firstLineChars="0"/>
              <w:jc w:val="center"/>
              <w:rPr>
                <w:rFonts w:hint="eastAsia"/>
                <w:color w:val="auto"/>
                <w:sz w:val="21"/>
              </w:rPr>
            </w:pPr>
            <w:r>
              <w:rPr>
                <w:rFonts w:hint="eastAsia"/>
                <w:color w:val="auto"/>
                <w:sz w:val="21"/>
              </w:rPr>
              <w:t>程序内容</w:t>
            </w:r>
          </w:p>
        </w:tc>
      </w:tr>
      <w:tr w14:paraId="70495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3E6438A">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63B9F719">
            <w:pPr>
              <w:spacing w:line="240" w:lineRule="auto"/>
              <w:ind w:firstLine="0" w:firstLineChars="0"/>
              <w:jc w:val="center"/>
              <w:rPr>
                <w:rFonts w:hint="eastAsia"/>
                <w:color w:val="auto"/>
                <w:sz w:val="21"/>
              </w:rPr>
            </w:pPr>
            <w:r>
              <w:rPr>
                <w:rFonts w:hint="eastAsia"/>
                <w:color w:val="auto"/>
                <w:sz w:val="21"/>
              </w:rPr>
              <w:t>安装灯具的预埋螺栓、吊杆和吊顶上嵌入式灯具安装专用骨架等完成，按设计要求做承载试验合格，才能安装灯具。</w:t>
            </w:r>
          </w:p>
        </w:tc>
      </w:tr>
      <w:tr w14:paraId="6104B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9BD840B">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067F69A6">
            <w:pPr>
              <w:spacing w:line="240" w:lineRule="auto"/>
              <w:ind w:firstLine="0" w:firstLineChars="0"/>
              <w:jc w:val="center"/>
              <w:rPr>
                <w:rFonts w:hint="eastAsia"/>
                <w:color w:val="auto"/>
                <w:sz w:val="21"/>
              </w:rPr>
            </w:pPr>
            <w:r>
              <w:rPr>
                <w:rFonts w:hint="eastAsia"/>
                <w:color w:val="auto"/>
                <w:sz w:val="21"/>
              </w:rPr>
              <w:t>影响灯具安装的模板、脚手架拆除；顶棚和墙面喷浆、油漆或壁纸等及地面清理工作基本完成后，才能安装灯具。</w:t>
            </w:r>
          </w:p>
        </w:tc>
      </w:tr>
      <w:tr w14:paraId="264A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DAD3CC5">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4A011334">
            <w:pPr>
              <w:spacing w:line="240" w:lineRule="auto"/>
              <w:ind w:firstLine="0" w:firstLineChars="0"/>
              <w:jc w:val="center"/>
              <w:rPr>
                <w:rFonts w:hint="eastAsia"/>
                <w:color w:val="auto"/>
                <w:sz w:val="21"/>
              </w:rPr>
            </w:pPr>
            <w:r>
              <w:rPr>
                <w:rFonts w:hint="eastAsia"/>
                <w:color w:val="auto"/>
                <w:sz w:val="21"/>
              </w:rPr>
              <w:t>导线绝缘测试合格，才能灯具接线。</w:t>
            </w:r>
          </w:p>
        </w:tc>
      </w:tr>
      <w:tr w14:paraId="07CFD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58BCED9">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2F8B2324">
            <w:pPr>
              <w:spacing w:line="240" w:lineRule="auto"/>
              <w:ind w:firstLine="0" w:firstLineChars="0"/>
              <w:jc w:val="center"/>
              <w:rPr>
                <w:rFonts w:hint="eastAsia"/>
                <w:color w:val="auto"/>
                <w:sz w:val="21"/>
              </w:rPr>
            </w:pPr>
            <w:r>
              <w:rPr>
                <w:rFonts w:hint="eastAsia"/>
                <w:color w:val="auto"/>
                <w:sz w:val="21"/>
              </w:rPr>
              <w:t>高空安装的灯具，地面通断电试验合格，才能安装。</w:t>
            </w:r>
          </w:p>
        </w:tc>
      </w:tr>
    </w:tbl>
    <w:p w14:paraId="4BFB1981">
      <w:pPr>
        <w:rPr>
          <w:rFonts w:hint="eastAsia"/>
          <w:color w:val="auto"/>
        </w:rPr>
      </w:pPr>
      <w:r>
        <w:rPr>
          <w:rFonts w:hint="eastAsia"/>
          <w:color w:val="auto"/>
        </w:rPr>
        <w:t>安装灯具的预埋件和嵌入式灯具安装专用骨架通常由施工设计图，要注意的是有的可能在土建施工图上，也有的可能在电气安装施工图上，这就要求做好协调分工，特别在图纸会审时给以明确。</w:t>
      </w:r>
    </w:p>
    <w:p w14:paraId="7B0E5382">
      <w:pPr>
        <w:rPr>
          <w:rFonts w:hint="eastAsia"/>
          <w:color w:val="auto"/>
        </w:rPr>
      </w:pPr>
      <w:r>
        <w:rPr>
          <w:rFonts w:hint="eastAsia"/>
          <w:color w:val="auto"/>
        </w:rPr>
        <w:t>明开关、插座安装：电线绝缘测试应合格，顶棚和墙面的喷浆、油漆或壁纸等基本完成，才能安装开关、插座和风扇。</w:t>
      </w:r>
    </w:p>
    <w:p w14:paraId="6FA6A6C6">
      <w:pPr>
        <w:rPr>
          <w:rFonts w:hint="eastAsia"/>
          <w:color w:val="auto"/>
        </w:rPr>
      </w:pPr>
      <w:r>
        <w:rPr>
          <w:rFonts w:hint="eastAsia"/>
          <w:color w:val="auto"/>
        </w:rPr>
        <w:t>照明系统的测试和通电试运行应按以下程序进行：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6991C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758E034">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579E28D8">
            <w:pPr>
              <w:spacing w:line="240" w:lineRule="auto"/>
              <w:ind w:firstLine="0" w:firstLineChars="0"/>
              <w:jc w:val="center"/>
              <w:rPr>
                <w:rFonts w:hint="eastAsia"/>
                <w:color w:val="auto"/>
                <w:sz w:val="21"/>
              </w:rPr>
            </w:pPr>
            <w:r>
              <w:rPr>
                <w:rFonts w:hint="eastAsia"/>
                <w:color w:val="auto"/>
                <w:sz w:val="21"/>
              </w:rPr>
              <w:t>程序内容</w:t>
            </w:r>
          </w:p>
        </w:tc>
      </w:tr>
      <w:tr w14:paraId="33F2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97CB200">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5FC56CFC">
            <w:pPr>
              <w:spacing w:line="240" w:lineRule="auto"/>
              <w:ind w:firstLine="0" w:firstLineChars="0"/>
              <w:jc w:val="center"/>
              <w:rPr>
                <w:rFonts w:hint="eastAsia"/>
                <w:color w:val="auto"/>
                <w:sz w:val="21"/>
              </w:rPr>
            </w:pPr>
            <w:r>
              <w:rPr>
                <w:rFonts w:hint="eastAsia"/>
                <w:color w:val="auto"/>
                <w:sz w:val="21"/>
              </w:rPr>
              <w:t>电线绝缘电阻测试前电线的连续完成。</w:t>
            </w:r>
          </w:p>
        </w:tc>
      </w:tr>
      <w:tr w14:paraId="715F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8C3A309">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545238F4">
            <w:pPr>
              <w:spacing w:line="240" w:lineRule="auto"/>
              <w:ind w:firstLine="0" w:firstLineChars="0"/>
              <w:jc w:val="center"/>
              <w:rPr>
                <w:rFonts w:hint="eastAsia"/>
                <w:color w:val="auto"/>
                <w:sz w:val="21"/>
              </w:rPr>
            </w:pPr>
            <w:r>
              <w:rPr>
                <w:rFonts w:hint="eastAsia"/>
                <w:color w:val="auto"/>
                <w:sz w:val="21"/>
              </w:rPr>
              <w:t>照明箱（盘）、灯具、开关、插座的绝缘电阻测试在就位前或接线前完成。</w:t>
            </w:r>
          </w:p>
        </w:tc>
      </w:tr>
      <w:tr w14:paraId="15A93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5553096">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3035A935">
            <w:pPr>
              <w:spacing w:line="240" w:lineRule="auto"/>
              <w:ind w:firstLine="0" w:firstLineChars="0"/>
              <w:jc w:val="center"/>
              <w:rPr>
                <w:rFonts w:hint="eastAsia"/>
                <w:color w:val="auto"/>
                <w:sz w:val="21"/>
              </w:rPr>
            </w:pPr>
            <w:r>
              <w:rPr>
                <w:rFonts w:hint="eastAsia"/>
                <w:color w:val="auto"/>
                <w:sz w:val="21"/>
              </w:rPr>
              <w:t>备用电源或事故照明电源作空载自动投切试验前拆除负荷，空载自动投切实验合格，才能做有载自动投切试验。</w:t>
            </w:r>
          </w:p>
        </w:tc>
      </w:tr>
      <w:tr w14:paraId="6BE73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6D7B832">
            <w:pPr>
              <w:spacing w:line="240" w:lineRule="auto"/>
              <w:ind w:firstLine="0" w:firstLineChars="0"/>
              <w:jc w:val="center"/>
              <w:rPr>
                <w:rFonts w:hint="eastAsia"/>
                <w:color w:val="auto"/>
                <w:sz w:val="21"/>
              </w:rPr>
            </w:pPr>
            <w:r>
              <w:rPr>
                <w:rFonts w:hint="eastAsia"/>
                <w:color w:val="auto"/>
                <w:sz w:val="21"/>
              </w:rPr>
              <w:t>4</w:t>
            </w:r>
          </w:p>
        </w:tc>
        <w:tc>
          <w:tcPr>
            <w:tcW w:w="4637" w:type="pct"/>
            <w:tcBorders>
              <w:top w:val="single" w:color="auto" w:sz="4" w:space="0"/>
              <w:left w:val="single" w:color="auto" w:sz="4" w:space="0"/>
              <w:bottom w:val="single" w:color="auto" w:sz="4" w:space="0"/>
              <w:right w:val="single" w:color="auto" w:sz="4" w:space="0"/>
            </w:tcBorders>
            <w:vAlign w:val="center"/>
          </w:tcPr>
          <w:p w14:paraId="6CC20FDB">
            <w:pPr>
              <w:spacing w:line="240" w:lineRule="auto"/>
              <w:ind w:firstLine="0" w:firstLineChars="0"/>
              <w:jc w:val="center"/>
              <w:rPr>
                <w:rFonts w:hint="eastAsia"/>
                <w:color w:val="auto"/>
                <w:sz w:val="21"/>
              </w:rPr>
            </w:pPr>
            <w:r>
              <w:rPr>
                <w:rFonts w:hint="eastAsia"/>
                <w:color w:val="auto"/>
                <w:sz w:val="21"/>
              </w:rPr>
              <w:t>电气器具及线路绝缘电阻测试合格，才能通电试验。</w:t>
            </w:r>
          </w:p>
        </w:tc>
      </w:tr>
    </w:tbl>
    <w:p w14:paraId="217C87A4">
      <w:pPr>
        <w:rPr>
          <w:rFonts w:hint="eastAsia"/>
          <w:color w:val="auto"/>
        </w:rPr>
      </w:pPr>
      <w:r>
        <w:rPr>
          <w:rFonts w:hint="eastAsia"/>
          <w:color w:val="auto"/>
        </w:rPr>
        <w:t>地装置安装应按以下程序进行：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5"/>
        <w:gridCol w:w="6965"/>
      </w:tblGrid>
      <w:tr w14:paraId="2845B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56" w:type="pct"/>
            <w:tcBorders>
              <w:top w:val="single" w:color="auto" w:sz="4" w:space="0"/>
              <w:left w:val="single" w:color="auto" w:sz="4" w:space="0"/>
              <w:bottom w:val="single" w:color="auto" w:sz="4" w:space="0"/>
              <w:right w:val="single" w:color="auto" w:sz="4" w:space="0"/>
            </w:tcBorders>
            <w:vAlign w:val="center"/>
          </w:tcPr>
          <w:p w14:paraId="416C6C94">
            <w:pPr>
              <w:spacing w:line="240" w:lineRule="auto"/>
              <w:ind w:firstLine="0" w:firstLineChars="0"/>
              <w:jc w:val="center"/>
              <w:rPr>
                <w:rFonts w:hint="eastAsia"/>
                <w:color w:val="auto"/>
                <w:sz w:val="21"/>
              </w:rPr>
            </w:pPr>
            <w:r>
              <w:rPr>
                <w:rFonts w:hint="eastAsia"/>
                <w:color w:val="auto"/>
                <w:sz w:val="21"/>
              </w:rPr>
              <w:t>接地装置安装程序类型</w:t>
            </w:r>
          </w:p>
        </w:tc>
        <w:tc>
          <w:tcPr>
            <w:tcW w:w="3844" w:type="pct"/>
            <w:tcBorders>
              <w:top w:val="single" w:color="auto" w:sz="4" w:space="0"/>
              <w:left w:val="single" w:color="auto" w:sz="4" w:space="0"/>
              <w:bottom w:val="single" w:color="auto" w:sz="4" w:space="0"/>
              <w:right w:val="single" w:color="auto" w:sz="4" w:space="0"/>
            </w:tcBorders>
            <w:vAlign w:val="center"/>
          </w:tcPr>
          <w:p w14:paraId="778E46F9">
            <w:pPr>
              <w:spacing w:line="240" w:lineRule="auto"/>
              <w:ind w:firstLine="0" w:firstLineChars="0"/>
              <w:jc w:val="center"/>
              <w:rPr>
                <w:rFonts w:hint="eastAsia"/>
                <w:color w:val="auto"/>
                <w:sz w:val="21"/>
              </w:rPr>
            </w:pPr>
            <w:r>
              <w:rPr>
                <w:rFonts w:hint="eastAsia"/>
                <w:color w:val="auto"/>
                <w:sz w:val="21"/>
              </w:rPr>
              <w:t>内容</w:t>
            </w:r>
          </w:p>
        </w:tc>
      </w:tr>
      <w:tr w14:paraId="5A192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56" w:type="pct"/>
            <w:tcBorders>
              <w:top w:val="single" w:color="auto" w:sz="4" w:space="0"/>
              <w:left w:val="single" w:color="auto" w:sz="4" w:space="0"/>
              <w:bottom w:val="single" w:color="auto" w:sz="4" w:space="0"/>
              <w:right w:val="single" w:color="auto" w:sz="4" w:space="0"/>
            </w:tcBorders>
            <w:vAlign w:val="center"/>
          </w:tcPr>
          <w:p w14:paraId="1676ADBB">
            <w:pPr>
              <w:spacing w:line="240" w:lineRule="auto"/>
              <w:ind w:firstLine="0" w:firstLineChars="0"/>
              <w:jc w:val="center"/>
              <w:rPr>
                <w:rFonts w:hint="eastAsia"/>
                <w:color w:val="auto"/>
                <w:sz w:val="21"/>
              </w:rPr>
            </w:pPr>
            <w:r>
              <w:rPr>
                <w:rFonts w:hint="eastAsia"/>
                <w:color w:val="auto"/>
                <w:sz w:val="21"/>
              </w:rPr>
              <w:t>建筑物基础接地体</w:t>
            </w:r>
          </w:p>
        </w:tc>
        <w:tc>
          <w:tcPr>
            <w:tcW w:w="3844" w:type="pct"/>
            <w:tcBorders>
              <w:top w:val="single" w:color="auto" w:sz="4" w:space="0"/>
              <w:left w:val="single" w:color="auto" w:sz="4" w:space="0"/>
              <w:bottom w:val="single" w:color="auto" w:sz="4" w:space="0"/>
              <w:right w:val="single" w:color="auto" w:sz="4" w:space="0"/>
            </w:tcBorders>
            <w:vAlign w:val="center"/>
          </w:tcPr>
          <w:p w14:paraId="61F39E9F">
            <w:pPr>
              <w:spacing w:line="240" w:lineRule="auto"/>
              <w:ind w:firstLine="420"/>
              <w:rPr>
                <w:rFonts w:hint="eastAsia"/>
                <w:color w:val="auto"/>
                <w:sz w:val="21"/>
              </w:rPr>
            </w:pPr>
            <w:r>
              <w:rPr>
                <w:rFonts w:hint="eastAsia"/>
                <w:color w:val="auto"/>
                <w:sz w:val="21"/>
              </w:rPr>
              <w:t>底板钢筋敷设完成，按设计要求做接地施工，经检查确认，才能支模或浇捣混凝土。</w:t>
            </w:r>
          </w:p>
        </w:tc>
      </w:tr>
      <w:tr w14:paraId="2A20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56" w:type="pct"/>
            <w:tcBorders>
              <w:top w:val="single" w:color="auto" w:sz="4" w:space="0"/>
              <w:left w:val="single" w:color="auto" w:sz="4" w:space="0"/>
              <w:bottom w:val="single" w:color="auto" w:sz="4" w:space="0"/>
              <w:right w:val="single" w:color="auto" w:sz="4" w:space="0"/>
            </w:tcBorders>
            <w:vAlign w:val="center"/>
          </w:tcPr>
          <w:p w14:paraId="1156727F">
            <w:pPr>
              <w:spacing w:line="240" w:lineRule="auto"/>
              <w:ind w:firstLine="0" w:firstLineChars="0"/>
              <w:jc w:val="center"/>
              <w:rPr>
                <w:rFonts w:hint="eastAsia"/>
                <w:color w:val="auto"/>
                <w:sz w:val="21"/>
              </w:rPr>
            </w:pPr>
            <w:r>
              <w:rPr>
                <w:rFonts w:hint="eastAsia"/>
                <w:color w:val="auto"/>
                <w:sz w:val="21"/>
              </w:rPr>
              <w:t>人工接地</w:t>
            </w:r>
          </w:p>
        </w:tc>
        <w:tc>
          <w:tcPr>
            <w:tcW w:w="3844" w:type="pct"/>
            <w:tcBorders>
              <w:top w:val="single" w:color="auto" w:sz="4" w:space="0"/>
              <w:left w:val="single" w:color="auto" w:sz="4" w:space="0"/>
              <w:bottom w:val="single" w:color="auto" w:sz="4" w:space="0"/>
              <w:right w:val="single" w:color="auto" w:sz="4" w:space="0"/>
            </w:tcBorders>
            <w:vAlign w:val="center"/>
          </w:tcPr>
          <w:p w14:paraId="3C7330B4">
            <w:pPr>
              <w:spacing w:line="240" w:lineRule="auto"/>
              <w:ind w:firstLine="420"/>
              <w:rPr>
                <w:rFonts w:hint="eastAsia"/>
                <w:color w:val="auto"/>
                <w:sz w:val="21"/>
              </w:rPr>
            </w:pPr>
            <w:r>
              <w:rPr>
                <w:rFonts w:hint="eastAsia"/>
                <w:color w:val="auto"/>
                <w:sz w:val="21"/>
              </w:rPr>
              <w:t>按设计要求位置开挖沟槽，经检查确认，才能打入接地极和敷设地下接地干线。</w:t>
            </w:r>
          </w:p>
        </w:tc>
      </w:tr>
      <w:tr w14:paraId="5D94B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56" w:type="pct"/>
            <w:tcBorders>
              <w:top w:val="single" w:color="auto" w:sz="4" w:space="0"/>
              <w:left w:val="single" w:color="auto" w:sz="4" w:space="0"/>
              <w:bottom w:val="single" w:color="auto" w:sz="4" w:space="0"/>
              <w:right w:val="single" w:color="auto" w:sz="4" w:space="0"/>
            </w:tcBorders>
            <w:vAlign w:val="center"/>
          </w:tcPr>
          <w:p w14:paraId="30DA35F6">
            <w:pPr>
              <w:spacing w:line="240" w:lineRule="auto"/>
              <w:ind w:firstLine="0" w:firstLineChars="0"/>
              <w:jc w:val="center"/>
              <w:rPr>
                <w:rFonts w:hint="eastAsia"/>
                <w:color w:val="auto"/>
                <w:sz w:val="21"/>
              </w:rPr>
            </w:pPr>
            <w:r>
              <w:rPr>
                <w:rFonts w:hint="eastAsia"/>
                <w:color w:val="auto"/>
                <w:sz w:val="21"/>
              </w:rPr>
              <w:t>接地模块</w:t>
            </w:r>
          </w:p>
        </w:tc>
        <w:tc>
          <w:tcPr>
            <w:tcW w:w="3844" w:type="pct"/>
            <w:tcBorders>
              <w:top w:val="single" w:color="auto" w:sz="4" w:space="0"/>
              <w:left w:val="single" w:color="auto" w:sz="4" w:space="0"/>
              <w:bottom w:val="single" w:color="auto" w:sz="4" w:space="0"/>
              <w:right w:val="single" w:color="auto" w:sz="4" w:space="0"/>
            </w:tcBorders>
            <w:vAlign w:val="center"/>
          </w:tcPr>
          <w:p w14:paraId="3E54FDAD">
            <w:pPr>
              <w:spacing w:line="240" w:lineRule="auto"/>
              <w:ind w:firstLine="420"/>
              <w:rPr>
                <w:rFonts w:hint="eastAsia"/>
                <w:color w:val="auto"/>
                <w:sz w:val="21"/>
              </w:rPr>
            </w:pPr>
            <w:r>
              <w:rPr>
                <w:rFonts w:hint="eastAsia"/>
                <w:color w:val="auto"/>
                <w:sz w:val="21"/>
              </w:rPr>
              <w:t>按设计位置开挖模块坑，并将地下接地干线引到模块上，经检查确认，才能相互焊接。</w:t>
            </w:r>
          </w:p>
        </w:tc>
      </w:tr>
      <w:tr w14:paraId="308D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56" w:type="pct"/>
            <w:tcBorders>
              <w:top w:val="single" w:color="auto" w:sz="4" w:space="0"/>
              <w:left w:val="single" w:color="auto" w:sz="4" w:space="0"/>
              <w:bottom w:val="single" w:color="auto" w:sz="4" w:space="0"/>
              <w:right w:val="single" w:color="auto" w:sz="4" w:space="0"/>
            </w:tcBorders>
            <w:vAlign w:val="center"/>
          </w:tcPr>
          <w:p w14:paraId="2C69C182">
            <w:pPr>
              <w:spacing w:line="240" w:lineRule="auto"/>
              <w:ind w:firstLine="0" w:firstLineChars="0"/>
              <w:jc w:val="center"/>
              <w:rPr>
                <w:rFonts w:hint="eastAsia"/>
                <w:color w:val="auto"/>
                <w:sz w:val="21"/>
              </w:rPr>
            </w:pPr>
            <w:r>
              <w:rPr>
                <w:rFonts w:hint="eastAsia"/>
                <w:color w:val="auto"/>
                <w:sz w:val="21"/>
              </w:rPr>
              <w:t>装置隐蔽</w:t>
            </w:r>
          </w:p>
        </w:tc>
        <w:tc>
          <w:tcPr>
            <w:tcW w:w="3844" w:type="pct"/>
            <w:tcBorders>
              <w:top w:val="single" w:color="auto" w:sz="4" w:space="0"/>
              <w:left w:val="single" w:color="auto" w:sz="4" w:space="0"/>
              <w:bottom w:val="single" w:color="auto" w:sz="4" w:space="0"/>
              <w:right w:val="single" w:color="auto" w:sz="4" w:space="0"/>
            </w:tcBorders>
            <w:vAlign w:val="center"/>
          </w:tcPr>
          <w:p w14:paraId="70315B6F">
            <w:pPr>
              <w:spacing w:line="240" w:lineRule="auto"/>
              <w:ind w:firstLine="420"/>
              <w:rPr>
                <w:rFonts w:hint="eastAsia"/>
                <w:color w:val="auto"/>
                <w:sz w:val="21"/>
              </w:rPr>
            </w:pPr>
            <w:r>
              <w:rPr>
                <w:rFonts w:hint="eastAsia"/>
                <w:color w:val="auto"/>
                <w:sz w:val="21"/>
              </w:rPr>
              <w:t>检查验收合格，才能覆土回填。</w:t>
            </w:r>
          </w:p>
        </w:tc>
      </w:tr>
    </w:tbl>
    <w:p w14:paraId="467BBE3E">
      <w:pPr>
        <w:rPr>
          <w:rFonts w:hint="eastAsia"/>
          <w:color w:val="auto"/>
        </w:rPr>
      </w:pPr>
      <w:r>
        <w:rPr>
          <w:rFonts w:hint="eastAsia"/>
          <w:color w:val="auto"/>
        </w:rPr>
        <w:t>图纸会审和做好土建施工、电气安装施工协调工作是正确完成这道工序的关键。</w:t>
      </w:r>
    </w:p>
    <w:p w14:paraId="143E20B3">
      <w:pPr>
        <w:rPr>
          <w:rFonts w:hint="eastAsia"/>
          <w:color w:val="auto"/>
        </w:rPr>
      </w:pPr>
      <w:r>
        <w:rPr>
          <w:rFonts w:hint="eastAsia"/>
          <w:color w:val="auto"/>
        </w:rPr>
        <w:t>接地模块与干线焊接位置，要依据模块供货商提供的技术文件，在实施焊接时做一次核对，以检查有无特殊要求。</w:t>
      </w:r>
    </w:p>
    <w:p w14:paraId="2E793424">
      <w:pPr>
        <w:rPr>
          <w:rFonts w:hint="eastAsia"/>
          <w:color w:val="auto"/>
        </w:rPr>
      </w:pPr>
      <w:r>
        <w:rPr>
          <w:rFonts w:hint="eastAsia"/>
          <w:color w:val="auto"/>
        </w:rPr>
        <w:t>引下线安装应按以下程序进行：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402"/>
      </w:tblGrid>
      <w:tr w14:paraId="0533C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AD21CFF">
            <w:pPr>
              <w:spacing w:line="240" w:lineRule="auto"/>
              <w:ind w:firstLine="0" w:firstLineChars="0"/>
              <w:jc w:val="center"/>
              <w:rPr>
                <w:rFonts w:hint="eastAsia"/>
                <w:color w:val="auto"/>
                <w:sz w:val="21"/>
              </w:rPr>
            </w:pPr>
            <w:r>
              <w:rPr>
                <w:rFonts w:hint="eastAsia"/>
                <w:color w:val="auto"/>
                <w:sz w:val="21"/>
              </w:rPr>
              <w:t>步骤</w:t>
            </w:r>
          </w:p>
        </w:tc>
        <w:tc>
          <w:tcPr>
            <w:tcW w:w="4637" w:type="pct"/>
            <w:tcBorders>
              <w:top w:val="single" w:color="auto" w:sz="4" w:space="0"/>
              <w:left w:val="single" w:color="auto" w:sz="4" w:space="0"/>
              <w:bottom w:val="single" w:color="auto" w:sz="4" w:space="0"/>
              <w:right w:val="single" w:color="auto" w:sz="4" w:space="0"/>
            </w:tcBorders>
            <w:vAlign w:val="center"/>
          </w:tcPr>
          <w:p w14:paraId="69AF4D42">
            <w:pPr>
              <w:spacing w:line="240" w:lineRule="auto"/>
              <w:ind w:firstLine="0" w:firstLineChars="0"/>
              <w:jc w:val="center"/>
              <w:rPr>
                <w:rFonts w:hint="eastAsia"/>
                <w:color w:val="auto"/>
                <w:sz w:val="21"/>
              </w:rPr>
            </w:pPr>
            <w:r>
              <w:rPr>
                <w:rFonts w:hint="eastAsia"/>
                <w:color w:val="auto"/>
                <w:sz w:val="21"/>
              </w:rPr>
              <w:t>程序内容</w:t>
            </w:r>
          </w:p>
        </w:tc>
      </w:tr>
      <w:tr w14:paraId="7602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2EB6A20B">
            <w:pPr>
              <w:spacing w:line="240" w:lineRule="auto"/>
              <w:ind w:firstLine="0" w:firstLineChars="0"/>
              <w:jc w:val="center"/>
              <w:rPr>
                <w:rFonts w:hint="eastAsia"/>
                <w:color w:val="auto"/>
                <w:sz w:val="21"/>
              </w:rPr>
            </w:pPr>
            <w:r>
              <w:rPr>
                <w:rFonts w:hint="eastAsia"/>
                <w:color w:val="auto"/>
                <w:sz w:val="21"/>
              </w:rPr>
              <w:t>1</w:t>
            </w:r>
          </w:p>
        </w:tc>
        <w:tc>
          <w:tcPr>
            <w:tcW w:w="4637" w:type="pct"/>
            <w:tcBorders>
              <w:top w:val="single" w:color="auto" w:sz="4" w:space="0"/>
              <w:left w:val="single" w:color="auto" w:sz="4" w:space="0"/>
              <w:bottom w:val="single" w:color="auto" w:sz="4" w:space="0"/>
              <w:right w:val="single" w:color="auto" w:sz="4" w:space="0"/>
            </w:tcBorders>
            <w:vAlign w:val="center"/>
          </w:tcPr>
          <w:p w14:paraId="2F73514B">
            <w:pPr>
              <w:spacing w:line="240" w:lineRule="auto"/>
              <w:ind w:firstLine="420"/>
              <w:rPr>
                <w:rFonts w:hint="eastAsia"/>
                <w:color w:val="auto"/>
                <w:sz w:val="21"/>
              </w:rPr>
            </w:pPr>
            <w:r>
              <w:rPr>
                <w:rFonts w:hint="eastAsia"/>
                <w:color w:val="auto"/>
                <w:sz w:val="21"/>
              </w:rPr>
              <w:t>利用建筑物柱内主筋作引下线，在柱内主筋绑扎后，按设计要求施工，经检查确认，才能支模。</w:t>
            </w:r>
          </w:p>
        </w:tc>
      </w:tr>
      <w:tr w14:paraId="08C8B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5A07EC5C">
            <w:pPr>
              <w:spacing w:line="240" w:lineRule="auto"/>
              <w:ind w:firstLine="0" w:firstLineChars="0"/>
              <w:jc w:val="center"/>
              <w:rPr>
                <w:rFonts w:hint="eastAsia"/>
                <w:color w:val="auto"/>
                <w:sz w:val="21"/>
              </w:rPr>
            </w:pPr>
            <w:r>
              <w:rPr>
                <w:rFonts w:hint="eastAsia"/>
                <w:color w:val="auto"/>
                <w:sz w:val="21"/>
              </w:rPr>
              <w:t>2</w:t>
            </w:r>
          </w:p>
        </w:tc>
        <w:tc>
          <w:tcPr>
            <w:tcW w:w="4637" w:type="pct"/>
            <w:tcBorders>
              <w:top w:val="single" w:color="auto" w:sz="4" w:space="0"/>
              <w:left w:val="single" w:color="auto" w:sz="4" w:space="0"/>
              <w:bottom w:val="single" w:color="auto" w:sz="4" w:space="0"/>
              <w:right w:val="single" w:color="auto" w:sz="4" w:space="0"/>
            </w:tcBorders>
            <w:vAlign w:val="center"/>
          </w:tcPr>
          <w:p w14:paraId="7D0375BC">
            <w:pPr>
              <w:spacing w:line="240" w:lineRule="auto"/>
              <w:ind w:firstLine="420"/>
              <w:rPr>
                <w:rFonts w:hint="eastAsia"/>
                <w:color w:val="auto"/>
                <w:sz w:val="21"/>
              </w:rPr>
            </w:pPr>
            <w:r>
              <w:rPr>
                <w:rFonts w:hint="eastAsia"/>
                <w:color w:val="auto"/>
                <w:sz w:val="21"/>
              </w:rPr>
              <w:t>直接从基础接地体或人工接地体暗敷埋入粉刷层内的引下线，经检查确认不外露，才能贴面砖或刷涂料等。</w:t>
            </w:r>
          </w:p>
        </w:tc>
      </w:tr>
      <w:tr w14:paraId="7E523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174FE6D5">
            <w:pPr>
              <w:spacing w:line="240" w:lineRule="auto"/>
              <w:ind w:firstLine="0" w:firstLineChars="0"/>
              <w:jc w:val="center"/>
              <w:rPr>
                <w:rFonts w:hint="eastAsia"/>
                <w:color w:val="auto"/>
                <w:sz w:val="21"/>
              </w:rPr>
            </w:pPr>
            <w:r>
              <w:rPr>
                <w:rFonts w:hint="eastAsia"/>
                <w:color w:val="auto"/>
                <w:sz w:val="21"/>
              </w:rPr>
              <w:t>3</w:t>
            </w:r>
          </w:p>
        </w:tc>
        <w:tc>
          <w:tcPr>
            <w:tcW w:w="4637" w:type="pct"/>
            <w:tcBorders>
              <w:top w:val="single" w:color="auto" w:sz="4" w:space="0"/>
              <w:left w:val="single" w:color="auto" w:sz="4" w:space="0"/>
              <w:bottom w:val="single" w:color="auto" w:sz="4" w:space="0"/>
              <w:right w:val="single" w:color="auto" w:sz="4" w:space="0"/>
            </w:tcBorders>
            <w:vAlign w:val="center"/>
          </w:tcPr>
          <w:p w14:paraId="6F572C7A">
            <w:pPr>
              <w:spacing w:line="240" w:lineRule="auto"/>
              <w:ind w:firstLine="420"/>
              <w:rPr>
                <w:rFonts w:hint="eastAsia"/>
                <w:color w:val="auto"/>
                <w:sz w:val="21"/>
              </w:rPr>
            </w:pPr>
            <w:r>
              <w:rPr>
                <w:rFonts w:hint="eastAsia"/>
                <w:color w:val="auto"/>
                <w:sz w:val="21"/>
              </w:rPr>
              <w:t>直接从基础接地体或人工接地体引出明敷的引下线，先埋设或安装支架经检查确认，才能敷设引下线。</w:t>
            </w:r>
          </w:p>
        </w:tc>
      </w:tr>
    </w:tbl>
    <w:p w14:paraId="34696272">
      <w:pPr>
        <w:rPr>
          <w:rFonts w:hint="eastAsia"/>
          <w:color w:val="auto"/>
        </w:rPr>
      </w:pPr>
      <w:r>
        <w:rPr>
          <w:rFonts w:hint="eastAsia"/>
          <w:color w:val="auto"/>
        </w:rPr>
        <w:t>等电位联结应按以下程序进行：</w:t>
      </w:r>
    </w:p>
    <w:p w14:paraId="49F282CF">
      <w:pPr>
        <w:rPr>
          <w:rFonts w:hint="eastAsia"/>
          <w:color w:val="auto"/>
        </w:rPr>
      </w:pPr>
      <w:r>
        <w:rPr>
          <w:rFonts w:hint="eastAsia"/>
          <w:color w:val="auto"/>
        </w:rPr>
        <w:t>1、等电位联结要求</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7985"/>
      </w:tblGrid>
      <w:tr w14:paraId="5414C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77911F67">
            <w:pPr>
              <w:spacing w:line="240" w:lineRule="auto"/>
              <w:ind w:firstLine="0" w:firstLineChars="0"/>
              <w:jc w:val="center"/>
              <w:rPr>
                <w:rFonts w:hint="eastAsia"/>
                <w:color w:val="auto"/>
                <w:sz w:val="21"/>
              </w:rPr>
            </w:pPr>
            <w:r>
              <w:rPr>
                <w:rFonts w:hint="eastAsia"/>
                <w:color w:val="auto"/>
                <w:sz w:val="21"/>
              </w:rPr>
              <w:t>类型</w:t>
            </w:r>
          </w:p>
        </w:tc>
        <w:tc>
          <w:tcPr>
            <w:tcW w:w="4407" w:type="pct"/>
            <w:tcBorders>
              <w:top w:val="single" w:color="auto" w:sz="4" w:space="0"/>
              <w:left w:val="single" w:color="auto" w:sz="4" w:space="0"/>
              <w:bottom w:val="single" w:color="auto" w:sz="4" w:space="0"/>
              <w:right w:val="single" w:color="auto" w:sz="4" w:space="0"/>
            </w:tcBorders>
            <w:vAlign w:val="center"/>
          </w:tcPr>
          <w:p w14:paraId="156EBB51">
            <w:pPr>
              <w:spacing w:line="240" w:lineRule="auto"/>
              <w:ind w:firstLine="0" w:firstLineChars="0"/>
              <w:jc w:val="center"/>
              <w:rPr>
                <w:rFonts w:hint="eastAsia"/>
                <w:color w:val="auto"/>
                <w:sz w:val="21"/>
              </w:rPr>
            </w:pPr>
            <w:r>
              <w:rPr>
                <w:rFonts w:hint="eastAsia"/>
                <w:color w:val="auto"/>
                <w:sz w:val="21"/>
              </w:rPr>
              <w:t>内容</w:t>
            </w:r>
          </w:p>
        </w:tc>
      </w:tr>
      <w:tr w14:paraId="39200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3B2A09E7">
            <w:pPr>
              <w:spacing w:line="240" w:lineRule="auto"/>
              <w:ind w:firstLine="0" w:firstLineChars="0"/>
              <w:jc w:val="center"/>
              <w:rPr>
                <w:rFonts w:hint="eastAsia"/>
                <w:color w:val="auto"/>
                <w:sz w:val="21"/>
              </w:rPr>
            </w:pPr>
            <w:r>
              <w:rPr>
                <w:rFonts w:hint="eastAsia"/>
                <w:color w:val="auto"/>
                <w:sz w:val="21"/>
              </w:rPr>
              <w:t>总等电位联结</w:t>
            </w:r>
          </w:p>
        </w:tc>
        <w:tc>
          <w:tcPr>
            <w:tcW w:w="4407" w:type="pct"/>
            <w:tcBorders>
              <w:top w:val="single" w:color="auto" w:sz="4" w:space="0"/>
              <w:left w:val="single" w:color="auto" w:sz="4" w:space="0"/>
              <w:bottom w:val="single" w:color="auto" w:sz="4" w:space="0"/>
              <w:right w:val="single" w:color="auto" w:sz="4" w:space="0"/>
            </w:tcBorders>
            <w:vAlign w:val="center"/>
          </w:tcPr>
          <w:p w14:paraId="56CAB21E">
            <w:pPr>
              <w:spacing w:line="240" w:lineRule="auto"/>
              <w:ind w:firstLine="420"/>
              <w:rPr>
                <w:rFonts w:hint="eastAsia"/>
                <w:color w:val="auto"/>
                <w:sz w:val="21"/>
              </w:rPr>
            </w:pPr>
            <w:r>
              <w:rPr>
                <w:rFonts w:hint="eastAsia"/>
                <w:color w:val="auto"/>
                <w:sz w:val="21"/>
              </w:rPr>
              <w:t>对可作导电接地体的金属管道入户处和供总等电位联结的接地干线的位置检查确认，才能安装焊接总等电位联结端子扳，按设计要求做总等电位联结。</w:t>
            </w:r>
          </w:p>
        </w:tc>
      </w:tr>
      <w:tr w14:paraId="09D30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1C0D3EB9">
            <w:pPr>
              <w:spacing w:line="240" w:lineRule="auto"/>
              <w:ind w:firstLine="0" w:firstLineChars="0"/>
              <w:jc w:val="center"/>
              <w:rPr>
                <w:rFonts w:hint="eastAsia"/>
                <w:color w:val="auto"/>
                <w:sz w:val="21"/>
              </w:rPr>
            </w:pPr>
            <w:r>
              <w:rPr>
                <w:rFonts w:hint="eastAsia"/>
                <w:color w:val="auto"/>
                <w:sz w:val="21"/>
              </w:rPr>
              <w:t>辅助等电位联结</w:t>
            </w:r>
          </w:p>
        </w:tc>
        <w:tc>
          <w:tcPr>
            <w:tcW w:w="4407" w:type="pct"/>
            <w:tcBorders>
              <w:top w:val="single" w:color="auto" w:sz="4" w:space="0"/>
              <w:left w:val="single" w:color="auto" w:sz="4" w:space="0"/>
              <w:bottom w:val="single" w:color="auto" w:sz="4" w:space="0"/>
              <w:right w:val="single" w:color="auto" w:sz="4" w:space="0"/>
            </w:tcBorders>
            <w:vAlign w:val="center"/>
          </w:tcPr>
          <w:p w14:paraId="432BFE99">
            <w:pPr>
              <w:spacing w:line="240" w:lineRule="auto"/>
              <w:ind w:firstLine="420"/>
              <w:rPr>
                <w:rFonts w:hint="eastAsia"/>
                <w:color w:val="auto"/>
                <w:sz w:val="21"/>
              </w:rPr>
            </w:pPr>
            <w:r>
              <w:rPr>
                <w:rFonts w:hint="eastAsia"/>
                <w:color w:val="auto"/>
                <w:sz w:val="21"/>
              </w:rPr>
              <w:t>对供辅助等电位联结的接地母线位置检查确认，才能安装焊接辅助等电位联结端子板，按设计要求做辅助等电位联结。</w:t>
            </w:r>
          </w:p>
        </w:tc>
      </w:tr>
      <w:tr w14:paraId="591F9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93" w:type="pct"/>
            <w:tcBorders>
              <w:top w:val="single" w:color="auto" w:sz="4" w:space="0"/>
              <w:left w:val="single" w:color="auto" w:sz="4" w:space="0"/>
              <w:bottom w:val="single" w:color="auto" w:sz="4" w:space="0"/>
              <w:right w:val="single" w:color="auto" w:sz="4" w:space="0"/>
            </w:tcBorders>
            <w:vAlign w:val="center"/>
          </w:tcPr>
          <w:p w14:paraId="7ECE0FE3">
            <w:pPr>
              <w:spacing w:line="240" w:lineRule="auto"/>
              <w:ind w:firstLine="0" w:firstLineChars="0"/>
              <w:jc w:val="center"/>
              <w:rPr>
                <w:rFonts w:hint="eastAsia"/>
                <w:color w:val="auto"/>
                <w:sz w:val="21"/>
              </w:rPr>
            </w:pPr>
            <w:r>
              <w:rPr>
                <w:rFonts w:hint="eastAsia"/>
                <w:color w:val="auto"/>
                <w:sz w:val="21"/>
              </w:rPr>
              <w:t>其他</w:t>
            </w:r>
          </w:p>
        </w:tc>
        <w:tc>
          <w:tcPr>
            <w:tcW w:w="4407" w:type="pct"/>
            <w:tcBorders>
              <w:top w:val="single" w:color="auto" w:sz="4" w:space="0"/>
              <w:left w:val="single" w:color="auto" w:sz="4" w:space="0"/>
              <w:bottom w:val="single" w:color="auto" w:sz="4" w:space="0"/>
              <w:right w:val="single" w:color="auto" w:sz="4" w:space="0"/>
            </w:tcBorders>
            <w:vAlign w:val="center"/>
          </w:tcPr>
          <w:p w14:paraId="42448142">
            <w:pPr>
              <w:spacing w:line="240" w:lineRule="auto"/>
              <w:ind w:firstLine="420"/>
              <w:rPr>
                <w:rFonts w:hint="eastAsia"/>
                <w:color w:val="auto"/>
                <w:sz w:val="21"/>
              </w:rPr>
            </w:pPr>
            <w:r>
              <w:rPr>
                <w:rFonts w:hint="eastAsia"/>
                <w:color w:val="auto"/>
                <w:sz w:val="21"/>
              </w:rPr>
              <w:t>对特殊要求的建筑金属屏蔽网箱，网箱施工完成，经检查确认，才能与接地线连接。接闪器安装：接地装置和引下线应施工完成，才能安装接闪，且与引下线连接。防雷接地系统测试：接地装置施工完成测试应合格；避雷接闪器安装完成，整个防雷接地系统连成回路，才能系统测试。</w:t>
            </w:r>
          </w:p>
        </w:tc>
      </w:tr>
    </w:tbl>
    <w:p w14:paraId="2CBC9303">
      <w:pPr>
        <w:rPr>
          <w:rFonts w:hint="eastAsia"/>
          <w:color w:val="auto"/>
        </w:rPr>
      </w:pPr>
      <w:r>
        <w:rPr>
          <w:rFonts w:hint="eastAsia"/>
          <w:color w:val="auto"/>
        </w:rPr>
        <w:t>2、质量控制要点实施细则</w:t>
      </w:r>
    </w:p>
    <w:p w14:paraId="5960ADC9">
      <w:pPr>
        <w:rPr>
          <w:rFonts w:hint="eastAsia"/>
          <w:color w:val="auto"/>
        </w:rPr>
      </w:pPr>
      <w:r>
        <w:rPr>
          <w:rFonts w:hint="eastAsia"/>
          <w:color w:val="auto"/>
        </w:rPr>
        <w:t>电气工程质量控制要点实施细则如下：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8067"/>
      </w:tblGrid>
      <w:tr w14:paraId="085AF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6CF7CDBC">
            <w:pPr>
              <w:spacing w:line="240" w:lineRule="auto"/>
              <w:ind w:firstLine="0" w:firstLineChars="0"/>
              <w:jc w:val="center"/>
              <w:rPr>
                <w:rFonts w:hint="eastAsia"/>
                <w:color w:val="auto"/>
                <w:sz w:val="21"/>
              </w:rPr>
            </w:pPr>
            <w:r>
              <w:rPr>
                <w:rFonts w:hint="eastAsia"/>
                <w:color w:val="auto"/>
                <w:sz w:val="21"/>
              </w:rPr>
              <w:t>序号</w:t>
            </w:r>
          </w:p>
        </w:tc>
        <w:tc>
          <w:tcPr>
            <w:tcW w:w="4452" w:type="pct"/>
            <w:tcBorders>
              <w:top w:val="single" w:color="auto" w:sz="4" w:space="0"/>
              <w:left w:val="single" w:color="auto" w:sz="4" w:space="0"/>
              <w:bottom w:val="single" w:color="auto" w:sz="4" w:space="0"/>
              <w:right w:val="single" w:color="auto" w:sz="4" w:space="0"/>
            </w:tcBorders>
            <w:vAlign w:val="center"/>
          </w:tcPr>
          <w:p w14:paraId="799C9DB4">
            <w:pPr>
              <w:spacing w:line="240" w:lineRule="auto"/>
              <w:ind w:firstLine="0" w:firstLineChars="0"/>
              <w:jc w:val="center"/>
              <w:rPr>
                <w:rFonts w:hint="eastAsia"/>
                <w:color w:val="auto"/>
                <w:sz w:val="21"/>
              </w:rPr>
            </w:pPr>
            <w:r>
              <w:rPr>
                <w:rFonts w:hint="eastAsia"/>
                <w:color w:val="auto"/>
                <w:sz w:val="21"/>
              </w:rPr>
              <w:t>内容</w:t>
            </w:r>
          </w:p>
        </w:tc>
      </w:tr>
      <w:tr w14:paraId="20092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25E9D9B1">
            <w:pPr>
              <w:spacing w:line="240" w:lineRule="auto"/>
              <w:ind w:firstLine="0" w:firstLineChars="0"/>
              <w:jc w:val="center"/>
              <w:rPr>
                <w:rFonts w:hint="eastAsia"/>
                <w:color w:val="auto"/>
                <w:sz w:val="21"/>
              </w:rPr>
            </w:pPr>
            <w:r>
              <w:rPr>
                <w:rFonts w:hint="eastAsia"/>
                <w:color w:val="auto"/>
                <w:sz w:val="21"/>
              </w:rPr>
              <w:t>1</w:t>
            </w:r>
          </w:p>
        </w:tc>
        <w:tc>
          <w:tcPr>
            <w:tcW w:w="4452" w:type="pct"/>
            <w:tcBorders>
              <w:top w:val="single" w:color="auto" w:sz="4" w:space="0"/>
              <w:left w:val="single" w:color="auto" w:sz="4" w:space="0"/>
              <w:bottom w:val="single" w:color="auto" w:sz="4" w:space="0"/>
              <w:right w:val="single" w:color="auto" w:sz="4" w:space="0"/>
            </w:tcBorders>
            <w:vAlign w:val="center"/>
          </w:tcPr>
          <w:p w14:paraId="17512BC7">
            <w:pPr>
              <w:spacing w:line="240" w:lineRule="auto"/>
              <w:ind w:firstLine="420"/>
              <w:rPr>
                <w:rFonts w:hint="eastAsia"/>
                <w:color w:val="auto"/>
                <w:sz w:val="21"/>
              </w:rPr>
            </w:pPr>
            <w:r>
              <w:rPr>
                <w:rFonts w:hint="eastAsia"/>
                <w:color w:val="auto"/>
                <w:sz w:val="21"/>
              </w:rPr>
              <w:t>强电桥架安装阶段重点控制安装的接头接缝处的平正度，接地跨接符合规范线槽全长不少于两点与接地干线相接。</w:t>
            </w:r>
          </w:p>
        </w:tc>
      </w:tr>
      <w:tr w14:paraId="2FF90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1A4D25CF">
            <w:pPr>
              <w:spacing w:line="240" w:lineRule="auto"/>
              <w:ind w:firstLine="0" w:firstLineChars="0"/>
              <w:jc w:val="center"/>
              <w:rPr>
                <w:rFonts w:hint="eastAsia"/>
                <w:color w:val="auto"/>
                <w:sz w:val="21"/>
              </w:rPr>
            </w:pPr>
            <w:r>
              <w:rPr>
                <w:rFonts w:hint="eastAsia"/>
                <w:color w:val="auto"/>
                <w:sz w:val="21"/>
              </w:rPr>
              <w:t>2</w:t>
            </w:r>
          </w:p>
        </w:tc>
        <w:tc>
          <w:tcPr>
            <w:tcW w:w="4452" w:type="pct"/>
            <w:tcBorders>
              <w:top w:val="single" w:color="auto" w:sz="4" w:space="0"/>
              <w:left w:val="single" w:color="auto" w:sz="4" w:space="0"/>
              <w:bottom w:val="single" w:color="auto" w:sz="4" w:space="0"/>
              <w:right w:val="single" w:color="auto" w:sz="4" w:space="0"/>
            </w:tcBorders>
            <w:vAlign w:val="center"/>
          </w:tcPr>
          <w:p w14:paraId="1CB03BF6">
            <w:pPr>
              <w:spacing w:line="240" w:lineRule="auto"/>
              <w:ind w:firstLine="420"/>
              <w:rPr>
                <w:rFonts w:hint="eastAsia"/>
                <w:color w:val="auto"/>
                <w:sz w:val="21"/>
              </w:rPr>
            </w:pPr>
            <w:r>
              <w:rPr>
                <w:rFonts w:hint="eastAsia"/>
                <w:color w:val="auto"/>
                <w:sz w:val="21"/>
              </w:rPr>
              <w:t>电线、电缆敷设阶段检查线径、型号、规格必须满足图纸要求。电线的敷设在吊顶之前进行。</w:t>
            </w:r>
          </w:p>
        </w:tc>
      </w:tr>
      <w:tr w14:paraId="0258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7F19EC06">
            <w:pPr>
              <w:spacing w:line="240" w:lineRule="auto"/>
              <w:ind w:firstLine="0" w:firstLineChars="0"/>
              <w:jc w:val="center"/>
              <w:rPr>
                <w:rFonts w:hint="eastAsia"/>
                <w:color w:val="auto"/>
                <w:sz w:val="21"/>
              </w:rPr>
            </w:pPr>
            <w:r>
              <w:rPr>
                <w:rFonts w:hint="eastAsia"/>
                <w:color w:val="auto"/>
                <w:sz w:val="21"/>
              </w:rPr>
              <w:t>3</w:t>
            </w:r>
          </w:p>
        </w:tc>
        <w:tc>
          <w:tcPr>
            <w:tcW w:w="4452" w:type="pct"/>
            <w:tcBorders>
              <w:top w:val="single" w:color="auto" w:sz="4" w:space="0"/>
              <w:left w:val="single" w:color="auto" w:sz="4" w:space="0"/>
              <w:bottom w:val="single" w:color="auto" w:sz="4" w:space="0"/>
              <w:right w:val="single" w:color="auto" w:sz="4" w:space="0"/>
            </w:tcBorders>
            <w:vAlign w:val="center"/>
          </w:tcPr>
          <w:p w14:paraId="2080A575">
            <w:pPr>
              <w:spacing w:line="240" w:lineRule="auto"/>
              <w:ind w:firstLine="420"/>
              <w:rPr>
                <w:rFonts w:hint="eastAsia"/>
                <w:color w:val="auto"/>
                <w:sz w:val="21"/>
              </w:rPr>
            </w:pPr>
            <w:r>
              <w:rPr>
                <w:rFonts w:hint="eastAsia"/>
                <w:color w:val="auto"/>
                <w:sz w:val="21"/>
              </w:rPr>
              <w:t>成排成行的灯具，安装整齐。</w:t>
            </w:r>
          </w:p>
        </w:tc>
      </w:tr>
      <w:tr w14:paraId="27B0E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0D1B5B57">
            <w:pPr>
              <w:spacing w:line="240" w:lineRule="auto"/>
              <w:ind w:firstLine="0" w:firstLineChars="0"/>
              <w:jc w:val="center"/>
              <w:rPr>
                <w:rFonts w:hint="eastAsia"/>
                <w:color w:val="auto"/>
                <w:sz w:val="21"/>
              </w:rPr>
            </w:pPr>
            <w:r>
              <w:rPr>
                <w:rFonts w:hint="eastAsia"/>
                <w:color w:val="auto"/>
                <w:sz w:val="21"/>
              </w:rPr>
              <w:t>4</w:t>
            </w:r>
          </w:p>
        </w:tc>
        <w:tc>
          <w:tcPr>
            <w:tcW w:w="4452" w:type="pct"/>
            <w:tcBorders>
              <w:top w:val="single" w:color="auto" w:sz="4" w:space="0"/>
              <w:left w:val="single" w:color="auto" w:sz="4" w:space="0"/>
              <w:bottom w:val="single" w:color="auto" w:sz="4" w:space="0"/>
              <w:right w:val="single" w:color="auto" w:sz="4" w:space="0"/>
            </w:tcBorders>
            <w:vAlign w:val="center"/>
          </w:tcPr>
          <w:p w14:paraId="6D8BCFD4">
            <w:pPr>
              <w:spacing w:line="240" w:lineRule="auto"/>
              <w:ind w:firstLine="420"/>
              <w:rPr>
                <w:rFonts w:hint="eastAsia"/>
                <w:color w:val="auto"/>
                <w:sz w:val="21"/>
              </w:rPr>
            </w:pPr>
            <w:r>
              <w:rPr>
                <w:rFonts w:hint="eastAsia"/>
                <w:color w:val="auto"/>
                <w:sz w:val="21"/>
              </w:rPr>
              <w:t>开关安装位置便于操作，相同型号并列安装及同一室内开关安装高度一致，且控制有序不错位。暗装的开关、插座，紧贴墙面，四周无缝隙，安装牢固。</w:t>
            </w:r>
          </w:p>
        </w:tc>
      </w:tr>
    </w:tbl>
    <w:p w14:paraId="48211541">
      <w:pPr>
        <w:rPr>
          <w:rFonts w:hint="eastAsia"/>
          <w:color w:val="auto"/>
        </w:rPr>
      </w:pPr>
      <w:r>
        <w:rPr>
          <w:rFonts w:hint="eastAsia"/>
          <w:color w:val="auto"/>
        </w:rPr>
        <w:t>3、质量验收要求</w:t>
      </w:r>
    </w:p>
    <w:p w14:paraId="38394544">
      <w:pPr>
        <w:rPr>
          <w:rFonts w:hint="eastAsia"/>
          <w:color w:val="auto"/>
        </w:rPr>
      </w:pPr>
      <w:r>
        <w:rPr>
          <w:rFonts w:hint="eastAsia"/>
          <w:color w:val="auto"/>
        </w:rPr>
        <w:t>避雷引下线与变配电室接地干线敷设验收要求如下：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22B1E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82315B4">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45043F41">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4EFB888A">
            <w:pPr>
              <w:spacing w:line="240" w:lineRule="auto"/>
              <w:ind w:firstLine="0" w:firstLineChars="0"/>
              <w:jc w:val="center"/>
              <w:rPr>
                <w:rFonts w:hint="eastAsia"/>
                <w:color w:val="auto"/>
                <w:sz w:val="21"/>
              </w:rPr>
            </w:pPr>
            <w:r>
              <w:rPr>
                <w:rFonts w:hint="eastAsia"/>
                <w:color w:val="auto"/>
                <w:sz w:val="21"/>
              </w:rPr>
              <w:t>检查内容</w:t>
            </w:r>
          </w:p>
        </w:tc>
      </w:tr>
      <w:tr w14:paraId="53042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1EF11966">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226825FD">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10861CC6">
            <w:pPr>
              <w:spacing w:line="240" w:lineRule="auto"/>
              <w:ind w:firstLine="420"/>
              <w:rPr>
                <w:rFonts w:hint="eastAsia"/>
                <w:color w:val="auto"/>
                <w:sz w:val="21"/>
              </w:rPr>
            </w:pPr>
            <w:r>
              <w:rPr>
                <w:rFonts w:hint="eastAsia"/>
                <w:color w:val="auto"/>
                <w:sz w:val="21"/>
              </w:rPr>
              <w:t>暗敷在建筑物抹灰层内的引下线应有卡钉分段固定；明敷的引下线应平直、无急弯，与支架焊接处，油漆防腐，且无遗漏。</w:t>
            </w:r>
          </w:p>
          <w:p w14:paraId="040AA4CF">
            <w:pPr>
              <w:spacing w:line="240" w:lineRule="auto"/>
              <w:ind w:firstLine="420"/>
              <w:rPr>
                <w:rFonts w:hint="eastAsia"/>
                <w:color w:val="auto"/>
                <w:sz w:val="21"/>
              </w:rPr>
            </w:pPr>
            <w:r>
              <w:rPr>
                <w:rFonts w:hint="eastAsia"/>
                <w:color w:val="auto"/>
                <w:sz w:val="21"/>
              </w:rPr>
              <w:t>避雷引下线的敷设方式由施工设计选定，如埋入抹灰层内的引下线则应分段卡牢固定，且紧贴砌体表面，不能有过大的起伏，否则会影响抹灰施工，也不能保证应有的抹灰层厚度。避雷引下线允许焊接连接和专用支架固定，但焊接处要刷油漆防腐，如用专用卡具连接或固定，不破坏锌保护层则更好。</w:t>
            </w:r>
          </w:p>
          <w:p w14:paraId="27615A9D">
            <w:pPr>
              <w:spacing w:line="240" w:lineRule="auto"/>
              <w:ind w:firstLine="420"/>
              <w:rPr>
                <w:rFonts w:hint="eastAsia"/>
                <w:color w:val="auto"/>
                <w:sz w:val="21"/>
              </w:rPr>
            </w:pPr>
            <w:r>
              <w:rPr>
                <w:rFonts w:hint="eastAsia"/>
                <w:color w:val="auto"/>
                <w:sz w:val="21"/>
              </w:rPr>
              <w:t>变压器室、高低开关室内的接地干线应有不少于2处与接地装置引出干线连接。</w:t>
            </w:r>
          </w:p>
          <w:p w14:paraId="5CDE0277">
            <w:pPr>
              <w:spacing w:line="240" w:lineRule="auto"/>
              <w:ind w:firstLine="420"/>
              <w:rPr>
                <w:rFonts w:hint="eastAsia"/>
                <w:color w:val="auto"/>
                <w:sz w:val="21"/>
              </w:rPr>
            </w:pPr>
            <w:r>
              <w:rPr>
                <w:rFonts w:hint="eastAsia"/>
                <w:color w:val="auto"/>
                <w:sz w:val="21"/>
              </w:rPr>
              <w:t>为保证供电系统接地可靠和故障电流的流散畅通，故作此规定。</w:t>
            </w:r>
          </w:p>
          <w:p w14:paraId="4C11695E">
            <w:pPr>
              <w:spacing w:line="240" w:lineRule="auto"/>
              <w:ind w:firstLine="420"/>
              <w:rPr>
                <w:rFonts w:hint="eastAsia"/>
                <w:color w:val="auto"/>
                <w:sz w:val="21"/>
              </w:rPr>
            </w:pPr>
            <w:r>
              <w:rPr>
                <w:rFonts w:hint="eastAsia"/>
                <w:color w:val="auto"/>
                <w:sz w:val="21"/>
              </w:rPr>
              <w:t>当利用金属构件、金属管道做接地线时，应在构件或管道与接地干线间焊接金属跨接线。</w:t>
            </w:r>
          </w:p>
        </w:tc>
      </w:tr>
      <w:tr w14:paraId="7E93C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199FD91">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6BA199C3">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3194B1DF">
            <w:pPr>
              <w:spacing w:line="240" w:lineRule="auto"/>
              <w:ind w:firstLine="420"/>
              <w:rPr>
                <w:rFonts w:hint="eastAsia"/>
                <w:color w:val="auto"/>
                <w:sz w:val="21"/>
              </w:rPr>
            </w:pPr>
            <w:r>
              <w:rPr>
                <w:rFonts w:hint="eastAsia"/>
                <w:color w:val="auto"/>
                <w:sz w:val="21"/>
              </w:rPr>
              <w:t>明敷接地引下线及室内接地干线的支持件间距应均匀，水平直线部分0.5～1.5m；垂直直线部分1.5～3m；弯曲部分0.3～0.5m。</w:t>
            </w:r>
          </w:p>
          <w:p w14:paraId="30787E5F">
            <w:pPr>
              <w:spacing w:line="240" w:lineRule="auto"/>
              <w:ind w:firstLine="420"/>
              <w:rPr>
                <w:rFonts w:hint="eastAsia"/>
                <w:color w:val="auto"/>
                <w:sz w:val="21"/>
              </w:rPr>
            </w:pPr>
            <w:r>
              <w:rPr>
                <w:rFonts w:hint="eastAsia"/>
                <w:color w:val="auto"/>
                <w:sz w:val="21"/>
              </w:rPr>
              <w:t>明敷接地引下线的间距均匀是观感的需要，规定间距的数值是考虑受力和可靠，使线路能顺直；要注意同一条线路的间距均匀一致，可以在给定的数值范围选取一个定值。</w:t>
            </w:r>
          </w:p>
          <w:p w14:paraId="1994CB7F">
            <w:pPr>
              <w:spacing w:line="240" w:lineRule="auto"/>
              <w:ind w:firstLine="420"/>
              <w:rPr>
                <w:rFonts w:hint="eastAsia"/>
                <w:color w:val="auto"/>
                <w:sz w:val="21"/>
              </w:rPr>
            </w:pPr>
            <w:r>
              <w:rPr>
                <w:rFonts w:hint="eastAsia"/>
                <w:color w:val="auto"/>
                <w:sz w:val="21"/>
              </w:rPr>
              <w:t>接地线在穿越墙壁、楼板和地坪处应加套钢管或其他坚固的保护套管，钢套管应与接地线做电气连通。</w:t>
            </w:r>
          </w:p>
          <w:p w14:paraId="7C4F7776">
            <w:pPr>
              <w:spacing w:line="240" w:lineRule="auto"/>
              <w:ind w:firstLine="420"/>
              <w:rPr>
                <w:rFonts w:hint="eastAsia"/>
                <w:color w:val="auto"/>
                <w:sz w:val="21"/>
              </w:rPr>
            </w:pPr>
            <w:r>
              <w:rPr>
                <w:rFonts w:hint="eastAsia"/>
                <w:color w:val="auto"/>
                <w:sz w:val="21"/>
              </w:rPr>
              <w:t>保护管的作用是避免引下线受到意外冲击而损坏或脱落。钢保护管要与引下线做电气连通，可使雷电泄放电流以最小阻抗向接地装置泄放，不连通的钢管则如一个短路环一样，套在引下线外部，互抗存在，泄放电流受阻，引下线电压升高，易产生反击现象。</w:t>
            </w:r>
          </w:p>
          <w:p w14:paraId="0FA6F024">
            <w:pPr>
              <w:spacing w:line="240" w:lineRule="auto"/>
              <w:ind w:firstLine="420"/>
              <w:rPr>
                <w:rFonts w:hint="eastAsia"/>
                <w:color w:val="auto"/>
                <w:sz w:val="21"/>
              </w:rPr>
            </w:pPr>
            <w:r>
              <w:rPr>
                <w:rFonts w:hint="eastAsia"/>
                <w:color w:val="auto"/>
                <w:sz w:val="21"/>
              </w:rPr>
              <w:t>变配电室内明敷接地干线安装应符合下列规定：</w:t>
            </w:r>
          </w:p>
          <w:p w14:paraId="12575BBD">
            <w:pPr>
              <w:spacing w:line="240" w:lineRule="auto"/>
              <w:ind w:firstLine="420"/>
              <w:rPr>
                <w:rFonts w:hint="eastAsia"/>
                <w:color w:val="auto"/>
                <w:sz w:val="21"/>
              </w:rPr>
            </w:pPr>
            <w:r>
              <w:rPr>
                <w:rFonts w:hint="eastAsia"/>
                <w:color w:val="auto"/>
                <w:sz w:val="21"/>
              </w:rPr>
              <w:t>便于检查，敷设位置不妨碍设备的拆卸与检修；</w:t>
            </w:r>
          </w:p>
          <w:p w14:paraId="3C672027">
            <w:pPr>
              <w:spacing w:line="240" w:lineRule="auto"/>
              <w:ind w:firstLine="420"/>
              <w:rPr>
                <w:rFonts w:hint="eastAsia"/>
                <w:color w:val="auto"/>
                <w:sz w:val="21"/>
              </w:rPr>
            </w:pPr>
            <w:r>
              <w:rPr>
                <w:rFonts w:hint="eastAsia"/>
                <w:color w:val="auto"/>
                <w:sz w:val="21"/>
              </w:rPr>
              <w:t>当沿建筑物墙壁水平敷设时，距地面高度250～300mm；与建筑物墙壁间的间隙10～15mm；</w:t>
            </w:r>
          </w:p>
          <w:p w14:paraId="5B493E60">
            <w:pPr>
              <w:spacing w:line="240" w:lineRule="auto"/>
              <w:ind w:firstLine="420"/>
              <w:rPr>
                <w:rFonts w:hint="eastAsia"/>
                <w:color w:val="auto"/>
                <w:sz w:val="21"/>
              </w:rPr>
            </w:pPr>
            <w:r>
              <w:rPr>
                <w:rFonts w:hint="eastAsia"/>
                <w:color w:val="auto"/>
                <w:sz w:val="21"/>
              </w:rPr>
              <w:t>当接地线跨越建筑物变形缝时，设补偿装置；</w:t>
            </w:r>
          </w:p>
          <w:p w14:paraId="23EACA49">
            <w:pPr>
              <w:spacing w:line="240" w:lineRule="auto"/>
              <w:ind w:firstLine="420"/>
              <w:rPr>
                <w:rFonts w:hint="eastAsia"/>
                <w:color w:val="auto"/>
                <w:sz w:val="21"/>
              </w:rPr>
            </w:pPr>
            <w:r>
              <w:rPr>
                <w:rFonts w:hint="eastAsia"/>
                <w:color w:val="auto"/>
                <w:sz w:val="21"/>
              </w:rPr>
              <w:t>接地线表面沿长度方向，每段为15～100mm，分别涂以黄色和绿色相间的条纹；</w:t>
            </w:r>
          </w:p>
          <w:p w14:paraId="015F0B18">
            <w:pPr>
              <w:spacing w:line="240" w:lineRule="auto"/>
              <w:ind w:firstLine="420"/>
              <w:rPr>
                <w:rFonts w:hint="eastAsia"/>
                <w:color w:val="auto"/>
                <w:sz w:val="21"/>
              </w:rPr>
            </w:pPr>
            <w:r>
              <w:rPr>
                <w:rFonts w:hint="eastAsia"/>
                <w:color w:val="auto"/>
                <w:sz w:val="21"/>
              </w:rPr>
              <w:t>变压器室、高压配电室的接地干线上应设置不少于2个供临时接地用的接线柱或接地螺栓。</w:t>
            </w:r>
          </w:p>
          <w:p w14:paraId="36395084">
            <w:pPr>
              <w:spacing w:line="240" w:lineRule="auto"/>
              <w:ind w:firstLine="420"/>
              <w:rPr>
                <w:rFonts w:hint="eastAsia"/>
                <w:color w:val="auto"/>
                <w:sz w:val="21"/>
              </w:rPr>
            </w:pPr>
            <w:r>
              <w:rPr>
                <w:rFonts w:hint="eastAsia"/>
                <w:color w:val="auto"/>
                <w:sz w:val="21"/>
              </w:rPr>
              <w:t>当电缆穿过零序电流互感器时，电缆头的接地线应通过零序电流互感器后接地；由电缆头至穿过零序电流互感器的一段电缆金属护层和接地线应对地绝缘。</w:t>
            </w:r>
          </w:p>
          <w:p w14:paraId="4FD2A5A7">
            <w:pPr>
              <w:spacing w:line="240" w:lineRule="auto"/>
              <w:ind w:firstLine="420"/>
              <w:rPr>
                <w:rFonts w:hint="eastAsia"/>
                <w:color w:val="auto"/>
                <w:sz w:val="21"/>
              </w:rPr>
            </w:pPr>
            <w:r>
              <w:rPr>
                <w:rFonts w:hint="eastAsia"/>
                <w:color w:val="auto"/>
                <w:sz w:val="21"/>
              </w:rPr>
              <w:t>配电间隔和静止补偿装置的栅栏门及变配电室金属门铰链处的接地连接，应采用纺织铜线。变配电室的避雷应用最短的接地线与接地干线连接。</w:t>
            </w:r>
          </w:p>
          <w:p w14:paraId="5F29EAD5">
            <w:pPr>
              <w:spacing w:line="240" w:lineRule="auto"/>
              <w:ind w:firstLine="420"/>
              <w:rPr>
                <w:rFonts w:hint="eastAsia"/>
                <w:color w:val="auto"/>
                <w:sz w:val="21"/>
              </w:rPr>
            </w:pPr>
            <w:r>
              <w:rPr>
                <w:rFonts w:hint="eastAsia"/>
                <w:color w:val="auto"/>
                <w:sz w:val="21"/>
              </w:rPr>
              <w:t>设计要求接地的金属框架和建筑物的金属门窗，应就近与接地干线连接可靠，连接处不同金属间应有防电化腐蚀措施。</w:t>
            </w:r>
          </w:p>
          <w:p w14:paraId="6622CE2F">
            <w:pPr>
              <w:spacing w:line="240" w:lineRule="auto"/>
              <w:ind w:firstLine="420"/>
              <w:rPr>
                <w:rFonts w:hint="eastAsia"/>
                <w:color w:val="auto"/>
                <w:sz w:val="21"/>
              </w:rPr>
            </w:pPr>
            <w:r>
              <w:rPr>
                <w:rFonts w:hint="eastAsia"/>
                <w:color w:val="auto"/>
                <w:sz w:val="21"/>
              </w:rPr>
              <w:t>就近与接地干线连接可靠，连接处不同金属间应有防电化腐蚀措施。</w:t>
            </w:r>
          </w:p>
          <w:p w14:paraId="604CD4FD">
            <w:pPr>
              <w:spacing w:line="240" w:lineRule="auto"/>
              <w:ind w:firstLine="420"/>
              <w:rPr>
                <w:rFonts w:hint="eastAsia"/>
                <w:color w:val="auto"/>
                <w:sz w:val="21"/>
              </w:rPr>
            </w:pPr>
            <w:r>
              <w:rPr>
                <w:rFonts w:hint="eastAsia"/>
                <w:color w:val="auto"/>
                <w:sz w:val="21"/>
              </w:rPr>
              <w:t>就近与接地干线连接可靠，连接处不同金属间应有防电化腐蚀措施。</w:t>
            </w:r>
          </w:p>
        </w:tc>
      </w:tr>
    </w:tbl>
    <w:p w14:paraId="0660028E">
      <w:pPr>
        <w:rPr>
          <w:rFonts w:hint="eastAsia"/>
          <w:color w:val="auto"/>
        </w:rPr>
      </w:pPr>
      <w:r>
        <w:rPr>
          <w:rFonts w:hint="eastAsia"/>
          <w:color w:val="auto"/>
        </w:rPr>
        <w:t>（2）变压器、箱式变电所安装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5242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C4EB8CF">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6314B204">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2BFE34F9">
            <w:pPr>
              <w:spacing w:line="240" w:lineRule="auto"/>
              <w:ind w:firstLine="0" w:firstLineChars="0"/>
              <w:jc w:val="center"/>
              <w:rPr>
                <w:rFonts w:hint="eastAsia"/>
                <w:color w:val="auto"/>
                <w:sz w:val="21"/>
              </w:rPr>
            </w:pPr>
            <w:r>
              <w:rPr>
                <w:rFonts w:hint="eastAsia"/>
                <w:color w:val="auto"/>
                <w:sz w:val="21"/>
              </w:rPr>
              <w:t>检查内容</w:t>
            </w:r>
          </w:p>
        </w:tc>
      </w:tr>
      <w:tr w14:paraId="2F6BF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CD9A135">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740A6623">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4DFD3E88">
            <w:pPr>
              <w:spacing w:line="240" w:lineRule="auto"/>
              <w:ind w:firstLine="420"/>
              <w:rPr>
                <w:rFonts w:hint="eastAsia"/>
                <w:color w:val="auto"/>
                <w:sz w:val="21"/>
              </w:rPr>
            </w:pPr>
            <w:r>
              <w:rPr>
                <w:rFonts w:hint="eastAsia"/>
                <w:color w:val="auto"/>
                <w:sz w:val="21"/>
              </w:rPr>
              <w:t>变电所安装应位置正确，附件齐全，油浸变压器油位正常，无渗油现象。</w:t>
            </w:r>
          </w:p>
          <w:p w14:paraId="0754BDF4">
            <w:pPr>
              <w:spacing w:line="240" w:lineRule="auto"/>
              <w:ind w:firstLine="420"/>
              <w:rPr>
                <w:rFonts w:hint="eastAsia"/>
                <w:color w:val="auto"/>
                <w:sz w:val="21"/>
              </w:rPr>
            </w:pPr>
            <w:r>
              <w:rPr>
                <w:rFonts w:hint="eastAsia"/>
                <w:color w:val="auto"/>
                <w:sz w:val="21"/>
              </w:rPr>
              <w:t>接地装置引出的接地干线与变压器的低压侧中性点直接连接；接地干线与箱式变电所的N母线和PE母线直接连接；变压器箱体、干式变压器的支架或外壳应接地（PE）。所有连接应可靠，紧固件及防松零件齐全。</w:t>
            </w:r>
          </w:p>
          <w:p w14:paraId="5907E53F">
            <w:pPr>
              <w:spacing w:line="240" w:lineRule="auto"/>
              <w:ind w:firstLine="420"/>
              <w:rPr>
                <w:rFonts w:hint="eastAsia"/>
                <w:color w:val="auto"/>
                <w:sz w:val="21"/>
              </w:rPr>
            </w:pPr>
            <w:r>
              <w:rPr>
                <w:rFonts w:hint="eastAsia"/>
                <w:color w:val="auto"/>
                <w:sz w:val="21"/>
              </w:rPr>
              <w:t>说明：变压器的接地既有高压部分的保护接地，又有低压部分的工作接地；而低压供电系统在建筑电气工程中普通采用TN-S或TN-C-S系统，即不同形式的保护接零系统。且两者共用同一个接地装置，在变配电室要求接地装置从地下引出的接地干线，以最近的路径直接引至变压器壳体和变压器的零母线N（变压器的中性点）及低压供电系统的PE干线或PEN干线，中间尽量栓搭接处，决不允许经其他电气装置接地后，串联连接过来，以确保运行中人身和电气设备的安全。油浸变压器箱体、干式变压器的铁芯和金属件，以及有保护外壳的干式变压器金属箱体，均是电气装置中重要的经常为人接触的非带电可接近裸露导体，为了人身及动物和设备安全，其保护接地要十分可靠。</w:t>
            </w:r>
          </w:p>
          <w:p w14:paraId="1EF29727">
            <w:pPr>
              <w:spacing w:line="240" w:lineRule="auto"/>
              <w:ind w:firstLine="420"/>
              <w:rPr>
                <w:rFonts w:hint="eastAsia"/>
                <w:color w:val="auto"/>
                <w:sz w:val="21"/>
              </w:rPr>
            </w:pPr>
            <w:r>
              <w:rPr>
                <w:rFonts w:hint="eastAsia"/>
                <w:color w:val="auto"/>
                <w:sz w:val="21"/>
              </w:rPr>
              <w:t>变压器安装好后，必须经交接试验合格，并出具体报告后，才具备通电条件。交接试验的内容和要求，即合格的判定条件是依据现行国家标准《电气装置安装工程电气设备交接试验标准》GB50150-2016。</w:t>
            </w:r>
          </w:p>
          <w:p w14:paraId="5B9D70E8">
            <w:pPr>
              <w:spacing w:line="240" w:lineRule="auto"/>
              <w:ind w:firstLine="420"/>
              <w:rPr>
                <w:rFonts w:hint="eastAsia"/>
                <w:color w:val="auto"/>
                <w:sz w:val="21"/>
              </w:rPr>
            </w:pPr>
            <w:r>
              <w:rPr>
                <w:rFonts w:hint="eastAsia"/>
                <w:color w:val="auto"/>
                <w:sz w:val="21"/>
              </w:rPr>
              <w:t>箱式变电所及落地式配电箱的基础应高于室外地坪，周围排水通畅。用地脚螺栓固定的螺帽齐全，拧紧牢固；自由安放的应垫平放正。金属箱式变电所及落地式配电箱，箱体应接地（PE）或接零（PEN）可靠，且有标识。</w:t>
            </w:r>
          </w:p>
          <w:p w14:paraId="420167E5">
            <w:pPr>
              <w:spacing w:line="240" w:lineRule="auto"/>
              <w:ind w:firstLine="420"/>
              <w:rPr>
                <w:rFonts w:hint="eastAsia"/>
                <w:color w:val="auto"/>
                <w:sz w:val="21"/>
              </w:rPr>
            </w:pPr>
            <w:r>
              <w:rPr>
                <w:rFonts w:hint="eastAsia"/>
                <w:color w:val="auto"/>
                <w:sz w:val="21"/>
              </w:rPr>
              <w:t>说明：较好的防雨水和通风性能，但其底部不是全密闭的，故而要注意防积水入侵，其基础的高度及周围排水通道设置应在施工图上加以明确。因产品的固定形式有两种，所以分别加以描述。</w:t>
            </w:r>
          </w:p>
          <w:p w14:paraId="4AFBA072">
            <w:pPr>
              <w:spacing w:line="240" w:lineRule="auto"/>
              <w:ind w:firstLine="420"/>
              <w:rPr>
                <w:rFonts w:hint="eastAsia"/>
                <w:color w:val="auto"/>
                <w:sz w:val="21"/>
              </w:rPr>
            </w:pPr>
            <w:r>
              <w:rPr>
                <w:rFonts w:hint="eastAsia"/>
                <w:color w:val="auto"/>
                <w:sz w:val="21"/>
              </w:rPr>
              <w:t>箱式变电所的交接试验，必须符合下列规定：</w:t>
            </w:r>
          </w:p>
          <w:p w14:paraId="3247109A">
            <w:pPr>
              <w:spacing w:line="240" w:lineRule="auto"/>
              <w:ind w:firstLine="420"/>
              <w:rPr>
                <w:rFonts w:hint="eastAsia"/>
                <w:color w:val="auto"/>
                <w:sz w:val="21"/>
              </w:rPr>
            </w:pPr>
            <w:r>
              <w:rPr>
                <w:rFonts w:hint="eastAsia"/>
                <w:color w:val="auto"/>
                <w:sz w:val="21"/>
              </w:rPr>
              <w:t>由高压成套开关柜、低压成套开关柜和变压器三个独立单元组合成的箱式变电所高压电气设备部分。</w:t>
            </w:r>
          </w:p>
          <w:p w14:paraId="6B54BFF4">
            <w:pPr>
              <w:spacing w:line="240" w:lineRule="auto"/>
              <w:ind w:firstLine="420"/>
              <w:rPr>
                <w:rFonts w:hint="eastAsia"/>
                <w:color w:val="auto"/>
                <w:sz w:val="21"/>
              </w:rPr>
            </w:pPr>
            <w:r>
              <w:rPr>
                <w:rFonts w:hint="eastAsia"/>
                <w:color w:val="auto"/>
                <w:sz w:val="21"/>
              </w:rPr>
              <w:t>高压开关，熔断器等与变压器组合在同一个密闭油箱内的箱式变电所，交接试验按产品提供的技术文件要求执行；</w:t>
            </w:r>
          </w:p>
          <w:p w14:paraId="2D54F5F1">
            <w:pPr>
              <w:spacing w:line="240" w:lineRule="auto"/>
              <w:ind w:firstLine="420"/>
              <w:rPr>
                <w:rFonts w:hint="eastAsia"/>
                <w:color w:val="auto"/>
                <w:sz w:val="21"/>
              </w:rPr>
            </w:pPr>
            <w:r>
              <w:rPr>
                <w:rFonts w:hint="eastAsia"/>
                <w:color w:val="auto"/>
                <w:sz w:val="21"/>
              </w:rPr>
              <w:t>目前国内箱式变电所主要有两种产品，前者为高压柜、低压柜、变压器三个独立的单元组合而成，后者为引进技术生产的高压开关设备和变压器设在一个油箱内的箱式变电所。根据产品的技术要求不同，试验的内容和具体的规定也不一样。</w:t>
            </w:r>
          </w:p>
        </w:tc>
      </w:tr>
      <w:tr w14:paraId="1B37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B6CEE47">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7CFDEE62">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34AF2894">
            <w:pPr>
              <w:spacing w:line="240" w:lineRule="auto"/>
              <w:ind w:firstLine="420"/>
              <w:rPr>
                <w:rFonts w:hint="eastAsia"/>
                <w:color w:val="auto"/>
                <w:sz w:val="21"/>
              </w:rPr>
            </w:pPr>
            <w:r>
              <w:rPr>
                <w:rFonts w:hint="eastAsia"/>
                <w:color w:val="auto"/>
                <w:sz w:val="21"/>
              </w:rPr>
              <w:t>明敷接地引下线及室内接地干线的支持件间距应均匀，水平直线部分0.5～1.5m；垂直直线部分1.5～3m；弯曲部分0.3～0.5m。</w:t>
            </w:r>
          </w:p>
          <w:p w14:paraId="3EB47CB9">
            <w:pPr>
              <w:spacing w:line="240" w:lineRule="auto"/>
              <w:ind w:firstLine="420"/>
              <w:rPr>
                <w:rFonts w:hint="eastAsia"/>
                <w:color w:val="auto"/>
                <w:sz w:val="21"/>
              </w:rPr>
            </w:pPr>
            <w:r>
              <w:rPr>
                <w:rFonts w:hint="eastAsia"/>
                <w:color w:val="auto"/>
                <w:sz w:val="21"/>
              </w:rPr>
              <w:t>明敷接地引下线的间距均匀是观感的需要，规定间距的数值是考虑受力和可靠，使线路能顺直；要注意同一条线路的间距均匀一致，可以在给定的数值范围选取一个定值。</w:t>
            </w:r>
          </w:p>
          <w:p w14:paraId="2D219F92">
            <w:pPr>
              <w:spacing w:line="240" w:lineRule="auto"/>
              <w:ind w:firstLine="420"/>
              <w:rPr>
                <w:rFonts w:hint="eastAsia"/>
                <w:color w:val="auto"/>
                <w:sz w:val="21"/>
              </w:rPr>
            </w:pPr>
            <w:r>
              <w:rPr>
                <w:rFonts w:hint="eastAsia"/>
                <w:color w:val="auto"/>
                <w:sz w:val="21"/>
              </w:rPr>
              <w:t>有载调压开关的传动部分润滑应良好，动作灵活，点动给定位置与开关实际位置一致，自动调节符合产品的技术文件要求。</w:t>
            </w:r>
          </w:p>
          <w:p w14:paraId="7DF3801F">
            <w:pPr>
              <w:spacing w:line="240" w:lineRule="auto"/>
              <w:ind w:firstLine="420"/>
              <w:rPr>
                <w:rFonts w:hint="eastAsia"/>
                <w:color w:val="auto"/>
                <w:sz w:val="21"/>
              </w:rPr>
            </w:pPr>
            <w:r>
              <w:rPr>
                <w:rFonts w:hint="eastAsia"/>
                <w:color w:val="auto"/>
                <w:sz w:val="21"/>
              </w:rPr>
              <w:t>为提高供电质量，建筑电气工程经常采用有载调压变压器，而且是以自动调节的为主，通电前除应做电气交接试验外，还应对有载调压开关裸露在（油）箱外的机械传动部分做检查，要在点动试验符合要求后，才能切换到自动位置。自动切换调节的有载调压变压器，由于控制调整的元件不同，调整试验时，还应注意产品技术文件的特殊规定。</w:t>
            </w:r>
          </w:p>
          <w:p w14:paraId="01872E89">
            <w:pPr>
              <w:spacing w:line="240" w:lineRule="auto"/>
              <w:ind w:firstLine="420"/>
              <w:rPr>
                <w:rFonts w:hint="eastAsia"/>
                <w:color w:val="auto"/>
                <w:sz w:val="21"/>
              </w:rPr>
            </w:pPr>
            <w:r>
              <w:rPr>
                <w:rFonts w:hint="eastAsia"/>
                <w:color w:val="auto"/>
                <w:sz w:val="21"/>
              </w:rPr>
              <w:t>绝缘件应无裂纹、缺损和瓷件瓷釉损坏等缺陷，外表清洁，测温仪表表示准确。</w:t>
            </w:r>
          </w:p>
          <w:p w14:paraId="3A10E841">
            <w:pPr>
              <w:spacing w:line="240" w:lineRule="auto"/>
              <w:ind w:firstLine="420"/>
              <w:rPr>
                <w:rFonts w:hint="eastAsia"/>
                <w:color w:val="auto"/>
                <w:sz w:val="21"/>
              </w:rPr>
            </w:pPr>
            <w:r>
              <w:rPr>
                <w:rFonts w:hint="eastAsia"/>
                <w:color w:val="auto"/>
                <w:sz w:val="21"/>
              </w:rPr>
              <w:t>变压器就位后，要在其上部配装进出入母线和其他有关部件，往往由于工作不慎，在施工中会给变压器外部的绝缘器件损伤，所以交接试验和通电时会有电气故障发生。变压器的测温仪表在安装前应对其准确度进行检定，尤其是带讯号发送的更应这样做。</w:t>
            </w:r>
          </w:p>
          <w:p w14:paraId="35AADF14">
            <w:pPr>
              <w:spacing w:line="240" w:lineRule="auto"/>
              <w:ind w:firstLine="420"/>
              <w:rPr>
                <w:rFonts w:hint="eastAsia"/>
                <w:color w:val="auto"/>
                <w:sz w:val="21"/>
              </w:rPr>
            </w:pPr>
            <w:r>
              <w:rPr>
                <w:rFonts w:hint="eastAsia"/>
                <w:color w:val="auto"/>
                <w:sz w:val="21"/>
              </w:rPr>
              <w:t>装有滚轮的变压器就位后，应将滚轮用嫩拆卸的制动部件固定。</w:t>
            </w:r>
          </w:p>
          <w:p w14:paraId="773CE2EC">
            <w:pPr>
              <w:spacing w:line="240" w:lineRule="auto"/>
              <w:ind w:firstLine="420"/>
              <w:rPr>
                <w:rFonts w:hint="eastAsia"/>
                <w:color w:val="auto"/>
                <w:sz w:val="21"/>
              </w:rPr>
            </w:pPr>
            <w:r>
              <w:rPr>
                <w:rFonts w:hint="eastAsia"/>
                <w:color w:val="auto"/>
                <w:sz w:val="21"/>
              </w:rPr>
              <w:t>装有滚轮的变压器定位在钢制的轨道（滑道）上，就位找正纵横中心线后，即应按施工图纸装好制动装置，不拆卸滑轮，便于变压器日后退出吊芯和维修。但也有明显的缺点，就是轻度的地震或受到意外的冲力时，变压器很容易发生位移，导致器身和上部外接线损坏而造成电气安全事故，所以安装好制动装置是攸关着变压器的安全运行。</w:t>
            </w:r>
          </w:p>
          <w:p w14:paraId="75DA5DB5">
            <w:pPr>
              <w:spacing w:line="240" w:lineRule="auto"/>
              <w:ind w:firstLine="420"/>
              <w:rPr>
                <w:rFonts w:hint="eastAsia"/>
                <w:color w:val="auto"/>
                <w:sz w:val="21"/>
              </w:rPr>
            </w:pPr>
            <w:r>
              <w:rPr>
                <w:rFonts w:hint="eastAsia"/>
                <w:color w:val="auto"/>
                <w:sz w:val="21"/>
              </w:rPr>
              <w:t>变压器应按产品技术文件要求进行检查器身，当满足下列条件之一时，可不检查器身。</w:t>
            </w:r>
          </w:p>
          <w:p w14:paraId="5549F133">
            <w:pPr>
              <w:spacing w:line="240" w:lineRule="auto"/>
              <w:ind w:firstLine="420"/>
              <w:rPr>
                <w:rFonts w:hint="eastAsia"/>
                <w:color w:val="auto"/>
                <w:sz w:val="21"/>
              </w:rPr>
            </w:pPr>
            <w:r>
              <w:rPr>
                <w:rFonts w:hint="eastAsia"/>
                <w:color w:val="auto"/>
                <w:sz w:val="21"/>
              </w:rPr>
              <w:t>制造厂规定不检查器身者；</w:t>
            </w:r>
          </w:p>
          <w:p w14:paraId="10B70287">
            <w:pPr>
              <w:spacing w:line="240" w:lineRule="auto"/>
              <w:ind w:firstLine="420"/>
              <w:rPr>
                <w:rFonts w:hint="eastAsia"/>
                <w:color w:val="auto"/>
                <w:sz w:val="21"/>
              </w:rPr>
            </w:pPr>
            <w:r>
              <w:rPr>
                <w:rFonts w:hint="eastAsia"/>
                <w:color w:val="auto"/>
                <w:sz w:val="21"/>
              </w:rPr>
              <w:t>就地生产仅做短途运输的变压器，且在运输过程中有效监督，无紧急制动、剧烈振动、冲撞或严重颠簸等异常情况者。</w:t>
            </w:r>
          </w:p>
          <w:p w14:paraId="57E8B614">
            <w:pPr>
              <w:spacing w:line="240" w:lineRule="auto"/>
              <w:ind w:firstLine="420"/>
              <w:rPr>
                <w:rFonts w:hint="eastAsia"/>
                <w:color w:val="auto"/>
                <w:sz w:val="21"/>
              </w:rPr>
            </w:pPr>
            <w:r>
              <w:rPr>
                <w:rFonts w:hint="eastAsia"/>
                <w:color w:val="auto"/>
                <w:sz w:val="21"/>
              </w:rPr>
              <w:t>器身不做检查的条件是与《电气装置安装工程电力变压器、油浸电抗器、互感器施工及验收规范》的规定相一致的。从总体来看，变压器在施工现场不做器身检查是发展的趋势，除施工现场条件不如制造厂条件好这一因素外，在产品构造设计和质量管理及货运管理水平日益提高的情况下，器身检查发现的问题日益减少，有些引进的变压器等设备在技术文件中明确不准进行器身检查，是由供货方作出担保的。</w:t>
            </w:r>
          </w:p>
          <w:p w14:paraId="159E1095">
            <w:pPr>
              <w:spacing w:line="240" w:lineRule="auto"/>
              <w:ind w:firstLine="420"/>
              <w:rPr>
                <w:rFonts w:hint="eastAsia"/>
                <w:color w:val="auto"/>
                <w:sz w:val="21"/>
              </w:rPr>
            </w:pPr>
            <w:r>
              <w:rPr>
                <w:rFonts w:hint="eastAsia"/>
                <w:color w:val="auto"/>
                <w:sz w:val="21"/>
              </w:rPr>
              <w:t>箱式变电所内外涂层完整、无损伤，有通风口的风口防护网完好。</w:t>
            </w:r>
          </w:p>
          <w:p w14:paraId="6BEEEC82">
            <w:pPr>
              <w:spacing w:line="240" w:lineRule="auto"/>
              <w:ind w:firstLine="420"/>
              <w:rPr>
                <w:rFonts w:hint="eastAsia"/>
                <w:color w:val="auto"/>
                <w:sz w:val="21"/>
              </w:rPr>
            </w:pPr>
            <w:r>
              <w:rPr>
                <w:rFonts w:hint="eastAsia"/>
                <w:color w:val="auto"/>
                <w:sz w:val="21"/>
              </w:rPr>
              <w:t>箱式变电所的高低压柜内部接线完整、低压每个输出回路标记清晰，回路名称准确。</w:t>
            </w:r>
          </w:p>
          <w:p w14:paraId="47F422E6">
            <w:pPr>
              <w:spacing w:line="240" w:lineRule="auto"/>
              <w:ind w:firstLine="420"/>
              <w:rPr>
                <w:rFonts w:hint="eastAsia"/>
                <w:color w:val="auto"/>
                <w:sz w:val="21"/>
              </w:rPr>
            </w:pPr>
            <w:r>
              <w:rPr>
                <w:rFonts w:hint="eastAsia"/>
                <w:color w:val="auto"/>
                <w:sz w:val="21"/>
              </w:rPr>
              <w:t>装有气体继电器的变压器顶盖，沿气体继电器的气流方向有1.0%～1.5%的升高坡度。</w:t>
            </w:r>
          </w:p>
          <w:p w14:paraId="7BEBAC24">
            <w:pPr>
              <w:spacing w:line="240" w:lineRule="auto"/>
              <w:ind w:firstLine="420"/>
              <w:rPr>
                <w:rFonts w:hint="eastAsia"/>
                <w:color w:val="auto"/>
                <w:sz w:val="21"/>
              </w:rPr>
            </w:pPr>
            <w:r>
              <w:rPr>
                <w:rFonts w:hint="eastAsia"/>
                <w:color w:val="auto"/>
                <w:sz w:val="21"/>
              </w:rPr>
              <w:t>说明：气体继电器是油浸变压器保护继电器之一，装在变压器箱体与油枕的连通管水平段中间。当变压器过载或局部故障时，使线圈有机绝缘或变压器油发生气化，升至箱体顶部，为有利气体流向气体继电器发出报警信号，并使气体经油枕泄放，因而要有规定的升高坡度，决不允许倒置。安装无气体继电器的小型油浸变压器，为了同样的理由，使各种原因产生的气体方便经油枕、呼吸器泄放，有升高坡度，是合理的。</w:t>
            </w:r>
          </w:p>
        </w:tc>
      </w:tr>
    </w:tbl>
    <w:p w14:paraId="4782D315">
      <w:pPr>
        <w:rPr>
          <w:rFonts w:hint="eastAsia"/>
          <w:color w:val="auto"/>
        </w:rPr>
      </w:pPr>
      <w:r>
        <w:rPr>
          <w:rFonts w:hint="eastAsia"/>
          <w:color w:val="auto"/>
        </w:rPr>
        <w:t>（3）成套配电柜、控制柜（屏、台）和动力、照明配电箱（盘）安装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17616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0E89E9B">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771948D7">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200C6A94">
            <w:pPr>
              <w:spacing w:line="240" w:lineRule="auto"/>
              <w:ind w:firstLine="0" w:firstLineChars="0"/>
              <w:jc w:val="center"/>
              <w:rPr>
                <w:rFonts w:hint="eastAsia"/>
                <w:color w:val="auto"/>
                <w:sz w:val="21"/>
              </w:rPr>
            </w:pPr>
            <w:r>
              <w:rPr>
                <w:rFonts w:hint="eastAsia"/>
                <w:color w:val="auto"/>
                <w:sz w:val="21"/>
              </w:rPr>
              <w:t>检查内容</w:t>
            </w:r>
          </w:p>
        </w:tc>
      </w:tr>
      <w:tr w14:paraId="46FF0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E00D502">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50F87415">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668A38F8">
            <w:pPr>
              <w:spacing w:line="240" w:lineRule="auto"/>
              <w:ind w:firstLine="420"/>
              <w:rPr>
                <w:rFonts w:hint="eastAsia"/>
                <w:color w:val="auto"/>
                <w:sz w:val="21"/>
              </w:rPr>
            </w:pPr>
            <w:r>
              <w:rPr>
                <w:rFonts w:hint="eastAsia"/>
                <w:color w:val="auto"/>
                <w:sz w:val="21"/>
              </w:rPr>
              <w:t>柜、屏、台、箱、盘的金属框架及基础型钢必须接地（PE）或接零（PEN）可靠；装有电器的可开门，门和框架的接地端子间应用裸编织铜线连接，且有标识。</w:t>
            </w:r>
          </w:p>
          <w:p w14:paraId="5FB87F26">
            <w:pPr>
              <w:spacing w:line="240" w:lineRule="auto"/>
              <w:ind w:firstLine="420"/>
              <w:rPr>
                <w:rFonts w:hint="eastAsia"/>
                <w:color w:val="auto"/>
                <w:sz w:val="21"/>
              </w:rPr>
            </w:pPr>
            <w:r>
              <w:rPr>
                <w:rFonts w:hint="eastAsia"/>
                <w:color w:val="auto"/>
                <w:sz w:val="21"/>
              </w:rPr>
              <w:t>说明：对高压柜而言是保护接地。对低压柜而言是接零，因低压供电系统布线或制式不同，有TN-C、TN-C-S、TN-S不同的系统，而将保护地线分别称为PE线和PEN线。显然，在正常情况下PE线内无电流流通，其电位与接地装置的电位相同；而PEN线内当三相供电不平衡时，有电流流通，各点的电位也不相同，靠近接地装置端最低，与接地干线引出端的电位相同。设计时对此已作了充分考虑，对接地电阻值、PE线和PEN线的大小规格、是否要重复接地、继电保护设置等做出选择安排，而施工时要保证各接地连接可靠，正常情况下不松动，且标识明显，使人身、设备在通电运行中确保安全。施工操作虽工艺简单，但施工质量是至关重要的。</w:t>
            </w:r>
          </w:p>
          <w:p w14:paraId="43F2B4B7">
            <w:pPr>
              <w:spacing w:line="240" w:lineRule="auto"/>
              <w:ind w:firstLine="420"/>
              <w:rPr>
                <w:rFonts w:hint="eastAsia"/>
                <w:color w:val="auto"/>
                <w:sz w:val="21"/>
              </w:rPr>
            </w:pPr>
            <w:r>
              <w:rPr>
                <w:rFonts w:hint="eastAsia"/>
                <w:color w:val="auto"/>
                <w:sz w:val="21"/>
              </w:rPr>
              <w:t>手车、抽出式成套配电柜推拉应灵活，无卡阻碰撞现象。动触头与静触头的中心线应一致，且触头接触紧密，投入时，接地触头先于主触头接触；退出时，接地触头后于主触头脱开。</w:t>
            </w:r>
          </w:p>
          <w:p w14:paraId="510B9723">
            <w:pPr>
              <w:spacing w:line="240" w:lineRule="auto"/>
              <w:ind w:firstLine="420"/>
              <w:rPr>
                <w:rFonts w:hint="eastAsia"/>
                <w:color w:val="auto"/>
                <w:sz w:val="21"/>
              </w:rPr>
            </w:pPr>
            <w:r>
              <w:rPr>
                <w:rFonts w:hint="eastAsia"/>
                <w:color w:val="auto"/>
                <w:sz w:val="21"/>
              </w:rPr>
              <w:t>高压成套配电柜必须按规范规定交接试验合格，且应符合下列规定：</w:t>
            </w:r>
          </w:p>
          <w:p w14:paraId="44B1FE92">
            <w:pPr>
              <w:spacing w:line="240" w:lineRule="auto"/>
              <w:ind w:firstLine="420"/>
              <w:rPr>
                <w:rFonts w:hint="eastAsia"/>
                <w:color w:val="auto"/>
                <w:sz w:val="21"/>
              </w:rPr>
            </w:pPr>
            <w:r>
              <w:rPr>
                <w:rFonts w:hint="eastAsia"/>
                <w:color w:val="auto"/>
                <w:sz w:val="21"/>
              </w:rPr>
              <w:t>继电保护元器件、逻辑元件、变送器和控制用计算机等单体校验合格，整组试验动作正确，整定参数符合设计要求；</w:t>
            </w:r>
          </w:p>
          <w:p w14:paraId="7B7FED3E">
            <w:pPr>
              <w:spacing w:line="240" w:lineRule="auto"/>
              <w:ind w:firstLine="420"/>
              <w:rPr>
                <w:rFonts w:hint="eastAsia"/>
                <w:color w:val="auto"/>
                <w:sz w:val="21"/>
              </w:rPr>
            </w:pPr>
            <w:r>
              <w:rPr>
                <w:rFonts w:hint="eastAsia"/>
                <w:color w:val="auto"/>
                <w:sz w:val="21"/>
              </w:rPr>
              <w:t>凡经法定程序批准，进入市场投入使用的新高压电气设备货物继电保护装置，按产品技术文件要求交接试验。</w:t>
            </w:r>
          </w:p>
          <w:p w14:paraId="75BD6B4A">
            <w:pPr>
              <w:spacing w:line="240" w:lineRule="auto"/>
              <w:ind w:firstLine="420"/>
              <w:rPr>
                <w:rFonts w:hint="eastAsia"/>
                <w:color w:val="auto"/>
                <w:sz w:val="21"/>
              </w:rPr>
            </w:pPr>
            <w:r>
              <w:rPr>
                <w:rFonts w:hint="eastAsia"/>
                <w:color w:val="auto"/>
                <w:sz w:val="21"/>
              </w:rPr>
              <w:t>高压配电柜内的电气设备，要经电气交接试验，并由试验室出具试验报告，判定符合要求后，才能通电试运行。</w:t>
            </w:r>
          </w:p>
          <w:p w14:paraId="7EC9FB2D">
            <w:pPr>
              <w:spacing w:line="240" w:lineRule="auto"/>
              <w:ind w:firstLine="420"/>
              <w:rPr>
                <w:rFonts w:hint="eastAsia"/>
                <w:color w:val="auto"/>
                <w:sz w:val="21"/>
              </w:rPr>
            </w:pPr>
            <w:r>
              <w:rPr>
                <w:rFonts w:hint="eastAsia"/>
                <w:color w:val="auto"/>
                <w:sz w:val="21"/>
              </w:rPr>
              <w:t>控制回路的校验、试验与控制回路中的元器件的规格型号有关，整组试验的有关参数通常由设计单位给定，并得到当地供电单位的确认，目的是既保证建筑电气工程本身的稳定可靠运行，又不影响整个供电电网的安全。由于技术进步和创新，高压配电柜内的主回路和二次回路的元器件必然会相继涌现新的产品，因而其试验要求还来不及纳入规范而已在较大范围内推广应用，所以要按新产品提供的技术要求进行试验。</w:t>
            </w:r>
          </w:p>
          <w:p w14:paraId="25B5F2F2">
            <w:pPr>
              <w:spacing w:line="240" w:lineRule="auto"/>
              <w:ind w:firstLine="420"/>
              <w:rPr>
                <w:rFonts w:hint="eastAsia"/>
                <w:color w:val="auto"/>
                <w:sz w:val="21"/>
              </w:rPr>
            </w:pPr>
            <w:r>
              <w:rPr>
                <w:rFonts w:hint="eastAsia"/>
                <w:color w:val="auto"/>
                <w:sz w:val="21"/>
              </w:rPr>
              <w:t>柜、屏、台、箱、盘间线路的线间和线对地间绝缘电阻值，馈电线路必须大于0.5MΩ；二次回路必须大于1MΩ。</w:t>
            </w:r>
          </w:p>
          <w:p w14:paraId="503602A8">
            <w:pPr>
              <w:spacing w:line="240" w:lineRule="auto"/>
              <w:ind w:firstLine="420"/>
              <w:rPr>
                <w:rFonts w:hint="eastAsia"/>
                <w:color w:val="auto"/>
                <w:sz w:val="21"/>
              </w:rPr>
            </w:pPr>
            <w:r>
              <w:rPr>
                <w:rFonts w:hint="eastAsia"/>
                <w:color w:val="auto"/>
                <w:sz w:val="21"/>
              </w:rPr>
              <w:t>柜、屏、台、箱、盘间二次回路交流工频耐压试验，当绝缘电阻值大于10MΩ时，用2500V兆欧表摇测1min，应无闪络击穿现象；当绝缘电阻值在1～10MΩ时，做1000V交流工频耐压试验，时间1min，应无闪络击穿现象。</w:t>
            </w:r>
          </w:p>
          <w:p w14:paraId="4310D194">
            <w:pPr>
              <w:spacing w:line="240" w:lineRule="auto"/>
              <w:ind w:firstLine="420"/>
              <w:rPr>
                <w:rFonts w:hint="eastAsia"/>
                <w:color w:val="auto"/>
                <w:sz w:val="21"/>
              </w:rPr>
            </w:pPr>
            <w:r>
              <w:rPr>
                <w:rFonts w:hint="eastAsia"/>
                <w:color w:val="auto"/>
                <w:sz w:val="21"/>
              </w:rPr>
              <w:t>说明：试验的要求和规定与现行国家标准《电气装置安装工程电气设备交接试验标准》GB50150-2016的规定一致。</w:t>
            </w:r>
          </w:p>
          <w:p w14:paraId="7744FFD7">
            <w:pPr>
              <w:spacing w:line="240" w:lineRule="auto"/>
              <w:ind w:firstLine="420"/>
              <w:rPr>
                <w:rFonts w:hint="eastAsia"/>
                <w:color w:val="auto"/>
                <w:sz w:val="21"/>
              </w:rPr>
            </w:pPr>
            <w:r>
              <w:rPr>
                <w:rFonts w:hint="eastAsia"/>
                <w:color w:val="auto"/>
                <w:sz w:val="21"/>
              </w:rPr>
              <w:t>直流屏试验应将屏内电子器件从线路上退出，检测主回路线间和线对地间绝缘电阻值应大于0.5MΩ，直流屏所附蓄电池组的充、放电应符合产品技术文件要求；整流器的控制调整和输出特性试验应符合产品技术文件要求。</w:t>
            </w:r>
          </w:p>
          <w:p w14:paraId="2D17DC95">
            <w:pPr>
              <w:spacing w:line="240" w:lineRule="auto"/>
              <w:ind w:firstLine="420"/>
              <w:rPr>
                <w:rFonts w:hint="eastAsia"/>
                <w:color w:val="auto"/>
                <w:sz w:val="21"/>
              </w:rPr>
            </w:pPr>
            <w:r>
              <w:rPr>
                <w:rFonts w:hint="eastAsia"/>
                <w:color w:val="auto"/>
                <w:sz w:val="21"/>
              </w:rPr>
              <w:t>直流屏柜是指蓄电池的充电整流装置、直流电配电开关和蓄电池组合在一起的成套柜，即交流电源送入、直流电源分路送出的成套柜，其投入运行前应按产品技术文件要求做相关试验和操作，并对其主回路的绝缘电阻进行检测。</w:t>
            </w:r>
          </w:p>
          <w:p w14:paraId="0776152D">
            <w:pPr>
              <w:spacing w:line="240" w:lineRule="auto"/>
              <w:ind w:firstLine="420"/>
              <w:rPr>
                <w:rFonts w:hint="eastAsia"/>
                <w:color w:val="auto"/>
                <w:sz w:val="21"/>
              </w:rPr>
            </w:pPr>
            <w:r>
              <w:rPr>
                <w:rFonts w:hint="eastAsia"/>
                <w:color w:val="auto"/>
                <w:sz w:val="21"/>
              </w:rPr>
              <w:t>照明配电箱（盘）安装应符合下列规定：</w:t>
            </w:r>
          </w:p>
          <w:p w14:paraId="5817190B">
            <w:pPr>
              <w:spacing w:line="240" w:lineRule="auto"/>
              <w:ind w:firstLine="420"/>
              <w:rPr>
                <w:rFonts w:hint="eastAsia"/>
                <w:color w:val="auto"/>
                <w:sz w:val="21"/>
              </w:rPr>
            </w:pPr>
            <w:r>
              <w:rPr>
                <w:rFonts w:hint="eastAsia"/>
                <w:color w:val="auto"/>
                <w:sz w:val="21"/>
              </w:rPr>
              <w:t>箱（盘）内配线整齐，无绞接现象。导线连接紧密，不伤芯线，不断股。垫圈下螺丝两侧压的导线截面积相同，同一端子上端子上导线连接不多于2根，防松垫圈等零件齐全；</w:t>
            </w:r>
          </w:p>
          <w:p w14:paraId="09288F98">
            <w:pPr>
              <w:spacing w:line="240" w:lineRule="auto"/>
              <w:ind w:firstLine="420"/>
              <w:rPr>
                <w:rFonts w:hint="eastAsia"/>
                <w:color w:val="auto"/>
                <w:sz w:val="21"/>
              </w:rPr>
            </w:pPr>
            <w:r>
              <w:rPr>
                <w:rFonts w:hint="eastAsia"/>
                <w:color w:val="auto"/>
                <w:sz w:val="21"/>
              </w:rPr>
              <w:t>箱（盘）内开关动作灵活可靠，带有漏电保护的回路，漏电保护装置动作电流不大于30mA，动作时间不大于0.1s。</w:t>
            </w:r>
          </w:p>
          <w:p w14:paraId="74197077">
            <w:pPr>
              <w:spacing w:line="240" w:lineRule="auto"/>
              <w:ind w:firstLine="420"/>
              <w:rPr>
                <w:rFonts w:hint="eastAsia"/>
                <w:color w:val="auto"/>
                <w:sz w:val="21"/>
              </w:rPr>
            </w:pPr>
            <w:r>
              <w:rPr>
                <w:rFonts w:hint="eastAsia"/>
                <w:color w:val="auto"/>
                <w:sz w:val="21"/>
              </w:rPr>
              <w:t>照明箱（盘）内，分别设置零线（N）和保护地线（PE线）汇流排，零线和保护地线经汇流排配出。</w:t>
            </w:r>
          </w:p>
          <w:p w14:paraId="0EFC728E">
            <w:pPr>
              <w:spacing w:line="240" w:lineRule="auto"/>
              <w:ind w:firstLine="420"/>
              <w:rPr>
                <w:rFonts w:hint="eastAsia"/>
                <w:color w:val="auto"/>
                <w:sz w:val="21"/>
              </w:rPr>
            </w:pPr>
            <w:r>
              <w:rPr>
                <w:rFonts w:hint="eastAsia"/>
                <w:color w:val="auto"/>
                <w:sz w:val="21"/>
              </w:rPr>
              <w:t>每个接线端子上的电线连接不超过2根，是为了连接紧密，不因通电后由于冷热交替等时间因素而过早在检修期内发生松动，同时出考虑到方便检修，不使因检修而扩大停电范围。同一垫圈下的螺丝两侧压的电线截面积和线径均应一致，实际上这是一个结构是否合理的问题，如不一致，螺丝既受拉力，又受弯距，使电线芯线必然一根压紧、另一根稍差，对导电不利。</w:t>
            </w:r>
          </w:p>
          <w:p w14:paraId="05C365AA">
            <w:pPr>
              <w:spacing w:line="240" w:lineRule="auto"/>
              <w:ind w:firstLine="420"/>
              <w:rPr>
                <w:rFonts w:hint="eastAsia"/>
                <w:color w:val="auto"/>
                <w:sz w:val="21"/>
              </w:rPr>
            </w:pPr>
            <w:r>
              <w:rPr>
                <w:rFonts w:hint="eastAsia"/>
                <w:color w:val="auto"/>
                <w:sz w:val="21"/>
              </w:rPr>
              <w:t>目前在建筑电气工程中，尤其是在照明工程中，TN-S系统，即三相五线制应用普通，要求PE线和N线截然分开，所以在照明配电箱内要分设PE排和N排。这不仅施工时要严格区分，日后维修时注意不能因误接而失去应用的保护作用。</w:t>
            </w:r>
          </w:p>
          <w:p w14:paraId="341FE773">
            <w:pPr>
              <w:spacing w:line="240" w:lineRule="auto"/>
              <w:ind w:firstLine="420"/>
              <w:rPr>
                <w:rFonts w:hint="eastAsia"/>
                <w:color w:val="auto"/>
                <w:sz w:val="21"/>
              </w:rPr>
            </w:pPr>
            <w:r>
              <w:rPr>
                <w:rFonts w:hint="eastAsia"/>
                <w:color w:val="auto"/>
                <w:sz w:val="21"/>
              </w:rPr>
              <w:t>因照明配电箱额定容量有大小，小容量的出线回路少，仅2～3个回路，可以用数个接线柱（如绝缘的多孔瓷或胶木接头）分别组合成PE和N接线排，但决不允许两者混合连接。</w:t>
            </w:r>
          </w:p>
        </w:tc>
      </w:tr>
      <w:tr w14:paraId="4F91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0853689">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5189FBB6">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358A5C12">
            <w:pPr>
              <w:spacing w:line="240" w:lineRule="auto"/>
              <w:ind w:firstLine="420"/>
              <w:rPr>
                <w:rFonts w:hint="eastAsia"/>
                <w:color w:val="auto"/>
                <w:sz w:val="21"/>
              </w:rPr>
            </w:pPr>
            <w:r>
              <w:rPr>
                <w:rFonts w:hint="eastAsia"/>
                <w:color w:val="auto"/>
                <w:sz w:val="21"/>
              </w:rPr>
              <w:t>柜、屏、台、箱、盘相互间或与基础型钢应用镀锌螺栓连接，且防松零件齐全。</w:t>
            </w:r>
          </w:p>
          <w:p w14:paraId="17FAE80C">
            <w:pPr>
              <w:spacing w:line="240" w:lineRule="auto"/>
              <w:ind w:firstLine="420"/>
              <w:rPr>
                <w:rFonts w:hint="eastAsia"/>
                <w:color w:val="auto"/>
                <w:sz w:val="21"/>
              </w:rPr>
            </w:pPr>
            <w:r>
              <w:rPr>
                <w:rFonts w:hint="eastAsia"/>
                <w:color w:val="auto"/>
                <w:sz w:val="21"/>
              </w:rPr>
              <w:t>说明：用螺栓连接固定，既方便拆卸更迭，又避免因焊接固定而造成柜箱壳涂层防腐损坏，使用寿命缩短。</w:t>
            </w:r>
          </w:p>
          <w:p w14:paraId="0FA4CF1B">
            <w:pPr>
              <w:spacing w:line="240" w:lineRule="auto"/>
              <w:ind w:firstLine="420"/>
              <w:rPr>
                <w:rFonts w:hint="eastAsia"/>
                <w:color w:val="auto"/>
                <w:sz w:val="21"/>
              </w:rPr>
            </w:pPr>
            <w:r>
              <w:rPr>
                <w:rFonts w:hint="eastAsia"/>
                <w:color w:val="auto"/>
                <w:sz w:val="21"/>
              </w:rPr>
              <w:t>柜、屏、台、箱、盘安装垂直度允许偏差为1.5‰，相互间接缝不应大于2mm，成列盘面偏差不应大于5mm。</w:t>
            </w:r>
          </w:p>
          <w:p w14:paraId="40AA01DF">
            <w:pPr>
              <w:spacing w:line="240" w:lineRule="auto"/>
              <w:ind w:firstLine="420"/>
              <w:rPr>
                <w:rFonts w:hint="eastAsia"/>
                <w:color w:val="auto"/>
                <w:sz w:val="21"/>
              </w:rPr>
            </w:pPr>
            <w:r>
              <w:rPr>
                <w:rFonts w:hint="eastAsia"/>
                <w:color w:val="auto"/>
                <w:sz w:val="21"/>
              </w:rPr>
              <w:t>说明：除有垂直度、相互间接缝、成列盘面间的安装要求外，还有盘顶的高度差规定。由于盘、柜、屏、台的生产技术从国外引进较多，其标准也不同，尤其表现在盘、柜的高度方面，这样对柜顶标高的控制就失去了实际意义。如订货时并列安装的柜、盘来自同一家制造商，且明确外形尺寸，控制好基础型钢的安装尺寸，盘顶标高一般是自然会形成一致的。</w:t>
            </w:r>
          </w:p>
          <w:p w14:paraId="5516914A">
            <w:pPr>
              <w:spacing w:line="240" w:lineRule="auto"/>
              <w:ind w:firstLine="420"/>
              <w:rPr>
                <w:rFonts w:hint="eastAsia"/>
                <w:color w:val="auto"/>
                <w:sz w:val="21"/>
              </w:rPr>
            </w:pPr>
            <w:r>
              <w:rPr>
                <w:rFonts w:hint="eastAsia"/>
                <w:color w:val="auto"/>
                <w:sz w:val="21"/>
              </w:rPr>
              <w:t>柜、屏、台、箱、盘内检查试验应符合下列规定：</w:t>
            </w:r>
          </w:p>
          <w:p w14:paraId="5DD0B672">
            <w:pPr>
              <w:spacing w:line="240" w:lineRule="auto"/>
              <w:ind w:firstLine="420"/>
              <w:rPr>
                <w:rFonts w:hint="eastAsia"/>
                <w:color w:val="auto"/>
                <w:sz w:val="21"/>
              </w:rPr>
            </w:pPr>
            <w:r>
              <w:rPr>
                <w:rFonts w:hint="eastAsia"/>
                <w:color w:val="auto"/>
                <w:sz w:val="21"/>
              </w:rPr>
              <w:t>控制开关及保护装置的规格、型号符合设计要求；</w:t>
            </w:r>
          </w:p>
          <w:p w14:paraId="2AF42934">
            <w:pPr>
              <w:spacing w:line="240" w:lineRule="auto"/>
              <w:ind w:firstLine="420"/>
              <w:rPr>
                <w:rFonts w:hint="eastAsia"/>
                <w:color w:val="auto"/>
                <w:sz w:val="21"/>
              </w:rPr>
            </w:pPr>
            <w:r>
              <w:rPr>
                <w:rFonts w:hint="eastAsia"/>
                <w:color w:val="auto"/>
                <w:sz w:val="21"/>
              </w:rPr>
              <w:t>闭锁装置动作准确、可靠；</w:t>
            </w:r>
          </w:p>
          <w:p w14:paraId="73DD780B">
            <w:pPr>
              <w:spacing w:line="240" w:lineRule="auto"/>
              <w:ind w:firstLine="420"/>
              <w:rPr>
                <w:rFonts w:hint="eastAsia"/>
                <w:color w:val="auto"/>
                <w:sz w:val="21"/>
              </w:rPr>
            </w:pPr>
            <w:r>
              <w:rPr>
                <w:rFonts w:hint="eastAsia"/>
                <w:color w:val="auto"/>
                <w:sz w:val="21"/>
              </w:rPr>
              <w:t>主开关的辅助开关切换动作与主开关动作一致；</w:t>
            </w:r>
          </w:p>
          <w:p w14:paraId="12533B21">
            <w:pPr>
              <w:spacing w:line="240" w:lineRule="auto"/>
              <w:ind w:firstLine="420"/>
              <w:rPr>
                <w:rFonts w:hint="eastAsia"/>
                <w:color w:val="auto"/>
                <w:sz w:val="21"/>
              </w:rPr>
            </w:pPr>
            <w:r>
              <w:rPr>
                <w:rFonts w:hint="eastAsia"/>
                <w:color w:val="auto"/>
                <w:sz w:val="21"/>
              </w:rPr>
              <w:t>柜、屏、台、箱、盘上的标识器件标明被控设备编号及名称，或操作位置，接线端子有编号，且清晰、工整、不易脱色。</w:t>
            </w:r>
          </w:p>
          <w:p w14:paraId="1E1021A7">
            <w:pPr>
              <w:spacing w:line="240" w:lineRule="auto"/>
              <w:ind w:firstLine="420"/>
              <w:rPr>
                <w:rFonts w:hint="eastAsia"/>
                <w:color w:val="auto"/>
                <w:sz w:val="21"/>
              </w:rPr>
            </w:pPr>
            <w:r>
              <w:rPr>
                <w:rFonts w:hint="eastAsia"/>
                <w:color w:val="auto"/>
                <w:sz w:val="21"/>
              </w:rPr>
              <w:t>回路中的电子元件不应参加交流工频耐压试验；48V及以下回路可不做交流工频耐压试验。</w:t>
            </w:r>
          </w:p>
          <w:p w14:paraId="6BE7D423">
            <w:pPr>
              <w:spacing w:line="240" w:lineRule="auto"/>
              <w:ind w:firstLine="420"/>
              <w:rPr>
                <w:rFonts w:hint="eastAsia"/>
                <w:color w:val="auto"/>
                <w:sz w:val="21"/>
              </w:rPr>
            </w:pPr>
            <w:r>
              <w:rPr>
                <w:rFonts w:hint="eastAsia"/>
                <w:color w:val="auto"/>
                <w:sz w:val="21"/>
              </w:rPr>
              <w:t>低压电器组合应符合下列规定：</w:t>
            </w:r>
          </w:p>
          <w:p w14:paraId="37C24611">
            <w:pPr>
              <w:spacing w:line="240" w:lineRule="auto"/>
              <w:ind w:firstLine="420"/>
              <w:rPr>
                <w:rFonts w:hint="eastAsia"/>
                <w:color w:val="auto"/>
                <w:sz w:val="21"/>
              </w:rPr>
            </w:pPr>
            <w:r>
              <w:rPr>
                <w:rFonts w:hint="eastAsia"/>
                <w:color w:val="auto"/>
                <w:sz w:val="21"/>
              </w:rPr>
              <w:t>发热元件安装在散热良好的位置；</w:t>
            </w:r>
          </w:p>
          <w:p w14:paraId="3306BDB0">
            <w:pPr>
              <w:spacing w:line="240" w:lineRule="auto"/>
              <w:ind w:firstLine="420"/>
              <w:rPr>
                <w:rFonts w:hint="eastAsia"/>
                <w:color w:val="auto"/>
                <w:sz w:val="21"/>
              </w:rPr>
            </w:pPr>
            <w:r>
              <w:rPr>
                <w:rFonts w:hint="eastAsia"/>
                <w:color w:val="auto"/>
                <w:sz w:val="21"/>
              </w:rPr>
              <w:t>熔断器的熔体规格、自动开关的整定值符合设计要求；</w:t>
            </w:r>
          </w:p>
          <w:p w14:paraId="24A7D5AB">
            <w:pPr>
              <w:spacing w:line="240" w:lineRule="auto"/>
              <w:ind w:firstLine="420"/>
              <w:rPr>
                <w:rFonts w:hint="eastAsia"/>
                <w:color w:val="auto"/>
                <w:sz w:val="21"/>
              </w:rPr>
            </w:pPr>
            <w:r>
              <w:rPr>
                <w:rFonts w:hint="eastAsia"/>
                <w:color w:val="auto"/>
                <w:sz w:val="21"/>
              </w:rPr>
              <w:t>切换压板接触良好，相邻压板间有安全距离，切换时，不触及相邻的压板；</w:t>
            </w:r>
          </w:p>
          <w:p w14:paraId="55BCB499">
            <w:pPr>
              <w:spacing w:line="240" w:lineRule="auto"/>
              <w:ind w:firstLine="420"/>
              <w:rPr>
                <w:rFonts w:hint="eastAsia"/>
                <w:color w:val="auto"/>
                <w:sz w:val="21"/>
              </w:rPr>
            </w:pPr>
            <w:r>
              <w:rPr>
                <w:rFonts w:hint="eastAsia"/>
                <w:color w:val="auto"/>
                <w:sz w:val="21"/>
              </w:rPr>
              <w:t>信号回路的信号灯、按扭、光字牌、电铃、电笛、事故电钟等动作和信号显示准确；</w:t>
            </w:r>
          </w:p>
          <w:p w14:paraId="43692341">
            <w:pPr>
              <w:spacing w:line="240" w:lineRule="auto"/>
              <w:ind w:firstLine="420"/>
              <w:rPr>
                <w:rFonts w:hint="eastAsia"/>
                <w:color w:val="auto"/>
                <w:sz w:val="21"/>
              </w:rPr>
            </w:pPr>
            <w:r>
              <w:rPr>
                <w:rFonts w:hint="eastAsia"/>
                <w:color w:val="auto"/>
                <w:sz w:val="21"/>
              </w:rPr>
              <w:t>外壳需接地（PE）或接零（PEN）的，连接可靠；</w:t>
            </w:r>
          </w:p>
          <w:p w14:paraId="337A4E01">
            <w:pPr>
              <w:spacing w:line="240" w:lineRule="auto"/>
              <w:ind w:firstLine="420"/>
              <w:rPr>
                <w:rFonts w:hint="eastAsia"/>
                <w:color w:val="auto"/>
                <w:sz w:val="21"/>
              </w:rPr>
            </w:pPr>
            <w:r>
              <w:rPr>
                <w:rFonts w:hint="eastAsia"/>
                <w:color w:val="auto"/>
                <w:sz w:val="21"/>
              </w:rPr>
              <w:t>端子排安装牢固，端子有序号，强电、弱电端子隔离布置，端子规格与芯线截面积大小适配。</w:t>
            </w:r>
          </w:p>
          <w:p w14:paraId="760F4A96">
            <w:pPr>
              <w:spacing w:line="240" w:lineRule="auto"/>
              <w:ind w:firstLine="420"/>
              <w:rPr>
                <w:rFonts w:hint="eastAsia"/>
                <w:color w:val="auto"/>
                <w:sz w:val="21"/>
              </w:rPr>
            </w:pPr>
            <w:r>
              <w:rPr>
                <w:rFonts w:hint="eastAsia"/>
                <w:color w:val="auto"/>
                <w:sz w:val="21"/>
              </w:rPr>
              <w:t>柜、屏、台、箱、盘间配线：电流回路应采用额定电压不低于750V、芯线截面积不小于2.5mm²的铜芯绝缘电线或电缆；除电子元件回路或类似回路外，其他回路的电线应采用额定电压不低于750V、芯线截面不小于1.5mm²的铜芯绝缘电线或电缆。二次回路连线应成束绑扎，不同电压等级、交流、直流线路及计算机控制线路应分别绑扎，且有标识；固定后不应妨碍手车开关或抽出式部件的拉出或推入。</w:t>
            </w:r>
          </w:p>
          <w:p w14:paraId="43AD4E9C">
            <w:pPr>
              <w:spacing w:line="240" w:lineRule="auto"/>
              <w:ind w:firstLine="420"/>
              <w:rPr>
                <w:rFonts w:hint="eastAsia"/>
                <w:color w:val="auto"/>
                <w:sz w:val="21"/>
              </w:rPr>
            </w:pPr>
            <w:r>
              <w:rPr>
                <w:rFonts w:hint="eastAsia"/>
                <w:color w:val="auto"/>
                <w:sz w:val="21"/>
              </w:rPr>
              <w:t>连接柜、屏、台、箱、盘面板上的电器及控制台、板等可动部位的电线应符合下列规定：</w:t>
            </w:r>
          </w:p>
          <w:p w14:paraId="6AAD82B9">
            <w:pPr>
              <w:spacing w:line="240" w:lineRule="auto"/>
              <w:ind w:firstLine="420"/>
              <w:rPr>
                <w:rFonts w:hint="eastAsia"/>
                <w:color w:val="auto"/>
                <w:sz w:val="21"/>
              </w:rPr>
            </w:pPr>
            <w:r>
              <w:rPr>
                <w:rFonts w:hint="eastAsia"/>
                <w:color w:val="auto"/>
                <w:sz w:val="21"/>
              </w:rPr>
              <w:t>采用多股铜芯软电线，敷设长度留有适当裕量；</w:t>
            </w:r>
          </w:p>
          <w:p w14:paraId="1D7CDB0F">
            <w:pPr>
              <w:spacing w:line="240" w:lineRule="auto"/>
              <w:ind w:firstLine="420"/>
              <w:rPr>
                <w:rFonts w:hint="eastAsia"/>
                <w:color w:val="auto"/>
                <w:sz w:val="21"/>
              </w:rPr>
            </w:pPr>
            <w:r>
              <w:rPr>
                <w:rFonts w:hint="eastAsia"/>
                <w:color w:val="auto"/>
                <w:sz w:val="21"/>
              </w:rPr>
              <w:t>线束有外套塑料管等加强绝缘保护层；</w:t>
            </w:r>
          </w:p>
          <w:p w14:paraId="59EC9ED9">
            <w:pPr>
              <w:spacing w:line="240" w:lineRule="auto"/>
              <w:ind w:firstLine="420"/>
              <w:rPr>
                <w:rFonts w:hint="eastAsia"/>
                <w:color w:val="auto"/>
                <w:sz w:val="21"/>
              </w:rPr>
            </w:pPr>
            <w:r>
              <w:rPr>
                <w:rFonts w:hint="eastAsia"/>
                <w:color w:val="auto"/>
                <w:sz w:val="21"/>
              </w:rPr>
              <w:t>与电器连接时端部绞紧，且有不开口的终端端子或搪锡，不松散或断股；</w:t>
            </w:r>
          </w:p>
          <w:p w14:paraId="6596C0D9">
            <w:pPr>
              <w:spacing w:line="240" w:lineRule="auto"/>
              <w:ind w:firstLine="420"/>
              <w:rPr>
                <w:rFonts w:hint="eastAsia"/>
                <w:color w:val="auto"/>
                <w:sz w:val="21"/>
              </w:rPr>
            </w:pPr>
            <w:r>
              <w:rPr>
                <w:rFonts w:hint="eastAsia"/>
                <w:color w:val="auto"/>
                <w:sz w:val="21"/>
              </w:rPr>
              <w:t>可转动部位的两端用卡子固定。</w:t>
            </w:r>
          </w:p>
          <w:p w14:paraId="637132C0">
            <w:pPr>
              <w:spacing w:line="240" w:lineRule="auto"/>
              <w:ind w:firstLine="420"/>
              <w:rPr>
                <w:rFonts w:hint="eastAsia"/>
                <w:color w:val="auto"/>
                <w:sz w:val="21"/>
              </w:rPr>
            </w:pPr>
            <w:r>
              <w:rPr>
                <w:rFonts w:hint="eastAsia"/>
                <w:color w:val="auto"/>
                <w:sz w:val="21"/>
              </w:rPr>
              <w:t>照明配电箱（盘）安装应符合下列规定：</w:t>
            </w:r>
          </w:p>
          <w:p w14:paraId="08B4DB80">
            <w:pPr>
              <w:spacing w:line="240" w:lineRule="auto"/>
              <w:ind w:firstLine="420"/>
              <w:rPr>
                <w:rFonts w:hint="eastAsia"/>
                <w:color w:val="auto"/>
                <w:sz w:val="21"/>
              </w:rPr>
            </w:pPr>
            <w:r>
              <w:rPr>
                <w:rFonts w:hint="eastAsia"/>
                <w:color w:val="auto"/>
                <w:sz w:val="21"/>
              </w:rPr>
              <w:t>位置正确，部件齐全，箱体开孔与导管管径适配，暗装配电箱箱盖紧贴墙面，箱（盘）涂层完整；</w:t>
            </w:r>
          </w:p>
          <w:p w14:paraId="1D55789F">
            <w:pPr>
              <w:spacing w:line="240" w:lineRule="auto"/>
              <w:ind w:firstLine="420"/>
              <w:rPr>
                <w:rFonts w:hint="eastAsia"/>
                <w:color w:val="auto"/>
                <w:sz w:val="21"/>
              </w:rPr>
            </w:pPr>
            <w:r>
              <w:rPr>
                <w:rFonts w:hint="eastAsia"/>
                <w:color w:val="auto"/>
                <w:sz w:val="21"/>
              </w:rPr>
              <w:t>箱（盘）内接线整齐，回路编号齐全，标识正确；</w:t>
            </w:r>
          </w:p>
          <w:p w14:paraId="73012B4C">
            <w:pPr>
              <w:spacing w:line="240" w:lineRule="auto"/>
              <w:ind w:firstLine="420"/>
              <w:rPr>
                <w:rFonts w:hint="eastAsia"/>
                <w:color w:val="auto"/>
                <w:sz w:val="21"/>
              </w:rPr>
            </w:pPr>
            <w:r>
              <w:rPr>
                <w:rFonts w:hint="eastAsia"/>
                <w:color w:val="auto"/>
                <w:sz w:val="21"/>
              </w:rPr>
              <w:t>箱（盘）不采用可燃材料制作；</w:t>
            </w:r>
          </w:p>
          <w:p w14:paraId="0EE70404">
            <w:pPr>
              <w:spacing w:line="240" w:lineRule="auto"/>
              <w:ind w:firstLine="420"/>
              <w:rPr>
                <w:rFonts w:hint="eastAsia"/>
                <w:color w:val="auto"/>
                <w:sz w:val="21"/>
              </w:rPr>
            </w:pPr>
            <w:r>
              <w:rPr>
                <w:rFonts w:hint="eastAsia"/>
                <w:color w:val="auto"/>
                <w:sz w:val="21"/>
              </w:rPr>
              <w:t>箱（盘）安装牢固，垂直度允许偏差为1.5‰；底边距地面为1.5m，照明配电板底边距地面不小于1.8m。</w:t>
            </w:r>
          </w:p>
        </w:tc>
      </w:tr>
    </w:tbl>
    <w:p w14:paraId="23E2D04F">
      <w:pPr>
        <w:rPr>
          <w:rFonts w:hint="eastAsia"/>
          <w:color w:val="auto"/>
        </w:rPr>
      </w:pPr>
      <w:r>
        <w:rPr>
          <w:rFonts w:hint="eastAsia"/>
          <w:color w:val="auto"/>
        </w:rPr>
        <w:t>（4）不间断电源安装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692"/>
        <w:gridCol w:w="7708"/>
      </w:tblGrid>
      <w:tr w14:paraId="026D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F5E36CC">
            <w:pPr>
              <w:spacing w:line="240" w:lineRule="auto"/>
              <w:ind w:firstLine="0" w:firstLineChars="0"/>
              <w:jc w:val="center"/>
              <w:rPr>
                <w:rFonts w:hint="eastAsia"/>
                <w:color w:val="auto"/>
                <w:sz w:val="21"/>
              </w:rPr>
            </w:pPr>
            <w:r>
              <w:rPr>
                <w:rFonts w:hint="eastAsia"/>
                <w:color w:val="auto"/>
                <w:sz w:val="21"/>
              </w:rPr>
              <w:t>序号</w:t>
            </w:r>
          </w:p>
        </w:tc>
        <w:tc>
          <w:tcPr>
            <w:tcW w:w="382" w:type="pct"/>
            <w:tcBorders>
              <w:top w:val="single" w:color="auto" w:sz="4" w:space="0"/>
              <w:left w:val="single" w:color="auto" w:sz="4" w:space="0"/>
              <w:bottom w:val="single" w:color="auto" w:sz="4" w:space="0"/>
              <w:right w:val="single" w:color="auto" w:sz="4" w:space="0"/>
            </w:tcBorders>
            <w:vAlign w:val="center"/>
          </w:tcPr>
          <w:p w14:paraId="6C69109D">
            <w:pPr>
              <w:spacing w:line="240" w:lineRule="auto"/>
              <w:ind w:firstLine="0" w:firstLineChars="0"/>
              <w:jc w:val="center"/>
              <w:rPr>
                <w:rFonts w:hint="eastAsia"/>
                <w:color w:val="auto"/>
                <w:sz w:val="21"/>
              </w:rPr>
            </w:pPr>
            <w:r>
              <w:rPr>
                <w:rFonts w:hint="eastAsia"/>
                <w:color w:val="auto"/>
                <w:sz w:val="21"/>
              </w:rPr>
              <w:t>项目类型</w:t>
            </w:r>
          </w:p>
        </w:tc>
        <w:tc>
          <w:tcPr>
            <w:tcW w:w="4254" w:type="pct"/>
            <w:tcBorders>
              <w:top w:val="single" w:color="auto" w:sz="4" w:space="0"/>
              <w:left w:val="single" w:color="auto" w:sz="4" w:space="0"/>
              <w:bottom w:val="single" w:color="auto" w:sz="4" w:space="0"/>
              <w:right w:val="single" w:color="auto" w:sz="4" w:space="0"/>
            </w:tcBorders>
            <w:vAlign w:val="center"/>
          </w:tcPr>
          <w:p w14:paraId="15AF5571">
            <w:pPr>
              <w:spacing w:line="240" w:lineRule="auto"/>
              <w:ind w:firstLine="0" w:firstLineChars="0"/>
              <w:jc w:val="center"/>
              <w:rPr>
                <w:rFonts w:hint="eastAsia"/>
                <w:color w:val="auto"/>
                <w:sz w:val="21"/>
              </w:rPr>
            </w:pPr>
            <w:r>
              <w:rPr>
                <w:rFonts w:hint="eastAsia"/>
                <w:color w:val="auto"/>
                <w:sz w:val="21"/>
              </w:rPr>
              <w:t>检查内容</w:t>
            </w:r>
          </w:p>
        </w:tc>
      </w:tr>
      <w:tr w14:paraId="1E07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0D40743">
            <w:pPr>
              <w:spacing w:line="240" w:lineRule="auto"/>
              <w:ind w:firstLine="0" w:firstLineChars="0"/>
              <w:jc w:val="center"/>
              <w:rPr>
                <w:rFonts w:hint="eastAsia"/>
                <w:color w:val="auto"/>
                <w:sz w:val="21"/>
              </w:rPr>
            </w:pPr>
            <w:r>
              <w:rPr>
                <w:rFonts w:hint="eastAsia"/>
                <w:color w:val="auto"/>
                <w:sz w:val="21"/>
              </w:rPr>
              <w:t>1</w:t>
            </w:r>
          </w:p>
        </w:tc>
        <w:tc>
          <w:tcPr>
            <w:tcW w:w="382" w:type="pct"/>
            <w:tcBorders>
              <w:top w:val="single" w:color="auto" w:sz="4" w:space="0"/>
              <w:left w:val="single" w:color="auto" w:sz="4" w:space="0"/>
              <w:bottom w:val="single" w:color="auto" w:sz="4" w:space="0"/>
              <w:right w:val="single" w:color="auto" w:sz="4" w:space="0"/>
            </w:tcBorders>
            <w:vAlign w:val="center"/>
          </w:tcPr>
          <w:p w14:paraId="21277CD2">
            <w:pPr>
              <w:spacing w:line="240" w:lineRule="auto"/>
              <w:ind w:firstLine="0" w:firstLineChars="0"/>
              <w:jc w:val="center"/>
              <w:rPr>
                <w:rFonts w:hint="eastAsia"/>
                <w:color w:val="auto"/>
                <w:sz w:val="21"/>
              </w:rPr>
            </w:pPr>
            <w:r>
              <w:rPr>
                <w:rFonts w:hint="eastAsia"/>
                <w:color w:val="auto"/>
                <w:sz w:val="21"/>
              </w:rPr>
              <w:t>主控项目</w:t>
            </w:r>
          </w:p>
        </w:tc>
        <w:tc>
          <w:tcPr>
            <w:tcW w:w="4254" w:type="pct"/>
            <w:tcBorders>
              <w:top w:val="single" w:color="auto" w:sz="4" w:space="0"/>
              <w:left w:val="single" w:color="auto" w:sz="4" w:space="0"/>
              <w:bottom w:val="single" w:color="auto" w:sz="4" w:space="0"/>
              <w:right w:val="single" w:color="auto" w:sz="4" w:space="0"/>
            </w:tcBorders>
            <w:vAlign w:val="center"/>
          </w:tcPr>
          <w:p w14:paraId="02EC48DA">
            <w:pPr>
              <w:spacing w:line="240" w:lineRule="auto"/>
              <w:ind w:firstLine="420"/>
              <w:rPr>
                <w:rFonts w:hint="eastAsia"/>
                <w:color w:val="auto"/>
                <w:sz w:val="21"/>
              </w:rPr>
            </w:pPr>
            <w:r>
              <w:rPr>
                <w:rFonts w:hint="eastAsia"/>
                <w:color w:val="auto"/>
                <w:sz w:val="21"/>
              </w:rPr>
              <w:t>不间断电源的整流装置、逆变装置和静态开关装置的规格、型号符合设计要求。内部结线连接正确，紧固件齐全，可靠不松动，焊接连接无脱落现象。</w:t>
            </w:r>
          </w:p>
          <w:p w14:paraId="3DB38E64">
            <w:pPr>
              <w:spacing w:line="240" w:lineRule="auto"/>
              <w:ind w:firstLine="420"/>
              <w:rPr>
                <w:rFonts w:hint="eastAsia"/>
                <w:color w:val="auto"/>
                <w:sz w:val="21"/>
              </w:rPr>
            </w:pPr>
            <w:r>
              <w:rPr>
                <w:rFonts w:hint="eastAsia"/>
                <w:color w:val="auto"/>
                <w:sz w:val="21"/>
              </w:rPr>
              <w:t>不间断电源的输入、输出各级保护系统和输出的电压稳定性、波形畸变系数、频率、相位、静态开关的动作等各项技术性能指标试验调整必须符合产品技术文件要求，且符合设计文件要求。</w:t>
            </w:r>
          </w:p>
          <w:p w14:paraId="2C6A58D7">
            <w:pPr>
              <w:spacing w:line="240" w:lineRule="auto"/>
              <w:ind w:firstLine="420"/>
              <w:rPr>
                <w:rFonts w:hint="eastAsia"/>
                <w:color w:val="auto"/>
                <w:sz w:val="21"/>
              </w:rPr>
            </w:pPr>
            <w:r>
              <w:rPr>
                <w:rFonts w:hint="eastAsia"/>
                <w:color w:val="auto"/>
                <w:sz w:val="21"/>
              </w:rPr>
              <w:t>不间断电源的整流、逆变、静态开关各个功能单元都要单独试验合格，才能进行整个不间断电源试验。这种试验根据供货协议可以在工厂或安装现场进行，以安装现行试验为最佳选择，因为如无特殊说明，在制造厂试验一般使用的是电阻性负载。无论采用何种方式，都必须符合工程设计文件和产品技术条件的要求。</w:t>
            </w:r>
          </w:p>
          <w:p w14:paraId="06DEF7AA">
            <w:pPr>
              <w:spacing w:line="240" w:lineRule="auto"/>
              <w:ind w:firstLine="420"/>
              <w:rPr>
                <w:rFonts w:hint="eastAsia"/>
                <w:color w:val="auto"/>
                <w:sz w:val="21"/>
              </w:rPr>
            </w:pPr>
            <w:r>
              <w:rPr>
                <w:rFonts w:hint="eastAsia"/>
                <w:color w:val="auto"/>
                <w:sz w:val="21"/>
              </w:rPr>
              <w:t>不间断电源装置间连线的线间、线对地间绝缘电阻值应大于0.5MΩ。</w:t>
            </w:r>
          </w:p>
          <w:p w14:paraId="32CFFA24">
            <w:pPr>
              <w:spacing w:line="240" w:lineRule="auto"/>
              <w:ind w:firstLine="420"/>
              <w:rPr>
                <w:rFonts w:hint="eastAsia"/>
                <w:color w:val="auto"/>
                <w:sz w:val="21"/>
              </w:rPr>
            </w:pPr>
            <w:r>
              <w:rPr>
                <w:rFonts w:hint="eastAsia"/>
                <w:color w:val="auto"/>
                <w:sz w:val="21"/>
              </w:rPr>
              <w:t>不间断电源输出端的中性线（N极），必须与由接地装置直接引来的接地干线相连接，做重复接地。</w:t>
            </w:r>
          </w:p>
          <w:p w14:paraId="6FBC188F">
            <w:pPr>
              <w:spacing w:line="240" w:lineRule="auto"/>
              <w:ind w:firstLine="420"/>
              <w:rPr>
                <w:rFonts w:hint="eastAsia"/>
                <w:color w:val="auto"/>
                <w:sz w:val="21"/>
              </w:rPr>
            </w:pPr>
            <w:r>
              <w:rPr>
                <w:rFonts w:hint="eastAsia"/>
                <w:color w:val="auto"/>
                <w:sz w:val="21"/>
              </w:rPr>
              <w:t>不间断电源输出端的中性线（N极）通过接地装置引入干线做重复接地，有利于遏制中心点漂移，使三相电压均衡度提高。同时，当引向不间断电源供电侧的中性线意外断开时，可确保不间断电源输出端不会引起电压升高而损坏由其供电的重要用电设备，以保证整幢建筑物的安全使用。</w:t>
            </w:r>
          </w:p>
        </w:tc>
      </w:tr>
      <w:tr w14:paraId="5C33E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F5E853D">
            <w:pPr>
              <w:spacing w:line="240" w:lineRule="auto"/>
              <w:ind w:firstLine="0" w:firstLineChars="0"/>
              <w:jc w:val="center"/>
              <w:rPr>
                <w:rFonts w:hint="eastAsia"/>
                <w:color w:val="auto"/>
                <w:sz w:val="21"/>
              </w:rPr>
            </w:pPr>
            <w:r>
              <w:rPr>
                <w:rFonts w:hint="eastAsia"/>
                <w:color w:val="auto"/>
                <w:sz w:val="21"/>
              </w:rPr>
              <w:t>2</w:t>
            </w:r>
          </w:p>
        </w:tc>
        <w:tc>
          <w:tcPr>
            <w:tcW w:w="382" w:type="pct"/>
            <w:tcBorders>
              <w:top w:val="single" w:color="auto" w:sz="4" w:space="0"/>
              <w:left w:val="single" w:color="auto" w:sz="4" w:space="0"/>
              <w:bottom w:val="single" w:color="auto" w:sz="4" w:space="0"/>
              <w:right w:val="single" w:color="auto" w:sz="4" w:space="0"/>
            </w:tcBorders>
            <w:vAlign w:val="center"/>
          </w:tcPr>
          <w:p w14:paraId="382A1CDF">
            <w:pPr>
              <w:spacing w:line="240" w:lineRule="auto"/>
              <w:ind w:firstLine="0" w:firstLineChars="0"/>
              <w:jc w:val="center"/>
              <w:rPr>
                <w:rFonts w:hint="eastAsia"/>
                <w:color w:val="auto"/>
                <w:sz w:val="21"/>
              </w:rPr>
            </w:pPr>
            <w:r>
              <w:rPr>
                <w:rFonts w:hint="eastAsia"/>
                <w:color w:val="auto"/>
                <w:sz w:val="21"/>
              </w:rPr>
              <w:t>一般项目</w:t>
            </w:r>
          </w:p>
        </w:tc>
        <w:tc>
          <w:tcPr>
            <w:tcW w:w="4254" w:type="pct"/>
            <w:tcBorders>
              <w:top w:val="single" w:color="auto" w:sz="4" w:space="0"/>
              <w:left w:val="single" w:color="auto" w:sz="4" w:space="0"/>
              <w:bottom w:val="single" w:color="auto" w:sz="4" w:space="0"/>
              <w:right w:val="single" w:color="auto" w:sz="4" w:space="0"/>
            </w:tcBorders>
            <w:vAlign w:val="center"/>
          </w:tcPr>
          <w:p w14:paraId="42A27B31">
            <w:pPr>
              <w:spacing w:line="240" w:lineRule="auto"/>
              <w:ind w:firstLine="420"/>
              <w:rPr>
                <w:rFonts w:hint="eastAsia"/>
                <w:color w:val="auto"/>
                <w:sz w:val="21"/>
              </w:rPr>
            </w:pPr>
            <w:r>
              <w:rPr>
                <w:rFonts w:hint="eastAsia"/>
                <w:color w:val="auto"/>
                <w:sz w:val="21"/>
              </w:rPr>
              <w:t>安放不间断电源的机架组装应横平竖直，水平度、垂直度允许偏差不应大于1.5‰，紧固件齐全。</w:t>
            </w:r>
          </w:p>
          <w:p w14:paraId="6E5CDB05">
            <w:pPr>
              <w:spacing w:line="240" w:lineRule="auto"/>
              <w:ind w:firstLine="420"/>
              <w:rPr>
                <w:rFonts w:hint="eastAsia"/>
                <w:color w:val="auto"/>
                <w:sz w:val="21"/>
              </w:rPr>
            </w:pPr>
            <w:r>
              <w:rPr>
                <w:rFonts w:hint="eastAsia"/>
                <w:color w:val="auto"/>
                <w:sz w:val="21"/>
              </w:rPr>
              <w:t>引入或引出不间断电源装置的主回路电线、电缆和控制电线、电缆应分别穿保护管敷设，在电缆支架上平行敷设应保持150mm的距离；电线、电缆的屏蔽护套接地可靠，与接地干线就近连接，紧固件齐全。</w:t>
            </w:r>
          </w:p>
          <w:p w14:paraId="7B4B2EF2">
            <w:pPr>
              <w:spacing w:line="240" w:lineRule="auto"/>
              <w:ind w:firstLine="420"/>
              <w:rPr>
                <w:rFonts w:hint="eastAsia"/>
                <w:color w:val="auto"/>
                <w:sz w:val="21"/>
              </w:rPr>
            </w:pPr>
            <w:r>
              <w:rPr>
                <w:rFonts w:hint="eastAsia"/>
                <w:color w:val="auto"/>
                <w:sz w:val="21"/>
              </w:rPr>
              <w:t>为防止运行中的相互干扰，确保屏蔽可靠，故作此规定。</w:t>
            </w:r>
          </w:p>
          <w:p w14:paraId="0E54FBEB">
            <w:pPr>
              <w:spacing w:line="240" w:lineRule="auto"/>
              <w:ind w:firstLine="420"/>
              <w:rPr>
                <w:rFonts w:hint="eastAsia"/>
                <w:color w:val="auto"/>
                <w:sz w:val="21"/>
              </w:rPr>
            </w:pPr>
            <w:r>
              <w:rPr>
                <w:rFonts w:hint="eastAsia"/>
                <w:color w:val="auto"/>
                <w:sz w:val="21"/>
              </w:rPr>
              <w:t>不间断电源装置的可接近裸露导体应接地（PE）或接零（PEN）可靠，且有标识。</w:t>
            </w:r>
          </w:p>
          <w:p w14:paraId="6D511F8A">
            <w:pPr>
              <w:spacing w:line="240" w:lineRule="auto"/>
              <w:ind w:firstLine="420"/>
              <w:rPr>
                <w:rFonts w:hint="eastAsia"/>
                <w:color w:val="auto"/>
                <w:sz w:val="21"/>
              </w:rPr>
            </w:pPr>
            <w:r>
              <w:rPr>
                <w:rFonts w:hint="eastAsia"/>
                <w:color w:val="auto"/>
                <w:sz w:val="21"/>
              </w:rPr>
              <w:t>不间断电源正常运行时产生的A声级噪声，不应大于45dB；输出额定电流为5A及以下的小型不间断电源噪声，不应大于30dB。</w:t>
            </w:r>
          </w:p>
        </w:tc>
      </w:tr>
    </w:tbl>
    <w:p w14:paraId="4D657D18">
      <w:pPr>
        <w:rPr>
          <w:rFonts w:hint="eastAsia"/>
          <w:color w:val="auto"/>
        </w:rPr>
      </w:pPr>
      <w:r>
        <w:rPr>
          <w:rFonts w:hint="eastAsia"/>
          <w:color w:val="auto"/>
        </w:rPr>
        <w:t>（5）低压电气动力设备试验和试运行</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2EE6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97CD3FD">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54DD7BAF">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4FDEBC32">
            <w:pPr>
              <w:spacing w:line="240" w:lineRule="auto"/>
              <w:ind w:firstLine="0" w:firstLineChars="0"/>
              <w:jc w:val="center"/>
              <w:rPr>
                <w:rFonts w:hint="eastAsia"/>
                <w:color w:val="auto"/>
                <w:sz w:val="21"/>
              </w:rPr>
            </w:pPr>
            <w:r>
              <w:rPr>
                <w:rFonts w:hint="eastAsia"/>
                <w:color w:val="auto"/>
                <w:sz w:val="21"/>
              </w:rPr>
              <w:t>检查内容</w:t>
            </w:r>
          </w:p>
        </w:tc>
      </w:tr>
      <w:tr w14:paraId="71A9B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F851F2C">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1109D6D8">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4183D99C">
            <w:pPr>
              <w:spacing w:line="240" w:lineRule="auto"/>
              <w:ind w:firstLine="420"/>
              <w:rPr>
                <w:rFonts w:hint="eastAsia"/>
                <w:color w:val="auto"/>
                <w:sz w:val="21"/>
              </w:rPr>
            </w:pPr>
            <w:r>
              <w:rPr>
                <w:rFonts w:hint="eastAsia"/>
                <w:color w:val="auto"/>
                <w:sz w:val="21"/>
              </w:rPr>
              <w:t>试运行前，相关电气设备和线路应按规范的规定试验合格。</w:t>
            </w:r>
          </w:p>
          <w:p w14:paraId="7A4017E6">
            <w:pPr>
              <w:spacing w:line="240" w:lineRule="auto"/>
              <w:ind w:firstLine="420"/>
              <w:rPr>
                <w:rFonts w:hint="eastAsia"/>
                <w:color w:val="auto"/>
                <w:sz w:val="21"/>
              </w:rPr>
            </w:pPr>
            <w:r>
              <w:rPr>
                <w:rFonts w:hint="eastAsia"/>
                <w:color w:val="auto"/>
                <w:sz w:val="21"/>
              </w:rPr>
              <w:t>建筑电气工程和其他电气工程一样，反映它的施工质量有两个方面，一是静态的检查否符合规范的有关规定；另一是动态的空载试运行及与其他建筑设备一起的负荷试运行，试运行符合要求，才能最终判定施工质量为合格。鉴于在整个施工过程中，大量的时间为安装阶段，即静态的验收阶段，而施工的最终阶段为试运行阶段，两个阶段相隔时间很长，用在同一个分项工程中来填表检验很不方便，故而单列这个分项，把动态检查验收分离出来，更具有可操作性。</w:t>
            </w:r>
          </w:p>
          <w:p w14:paraId="07E1D7C8">
            <w:pPr>
              <w:spacing w:line="240" w:lineRule="auto"/>
              <w:ind w:firstLine="420"/>
              <w:rPr>
                <w:rFonts w:hint="eastAsia"/>
                <w:color w:val="auto"/>
                <w:sz w:val="21"/>
              </w:rPr>
            </w:pPr>
            <w:r>
              <w:rPr>
                <w:rFonts w:hint="eastAsia"/>
                <w:color w:val="auto"/>
                <w:sz w:val="21"/>
              </w:rPr>
              <w:t>电气动力设备试运行前，各项电气交接试验均应合格，而安装试验的核心是承受电压冲击的能力，也就是确保了电气装置的绝缘状态良好，各类开关和控制保护动作正确，使在试运行中检验电流承受能力和冲击有可靠的安全保护。</w:t>
            </w:r>
          </w:p>
          <w:p w14:paraId="7E1FC5A1">
            <w:pPr>
              <w:spacing w:line="240" w:lineRule="auto"/>
              <w:ind w:firstLine="420"/>
              <w:rPr>
                <w:rFonts w:hint="eastAsia"/>
                <w:color w:val="auto"/>
                <w:sz w:val="21"/>
              </w:rPr>
            </w:pPr>
            <w:r>
              <w:rPr>
                <w:rFonts w:hint="eastAsia"/>
                <w:color w:val="auto"/>
                <w:sz w:val="21"/>
              </w:rPr>
              <w:t>现场单独安装的低压电器交接试验项目应符合规范规定。</w:t>
            </w:r>
          </w:p>
          <w:p w14:paraId="23EDB79D">
            <w:pPr>
              <w:spacing w:line="240" w:lineRule="auto"/>
              <w:ind w:firstLine="420"/>
              <w:rPr>
                <w:rFonts w:hint="eastAsia"/>
                <w:color w:val="auto"/>
                <w:sz w:val="21"/>
              </w:rPr>
            </w:pPr>
            <w:r>
              <w:rPr>
                <w:rFonts w:hint="eastAsia"/>
                <w:color w:val="auto"/>
                <w:sz w:val="21"/>
              </w:rPr>
              <w:t>说明：在试运行前，要对相关的现场单独安装的各类低压电器进行单体的试验和检测，符合规范规定，才具有试运行的必备条件。与试运行有关的成套柜、屏、台、箱、盘已在试运行前试验合格。</w:t>
            </w:r>
          </w:p>
        </w:tc>
      </w:tr>
      <w:tr w14:paraId="595E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17742AF4">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5EA09001">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50C16D80">
            <w:pPr>
              <w:spacing w:line="240" w:lineRule="auto"/>
              <w:ind w:firstLine="420"/>
              <w:rPr>
                <w:rFonts w:hint="eastAsia"/>
                <w:color w:val="auto"/>
                <w:sz w:val="21"/>
              </w:rPr>
            </w:pPr>
            <w:r>
              <w:rPr>
                <w:rFonts w:hint="eastAsia"/>
                <w:color w:val="auto"/>
                <w:sz w:val="21"/>
              </w:rPr>
              <w:t>成套配电（控制）柜、台、箱、盘的运行电压、电流应正常，各种仪表指示正常。</w:t>
            </w:r>
          </w:p>
          <w:p w14:paraId="279299FF">
            <w:pPr>
              <w:spacing w:line="240" w:lineRule="auto"/>
              <w:ind w:firstLine="420"/>
              <w:rPr>
                <w:rFonts w:hint="eastAsia"/>
                <w:color w:val="auto"/>
                <w:sz w:val="21"/>
              </w:rPr>
            </w:pPr>
            <w:r>
              <w:rPr>
                <w:rFonts w:hint="eastAsia"/>
                <w:color w:val="auto"/>
                <w:sz w:val="21"/>
              </w:rPr>
              <w:t>试运行时要检测有关仪表的指示，并做记录，对照电气设备的铭牌标示值有否超标，以判定试运行是否正常。</w:t>
            </w:r>
          </w:p>
          <w:p w14:paraId="3E2AA4F4">
            <w:pPr>
              <w:spacing w:line="240" w:lineRule="auto"/>
              <w:ind w:firstLine="420"/>
              <w:rPr>
                <w:rFonts w:hint="eastAsia"/>
                <w:color w:val="auto"/>
                <w:sz w:val="21"/>
              </w:rPr>
            </w:pPr>
            <w:r>
              <w:rPr>
                <w:rFonts w:hint="eastAsia"/>
                <w:color w:val="auto"/>
                <w:sz w:val="21"/>
              </w:rPr>
              <w:t>电动机应试通电，检查转向和机械转动有无异常情况；可空载试运行的电动机，时间一般为2h记录空载电流，且检查机身和轴承的温升。</w:t>
            </w:r>
          </w:p>
          <w:p w14:paraId="0506EBE7">
            <w:pPr>
              <w:spacing w:line="240" w:lineRule="auto"/>
              <w:ind w:firstLine="420"/>
              <w:rPr>
                <w:rFonts w:hint="eastAsia"/>
                <w:color w:val="auto"/>
                <w:sz w:val="21"/>
              </w:rPr>
            </w:pPr>
            <w:r>
              <w:rPr>
                <w:rFonts w:hint="eastAsia"/>
                <w:color w:val="auto"/>
                <w:sz w:val="21"/>
              </w:rPr>
              <w:t>电动机的空载电流一般为额定电流的30%（指异步电动机）以下，机身的温升经2h空载试运行不会太高，重点是考核机械装配质量，尤其要注意噪声是否太大或有异常撞击声响，此外要检查轴承的温度是否正常，如滚动轴承润滑油脂填充量过多，会导致轴承温度过高，且试运行中温度上升急剧。</w:t>
            </w:r>
          </w:p>
          <w:p w14:paraId="7594A66D">
            <w:pPr>
              <w:spacing w:line="240" w:lineRule="auto"/>
              <w:ind w:firstLine="420"/>
              <w:rPr>
                <w:rFonts w:hint="eastAsia"/>
                <w:color w:val="auto"/>
                <w:sz w:val="21"/>
              </w:rPr>
            </w:pPr>
            <w:r>
              <w:rPr>
                <w:rFonts w:hint="eastAsia"/>
                <w:color w:val="auto"/>
                <w:sz w:val="21"/>
              </w:rPr>
              <w:t>交流电动机在空载状态下（不投料）可启动次数及间隔时间应符合产品技术条件的要求；无要求时，连续启动2次的时间间隔不应小于5min，再次启动应在电动机冷却至常温下。空载状态（不投料）运行，应记录电流、电压、温度、运行时间等有关数据，且应符合建筑设备或工艺装置的空载状态运行（不投料）要求。</w:t>
            </w:r>
          </w:p>
          <w:p w14:paraId="62C19590">
            <w:pPr>
              <w:spacing w:line="240" w:lineRule="auto"/>
              <w:ind w:firstLine="420"/>
              <w:rPr>
                <w:rFonts w:hint="eastAsia"/>
                <w:color w:val="auto"/>
                <w:sz w:val="21"/>
              </w:rPr>
            </w:pPr>
            <w:r>
              <w:rPr>
                <w:rFonts w:hint="eastAsia"/>
                <w:color w:val="auto"/>
                <w:sz w:val="21"/>
              </w:rPr>
              <w:t>说明：电动机启动瞬时电流要比额定电流大，有的达6～8倍，虽然空载（设备不投料）无负荷，但因被拖动的设备转动惯量大（如风机等），启动电流衰减的速度慢、时间长。为防止因启动频繁造成电动机线圈过热，而作此规定。调频调速启动的电动机要按产品技术文件的规定确定启动的间隔时间。</w:t>
            </w:r>
          </w:p>
          <w:p w14:paraId="379399CB">
            <w:pPr>
              <w:spacing w:line="240" w:lineRule="auto"/>
              <w:ind w:firstLine="420"/>
              <w:rPr>
                <w:rFonts w:hint="eastAsia"/>
                <w:color w:val="auto"/>
                <w:sz w:val="21"/>
              </w:rPr>
            </w:pPr>
            <w:r>
              <w:rPr>
                <w:rFonts w:hint="eastAsia"/>
                <w:color w:val="auto"/>
                <w:sz w:val="21"/>
              </w:rPr>
              <w:t>大容量（630A及以上）导线或母线连接处，在设计计算机负荷运行情况下应做温度抽测记录，温升值稳定且不大于设计值。</w:t>
            </w:r>
          </w:p>
          <w:p w14:paraId="347FCA7A">
            <w:pPr>
              <w:spacing w:line="240" w:lineRule="auto"/>
              <w:ind w:firstLine="420"/>
              <w:rPr>
                <w:rFonts w:hint="eastAsia"/>
                <w:color w:val="auto"/>
                <w:sz w:val="21"/>
              </w:rPr>
            </w:pPr>
            <w:r>
              <w:rPr>
                <w:rFonts w:hint="eastAsia"/>
                <w:color w:val="auto"/>
                <w:sz w:val="21"/>
              </w:rPr>
              <w:t>电动执行机构的动作方向及指示，应与工艺装置的设计要求保持一致。</w:t>
            </w:r>
          </w:p>
          <w:p w14:paraId="258779F9">
            <w:pPr>
              <w:spacing w:line="240" w:lineRule="auto"/>
              <w:ind w:firstLine="420"/>
              <w:rPr>
                <w:rFonts w:hint="eastAsia"/>
                <w:color w:val="auto"/>
                <w:sz w:val="21"/>
              </w:rPr>
            </w:pPr>
            <w:r>
              <w:rPr>
                <w:rFonts w:hint="eastAsia"/>
                <w:color w:val="auto"/>
                <w:sz w:val="21"/>
              </w:rPr>
              <w:t>电动执行机构的动作方向，在手动或点动时已经确认与工艺装置要求一致，但在联动试运行时，仍需仔细检查，否则工艺的工况会出现不正常，有的会导致诱发安全事故。</w:t>
            </w:r>
          </w:p>
        </w:tc>
      </w:tr>
    </w:tbl>
    <w:p w14:paraId="2BFC54F0">
      <w:pPr>
        <w:rPr>
          <w:rFonts w:hint="eastAsia"/>
          <w:color w:val="auto"/>
        </w:rPr>
      </w:pPr>
      <w:r>
        <w:rPr>
          <w:rFonts w:hint="eastAsia"/>
          <w:color w:val="auto"/>
        </w:rPr>
        <w:t>（6）裸母线、封闭母线、插接式母线安装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63B72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A533CD4">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365148FD">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6769DFAF">
            <w:pPr>
              <w:spacing w:line="240" w:lineRule="auto"/>
              <w:ind w:firstLine="0" w:firstLineChars="0"/>
              <w:jc w:val="center"/>
              <w:rPr>
                <w:rFonts w:hint="eastAsia"/>
                <w:color w:val="auto"/>
                <w:sz w:val="21"/>
              </w:rPr>
            </w:pPr>
            <w:r>
              <w:rPr>
                <w:rFonts w:hint="eastAsia"/>
                <w:color w:val="auto"/>
                <w:sz w:val="21"/>
              </w:rPr>
              <w:t>检查内容</w:t>
            </w:r>
          </w:p>
        </w:tc>
      </w:tr>
      <w:tr w14:paraId="01A95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502CE3B">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57AE65B4">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5880940A">
            <w:pPr>
              <w:spacing w:line="240" w:lineRule="auto"/>
              <w:ind w:firstLine="420"/>
              <w:rPr>
                <w:rFonts w:hint="eastAsia"/>
                <w:color w:val="auto"/>
                <w:sz w:val="21"/>
              </w:rPr>
            </w:pPr>
            <w:r>
              <w:rPr>
                <w:rFonts w:hint="eastAsia"/>
                <w:color w:val="auto"/>
                <w:sz w:val="21"/>
              </w:rPr>
              <w:t>绝缘子的底座、套管的法兰、保护网（罩）及母线支架等可接近裸露导体应接地（PE）或接零（PEN）可靠。不应作为接地（PE）或接零（PEN）的接续导体。</w:t>
            </w:r>
          </w:p>
          <w:p w14:paraId="57BC21D1">
            <w:pPr>
              <w:spacing w:line="240" w:lineRule="auto"/>
              <w:ind w:firstLine="420"/>
              <w:rPr>
                <w:rFonts w:hint="eastAsia"/>
                <w:color w:val="auto"/>
                <w:sz w:val="21"/>
              </w:rPr>
            </w:pPr>
            <w:r>
              <w:rPr>
                <w:rFonts w:hint="eastAsia"/>
                <w:color w:val="auto"/>
                <w:sz w:val="21"/>
              </w:rPr>
              <w:t>母线是供电主干线，凡与其相关的可接近的裸露导体要接地或接零的理由主要是：发生漏电可导入接地装置，确保接触电压不危及人身安全，同时也给具有保护或讯号的控制回路正确发出讯号提供可能。为防止接地或接零支线线间的串联连接，所以规定不能作为接地或接零的中间导体。</w:t>
            </w:r>
          </w:p>
          <w:p w14:paraId="676A3520">
            <w:pPr>
              <w:spacing w:line="240" w:lineRule="auto"/>
              <w:ind w:firstLine="420"/>
              <w:rPr>
                <w:rFonts w:hint="eastAsia"/>
                <w:color w:val="auto"/>
                <w:sz w:val="21"/>
              </w:rPr>
            </w:pPr>
            <w:r>
              <w:rPr>
                <w:rFonts w:hint="eastAsia"/>
                <w:color w:val="auto"/>
                <w:sz w:val="21"/>
              </w:rPr>
              <w:t>母线与母线或母线与电器界限端子，采用螺栓搭接连接时，应符合下列规定：</w:t>
            </w:r>
          </w:p>
          <w:p w14:paraId="70850389">
            <w:pPr>
              <w:spacing w:line="240" w:lineRule="auto"/>
              <w:ind w:firstLine="420"/>
              <w:rPr>
                <w:rFonts w:hint="eastAsia"/>
                <w:color w:val="auto"/>
                <w:sz w:val="21"/>
              </w:rPr>
            </w:pPr>
            <w:r>
              <w:rPr>
                <w:rFonts w:hint="eastAsia"/>
                <w:color w:val="auto"/>
                <w:sz w:val="21"/>
              </w:rPr>
              <w:t>母线接触面保持清洁，涂电力复合脂，螺栓孔周边无毛刺；</w:t>
            </w:r>
          </w:p>
          <w:p w14:paraId="39E582B9">
            <w:pPr>
              <w:spacing w:line="240" w:lineRule="auto"/>
              <w:ind w:firstLine="420"/>
              <w:rPr>
                <w:rFonts w:hint="eastAsia"/>
                <w:color w:val="auto"/>
                <w:sz w:val="21"/>
              </w:rPr>
            </w:pPr>
            <w:r>
              <w:rPr>
                <w:rFonts w:hint="eastAsia"/>
                <w:color w:val="auto"/>
                <w:sz w:val="21"/>
              </w:rPr>
              <w:t>连接螺栓两侧有平垫圈，相邻垫圈间有大于3mm的间隙，螺母侧装有弹簧垫圈或锁紧螺母；</w:t>
            </w:r>
          </w:p>
          <w:p w14:paraId="34D4D909">
            <w:pPr>
              <w:spacing w:line="240" w:lineRule="auto"/>
              <w:ind w:firstLine="420"/>
              <w:rPr>
                <w:rFonts w:hint="eastAsia"/>
                <w:color w:val="auto"/>
                <w:sz w:val="21"/>
              </w:rPr>
            </w:pPr>
            <w:r>
              <w:rPr>
                <w:rFonts w:hint="eastAsia"/>
                <w:color w:val="auto"/>
                <w:sz w:val="21"/>
              </w:rPr>
              <w:t>螺栓受力均匀，不使电器的接线端子受额外应力。</w:t>
            </w:r>
          </w:p>
          <w:p w14:paraId="64970256">
            <w:pPr>
              <w:spacing w:line="240" w:lineRule="auto"/>
              <w:ind w:firstLine="420"/>
              <w:rPr>
                <w:rFonts w:hint="eastAsia"/>
                <w:color w:val="auto"/>
                <w:sz w:val="21"/>
              </w:rPr>
            </w:pPr>
            <w:r>
              <w:rPr>
                <w:rFonts w:hint="eastAsia"/>
                <w:color w:val="auto"/>
                <w:sz w:val="21"/>
              </w:rPr>
              <w:t>建筑电气工程选用的母线均为矩形铜、铝硬母线，不选用软母线和管型母线。规范仅对矩形母线的安装作出规定。所有规定均与现行国家标准《电气装置安装工程母线装置施工及验收规范》一致。</w:t>
            </w:r>
          </w:p>
          <w:p w14:paraId="104195CE">
            <w:pPr>
              <w:spacing w:line="240" w:lineRule="auto"/>
              <w:ind w:firstLine="420"/>
              <w:rPr>
                <w:rFonts w:hint="eastAsia"/>
                <w:color w:val="auto"/>
                <w:sz w:val="21"/>
              </w:rPr>
            </w:pPr>
            <w:r>
              <w:rPr>
                <w:rFonts w:hint="eastAsia"/>
                <w:color w:val="auto"/>
                <w:sz w:val="21"/>
              </w:rPr>
              <w:t>封闭、插接式母线安装应符合下列规定：</w:t>
            </w:r>
          </w:p>
          <w:p w14:paraId="3F1CBD47">
            <w:pPr>
              <w:spacing w:line="240" w:lineRule="auto"/>
              <w:ind w:firstLine="420"/>
              <w:rPr>
                <w:rFonts w:hint="eastAsia"/>
                <w:color w:val="auto"/>
                <w:sz w:val="21"/>
              </w:rPr>
            </w:pPr>
            <w:r>
              <w:rPr>
                <w:rFonts w:hint="eastAsia"/>
                <w:color w:val="auto"/>
                <w:sz w:val="21"/>
              </w:rPr>
              <w:t>母线与外壳同心，允许偏差为±5mm；</w:t>
            </w:r>
          </w:p>
          <w:p w14:paraId="4C962489">
            <w:pPr>
              <w:spacing w:line="240" w:lineRule="auto"/>
              <w:ind w:firstLine="420"/>
              <w:rPr>
                <w:rFonts w:hint="eastAsia"/>
                <w:color w:val="auto"/>
                <w:sz w:val="21"/>
              </w:rPr>
            </w:pPr>
            <w:r>
              <w:rPr>
                <w:rFonts w:hint="eastAsia"/>
                <w:color w:val="auto"/>
                <w:sz w:val="21"/>
              </w:rPr>
              <w:t>当段与段连接时，两相邻段母线及外壳对准，连接后不使母线及外壳受额外应力；</w:t>
            </w:r>
          </w:p>
          <w:p w14:paraId="37046A25">
            <w:pPr>
              <w:spacing w:line="240" w:lineRule="auto"/>
              <w:ind w:firstLine="420"/>
              <w:rPr>
                <w:rFonts w:hint="eastAsia"/>
                <w:color w:val="auto"/>
                <w:sz w:val="21"/>
              </w:rPr>
            </w:pPr>
            <w:r>
              <w:rPr>
                <w:rFonts w:hint="eastAsia"/>
                <w:color w:val="auto"/>
                <w:sz w:val="21"/>
              </w:rPr>
              <w:t>母线的连接方法符合产品技术文件要求。</w:t>
            </w:r>
          </w:p>
          <w:p w14:paraId="3F68E722">
            <w:pPr>
              <w:spacing w:line="240" w:lineRule="auto"/>
              <w:ind w:firstLine="420"/>
              <w:rPr>
                <w:rFonts w:hint="eastAsia"/>
                <w:color w:val="auto"/>
                <w:sz w:val="21"/>
              </w:rPr>
            </w:pPr>
            <w:r>
              <w:rPr>
                <w:rFonts w:hint="eastAsia"/>
                <w:color w:val="auto"/>
                <w:sz w:val="21"/>
              </w:rPr>
              <w:t>由于封闭、插接式母线是定尺寸按施工图订货和供应，制造商提供的安装技术要求文件，指明连接程序、伸缩节设置和连接以及其他说明，所以安装时要注意符合产品技术文件要求。</w:t>
            </w:r>
          </w:p>
          <w:p w14:paraId="3677C716">
            <w:pPr>
              <w:spacing w:line="240" w:lineRule="auto"/>
              <w:ind w:firstLine="420"/>
              <w:rPr>
                <w:rFonts w:hint="eastAsia"/>
                <w:color w:val="auto"/>
                <w:sz w:val="21"/>
              </w:rPr>
            </w:pPr>
            <w:r>
              <w:rPr>
                <w:rFonts w:hint="eastAsia"/>
                <w:color w:val="auto"/>
                <w:sz w:val="21"/>
              </w:rPr>
              <w:t>安全净距指带电导体与非带电导体间的空间最近距离。保持这个距离可以防止各种原因引起的过电压而发生空气击穿现象，诱发短路事故等电气故障，规定的数值与现行国家标准《电气装置安装工程母线装置施工及验收规范》一致。</w:t>
            </w:r>
          </w:p>
          <w:p w14:paraId="2C1D78A0">
            <w:pPr>
              <w:spacing w:line="240" w:lineRule="auto"/>
              <w:ind w:firstLine="420"/>
              <w:rPr>
                <w:rFonts w:hint="eastAsia"/>
                <w:color w:val="auto"/>
                <w:sz w:val="21"/>
              </w:rPr>
            </w:pPr>
            <w:r>
              <w:rPr>
                <w:rFonts w:hint="eastAsia"/>
                <w:color w:val="auto"/>
                <w:sz w:val="21"/>
              </w:rPr>
              <w:t>母线和其他供电线路一样，安装完毕后，要做电气交接试验。必须注意，6KV以上（含6KV）的母线试验时与穿墙套管要断开，因为有时两者的试验电压是不同的。</w:t>
            </w:r>
          </w:p>
        </w:tc>
      </w:tr>
      <w:tr w14:paraId="2780B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2" w:hRule="atLeast"/>
        </w:trPr>
        <w:tc>
          <w:tcPr>
            <w:tcW w:w="364" w:type="pct"/>
            <w:tcBorders>
              <w:top w:val="single" w:color="auto" w:sz="4" w:space="0"/>
              <w:left w:val="single" w:color="auto" w:sz="4" w:space="0"/>
              <w:bottom w:val="single" w:color="auto" w:sz="4" w:space="0"/>
              <w:right w:val="single" w:color="auto" w:sz="4" w:space="0"/>
            </w:tcBorders>
            <w:vAlign w:val="center"/>
          </w:tcPr>
          <w:p w14:paraId="59C569BD">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05766CDA">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2B3AA96F">
            <w:pPr>
              <w:spacing w:line="240" w:lineRule="auto"/>
              <w:ind w:firstLine="420"/>
              <w:rPr>
                <w:rFonts w:hint="eastAsia"/>
                <w:color w:val="auto"/>
                <w:sz w:val="21"/>
              </w:rPr>
            </w:pPr>
            <w:r>
              <w:rPr>
                <w:rFonts w:hint="eastAsia"/>
                <w:color w:val="auto"/>
                <w:sz w:val="21"/>
              </w:rPr>
              <w:t>母线的支架与预埋铁件采用焊接固定时，焊缝应饱满；采用膨胀螺栓固定时，选用的螺栓应适配，连接应牢固。</w:t>
            </w:r>
          </w:p>
          <w:p w14:paraId="0482D0AF">
            <w:pPr>
              <w:spacing w:line="240" w:lineRule="auto"/>
              <w:ind w:firstLine="420"/>
              <w:rPr>
                <w:rFonts w:hint="eastAsia"/>
                <w:color w:val="auto"/>
                <w:sz w:val="21"/>
              </w:rPr>
            </w:pPr>
            <w:r>
              <w:rPr>
                <w:rFonts w:hint="eastAsia"/>
                <w:color w:val="auto"/>
                <w:sz w:val="21"/>
              </w:rPr>
              <w:t>母线与母线、母线与电器接线端子搭接，搭接面的处理应符合下列规定：</w:t>
            </w:r>
          </w:p>
          <w:p w14:paraId="298C7662">
            <w:pPr>
              <w:spacing w:line="240" w:lineRule="auto"/>
              <w:ind w:firstLine="420"/>
              <w:rPr>
                <w:rFonts w:hint="eastAsia"/>
                <w:color w:val="auto"/>
                <w:sz w:val="21"/>
              </w:rPr>
            </w:pPr>
            <w:r>
              <w:rPr>
                <w:rFonts w:hint="eastAsia"/>
                <w:color w:val="auto"/>
                <w:sz w:val="21"/>
              </w:rPr>
              <w:t>铜与铜：室外、高温且潮湿的室内，搭接面搪锡；干燥的室内，不搪锡；</w:t>
            </w:r>
          </w:p>
          <w:p w14:paraId="0CA658E8">
            <w:pPr>
              <w:spacing w:line="240" w:lineRule="auto"/>
              <w:ind w:firstLine="420"/>
              <w:rPr>
                <w:rFonts w:hint="eastAsia"/>
                <w:color w:val="auto"/>
                <w:sz w:val="21"/>
              </w:rPr>
            </w:pPr>
            <w:r>
              <w:rPr>
                <w:rFonts w:hint="eastAsia"/>
                <w:color w:val="auto"/>
                <w:sz w:val="21"/>
              </w:rPr>
              <w:t>铝与铝：搭接面不做涂层处理；</w:t>
            </w:r>
          </w:p>
          <w:p w14:paraId="64AD84CF">
            <w:pPr>
              <w:spacing w:line="240" w:lineRule="auto"/>
              <w:ind w:firstLine="420"/>
              <w:rPr>
                <w:rFonts w:hint="eastAsia"/>
                <w:color w:val="auto"/>
                <w:sz w:val="21"/>
              </w:rPr>
            </w:pPr>
            <w:r>
              <w:rPr>
                <w:rFonts w:hint="eastAsia"/>
                <w:color w:val="auto"/>
                <w:sz w:val="21"/>
              </w:rPr>
              <w:t>钢与钢：搭接面搪锡或镀锌；</w:t>
            </w:r>
          </w:p>
          <w:p w14:paraId="6FCCF2CE">
            <w:pPr>
              <w:spacing w:line="240" w:lineRule="auto"/>
              <w:ind w:firstLine="420"/>
              <w:rPr>
                <w:rFonts w:hint="eastAsia"/>
                <w:color w:val="auto"/>
                <w:sz w:val="21"/>
              </w:rPr>
            </w:pPr>
            <w:r>
              <w:rPr>
                <w:rFonts w:hint="eastAsia"/>
                <w:color w:val="auto"/>
                <w:sz w:val="21"/>
              </w:rPr>
              <w:t>铜与铝：在干燥的室内，铜导体搭接面搪锡；在潮湿场所，铜导体搭接面搪锡，且采用铜铝过渡板与铝导体连接；</w:t>
            </w:r>
          </w:p>
          <w:p w14:paraId="248BC179">
            <w:pPr>
              <w:spacing w:line="240" w:lineRule="auto"/>
              <w:ind w:firstLine="420"/>
              <w:rPr>
                <w:rFonts w:hint="eastAsia"/>
                <w:color w:val="auto"/>
                <w:sz w:val="21"/>
              </w:rPr>
            </w:pPr>
            <w:r>
              <w:rPr>
                <w:rFonts w:hint="eastAsia"/>
                <w:color w:val="auto"/>
                <w:sz w:val="21"/>
              </w:rPr>
              <w:t>钢与铜或铝：钢搭接面搪锡。</w:t>
            </w:r>
          </w:p>
          <w:p w14:paraId="208A0385">
            <w:pPr>
              <w:spacing w:line="240" w:lineRule="auto"/>
              <w:ind w:firstLine="420"/>
              <w:rPr>
                <w:rFonts w:hint="eastAsia"/>
                <w:color w:val="auto"/>
                <w:sz w:val="21"/>
              </w:rPr>
            </w:pPr>
            <w:r>
              <w:rPr>
                <w:rFonts w:hint="eastAsia"/>
                <w:color w:val="auto"/>
                <w:sz w:val="21"/>
              </w:rPr>
              <w:t>母线的相序排列及涂色，当设计无要求时应符合下列规定：</w:t>
            </w:r>
          </w:p>
          <w:p w14:paraId="69B5C082">
            <w:pPr>
              <w:spacing w:line="240" w:lineRule="auto"/>
              <w:ind w:firstLine="420"/>
              <w:rPr>
                <w:rFonts w:hint="eastAsia"/>
                <w:color w:val="auto"/>
                <w:sz w:val="21"/>
              </w:rPr>
            </w:pPr>
            <w:r>
              <w:rPr>
                <w:rFonts w:hint="eastAsia"/>
                <w:color w:val="auto"/>
                <w:sz w:val="21"/>
              </w:rPr>
              <w:t>上、下布置的交流母线，由上至下排列为A、B、C相；直流母线正极在上，负极在下；</w:t>
            </w:r>
          </w:p>
          <w:p w14:paraId="7CA72818">
            <w:pPr>
              <w:spacing w:line="240" w:lineRule="auto"/>
              <w:ind w:firstLine="420"/>
              <w:rPr>
                <w:rFonts w:hint="eastAsia"/>
                <w:color w:val="auto"/>
                <w:sz w:val="21"/>
              </w:rPr>
            </w:pPr>
            <w:r>
              <w:rPr>
                <w:rFonts w:hint="eastAsia"/>
                <w:color w:val="auto"/>
                <w:sz w:val="21"/>
              </w:rPr>
              <w:t>水平布置的交流母线，由盘后向盘前排列为A、B、C相；直流母线正极在后，负极在前；</w:t>
            </w:r>
          </w:p>
          <w:p w14:paraId="33BA1E00">
            <w:pPr>
              <w:spacing w:line="240" w:lineRule="auto"/>
              <w:ind w:firstLine="420"/>
              <w:rPr>
                <w:rFonts w:hint="eastAsia"/>
                <w:color w:val="auto"/>
                <w:sz w:val="21"/>
              </w:rPr>
            </w:pPr>
            <w:r>
              <w:rPr>
                <w:rFonts w:hint="eastAsia"/>
                <w:color w:val="auto"/>
                <w:sz w:val="21"/>
              </w:rPr>
              <w:t>面对引下线的交流母线，由左至右排列为A、B、C相；直流母线正极在左，负极在右；</w:t>
            </w:r>
          </w:p>
          <w:p w14:paraId="061DB474">
            <w:pPr>
              <w:spacing w:line="240" w:lineRule="auto"/>
              <w:ind w:firstLine="420"/>
              <w:rPr>
                <w:rFonts w:hint="eastAsia"/>
                <w:color w:val="auto"/>
                <w:sz w:val="21"/>
              </w:rPr>
            </w:pPr>
            <w:r>
              <w:rPr>
                <w:rFonts w:hint="eastAsia"/>
                <w:color w:val="auto"/>
                <w:sz w:val="21"/>
              </w:rPr>
              <w:t>母线的涂色：交流，A相为黄色、B相为绿色、C相为红色；直流，正极为赭色、负极为蓝色；在连接处或支持件边缘两侧10mm以内不涂色。</w:t>
            </w:r>
          </w:p>
          <w:p w14:paraId="3CA0806F">
            <w:pPr>
              <w:spacing w:line="240" w:lineRule="auto"/>
              <w:ind w:firstLine="420"/>
              <w:rPr>
                <w:rFonts w:hint="eastAsia"/>
                <w:color w:val="auto"/>
                <w:sz w:val="21"/>
              </w:rPr>
            </w:pPr>
            <w:r>
              <w:rPr>
                <w:rFonts w:hint="eastAsia"/>
                <w:color w:val="auto"/>
                <w:sz w:val="21"/>
              </w:rPr>
              <w:t>母线在绝缘子山安装应符合下列规定：</w:t>
            </w:r>
          </w:p>
          <w:p w14:paraId="746C084C">
            <w:pPr>
              <w:spacing w:line="240" w:lineRule="auto"/>
              <w:ind w:firstLine="420"/>
              <w:rPr>
                <w:rFonts w:hint="eastAsia"/>
                <w:color w:val="auto"/>
                <w:sz w:val="21"/>
              </w:rPr>
            </w:pPr>
            <w:r>
              <w:rPr>
                <w:rFonts w:hint="eastAsia"/>
                <w:color w:val="auto"/>
                <w:sz w:val="21"/>
              </w:rPr>
              <w:t>金具与绝缘子间的固定平整牢固，不使母线受额外应力；</w:t>
            </w:r>
          </w:p>
          <w:p w14:paraId="6F8753FA">
            <w:pPr>
              <w:spacing w:line="240" w:lineRule="auto"/>
              <w:ind w:firstLine="420"/>
              <w:rPr>
                <w:rFonts w:hint="eastAsia"/>
                <w:color w:val="auto"/>
                <w:sz w:val="21"/>
              </w:rPr>
            </w:pPr>
            <w:r>
              <w:rPr>
                <w:rFonts w:hint="eastAsia"/>
                <w:color w:val="auto"/>
                <w:sz w:val="21"/>
              </w:rPr>
              <w:t>交流母线的固定金具或其他支持金具不形成闭合铁磁回路；</w:t>
            </w:r>
          </w:p>
          <w:p w14:paraId="35AD8E24">
            <w:pPr>
              <w:spacing w:line="240" w:lineRule="auto"/>
              <w:ind w:firstLine="420"/>
              <w:rPr>
                <w:rFonts w:hint="eastAsia"/>
                <w:color w:val="auto"/>
                <w:sz w:val="21"/>
              </w:rPr>
            </w:pPr>
            <w:r>
              <w:rPr>
                <w:rFonts w:hint="eastAsia"/>
                <w:color w:val="auto"/>
                <w:sz w:val="21"/>
              </w:rPr>
              <w:t>除固定点外，当母线平置时，母线支持夹板的上部压板与母线间有1～1.5mm的间隙；当母线立置时，上部压板与母线间有1.5～2mm的间隙；</w:t>
            </w:r>
          </w:p>
          <w:p w14:paraId="5E32B958">
            <w:pPr>
              <w:spacing w:line="240" w:lineRule="auto"/>
              <w:ind w:firstLine="420"/>
              <w:rPr>
                <w:rFonts w:hint="eastAsia"/>
                <w:color w:val="auto"/>
                <w:sz w:val="21"/>
              </w:rPr>
            </w:pPr>
            <w:r>
              <w:rPr>
                <w:rFonts w:hint="eastAsia"/>
                <w:color w:val="auto"/>
                <w:sz w:val="21"/>
              </w:rPr>
              <w:t>母线的固定点，每段设置1个，设置于全长或两母线伸缩节的中点；</w:t>
            </w:r>
          </w:p>
          <w:p w14:paraId="5AFD3CA2">
            <w:pPr>
              <w:spacing w:line="240" w:lineRule="auto"/>
              <w:ind w:firstLine="420"/>
              <w:rPr>
                <w:rFonts w:hint="eastAsia"/>
                <w:color w:val="auto"/>
                <w:sz w:val="21"/>
              </w:rPr>
            </w:pPr>
            <w:r>
              <w:rPr>
                <w:rFonts w:hint="eastAsia"/>
                <w:color w:val="auto"/>
                <w:sz w:val="21"/>
              </w:rPr>
              <w:t>母线采用螺栓搭接时，连接处距绝缘子的支持夹板边缘不小于50mm。</w:t>
            </w:r>
          </w:p>
          <w:p w14:paraId="400C009F">
            <w:pPr>
              <w:spacing w:line="240" w:lineRule="auto"/>
              <w:ind w:firstLine="420"/>
              <w:rPr>
                <w:rFonts w:hint="eastAsia"/>
                <w:color w:val="auto"/>
                <w:sz w:val="21"/>
              </w:rPr>
            </w:pPr>
            <w:r>
              <w:rPr>
                <w:rFonts w:hint="eastAsia"/>
                <w:color w:val="auto"/>
                <w:sz w:val="21"/>
              </w:rPr>
              <w:t>封闭、插座式母线组装和固定位置应正确，外壳与底座间、外壳各连接部位和母线的连接螺栓应按产品技术文件要求选择正确，连接紧固</w:t>
            </w:r>
          </w:p>
        </w:tc>
      </w:tr>
    </w:tbl>
    <w:p w14:paraId="0F2917C4">
      <w:pPr>
        <w:rPr>
          <w:rFonts w:hint="eastAsia"/>
          <w:color w:val="auto"/>
        </w:rPr>
      </w:pPr>
      <w:r>
        <w:rPr>
          <w:rFonts w:hint="eastAsia"/>
          <w:color w:val="auto"/>
        </w:rPr>
        <w:t>（7）电缆桥架安装和桥架内电缆敷设</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036"/>
        <w:gridCol w:w="7364"/>
      </w:tblGrid>
      <w:tr w14:paraId="04D1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68178FE">
            <w:pPr>
              <w:spacing w:line="240" w:lineRule="auto"/>
              <w:ind w:firstLine="0" w:firstLineChars="0"/>
              <w:jc w:val="center"/>
              <w:rPr>
                <w:rFonts w:hint="eastAsia"/>
                <w:color w:val="auto"/>
                <w:sz w:val="21"/>
              </w:rPr>
            </w:pPr>
            <w:r>
              <w:rPr>
                <w:rFonts w:hint="eastAsia"/>
                <w:color w:val="auto"/>
                <w:sz w:val="21"/>
              </w:rPr>
              <w:t>序号</w:t>
            </w:r>
          </w:p>
        </w:tc>
        <w:tc>
          <w:tcPr>
            <w:tcW w:w="572" w:type="pct"/>
            <w:tcBorders>
              <w:top w:val="single" w:color="auto" w:sz="4" w:space="0"/>
              <w:left w:val="single" w:color="auto" w:sz="4" w:space="0"/>
              <w:bottom w:val="single" w:color="auto" w:sz="4" w:space="0"/>
              <w:right w:val="single" w:color="auto" w:sz="4" w:space="0"/>
            </w:tcBorders>
            <w:vAlign w:val="center"/>
          </w:tcPr>
          <w:p w14:paraId="200B8A5B">
            <w:pPr>
              <w:spacing w:line="240" w:lineRule="auto"/>
              <w:ind w:firstLine="0" w:firstLineChars="0"/>
              <w:jc w:val="center"/>
              <w:rPr>
                <w:rFonts w:hint="eastAsia"/>
                <w:color w:val="auto"/>
                <w:sz w:val="21"/>
              </w:rPr>
            </w:pPr>
            <w:r>
              <w:rPr>
                <w:rFonts w:hint="eastAsia"/>
                <w:color w:val="auto"/>
                <w:sz w:val="21"/>
              </w:rPr>
              <w:t>项目类型</w:t>
            </w:r>
          </w:p>
        </w:tc>
        <w:tc>
          <w:tcPr>
            <w:tcW w:w="4064" w:type="pct"/>
            <w:tcBorders>
              <w:top w:val="single" w:color="auto" w:sz="4" w:space="0"/>
              <w:left w:val="single" w:color="auto" w:sz="4" w:space="0"/>
              <w:bottom w:val="single" w:color="auto" w:sz="4" w:space="0"/>
              <w:right w:val="single" w:color="auto" w:sz="4" w:space="0"/>
            </w:tcBorders>
            <w:vAlign w:val="center"/>
          </w:tcPr>
          <w:p w14:paraId="75C795FA">
            <w:pPr>
              <w:spacing w:line="240" w:lineRule="auto"/>
              <w:ind w:firstLine="0" w:firstLineChars="0"/>
              <w:jc w:val="center"/>
              <w:rPr>
                <w:rFonts w:hint="eastAsia"/>
                <w:color w:val="auto"/>
                <w:sz w:val="21"/>
              </w:rPr>
            </w:pPr>
            <w:r>
              <w:rPr>
                <w:rFonts w:hint="eastAsia"/>
                <w:color w:val="auto"/>
                <w:sz w:val="21"/>
              </w:rPr>
              <w:t>检查内容</w:t>
            </w:r>
          </w:p>
        </w:tc>
      </w:tr>
      <w:tr w14:paraId="1E01A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8BEE48B">
            <w:pPr>
              <w:spacing w:line="240" w:lineRule="auto"/>
              <w:ind w:firstLine="0" w:firstLineChars="0"/>
              <w:jc w:val="center"/>
              <w:rPr>
                <w:rFonts w:hint="eastAsia"/>
                <w:color w:val="auto"/>
                <w:sz w:val="21"/>
              </w:rPr>
            </w:pPr>
            <w:r>
              <w:rPr>
                <w:rFonts w:hint="eastAsia"/>
                <w:color w:val="auto"/>
                <w:sz w:val="21"/>
              </w:rPr>
              <w:t>1</w:t>
            </w:r>
          </w:p>
        </w:tc>
        <w:tc>
          <w:tcPr>
            <w:tcW w:w="572" w:type="pct"/>
            <w:tcBorders>
              <w:top w:val="single" w:color="auto" w:sz="4" w:space="0"/>
              <w:left w:val="single" w:color="auto" w:sz="4" w:space="0"/>
              <w:bottom w:val="single" w:color="auto" w:sz="4" w:space="0"/>
              <w:right w:val="single" w:color="auto" w:sz="4" w:space="0"/>
            </w:tcBorders>
            <w:vAlign w:val="center"/>
          </w:tcPr>
          <w:p w14:paraId="4E529DD5">
            <w:pPr>
              <w:spacing w:line="240" w:lineRule="auto"/>
              <w:ind w:firstLine="0" w:firstLineChars="0"/>
              <w:jc w:val="center"/>
              <w:rPr>
                <w:rFonts w:hint="eastAsia"/>
                <w:color w:val="auto"/>
                <w:sz w:val="21"/>
              </w:rPr>
            </w:pPr>
            <w:r>
              <w:rPr>
                <w:rFonts w:hint="eastAsia"/>
                <w:color w:val="auto"/>
                <w:sz w:val="21"/>
              </w:rPr>
              <w:t>主控项目</w:t>
            </w:r>
          </w:p>
        </w:tc>
        <w:tc>
          <w:tcPr>
            <w:tcW w:w="4064" w:type="pct"/>
            <w:tcBorders>
              <w:top w:val="single" w:color="auto" w:sz="4" w:space="0"/>
              <w:left w:val="single" w:color="auto" w:sz="4" w:space="0"/>
              <w:bottom w:val="single" w:color="auto" w:sz="4" w:space="0"/>
              <w:right w:val="single" w:color="auto" w:sz="4" w:space="0"/>
            </w:tcBorders>
            <w:vAlign w:val="center"/>
          </w:tcPr>
          <w:p w14:paraId="527DDF9A">
            <w:pPr>
              <w:spacing w:line="240" w:lineRule="auto"/>
              <w:ind w:firstLine="420"/>
              <w:rPr>
                <w:rFonts w:hint="eastAsia"/>
                <w:color w:val="auto"/>
                <w:sz w:val="21"/>
              </w:rPr>
            </w:pPr>
            <w:r>
              <w:rPr>
                <w:rFonts w:hint="eastAsia"/>
                <w:color w:val="auto"/>
                <w:sz w:val="21"/>
              </w:rPr>
              <w:t>金属电缆桥架和引入或引出的金属电缆导管必须接地（PE）或接零（PEN）可靠，且必须符合下列规定：</w:t>
            </w:r>
          </w:p>
          <w:p w14:paraId="41F7EE03">
            <w:pPr>
              <w:spacing w:line="240" w:lineRule="auto"/>
              <w:ind w:firstLine="420"/>
              <w:rPr>
                <w:rFonts w:hint="eastAsia"/>
                <w:color w:val="auto"/>
                <w:sz w:val="21"/>
              </w:rPr>
            </w:pPr>
            <w:r>
              <w:rPr>
                <w:rFonts w:hint="eastAsia"/>
                <w:color w:val="auto"/>
                <w:sz w:val="21"/>
              </w:rPr>
              <w:t>金属电缆桥架及其支架全长应不少于2处与接地（PE）或接零（PEN）干线相连接；</w:t>
            </w:r>
          </w:p>
          <w:p w14:paraId="5F72C57A">
            <w:pPr>
              <w:spacing w:line="240" w:lineRule="auto"/>
              <w:ind w:firstLine="420"/>
              <w:rPr>
                <w:rFonts w:hint="eastAsia"/>
                <w:color w:val="auto"/>
                <w:sz w:val="21"/>
              </w:rPr>
            </w:pPr>
            <w:r>
              <w:rPr>
                <w:rFonts w:hint="eastAsia"/>
                <w:color w:val="auto"/>
                <w:sz w:val="21"/>
              </w:rPr>
              <w:t>非镀锌电缆桥架间连接板的两端跨接铜芯地线，接地线最小允许截面积不小于4mm²；</w:t>
            </w:r>
          </w:p>
          <w:p w14:paraId="510EB1BC">
            <w:pPr>
              <w:spacing w:line="240" w:lineRule="auto"/>
              <w:ind w:firstLine="420"/>
              <w:rPr>
                <w:rFonts w:hint="eastAsia"/>
                <w:color w:val="auto"/>
                <w:sz w:val="21"/>
              </w:rPr>
            </w:pPr>
            <w:r>
              <w:rPr>
                <w:rFonts w:hint="eastAsia"/>
                <w:color w:val="auto"/>
                <w:sz w:val="21"/>
              </w:rPr>
              <w:t>镀锌电缆桥架间连接板的两端不跨接接地线，但连接板两端不少于2个有防松螺帽或防松垫圈的连接固定螺栓。</w:t>
            </w:r>
          </w:p>
          <w:p w14:paraId="3BC56006">
            <w:pPr>
              <w:spacing w:line="240" w:lineRule="auto"/>
              <w:ind w:firstLine="420"/>
              <w:rPr>
                <w:rFonts w:hint="eastAsia"/>
                <w:color w:val="auto"/>
                <w:sz w:val="21"/>
              </w:rPr>
            </w:pPr>
            <w:r>
              <w:rPr>
                <w:rFonts w:hint="eastAsia"/>
                <w:color w:val="auto"/>
                <w:sz w:val="21"/>
              </w:rPr>
              <w:t>电缆敷设严禁有绞拧、铠装压扁、护层断裂和表面严重划伤等缺陷。</w:t>
            </w:r>
          </w:p>
        </w:tc>
      </w:tr>
      <w:tr w14:paraId="04D3E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F8FCF8C">
            <w:pPr>
              <w:spacing w:line="240" w:lineRule="auto"/>
              <w:ind w:firstLine="0" w:firstLineChars="0"/>
              <w:jc w:val="center"/>
              <w:rPr>
                <w:rFonts w:hint="eastAsia"/>
                <w:color w:val="auto"/>
                <w:sz w:val="21"/>
              </w:rPr>
            </w:pPr>
            <w:r>
              <w:rPr>
                <w:rFonts w:hint="eastAsia"/>
                <w:color w:val="auto"/>
                <w:sz w:val="21"/>
              </w:rPr>
              <w:t>2</w:t>
            </w:r>
          </w:p>
        </w:tc>
        <w:tc>
          <w:tcPr>
            <w:tcW w:w="572" w:type="pct"/>
            <w:tcBorders>
              <w:top w:val="single" w:color="auto" w:sz="4" w:space="0"/>
              <w:left w:val="single" w:color="auto" w:sz="4" w:space="0"/>
              <w:bottom w:val="single" w:color="auto" w:sz="4" w:space="0"/>
              <w:right w:val="single" w:color="auto" w:sz="4" w:space="0"/>
            </w:tcBorders>
            <w:vAlign w:val="center"/>
          </w:tcPr>
          <w:p w14:paraId="0B1A162A">
            <w:pPr>
              <w:spacing w:line="240" w:lineRule="auto"/>
              <w:ind w:firstLine="0" w:firstLineChars="0"/>
              <w:jc w:val="center"/>
              <w:rPr>
                <w:rFonts w:hint="eastAsia"/>
                <w:color w:val="auto"/>
                <w:sz w:val="21"/>
              </w:rPr>
            </w:pPr>
            <w:r>
              <w:rPr>
                <w:rFonts w:hint="eastAsia"/>
                <w:color w:val="auto"/>
                <w:sz w:val="21"/>
              </w:rPr>
              <w:t>一般项目</w:t>
            </w:r>
          </w:p>
        </w:tc>
        <w:tc>
          <w:tcPr>
            <w:tcW w:w="4064" w:type="pct"/>
            <w:tcBorders>
              <w:top w:val="single" w:color="auto" w:sz="4" w:space="0"/>
              <w:left w:val="single" w:color="auto" w:sz="4" w:space="0"/>
              <w:bottom w:val="single" w:color="auto" w:sz="4" w:space="0"/>
              <w:right w:val="single" w:color="auto" w:sz="4" w:space="0"/>
            </w:tcBorders>
            <w:vAlign w:val="center"/>
          </w:tcPr>
          <w:p w14:paraId="02D0F6BE">
            <w:pPr>
              <w:spacing w:line="240" w:lineRule="auto"/>
              <w:ind w:firstLine="420"/>
              <w:rPr>
                <w:rFonts w:hint="eastAsia"/>
                <w:color w:val="auto"/>
                <w:sz w:val="21"/>
              </w:rPr>
            </w:pPr>
            <w:r>
              <w:rPr>
                <w:rFonts w:hint="eastAsia"/>
                <w:color w:val="auto"/>
                <w:sz w:val="21"/>
              </w:rPr>
              <w:t>电缆桥架安装应符合下列规定：</w:t>
            </w:r>
          </w:p>
          <w:p w14:paraId="25969451">
            <w:pPr>
              <w:spacing w:line="240" w:lineRule="auto"/>
              <w:ind w:firstLine="420"/>
              <w:rPr>
                <w:rFonts w:hint="eastAsia"/>
                <w:color w:val="auto"/>
                <w:sz w:val="21"/>
              </w:rPr>
            </w:pPr>
            <w:r>
              <w:rPr>
                <w:rFonts w:hint="eastAsia"/>
                <w:color w:val="auto"/>
                <w:sz w:val="21"/>
              </w:rPr>
              <w:t>直线段钢制电缆架长度超过30m、铝合金或玻璃钢制电缆桥架长度超过1.5mm设有伸缩节；电缆桥架跨越建筑物变形缝处设置补偿装置；</w:t>
            </w:r>
          </w:p>
          <w:p w14:paraId="1CC4B13C">
            <w:pPr>
              <w:spacing w:line="240" w:lineRule="auto"/>
              <w:ind w:firstLine="420"/>
              <w:rPr>
                <w:rFonts w:hint="eastAsia"/>
                <w:color w:val="auto"/>
                <w:sz w:val="21"/>
              </w:rPr>
            </w:pPr>
            <w:r>
              <w:rPr>
                <w:rFonts w:hint="eastAsia"/>
                <w:color w:val="auto"/>
                <w:sz w:val="21"/>
              </w:rPr>
              <w:t>电缆桥架转弯处的弯曲半径，不小于桥架内电缆最小允许弯曲半径，电缆最小允许弯曲半径见电缆最小弯曲半径表。</w:t>
            </w:r>
          </w:p>
          <w:p w14:paraId="40D0120E">
            <w:pPr>
              <w:spacing w:line="240" w:lineRule="auto"/>
              <w:ind w:firstLine="420"/>
              <w:rPr>
                <w:rFonts w:hint="eastAsia"/>
                <w:color w:val="auto"/>
                <w:sz w:val="21"/>
              </w:rPr>
            </w:pPr>
            <w:r>
              <w:rPr>
                <w:rFonts w:hint="eastAsia"/>
                <w:color w:val="auto"/>
                <w:sz w:val="21"/>
              </w:rPr>
              <w:t>当设计无要求时，电缆桥架水平安装的支架间距为1.5～3m；垂直安装的支架间距不大于2m；</w:t>
            </w:r>
          </w:p>
          <w:p w14:paraId="095172F7">
            <w:pPr>
              <w:spacing w:line="240" w:lineRule="auto"/>
              <w:ind w:firstLine="420"/>
              <w:rPr>
                <w:rFonts w:hint="eastAsia"/>
                <w:color w:val="auto"/>
                <w:sz w:val="21"/>
              </w:rPr>
            </w:pPr>
            <w:r>
              <w:rPr>
                <w:rFonts w:hint="eastAsia"/>
                <w:color w:val="auto"/>
                <w:sz w:val="21"/>
              </w:rPr>
              <w:t>桥架与支架间螺栓、桥架连接板螺栓固定紧固无遗漏，螺母位于桥架外侧；当铝合金桥架与钢支架固定时，有相互间绝缘的防电化腐蚀措施；</w:t>
            </w:r>
          </w:p>
          <w:p w14:paraId="14B412F9">
            <w:pPr>
              <w:spacing w:line="240" w:lineRule="auto"/>
              <w:ind w:firstLine="420"/>
              <w:rPr>
                <w:rFonts w:hint="eastAsia"/>
                <w:color w:val="auto"/>
                <w:sz w:val="21"/>
              </w:rPr>
            </w:pPr>
            <w:r>
              <w:rPr>
                <w:rFonts w:hint="eastAsia"/>
                <w:color w:val="auto"/>
                <w:sz w:val="21"/>
              </w:rPr>
              <w:t>电缆桥架敷设在易燃易爆气体管道和热力管道的下方，当设计无要求时，与管道的最小净距，符合与管道最小净距表的规定：</w:t>
            </w:r>
          </w:p>
          <w:p w14:paraId="5B48987F">
            <w:pPr>
              <w:spacing w:line="240" w:lineRule="auto"/>
              <w:ind w:firstLine="420"/>
              <w:rPr>
                <w:rFonts w:hint="eastAsia"/>
                <w:color w:val="auto"/>
                <w:sz w:val="21"/>
              </w:rPr>
            </w:pPr>
            <w:r>
              <w:rPr>
                <w:rFonts w:hint="eastAsia"/>
                <w:color w:val="auto"/>
                <w:sz w:val="21"/>
              </w:rPr>
              <w:t>敷设在竖井内和穿越不同防火区的桥架，按设计要求位置，有防火隔堵措施；</w:t>
            </w:r>
          </w:p>
          <w:p w14:paraId="0B0F2944">
            <w:pPr>
              <w:spacing w:line="240" w:lineRule="auto"/>
              <w:ind w:firstLine="420"/>
              <w:rPr>
                <w:rFonts w:hint="eastAsia"/>
                <w:color w:val="auto"/>
                <w:sz w:val="21"/>
              </w:rPr>
            </w:pPr>
            <w:r>
              <w:rPr>
                <w:rFonts w:hint="eastAsia"/>
                <w:color w:val="auto"/>
                <w:sz w:val="21"/>
              </w:rPr>
              <w:t>支架与预埋件焊接固定时，焊缝饱满；膨胀螺栓固定时，选用螺栓适配，连接紧固，防松零件齐全。</w:t>
            </w:r>
          </w:p>
          <w:p w14:paraId="5FAEC31C">
            <w:pPr>
              <w:spacing w:line="240" w:lineRule="auto"/>
              <w:ind w:firstLine="420"/>
              <w:rPr>
                <w:rFonts w:hint="eastAsia"/>
                <w:color w:val="auto"/>
                <w:sz w:val="21"/>
              </w:rPr>
            </w:pPr>
            <w:r>
              <w:rPr>
                <w:rFonts w:hint="eastAsia"/>
                <w:color w:val="auto"/>
                <w:sz w:val="21"/>
              </w:rPr>
              <w:t>桥架内电缆敷设应符合下列规定：</w:t>
            </w:r>
          </w:p>
          <w:p w14:paraId="4E7FE5DC">
            <w:pPr>
              <w:spacing w:line="240" w:lineRule="auto"/>
              <w:ind w:firstLine="420"/>
              <w:rPr>
                <w:rFonts w:hint="eastAsia"/>
                <w:color w:val="auto"/>
                <w:sz w:val="21"/>
              </w:rPr>
            </w:pPr>
            <w:r>
              <w:rPr>
                <w:rFonts w:hint="eastAsia"/>
                <w:color w:val="auto"/>
                <w:sz w:val="21"/>
              </w:rPr>
              <w:t>大于45°倾斜敷设的电缆每隔2m处设固定点；</w:t>
            </w:r>
          </w:p>
          <w:p w14:paraId="1BA1F6DA">
            <w:pPr>
              <w:spacing w:line="240" w:lineRule="auto"/>
              <w:ind w:firstLine="420"/>
              <w:rPr>
                <w:rFonts w:hint="eastAsia"/>
                <w:color w:val="auto"/>
                <w:sz w:val="21"/>
              </w:rPr>
            </w:pPr>
            <w:r>
              <w:rPr>
                <w:rFonts w:hint="eastAsia"/>
                <w:color w:val="auto"/>
                <w:sz w:val="21"/>
              </w:rPr>
              <w:t>电缆出入电缆沟、竖井、建筑物、柜（盘）台处以及管子管口处等做密封处理；</w:t>
            </w:r>
          </w:p>
          <w:p w14:paraId="2F87B913">
            <w:pPr>
              <w:spacing w:line="240" w:lineRule="auto"/>
              <w:ind w:firstLine="420"/>
              <w:rPr>
                <w:rFonts w:hint="eastAsia"/>
                <w:color w:val="auto"/>
                <w:sz w:val="21"/>
              </w:rPr>
            </w:pPr>
            <w:r>
              <w:rPr>
                <w:rFonts w:hint="eastAsia"/>
                <w:color w:val="auto"/>
                <w:sz w:val="21"/>
              </w:rPr>
              <w:t>电缆敷设排列整齐，水平敷设的电缆，首尾两端、转弯两侧及每隔5～10m处设固定点；敷设于垂直桥架内的电缆固定点间距，不大于电缆固定点的间距表规定。</w:t>
            </w:r>
          </w:p>
        </w:tc>
      </w:tr>
    </w:tbl>
    <w:p w14:paraId="50D2D12B">
      <w:pPr>
        <w:rPr>
          <w:rFonts w:hint="eastAsia"/>
          <w:color w:val="auto"/>
        </w:rPr>
      </w:pPr>
      <w:r>
        <w:rPr>
          <w:rFonts w:hint="eastAsia"/>
          <w:color w:val="auto"/>
        </w:rPr>
        <w:t>电缆最小允许弯曲半径规定如下：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4599"/>
        <w:gridCol w:w="3468"/>
      </w:tblGrid>
      <w:tr w14:paraId="1AD8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42AF413A">
            <w:pPr>
              <w:spacing w:line="240" w:lineRule="auto"/>
              <w:ind w:firstLine="0" w:firstLineChars="0"/>
              <w:jc w:val="center"/>
              <w:rPr>
                <w:rFonts w:hint="eastAsia"/>
                <w:color w:val="auto"/>
                <w:sz w:val="21"/>
              </w:rPr>
            </w:pPr>
            <w:r>
              <w:rPr>
                <w:rFonts w:hint="eastAsia"/>
                <w:color w:val="auto"/>
                <w:sz w:val="21"/>
              </w:rPr>
              <w:t>序号</w:t>
            </w:r>
          </w:p>
        </w:tc>
        <w:tc>
          <w:tcPr>
            <w:tcW w:w="2538" w:type="pct"/>
            <w:tcBorders>
              <w:top w:val="single" w:color="auto" w:sz="4" w:space="0"/>
              <w:left w:val="single" w:color="auto" w:sz="4" w:space="0"/>
              <w:bottom w:val="single" w:color="auto" w:sz="4" w:space="0"/>
              <w:right w:val="single" w:color="auto" w:sz="4" w:space="0"/>
            </w:tcBorders>
            <w:vAlign w:val="center"/>
          </w:tcPr>
          <w:p w14:paraId="58662968">
            <w:pPr>
              <w:spacing w:line="240" w:lineRule="auto"/>
              <w:ind w:firstLine="0" w:firstLineChars="0"/>
              <w:jc w:val="center"/>
              <w:rPr>
                <w:rFonts w:hint="eastAsia"/>
                <w:color w:val="auto"/>
                <w:sz w:val="21"/>
              </w:rPr>
            </w:pPr>
            <w:r>
              <w:rPr>
                <w:rFonts w:hint="eastAsia"/>
                <w:color w:val="auto"/>
                <w:sz w:val="21"/>
              </w:rPr>
              <w:t>电缆种类</w:t>
            </w:r>
          </w:p>
        </w:tc>
        <w:tc>
          <w:tcPr>
            <w:tcW w:w="1914" w:type="pct"/>
            <w:tcBorders>
              <w:top w:val="single" w:color="auto" w:sz="4" w:space="0"/>
              <w:left w:val="single" w:color="auto" w:sz="4" w:space="0"/>
              <w:bottom w:val="single" w:color="auto" w:sz="4" w:space="0"/>
              <w:right w:val="single" w:color="auto" w:sz="4" w:space="0"/>
            </w:tcBorders>
            <w:vAlign w:val="center"/>
          </w:tcPr>
          <w:p w14:paraId="624F64BA">
            <w:pPr>
              <w:spacing w:line="240" w:lineRule="auto"/>
              <w:ind w:firstLine="0" w:firstLineChars="0"/>
              <w:jc w:val="center"/>
              <w:rPr>
                <w:rFonts w:hint="eastAsia"/>
                <w:color w:val="auto"/>
                <w:sz w:val="21"/>
              </w:rPr>
            </w:pPr>
            <w:r>
              <w:rPr>
                <w:rFonts w:hint="eastAsia"/>
                <w:color w:val="auto"/>
                <w:sz w:val="21"/>
              </w:rPr>
              <w:t>最小允许弯曲半径</w:t>
            </w:r>
          </w:p>
        </w:tc>
      </w:tr>
      <w:tr w14:paraId="53E92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725B4F34">
            <w:pPr>
              <w:spacing w:line="240" w:lineRule="auto"/>
              <w:ind w:firstLine="0" w:firstLineChars="0"/>
              <w:jc w:val="center"/>
              <w:rPr>
                <w:rFonts w:hint="eastAsia"/>
                <w:color w:val="auto"/>
                <w:sz w:val="21"/>
              </w:rPr>
            </w:pPr>
            <w:r>
              <w:rPr>
                <w:rFonts w:hint="eastAsia"/>
                <w:color w:val="auto"/>
                <w:sz w:val="21"/>
              </w:rPr>
              <w:t>1</w:t>
            </w:r>
          </w:p>
        </w:tc>
        <w:tc>
          <w:tcPr>
            <w:tcW w:w="2538" w:type="pct"/>
            <w:tcBorders>
              <w:top w:val="single" w:color="auto" w:sz="4" w:space="0"/>
              <w:left w:val="single" w:color="auto" w:sz="4" w:space="0"/>
              <w:bottom w:val="single" w:color="auto" w:sz="4" w:space="0"/>
              <w:right w:val="single" w:color="auto" w:sz="4" w:space="0"/>
            </w:tcBorders>
            <w:vAlign w:val="center"/>
          </w:tcPr>
          <w:p w14:paraId="33FA764D">
            <w:pPr>
              <w:spacing w:line="240" w:lineRule="auto"/>
              <w:ind w:firstLine="0" w:firstLineChars="0"/>
              <w:jc w:val="center"/>
              <w:rPr>
                <w:rFonts w:hint="eastAsia"/>
                <w:color w:val="auto"/>
                <w:sz w:val="21"/>
              </w:rPr>
            </w:pPr>
            <w:r>
              <w:rPr>
                <w:rFonts w:hint="eastAsia"/>
                <w:color w:val="auto"/>
                <w:sz w:val="21"/>
              </w:rPr>
              <w:t>无铅包钢铠护套的橡皮绝缘电力电缆</w:t>
            </w:r>
          </w:p>
        </w:tc>
        <w:tc>
          <w:tcPr>
            <w:tcW w:w="1914" w:type="pct"/>
            <w:tcBorders>
              <w:top w:val="single" w:color="auto" w:sz="4" w:space="0"/>
              <w:left w:val="single" w:color="auto" w:sz="4" w:space="0"/>
              <w:bottom w:val="single" w:color="auto" w:sz="4" w:space="0"/>
              <w:right w:val="single" w:color="auto" w:sz="4" w:space="0"/>
            </w:tcBorders>
            <w:vAlign w:val="center"/>
          </w:tcPr>
          <w:p w14:paraId="2A993DEB">
            <w:pPr>
              <w:spacing w:line="240" w:lineRule="auto"/>
              <w:ind w:firstLine="0" w:firstLineChars="0"/>
              <w:jc w:val="center"/>
              <w:rPr>
                <w:rFonts w:hint="eastAsia"/>
                <w:color w:val="auto"/>
                <w:sz w:val="21"/>
              </w:rPr>
            </w:pPr>
            <w:r>
              <w:rPr>
                <w:rFonts w:hint="eastAsia"/>
                <w:color w:val="auto"/>
                <w:sz w:val="21"/>
              </w:rPr>
              <w:t>10D</w:t>
            </w:r>
          </w:p>
        </w:tc>
      </w:tr>
      <w:tr w14:paraId="302D0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31A246DF">
            <w:pPr>
              <w:spacing w:line="240" w:lineRule="auto"/>
              <w:ind w:firstLine="0" w:firstLineChars="0"/>
              <w:jc w:val="center"/>
              <w:rPr>
                <w:rFonts w:hint="eastAsia"/>
                <w:color w:val="auto"/>
                <w:sz w:val="21"/>
              </w:rPr>
            </w:pPr>
            <w:r>
              <w:rPr>
                <w:rFonts w:hint="eastAsia"/>
                <w:color w:val="auto"/>
                <w:sz w:val="21"/>
              </w:rPr>
              <w:t>2</w:t>
            </w:r>
          </w:p>
        </w:tc>
        <w:tc>
          <w:tcPr>
            <w:tcW w:w="2538" w:type="pct"/>
            <w:tcBorders>
              <w:top w:val="single" w:color="auto" w:sz="4" w:space="0"/>
              <w:left w:val="single" w:color="auto" w:sz="4" w:space="0"/>
              <w:bottom w:val="single" w:color="auto" w:sz="4" w:space="0"/>
              <w:right w:val="single" w:color="auto" w:sz="4" w:space="0"/>
            </w:tcBorders>
            <w:vAlign w:val="center"/>
          </w:tcPr>
          <w:p w14:paraId="3985BA1F">
            <w:pPr>
              <w:spacing w:line="240" w:lineRule="auto"/>
              <w:ind w:firstLine="0" w:firstLineChars="0"/>
              <w:jc w:val="center"/>
              <w:rPr>
                <w:rFonts w:hint="eastAsia"/>
                <w:color w:val="auto"/>
                <w:sz w:val="21"/>
              </w:rPr>
            </w:pPr>
            <w:r>
              <w:rPr>
                <w:rFonts w:hint="eastAsia"/>
                <w:color w:val="auto"/>
                <w:sz w:val="21"/>
              </w:rPr>
              <w:t>有钢铠护套的橡皮绝缘电力电缆</w:t>
            </w:r>
          </w:p>
        </w:tc>
        <w:tc>
          <w:tcPr>
            <w:tcW w:w="1914" w:type="pct"/>
            <w:tcBorders>
              <w:top w:val="single" w:color="auto" w:sz="4" w:space="0"/>
              <w:left w:val="single" w:color="auto" w:sz="4" w:space="0"/>
              <w:bottom w:val="single" w:color="auto" w:sz="4" w:space="0"/>
              <w:right w:val="single" w:color="auto" w:sz="4" w:space="0"/>
            </w:tcBorders>
            <w:vAlign w:val="center"/>
          </w:tcPr>
          <w:p w14:paraId="5A41FA52">
            <w:pPr>
              <w:spacing w:line="240" w:lineRule="auto"/>
              <w:ind w:firstLine="0" w:firstLineChars="0"/>
              <w:jc w:val="center"/>
              <w:rPr>
                <w:rFonts w:hint="eastAsia"/>
                <w:color w:val="auto"/>
                <w:sz w:val="21"/>
              </w:rPr>
            </w:pPr>
            <w:r>
              <w:rPr>
                <w:rFonts w:hint="eastAsia"/>
                <w:color w:val="auto"/>
                <w:sz w:val="21"/>
              </w:rPr>
              <w:t>20D</w:t>
            </w:r>
          </w:p>
        </w:tc>
      </w:tr>
      <w:tr w14:paraId="31516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4B1C6D87">
            <w:pPr>
              <w:spacing w:line="240" w:lineRule="auto"/>
              <w:ind w:firstLine="0" w:firstLineChars="0"/>
              <w:jc w:val="center"/>
              <w:rPr>
                <w:rFonts w:hint="eastAsia"/>
                <w:color w:val="auto"/>
                <w:sz w:val="21"/>
              </w:rPr>
            </w:pPr>
            <w:r>
              <w:rPr>
                <w:rFonts w:hint="eastAsia"/>
                <w:color w:val="auto"/>
                <w:sz w:val="21"/>
              </w:rPr>
              <w:t>3</w:t>
            </w:r>
          </w:p>
        </w:tc>
        <w:tc>
          <w:tcPr>
            <w:tcW w:w="2538" w:type="pct"/>
            <w:tcBorders>
              <w:top w:val="single" w:color="auto" w:sz="4" w:space="0"/>
              <w:left w:val="single" w:color="auto" w:sz="4" w:space="0"/>
              <w:bottom w:val="single" w:color="auto" w:sz="4" w:space="0"/>
              <w:right w:val="single" w:color="auto" w:sz="4" w:space="0"/>
            </w:tcBorders>
            <w:vAlign w:val="center"/>
          </w:tcPr>
          <w:p w14:paraId="1CA2A378">
            <w:pPr>
              <w:spacing w:line="240" w:lineRule="auto"/>
              <w:ind w:firstLine="0" w:firstLineChars="0"/>
              <w:jc w:val="center"/>
              <w:rPr>
                <w:rFonts w:hint="eastAsia"/>
                <w:color w:val="auto"/>
                <w:sz w:val="21"/>
              </w:rPr>
            </w:pPr>
            <w:r>
              <w:rPr>
                <w:rFonts w:hint="eastAsia"/>
                <w:color w:val="auto"/>
                <w:sz w:val="21"/>
              </w:rPr>
              <w:t>聚氯乙烯绝缘电力电缆</w:t>
            </w:r>
          </w:p>
        </w:tc>
        <w:tc>
          <w:tcPr>
            <w:tcW w:w="1914" w:type="pct"/>
            <w:tcBorders>
              <w:top w:val="single" w:color="auto" w:sz="4" w:space="0"/>
              <w:left w:val="single" w:color="auto" w:sz="4" w:space="0"/>
              <w:bottom w:val="single" w:color="auto" w:sz="4" w:space="0"/>
              <w:right w:val="single" w:color="auto" w:sz="4" w:space="0"/>
            </w:tcBorders>
            <w:vAlign w:val="center"/>
          </w:tcPr>
          <w:p w14:paraId="2665FAC0">
            <w:pPr>
              <w:spacing w:line="240" w:lineRule="auto"/>
              <w:ind w:firstLine="0" w:firstLineChars="0"/>
              <w:jc w:val="center"/>
              <w:rPr>
                <w:rFonts w:hint="eastAsia"/>
                <w:color w:val="auto"/>
                <w:sz w:val="21"/>
              </w:rPr>
            </w:pPr>
            <w:r>
              <w:rPr>
                <w:rFonts w:hint="eastAsia"/>
                <w:color w:val="auto"/>
                <w:sz w:val="21"/>
              </w:rPr>
              <w:t>10D</w:t>
            </w:r>
          </w:p>
        </w:tc>
      </w:tr>
      <w:tr w14:paraId="3F234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1C09A4D5">
            <w:pPr>
              <w:spacing w:line="240" w:lineRule="auto"/>
              <w:ind w:firstLine="0" w:firstLineChars="0"/>
              <w:jc w:val="center"/>
              <w:rPr>
                <w:rFonts w:hint="eastAsia"/>
                <w:color w:val="auto"/>
                <w:sz w:val="21"/>
              </w:rPr>
            </w:pPr>
            <w:r>
              <w:rPr>
                <w:rFonts w:hint="eastAsia"/>
                <w:color w:val="auto"/>
                <w:sz w:val="21"/>
              </w:rPr>
              <w:t>4</w:t>
            </w:r>
          </w:p>
        </w:tc>
        <w:tc>
          <w:tcPr>
            <w:tcW w:w="2538" w:type="pct"/>
            <w:tcBorders>
              <w:top w:val="single" w:color="auto" w:sz="4" w:space="0"/>
              <w:left w:val="single" w:color="auto" w:sz="4" w:space="0"/>
              <w:bottom w:val="single" w:color="auto" w:sz="4" w:space="0"/>
              <w:right w:val="single" w:color="auto" w:sz="4" w:space="0"/>
            </w:tcBorders>
            <w:vAlign w:val="center"/>
          </w:tcPr>
          <w:p w14:paraId="390541EA">
            <w:pPr>
              <w:spacing w:line="240" w:lineRule="auto"/>
              <w:ind w:firstLine="0" w:firstLineChars="0"/>
              <w:jc w:val="center"/>
              <w:rPr>
                <w:rFonts w:hint="eastAsia"/>
                <w:color w:val="auto"/>
                <w:sz w:val="21"/>
              </w:rPr>
            </w:pPr>
            <w:r>
              <w:rPr>
                <w:rFonts w:hint="eastAsia"/>
                <w:color w:val="auto"/>
                <w:sz w:val="21"/>
              </w:rPr>
              <w:t>交联聚氯乙烯绝缘电力电缆</w:t>
            </w:r>
          </w:p>
        </w:tc>
        <w:tc>
          <w:tcPr>
            <w:tcW w:w="1914" w:type="pct"/>
            <w:tcBorders>
              <w:top w:val="single" w:color="auto" w:sz="4" w:space="0"/>
              <w:left w:val="single" w:color="auto" w:sz="4" w:space="0"/>
              <w:bottom w:val="single" w:color="auto" w:sz="4" w:space="0"/>
              <w:right w:val="single" w:color="auto" w:sz="4" w:space="0"/>
            </w:tcBorders>
            <w:vAlign w:val="center"/>
          </w:tcPr>
          <w:p w14:paraId="19BE933D">
            <w:pPr>
              <w:spacing w:line="240" w:lineRule="auto"/>
              <w:ind w:firstLine="0" w:firstLineChars="0"/>
              <w:jc w:val="center"/>
              <w:rPr>
                <w:rFonts w:hint="eastAsia"/>
                <w:color w:val="auto"/>
                <w:sz w:val="21"/>
              </w:rPr>
            </w:pPr>
            <w:r>
              <w:rPr>
                <w:rFonts w:hint="eastAsia"/>
                <w:color w:val="auto"/>
                <w:sz w:val="21"/>
              </w:rPr>
              <w:t>15D</w:t>
            </w:r>
          </w:p>
        </w:tc>
      </w:tr>
      <w:tr w14:paraId="09B8C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48" w:type="pct"/>
            <w:tcBorders>
              <w:top w:val="single" w:color="auto" w:sz="4" w:space="0"/>
              <w:left w:val="single" w:color="auto" w:sz="4" w:space="0"/>
              <w:bottom w:val="single" w:color="auto" w:sz="4" w:space="0"/>
              <w:right w:val="single" w:color="auto" w:sz="4" w:space="0"/>
            </w:tcBorders>
            <w:vAlign w:val="center"/>
          </w:tcPr>
          <w:p w14:paraId="486E4AA2">
            <w:pPr>
              <w:spacing w:line="240" w:lineRule="auto"/>
              <w:ind w:firstLine="0" w:firstLineChars="0"/>
              <w:jc w:val="center"/>
              <w:rPr>
                <w:rFonts w:hint="eastAsia"/>
                <w:color w:val="auto"/>
                <w:sz w:val="21"/>
              </w:rPr>
            </w:pPr>
            <w:r>
              <w:rPr>
                <w:rFonts w:hint="eastAsia"/>
                <w:color w:val="auto"/>
                <w:sz w:val="21"/>
              </w:rPr>
              <w:t>5</w:t>
            </w:r>
          </w:p>
        </w:tc>
        <w:tc>
          <w:tcPr>
            <w:tcW w:w="2538" w:type="pct"/>
            <w:tcBorders>
              <w:top w:val="single" w:color="auto" w:sz="4" w:space="0"/>
              <w:left w:val="single" w:color="auto" w:sz="4" w:space="0"/>
              <w:bottom w:val="single" w:color="auto" w:sz="4" w:space="0"/>
              <w:right w:val="single" w:color="auto" w:sz="4" w:space="0"/>
            </w:tcBorders>
            <w:vAlign w:val="center"/>
          </w:tcPr>
          <w:p w14:paraId="4A3209A9">
            <w:pPr>
              <w:spacing w:line="240" w:lineRule="auto"/>
              <w:ind w:firstLine="0" w:firstLineChars="0"/>
              <w:jc w:val="center"/>
              <w:rPr>
                <w:rFonts w:hint="eastAsia"/>
                <w:color w:val="auto"/>
                <w:sz w:val="21"/>
              </w:rPr>
            </w:pPr>
            <w:r>
              <w:rPr>
                <w:rFonts w:hint="eastAsia"/>
                <w:color w:val="auto"/>
                <w:sz w:val="21"/>
              </w:rPr>
              <w:t>多芯控制电缆</w:t>
            </w:r>
          </w:p>
        </w:tc>
        <w:tc>
          <w:tcPr>
            <w:tcW w:w="1914" w:type="pct"/>
            <w:tcBorders>
              <w:top w:val="single" w:color="auto" w:sz="4" w:space="0"/>
              <w:left w:val="single" w:color="auto" w:sz="4" w:space="0"/>
              <w:bottom w:val="single" w:color="auto" w:sz="4" w:space="0"/>
              <w:right w:val="single" w:color="auto" w:sz="4" w:space="0"/>
            </w:tcBorders>
            <w:vAlign w:val="center"/>
          </w:tcPr>
          <w:p w14:paraId="7CA965F1">
            <w:pPr>
              <w:spacing w:line="240" w:lineRule="auto"/>
              <w:ind w:firstLine="0" w:firstLineChars="0"/>
              <w:jc w:val="center"/>
              <w:rPr>
                <w:rFonts w:hint="eastAsia"/>
                <w:color w:val="auto"/>
                <w:sz w:val="21"/>
              </w:rPr>
            </w:pPr>
            <w:r>
              <w:rPr>
                <w:rFonts w:hint="eastAsia"/>
                <w:color w:val="auto"/>
                <w:sz w:val="21"/>
              </w:rPr>
              <w:t>10D</w:t>
            </w:r>
          </w:p>
        </w:tc>
      </w:tr>
      <w:tr w14:paraId="0151B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3"/>
            <w:tcBorders>
              <w:top w:val="single" w:color="auto" w:sz="4" w:space="0"/>
              <w:left w:val="single" w:color="auto" w:sz="4" w:space="0"/>
              <w:bottom w:val="single" w:color="auto" w:sz="4" w:space="0"/>
              <w:right w:val="single" w:color="auto" w:sz="4" w:space="0"/>
            </w:tcBorders>
            <w:vAlign w:val="center"/>
          </w:tcPr>
          <w:p w14:paraId="11DDB411">
            <w:pPr>
              <w:spacing w:line="240" w:lineRule="auto"/>
              <w:ind w:firstLine="0" w:firstLineChars="0"/>
              <w:jc w:val="center"/>
              <w:rPr>
                <w:rFonts w:hint="eastAsia"/>
                <w:color w:val="auto"/>
                <w:sz w:val="21"/>
              </w:rPr>
            </w:pPr>
            <w:r>
              <w:rPr>
                <w:rFonts w:hint="eastAsia"/>
                <w:color w:val="auto"/>
                <w:sz w:val="21"/>
              </w:rPr>
              <w:t>注：D为电缆外径。</w:t>
            </w:r>
          </w:p>
        </w:tc>
      </w:tr>
    </w:tbl>
    <w:p w14:paraId="36A390F3">
      <w:pPr>
        <w:spacing w:line="240" w:lineRule="auto"/>
        <w:ind w:firstLine="0" w:firstLineChars="0"/>
        <w:jc w:val="center"/>
        <w:rPr>
          <w:rFonts w:hint="eastAsia"/>
          <w:color w:val="auto"/>
          <w:sz w:val="21"/>
        </w:rPr>
      </w:pPr>
      <w:r>
        <w:rPr>
          <w:rFonts w:hint="eastAsia"/>
          <w:color w:val="auto"/>
          <w:sz w:val="21"/>
        </w:rPr>
        <w:t>与管道的最小净距（m）规定如下：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5"/>
        <w:gridCol w:w="2265"/>
        <w:gridCol w:w="2265"/>
        <w:gridCol w:w="2265"/>
      </w:tblGrid>
      <w:tr w14:paraId="0A95C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99" w:type="pct"/>
            <w:gridSpan w:val="2"/>
            <w:tcBorders>
              <w:top w:val="single" w:color="auto" w:sz="4" w:space="0"/>
              <w:left w:val="single" w:color="auto" w:sz="4" w:space="0"/>
              <w:bottom w:val="single" w:color="auto" w:sz="4" w:space="0"/>
              <w:right w:val="single" w:color="auto" w:sz="4" w:space="0"/>
            </w:tcBorders>
            <w:vAlign w:val="center"/>
          </w:tcPr>
          <w:p w14:paraId="3BFC8A4D">
            <w:pPr>
              <w:spacing w:line="240" w:lineRule="auto"/>
              <w:ind w:firstLine="0" w:firstLineChars="0"/>
              <w:jc w:val="center"/>
              <w:rPr>
                <w:rFonts w:hint="eastAsia"/>
                <w:color w:val="auto"/>
                <w:sz w:val="21"/>
              </w:rPr>
            </w:pPr>
            <w:r>
              <w:rPr>
                <w:rFonts w:hint="eastAsia"/>
                <w:color w:val="auto"/>
                <w:sz w:val="21"/>
              </w:rPr>
              <w:t>管道类别</w:t>
            </w:r>
          </w:p>
        </w:tc>
        <w:tc>
          <w:tcPr>
            <w:tcW w:w="1250" w:type="pct"/>
            <w:tcBorders>
              <w:top w:val="single" w:color="auto" w:sz="4" w:space="0"/>
              <w:left w:val="single" w:color="auto" w:sz="4" w:space="0"/>
              <w:bottom w:val="single" w:color="auto" w:sz="4" w:space="0"/>
              <w:right w:val="single" w:color="auto" w:sz="4" w:space="0"/>
            </w:tcBorders>
            <w:vAlign w:val="center"/>
          </w:tcPr>
          <w:p w14:paraId="625290F9">
            <w:pPr>
              <w:spacing w:line="240" w:lineRule="auto"/>
              <w:ind w:firstLine="0" w:firstLineChars="0"/>
              <w:jc w:val="center"/>
              <w:rPr>
                <w:rFonts w:hint="eastAsia"/>
                <w:color w:val="auto"/>
                <w:sz w:val="21"/>
              </w:rPr>
            </w:pPr>
            <w:r>
              <w:rPr>
                <w:rFonts w:hint="eastAsia"/>
                <w:color w:val="auto"/>
                <w:sz w:val="21"/>
              </w:rPr>
              <w:t>平行净距</w:t>
            </w:r>
          </w:p>
        </w:tc>
        <w:tc>
          <w:tcPr>
            <w:tcW w:w="1250" w:type="pct"/>
            <w:tcBorders>
              <w:top w:val="single" w:color="auto" w:sz="4" w:space="0"/>
              <w:left w:val="single" w:color="auto" w:sz="4" w:space="0"/>
              <w:bottom w:val="single" w:color="auto" w:sz="4" w:space="0"/>
              <w:right w:val="single" w:color="auto" w:sz="4" w:space="0"/>
            </w:tcBorders>
            <w:vAlign w:val="center"/>
          </w:tcPr>
          <w:p w14:paraId="14909AF8">
            <w:pPr>
              <w:spacing w:line="240" w:lineRule="auto"/>
              <w:ind w:firstLine="0" w:firstLineChars="0"/>
              <w:jc w:val="center"/>
              <w:rPr>
                <w:rFonts w:hint="eastAsia"/>
                <w:color w:val="auto"/>
                <w:sz w:val="21"/>
              </w:rPr>
            </w:pPr>
            <w:r>
              <w:rPr>
                <w:rFonts w:hint="eastAsia"/>
                <w:color w:val="auto"/>
                <w:sz w:val="21"/>
              </w:rPr>
              <w:t>交叉净距</w:t>
            </w:r>
          </w:p>
        </w:tc>
      </w:tr>
      <w:tr w14:paraId="3ABEF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99" w:type="pct"/>
            <w:gridSpan w:val="2"/>
            <w:tcBorders>
              <w:top w:val="single" w:color="auto" w:sz="4" w:space="0"/>
              <w:left w:val="single" w:color="auto" w:sz="4" w:space="0"/>
              <w:bottom w:val="single" w:color="auto" w:sz="4" w:space="0"/>
              <w:right w:val="single" w:color="auto" w:sz="4" w:space="0"/>
            </w:tcBorders>
            <w:vAlign w:val="center"/>
          </w:tcPr>
          <w:p w14:paraId="302F06E0">
            <w:pPr>
              <w:spacing w:line="240" w:lineRule="auto"/>
              <w:ind w:firstLine="0" w:firstLineChars="0"/>
              <w:jc w:val="center"/>
              <w:rPr>
                <w:rFonts w:hint="eastAsia"/>
                <w:color w:val="auto"/>
                <w:sz w:val="21"/>
              </w:rPr>
            </w:pPr>
            <w:r>
              <w:rPr>
                <w:rFonts w:hint="eastAsia"/>
                <w:color w:val="auto"/>
                <w:sz w:val="21"/>
              </w:rPr>
              <w:t>一般工艺管道</w:t>
            </w:r>
          </w:p>
        </w:tc>
        <w:tc>
          <w:tcPr>
            <w:tcW w:w="1250" w:type="pct"/>
            <w:tcBorders>
              <w:top w:val="single" w:color="auto" w:sz="4" w:space="0"/>
              <w:left w:val="single" w:color="auto" w:sz="4" w:space="0"/>
              <w:bottom w:val="single" w:color="auto" w:sz="4" w:space="0"/>
              <w:right w:val="single" w:color="auto" w:sz="4" w:space="0"/>
            </w:tcBorders>
            <w:vAlign w:val="center"/>
          </w:tcPr>
          <w:p w14:paraId="1727977E">
            <w:pPr>
              <w:spacing w:line="240" w:lineRule="auto"/>
              <w:ind w:firstLine="0" w:firstLineChars="0"/>
              <w:jc w:val="center"/>
              <w:rPr>
                <w:rFonts w:hint="eastAsia"/>
                <w:color w:val="auto"/>
                <w:sz w:val="21"/>
              </w:rPr>
            </w:pPr>
            <w:r>
              <w:rPr>
                <w:rFonts w:hint="eastAsia"/>
                <w:color w:val="auto"/>
                <w:sz w:val="21"/>
              </w:rPr>
              <w:t>0.4</w:t>
            </w:r>
          </w:p>
        </w:tc>
        <w:tc>
          <w:tcPr>
            <w:tcW w:w="1250" w:type="pct"/>
            <w:tcBorders>
              <w:top w:val="single" w:color="auto" w:sz="4" w:space="0"/>
              <w:left w:val="single" w:color="auto" w:sz="4" w:space="0"/>
              <w:bottom w:val="single" w:color="auto" w:sz="4" w:space="0"/>
              <w:right w:val="single" w:color="auto" w:sz="4" w:space="0"/>
            </w:tcBorders>
            <w:vAlign w:val="center"/>
          </w:tcPr>
          <w:p w14:paraId="64EB87A0">
            <w:pPr>
              <w:spacing w:line="240" w:lineRule="auto"/>
              <w:ind w:firstLine="0" w:firstLineChars="0"/>
              <w:jc w:val="center"/>
              <w:rPr>
                <w:rFonts w:hint="eastAsia"/>
                <w:color w:val="auto"/>
                <w:sz w:val="21"/>
              </w:rPr>
            </w:pPr>
            <w:r>
              <w:rPr>
                <w:rFonts w:hint="eastAsia"/>
                <w:color w:val="auto"/>
                <w:sz w:val="21"/>
              </w:rPr>
              <w:t>0.3</w:t>
            </w:r>
          </w:p>
        </w:tc>
      </w:tr>
      <w:tr w14:paraId="79E3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499" w:type="pct"/>
            <w:gridSpan w:val="2"/>
            <w:tcBorders>
              <w:top w:val="single" w:color="auto" w:sz="4" w:space="0"/>
              <w:left w:val="single" w:color="auto" w:sz="4" w:space="0"/>
              <w:bottom w:val="single" w:color="auto" w:sz="4" w:space="0"/>
              <w:right w:val="single" w:color="auto" w:sz="4" w:space="0"/>
            </w:tcBorders>
            <w:vAlign w:val="center"/>
          </w:tcPr>
          <w:p w14:paraId="4A1FFD03">
            <w:pPr>
              <w:spacing w:line="240" w:lineRule="auto"/>
              <w:ind w:firstLine="0" w:firstLineChars="0"/>
              <w:jc w:val="center"/>
              <w:rPr>
                <w:rFonts w:hint="eastAsia"/>
                <w:color w:val="auto"/>
                <w:sz w:val="21"/>
              </w:rPr>
            </w:pPr>
            <w:r>
              <w:rPr>
                <w:rFonts w:hint="eastAsia"/>
                <w:color w:val="auto"/>
                <w:sz w:val="21"/>
              </w:rPr>
              <w:t>易燃易爆气体管道</w:t>
            </w:r>
          </w:p>
        </w:tc>
        <w:tc>
          <w:tcPr>
            <w:tcW w:w="1250" w:type="pct"/>
            <w:tcBorders>
              <w:top w:val="single" w:color="auto" w:sz="4" w:space="0"/>
              <w:left w:val="single" w:color="auto" w:sz="4" w:space="0"/>
              <w:bottom w:val="single" w:color="auto" w:sz="4" w:space="0"/>
              <w:right w:val="single" w:color="auto" w:sz="4" w:space="0"/>
            </w:tcBorders>
            <w:vAlign w:val="center"/>
          </w:tcPr>
          <w:p w14:paraId="483A2C1D">
            <w:pPr>
              <w:spacing w:line="240" w:lineRule="auto"/>
              <w:ind w:firstLine="0" w:firstLineChars="0"/>
              <w:jc w:val="center"/>
              <w:rPr>
                <w:rFonts w:hint="eastAsia"/>
                <w:color w:val="auto"/>
                <w:sz w:val="21"/>
              </w:rPr>
            </w:pPr>
            <w:r>
              <w:rPr>
                <w:rFonts w:hint="eastAsia"/>
                <w:color w:val="auto"/>
                <w:sz w:val="21"/>
              </w:rPr>
              <w:t>0.5</w:t>
            </w:r>
          </w:p>
        </w:tc>
        <w:tc>
          <w:tcPr>
            <w:tcW w:w="1250" w:type="pct"/>
            <w:tcBorders>
              <w:top w:val="single" w:color="auto" w:sz="4" w:space="0"/>
              <w:left w:val="single" w:color="auto" w:sz="4" w:space="0"/>
              <w:bottom w:val="single" w:color="auto" w:sz="4" w:space="0"/>
              <w:right w:val="single" w:color="auto" w:sz="4" w:space="0"/>
            </w:tcBorders>
            <w:vAlign w:val="center"/>
          </w:tcPr>
          <w:p w14:paraId="7ABB2E12">
            <w:pPr>
              <w:spacing w:line="240" w:lineRule="auto"/>
              <w:ind w:firstLine="0" w:firstLineChars="0"/>
              <w:jc w:val="center"/>
              <w:rPr>
                <w:rFonts w:hint="eastAsia"/>
                <w:color w:val="auto"/>
                <w:sz w:val="21"/>
              </w:rPr>
            </w:pPr>
            <w:r>
              <w:rPr>
                <w:rFonts w:hint="eastAsia"/>
                <w:color w:val="auto"/>
                <w:sz w:val="21"/>
              </w:rPr>
              <w:t>0.5</w:t>
            </w:r>
          </w:p>
        </w:tc>
      </w:tr>
      <w:tr w14:paraId="79E3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50" w:type="pct"/>
            <w:vMerge w:val="restart"/>
            <w:tcBorders>
              <w:top w:val="nil"/>
              <w:left w:val="single" w:color="auto" w:sz="4" w:space="0"/>
              <w:bottom w:val="single" w:color="auto" w:sz="4" w:space="0"/>
              <w:right w:val="single" w:color="auto" w:sz="4" w:space="0"/>
            </w:tcBorders>
            <w:vAlign w:val="center"/>
          </w:tcPr>
          <w:p w14:paraId="248F2ED7">
            <w:pPr>
              <w:spacing w:line="240" w:lineRule="auto"/>
              <w:ind w:firstLine="0" w:firstLineChars="0"/>
              <w:jc w:val="center"/>
              <w:rPr>
                <w:rFonts w:hint="eastAsia"/>
                <w:color w:val="auto"/>
                <w:sz w:val="21"/>
              </w:rPr>
            </w:pPr>
            <w:r>
              <w:rPr>
                <w:rFonts w:hint="eastAsia"/>
                <w:color w:val="auto"/>
                <w:sz w:val="21"/>
              </w:rPr>
              <w:t>热力管道</w:t>
            </w:r>
          </w:p>
        </w:tc>
        <w:tc>
          <w:tcPr>
            <w:tcW w:w="1250" w:type="pct"/>
            <w:tcBorders>
              <w:top w:val="single" w:color="auto" w:sz="4" w:space="0"/>
              <w:left w:val="single" w:color="auto" w:sz="4" w:space="0"/>
              <w:bottom w:val="single" w:color="auto" w:sz="4" w:space="0"/>
              <w:right w:val="single" w:color="auto" w:sz="4" w:space="0"/>
            </w:tcBorders>
            <w:vAlign w:val="center"/>
          </w:tcPr>
          <w:p w14:paraId="2404A27B">
            <w:pPr>
              <w:spacing w:line="240" w:lineRule="auto"/>
              <w:ind w:firstLine="0" w:firstLineChars="0"/>
              <w:jc w:val="center"/>
              <w:rPr>
                <w:rFonts w:hint="eastAsia"/>
                <w:color w:val="auto"/>
                <w:sz w:val="21"/>
              </w:rPr>
            </w:pPr>
            <w:r>
              <w:rPr>
                <w:rFonts w:hint="eastAsia"/>
                <w:color w:val="auto"/>
                <w:sz w:val="21"/>
              </w:rPr>
              <w:t>有保温层</w:t>
            </w:r>
          </w:p>
        </w:tc>
        <w:tc>
          <w:tcPr>
            <w:tcW w:w="1250" w:type="pct"/>
            <w:tcBorders>
              <w:top w:val="single" w:color="auto" w:sz="4" w:space="0"/>
              <w:left w:val="single" w:color="auto" w:sz="4" w:space="0"/>
              <w:bottom w:val="single" w:color="auto" w:sz="4" w:space="0"/>
              <w:right w:val="single" w:color="auto" w:sz="4" w:space="0"/>
            </w:tcBorders>
            <w:vAlign w:val="center"/>
          </w:tcPr>
          <w:p w14:paraId="60DA213F">
            <w:pPr>
              <w:spacing w:line="240" w:lineRule="auto"/>
              <w:ind w:firstLine="0" w:firstLineChars="0"/>
              <w:jc w:val="center"/>
              <w:rPr>
                <w:rFonts w:hint="eastAsia"/>
                <w:color w:val="auto"/>
                <w:sz w:val="21"/>
              </w:rPr>
            </w:pPr>
            <w:r>
              <w:rPr>
                <w:rFonts w:hint="eastAsia"/>
                <w:color w:val="auto"/>
                <w:sz w:val="21"/>
              </w:rPr>
              <w:t>0.5</w:t>
            </w:r>
          </w:p>
        </w:tc>
        <w:tc>
          <w:tcPr>
            <w:tcW w:w="1250" w:type="pct"/>
            <w:tcBorders>
              <w:top w:val="single" w:color="auto" w:sz="4" w:space="0"/>
              <w:left w:val="single" w:color="auto" w:sz="4" w:space="0"/>
              <w:bottom w:val="single" w:color="auto" w:sz="4" w:space="0"/>
              <w:right w:val="single" w:color="auto" w:sz="4" w:space="0"/>
            </w:tcBorders>
            <w:vAlign w:val="center"/>
          </w:tcPr>
          <w:p w14:paraId="2B3A628D">
            <w:pPr>
              <w:spacing w:line="240" w:lineRule="auto"/>
              <w:ind w:firstLine="0" w:firstLineChars="0"/>
              <w:jc w:val="center"/>
              <w:rPr>
                <w:rFonts w:hint="eastAsia"/>
                <w:color w:val="auto"/>
                <w:sz w:val="21"/>
              </w:rPr>
            </w:pPr>
            <w:r>
              <w:rPr>
                <w:rFonts w:hint="eastAsia"/>
                <w:color w:val="auto"/>
                <w:sz w:val="21"/>
              </w:rPr>
              <w:t>0.3</w:t>
            </w:r>
          </w:p>
        </w:tc>
      </w:tr>
      <w:tr w14:paraId="5CBE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9C944C6">
            <w:pPr>
              <w:spacing w:line="240" w:lineRule="auto"/>
              <w:ind w:firstLine="0" w:firstLineChars="0"/>
              <w:jc w:val="center"/>
              <w:rPr>
                <w:color w:val="auto"/>
                <w:sz w:val="21"/>
              </w:rPr>
            </w:pPr>
          </w:p>
        </w:tc>
        <w:tc>
          <w:tcPr>
            <w:tcW w:w="1250" w:type="pct"/>
            <w:tcBorders>
              <w:top w:val="single" w:color="auto" w:sz="4" w:space="0"/>
              <w:left w:val="single" w:color="auto" w:sz="4" w:space="0"/>
              <w:bottom w:val="single" w:color="auto" w:sz="4" w:space="0"/>
              <w:right w:val="single" w:color="auto" w:sz="4" w:space="0"/>
            </w:tcBorders>
            <w:vAlign w:val="center"/>
          </w:tcPr>
          <w:p w14:paraId="29601AE6">
            <w:pPr>
              <w:spacing w:line="240" w:lineRule="auto"/>
              <w:ind w:firstLine="0" w:firstLineChars="0"/>
              <w:jc w:val="center"/>
              <w:rPr>
                <w:rFonts w:hint="eastAsia"/>
                <w:color w:val="auto"/>
                <w:sz w:val="21"/>
              </w:rPr>
            </w:pPr>
            <w:r>
              <w:rPr>
                <w:rFonts w:hint="eastAsia"/>
                <w:color w:val="auto"/>
                <w:sz w:val="21"/>
              </w:rPr>
              <w:t>无保温层</w:t>
            </w:r>
          </w:p>
        </w:tc>
        <w:tc>
          <w:tcPr>
            <w:tcW w:w="1250" w:type="pct"/>
            <w:tcBorders>
              <w:top w:val="single" w:color="auto" w:sz="4" w:space="0"/>
              <w:left w:val="single" w:color="auto" w:sz="4" w:space="0"/>
              <w:bottom w:val="single" w:color="auto" w:sz="4" w:space="0"/>
              <w:right w:val="single" w:color="auto" w:sz="4" w:space="0"/>
            </w:tcBorders>
            <w:vAlign w:val="center"/>
          </w:tcPr>
          <w:p w14:paraId="66F4C185">
            <w:pPr>
              <w:spacing w:line="240" w:lineRule="auto"/>
              <w:ind w:firstLine="0" w:firstLineChars="0"/>
              <w:jc w:val="center"/>
              <w:rPr>
                <w:rFonts w:hint="eastAsia"/>
                <w:color w:val="auto"/>
                <w:sz w:val="21"/>
              </w:rPr>
            </w:pPr>
            <w:r>
              <w:rPr>
                <w:rFonts w:hint="eastAsia"/>
                <w:color w:val="auto"/>
                <w:sz w:val="21"/>
              </w:rPr>
              <w:t>1.0</w:t>
            </w:r>
          </w:p>
        </w:tc>
        <w:tc>
          <w:tcPr>
            <w:tcW w:w="1250" w:type="pct"/>
            <w:tcBorders>
              <w:top w:val="single" w:color="auto" w:sz="4" w:space="0"/>
              <w:left w:val="single" w:color="auto" w:sz="4" w:space="0"/>
              <w:bottom w:val="single" w:color="auto" w:sz="4" w:space="0"/>
              <w:right w:val="single" w:color="auto" w:sz="4" w:space="0"/>
            </w:tcBorders>
            <w:vAlign w:val="center"/>
          </w:tcPr>
          <w:p w14:paraId="56B0EE98">
            <w:pPr>
              <w:spacing w:line="240" w:lineRule="auto"/>
              <w:ind w:firstLine="0" w:firstLineChars="0"/>
              <w:jc w:val="center"/>
              <w:rPr>
                <w:rFonts w:hint="eastAsia"/>
                <w:color w:val="auto"/>
                <w:sz w:val="21"/>
              </w:rPr>
            </w:pPr>
            <w:r>
              <w:rPr>
                <w:rFonts w:hint="eastAsia"/>
                <w:color w:val="auto"/>
                <w:sz w:val="21"/>
              </w:rPr>
              <w:t>0.5</w:t>
            </w:r>
          </w:p>
        </w:tc>
      </w:tr>
    </w:tbl>
    <w:p w14:paraId="07671F82">
      <w:pPr>
        <w:rPr>
          <w:rFonts w:hint="eastAsia"/>
          <w:color w:val="auto"/>
        </w:rPr>
      </w:pPr>
      <w:r>
        <w:rPr>
          <w:rFonts w:hint="eastAsia"/>
          <w:color w:val="auto"/>
        </w:rPr>
        <w:t>电缆固定点的间距（mm）规定如下：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4"/>
        <w:gridCol w:w="3874"/>
        <w:gridCol w:w="3492"/>
      </w:tblGrid>
      <w:tr w14:paraId="12EE6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73" w:type="pct"/>
            <w:gridSpan w:val="2"/>
            <w:tcBorders>
              <w:top w:val="single" w:color="auto" w:sz="4" w:space="0"/>
              <w:left w:val="single" w:color="auto" w:sz="4" w:space="0"/>
              <w:bottom w:val="single" w:color="auto" w:sz="4" w:space="0"/>
              <w:right w:val="single" w:color="auto" w:sz="4" w:space="0"/>
            </w:tcBorders>
            <w:vAlign w:val="center"/>
          </w:tcPr>
          <w:p w14:paraId="1A306EEF">
            <w:pPr>
              <w:spacing w:line="240" w:lineRule="auto"/>
              <w:ind w:firstLine="0" w:firstLineChars="0"/>
              <w:jc w:val="center"/>
              <w:rPr>
                <w:rFonts w:hint="eastAsia"/>
                <w:color w:val="auto"/>
                <w:sz w:val="21"/>
              </w:rPr>
            </w:pPr>
            <w:r>
              <w:rPr>
                <w:rFonts w:hint="eastAsia"/>
                <w:color w:val="auto"/>
                <w:sz w:val="21"/>
              </w:rPr>
              <w:t>电缆种类</w:t>
            </w:r>
          </w:p>
        </w:tc>
        <w:tc>
          <w:tcPr>
            <w:tcW w:w="1927" w:type="pct"/>
            <w:tcBorders>
              <w:top w:val="single" w:color="auto" w:sz="4" w:space="0"/>
              <w:left w:val="single" w:color="auto" w:sz="4" w:space="0"/>
              <w:bottom w:val="single" w:color="auto" w:sz="4" w:space="0"/>
              <w:right w:val="single" w:color="auto" w:sz="4" w:space="0"/>
            </w:tcBorders>
            <w:vAlign w:val="center"/>
          </w:tcPr>
          <w:p w14:paraId="4F1C7CD9">
            <w:pPr>
              <w:spacing w:line="240" w:lineRule="auto"/>
              <w:ind w:firstLine="0" w:firstLineChars="0"/>
              <w:jc w:val="center"/>
              <w:rPr>
                <w:rFonts w:hint="eastAsia"/>
                <w:color w:val="auto"/>
                <w:sz w:val="21"/>
              </w:rPr>
            </w:pPr>
            <w:r>
              <w:rPr>
                <w:rFonts w:hint="eastAsia"/>
                <w:color w:val="auto"/>
                <w:sz w:val="21"/>
              </w:rPr>
              <w:t>固定点的间距</w:t>
            </w:r>
          </w:p>
        </w:tc>
      </w:tr>
      <w:tr w14:paraId="4F749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35" w:type="pct"/>
            <w:vMerge w:val="restart"/>
            <w:tcBorders>
              <w:top w:val="nil"/>
              <w:left w:val="single" w:color="auto" w:sz="4" w:space="0"/>
              <w:bottom w:val="single" w:color="auto" w:sz="4" w:space="0"/>
              <w:right w:val="single" w:color="auto" w:sz="4" w:space="0"/>
            </w:tcBorders>
            <w:vAlign w:val="center"/>
          </w:tcPr>
          <w:p w14:paraId="5F487C9D">
            <w:pPr>
              <w:spacing w:line="240" w:lineRule="auto"/>
              <w:ind w:firstLine="0" w:firstLineChars="0"/>
              <w:jc w:val="center"/>
              <w:rPr>
                <w:rFonts w:hint="eastAsia"/>
                <w:color w:val="auto"/>
              </w:rPr>
            </w:pPr>
            <w:r>
              <w:rPr>
                <w:rFonts w:hint="eastAsia"/>
                <w:color w:val="auto"/>
                <w:sz w:val="21"/>
              </w:rPr>
              <w:t>电力电缆</w:t>
            </w:r>
          </w:p>
        </w:tc>
        <w:tc>
          <w:tcPr>
            <w:tcW w:w="2138" w:type="pct"/>
            <w:tcBorders>
              <w:top w:val="single" w:color="auto" w:sz="4" w:space="0"/>
              <w:left w:val="single" w:color="auto" w:sz="4" w:space="0"/>
              <w:bottom w:val="single" w:color="auto" w:sz="4" w:space="0"/>
              <w:right w:val="single" w:color="auto" w:sz="4" w:space="0"/>
            </w:tcBorders>
            <w:vAlign w:val="center"/>
          </w:tcPr>
          <w:p w14:paraId="7AE16DFF">
            <w:pPr>
              <w:spacing w:line="240" w:lineRule="auto"/>
              <w:ind w:firstLine="0" w:firstLineChars="0"/>
              <w:jc w:val="center"/>
              <w:rPr>
                <w:rFonts w:hint="eastAsia"/>
                <w:color w:val="auto"/>
                <w:sz w:val="21"/>
              </w:rPr>
            </w:pPr>
            <w:r>
              <w:rPr>
                <w:rFonts w:hint="eastAsia"/>
                <w:color w:val="auto"/>
                <w:sz w:val="21"/>
              </w:rPr>
              <w:t>全塑型</w:t>
            </w:r>
          </w:p>
        </w:tc>
        <w:tc>
          <w:tcPr>
            <w:tcW w:w="1927" w:type="pct"/>
            <w:tcBorders>
              <w:top w:val="single" w:color="auto" w:sz="4" w:space="0"/>
              <w:left w:val="single" w:color="auto" w:sz="4" w:space="0"/>
              <w:bottom w:val="single" w:color="auto" w:sz="4" w:space="0"/>
              <w:right w:val="single" w:color="auto" w:sz="4" w:space="0"/>
            </w:tcBorders>
            <w:vAlign w:val="center"/>
          </w:tcPr>
          <w:p w14:paraId="3545BD1C">
            <w:pPr>
              <w:spacing w:line="240" w:lineRule="auto"/>
              <w:ind w:firstLine="0" w:firstLineChars="0"/>
              <w:jc w:val="center"/>
              <w:rPr>
                <w:rFonts w:hint="eastAsia"/>
                <w:color w:val="auto"/>
                <w:sz w:val="21"/>
              </w:rPr>
            </w:pPr>
            <w:r>
              <w:rPr>
                <w:rFonts w:hint="eastAsia"/>
                <w:color w:val="auto"/>
                <w:sz w:val="21"/>
              </w:rPr>
              <w:t>1000</w:t>
            </w:r>
          </w:p>
        </w:tc>
      </w:tr>
      <w:tr w14:paraId="2184C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 w:hRule="atLeast"/>
        </w:trPr>
        <w:tc>
          <w:tcPr>
            <w:tcW w:w="0" w:type="auto"/>
            <w:vMerge w:val="continue"/>
            <w:tcBorders>
              <w:top w:val="nil"/>
              <w:left w:val="single" w:color="auto" w:sz="4" w:space="0"/>
              <w:bottom w:val="single" w:color="auto" w:sz="4" w:space="0"/>
              <w:right w:val="single" w:color="auto" w:sz="4" w:space="0"/>
            </w:tcBorders>
            <w:vAlign w:val="center"/>
          </w:tcPr>
          <w:p w14:paraId="47BEEEE3">
            <w:pPr>
              <w:rPr>
                <w:color w:val="auto"/>
              </w:rPr>
            </w:pPr>
          </w:p>
        </w:tc>
        <w:tc>
          <w:tcPr>
            <w:tcW w:w="2138" w:type="pct"/>
            <w:tcBorders>
              <w:top w:val="single" w:color="auto" w:sz="4" w:space="0"/>
              <w:left w:val="single" w:color="auto" w:sz="4" w:space="0"/>
              <w:bottom w:val="single" w:color="auto" w:sz="4" w:space="0"/>
              <w:right w:val="single" w:color="auto" w:sz="4" w:space="0"/>
            </w:tcBorders>
            <w:vAlign w:val="center"/>
          </w:tcPr>
          <w:p w14:paraId="02DF5A01">
            <w:pPr>
              <w:spacing w:line="240" w:lineRule="auto"/>
              <w:ind w:firstLine="0" w:firstLineChars="0"/>
              <w:jc w:val="center"/>
              <w:rPr>
                <w:rFonts w:hint="eastAsia"/>
                <w:color w:val="auto"/>
                <w:sz w:val="21"/>
              </w:rPr>
            </w:pPr>
            <w:r>
              <w:rPr>
                <w:rFonts w:hint="eastAsia"/>
                <w:color w:val="auto"/>
                <w:sz w:val="21"/>
              </w:rPr>
              <w:t>除全塑型外的电缆</w:t>
            </w:r>
          </w:p>
        </w:tc>
        <w:tc>
          <w:tcPr>
            <w:tcW w:w="1927" w:type="pct"/>
            <w:tcBorders>
              <w:top w:val="single" w:color="auto" w:sz="4" w:space="0"/>
              <w:left w:val="single" w:color="auto" w:sz="4" w:space="0"/>
              <w:bottom w:val="single" w:color="auto" w:sz="4" w:space="0"/>
              <w:right w:val="single" w:color="auto" w:sz="4" w:space="0"/>
            </w:tcBorders>
            <w:vAlign w:val="center"/>
          </w:tcPr>
          <w:p w14:paraId="4D8C7C2E">
            <w:pPr>
              <w:spacing w:line="240" w:lineRule="auto"/>
              <w:ind w:firstLine="0" w:firstLineChars="0"/>
              <w:jc w:val="center"/>
              <w:rPr>
                <w:rFonts w:hint="eastAsia"/>
                <w:color w:val="auto"/>
                <w:sz w:val="21"/>
              </w:rPr>
            </w:pPr>
            <w:r>
              <w:rPr>
                <w:rFonts w:hint="eastAsia"/>
                <w:color w:val="auto"/>
                <w:sz w:val="21"/>
              </w:rPr>
              <w:t>1500</w:t>
            </w:r>
          </w:p>
        </w:tc>
      </w:tr>
      <w:tr w14:paraId="5FD72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073" w:type="pct"/>
            <w:gridSpan w:val="2"/>
            <w:tcBorders>
              <w:top w:val="single" w:color="auto" w:sz="4" w:space="0"/>
              <w:left w:val="single" w:color="auto" w:sz="4" w:space="0"/>
              <w:bottom w:val="single" w:color="auto" w:sz="4" w:space="0"/>
              <w:right w:val="single" w:color="auto" w:sz="4" w:space="0"/>
            </w:tcBorders>
            <w:vAlign w:val="center"/>
          </w:tcPr>
          <w:p w14:paraId="7D58B789">
            <w:pPr>
              <w:spacing w:line="240" w:lineRule="auto"/>
              <w:ind w:firstLine="0" w:firstLineChars="0"/>
              <w:jc w:val="center"/>
              <w:rPr>
                <w:rFonts w:hint="eastAsia"/>
                <w:color w:val="auto"/>
                <w:sz w:val="21"/>
              </w:rPr>
            </w:pPr>
            <w:r>
              <w:rPr>
                <w:rFonts w:hint="eastAsia"/>
                <w:color w:val="auto"/>
                <w:sz w:val="21"/>
              </w:rPr>
              <w:t>控制电缆</w:t>
            </w:r>
          </w:p>
        </w:tc>
        <w:tc>
          <w:tcPr>
            <w:tcW w:w="1927" w:type="pct"/>
            <w:tcBorders>
              <w:top w:val="single" w:color="auto" w:sz="4" w:space="0"/>
              <w:left w:val="single" w:color="auto" w:sz="4" w:space="0"/>
              <w:bottom w:val="single" w:color="auto" w:sz="4" w:space="0"/>
              <w:right w:val="single" w:color="auto" w:sz="4" w:space="0"/>
            </w:tcBorders>
            <w:vAlign w:val="center"/>
          </w:tcPr>
          <w:p w14:paraId="4F85ECB8">
            <w:pPr>
              <w:spacing w:line="240" w:lineRule="auto"/>
              <w:ind w:firstLine="0" w:firstLineChars="0"/>
              <w:jc w:val="center"/>
              <w:rPr>
                <w:rFonts w:hint="eastAsia"/>
                <w:color w:val="auto"/>
                <w:sz w:val="21"/>
              </w:rPr>
            </w:pPr>
            <w:r>
              <w:rPr>
                <w:rFonts w:hint="eastAsia"/>
                <w:color w:val="auto"/>
                <w:sz w:val="21"/>
              </w:rPr>
              <w:t>1000</w:t>
            </w:r>
          </w:p>
        </w:tc>
      </w:tr>
    </w:tbl>
    <w:p w14:paraId="5B5A9D97">
      <w:pPr>
        <w:rPr>
          <w:rFonts w:hint="eastAsia"/>
          <w:color w:val="auto"/>
        </w:rPr>
      </w:pPr>
      <w:r>
        <w:rPr>
          <w:rFonts w:hint="eastAsia"/>
          <w:color w:val="auto"/>
        </w:rPr>
        <w:t>（8）电缆沟内和电缆竖井内电缆敷设</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0F6A3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E5C9A06">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018DAECD">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3377A10D">
            <w:pPr>
              <w:spacing w:line="240" w:lineRule="auto"/>
              <w:ind w:firstLine="0" w:firstLineChars="0"/>
              <w:jc w:val="center"/>
              <w:rPr>
                <w:rFonts w:hint="eastAsia"/>
                <w:color w:val="auto"/>
                <w:sz w:val="21"/>
              </w:rPr>
            </w:pPr>
            <w:r>
              <w:rPr>
                <w:rFonts w:hint="eastAsia"/>
                <w:color w:val="auto"/>
                <w:sz w:val="21"/>
              </w:rPr>
              <w:t>检查内容</w:t>
            </w:r>
          </w:p>
        </w:tc>
      </w:tr>
      <w:tr w14:paraId="18F19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7953307A">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0777B711">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16B6B0EA">
            <w:pPr>
              <w:spacing w:line="240" w:lineRule="auto"/>
              <w:ind w:firstLine="420"/>
              <w:rPr>
                <w:rFonts w:hint="eastAsia"/>
                <w:color w:val="auto"/>
                <w:sz w:val="21"/>
              </w:rPr>
            </w:pPr>
            <w:r>
              <w:rPr>
                <w:rFonts w:hint="eastAsia"/>
                <w:color w:val="auto"/>
                <w:sz w:val="21"/>
              </w:rPr>
              <w:t>金属电缆支架、电缆导管必须接地（PE）或接零（PEN）可靠。</w:t>
            </w:r>
          </w:p>
          <w:p w14:paraId="79ADBB26">
            <w:pPr>
              <w:spacing w:line="240" w:lineRule="auto"/>
              <w:ind w:firstLine="420"/>
              <w:rPr>
                <w:rFonts w:hint="eastAsia"/>
                <w:color w:val="auto"/>
                <w:sz w:val="21"/>
              </w:rPr>
            </w:pPr>
            <w:r>
              <w:rPr>
                <w:rFonts w:hint="eastAsia"/>
                <w:color w:val="auto"/>
                <w:sz w:val="21"/>
              </w:rPr>
              <w:t>电缆敷设严禁有绞拧、铠装压扁、护层断裂和表面严重划伤等缺陷。</w:t>
            </w:r>
          </w:p>
        </w:tc>
      </w:tr>
      <w:tr w14:paraId="58DB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8759E95">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235163F1">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0473D5AB">
            <w:pPr>
              <w:spacing w:line="240" w:lineRule="auto"/>
              <w:ind w:firstLine="420"/>
              <w:rPr>
                <w:rFonts w:hint="eastAsia"/>
                <w:color w:val="auto"/>
                <w:sz w:val="21"/>
              </w:rPr>
            </w:pPr>
            <w:r>
              <w:rPr>
                <w:rFonts w:hint="eastAsia"/>
                <w:color w:val="auto"/>
                <w:sz w:val="21"/>
              </w:rPr>
              <w:t>电缆支架安装应符合下列规定：</w:t>
            </w:r>
          </w:p>
          <w:p w14:paraId="6AD8AEAD">
            <w:pPr>
              <w:spacing w:line="240" w:lineRule="auto"/>
              <w:ind w:firstLine="420"/>
              <w:rPr>
                <w:rFonts w:hint="eastAsia"/>
                <w:color w:val="auto"/>
                <w:sz w:val="21"/>
              </w:rPr>
            </w:pPr>
            <w:r>
              <w:rPr>
                <w:rFonts w:hint="eastAsia"/>
                <w:color w:val="auto"/>
                <w:sz w:val="21"/>
              </w:rPr>
              <w:t>当设计无要求时，电缆支架最上层至竖井顶部或楼板饿距离不小于150～200mm电缆支架最下层至沟底或地面的距离不小于50～100mm；</w:t>
            </w:r>
          </w:p>
          <w:p w14:paraId="15B20D79">
            <w:pPr>
              <w:spacing w:line="240" w:lineRule="auto"/>
              <w:ind w:firstLine="420"/>
              <w:rPr>
                <w:rFonts w:hint="eastAsia"/>
                <w:color w:val="auto"/>
                <w:sz w:val="21"/>
              </w:rPr>
            </w:pPr>
            <w:r>
              <w:rPr>
                <w:rFonts w:hint="eastAsia"/>
                <w:color w:val="auto"/>
                <w:sz w:val="21"/>
              </w:rPr>
              <w:t>当设计无要求时，电缆支架层间最小允许距离符合电缆支架层间最小允许距离表规定。</w:t>
            </w:r>
          </w:p>
          <w:p w14:paraId="6ABBA0B7">
            <w:pPr>
              <w:spacing w:line="240" w:lineRule="auto"/>
              <w:ind w:firstLine="420"/>
              <w:rPr>
                <w:rFonts w:hint="eastAsia"/>
                <w:color w:val="auto"/>
                <w:sz w:val="21"/>
              </w:rPr>
            </w:pPr>
            <w:r>
              <w:rPr>
                <w:rFonts w:hint="eastAsia"/>
                <w:color w:val="auto"/>
                <w:sz w:val="21"/>
              </w:rPr>
              <w:t>支架与预埋件焊接固定时，焊缝饱满；用膨胀螺栓沟底时，选用螺栓适配，连接紧固，防松零件齐全。</w:t>
            </w:r>
          </w:p>
          <w:p w14:paraId="3B116A71">
            <w:pPr>
              <w:spacing w:line="240" w:lineRule="auto"/>
              <w:ind w:firstLine="420"/>
              <w:rPr>
                <w:rFonts w:hint="eastAsia"/>
                <w:color w:val="auto"/>
                <w:sz w:val="21"/>
              </w:rPr>
            </w:pPr>
            <w:r>
              <w:rPr>
                <w:rFonts w:hint="eastAsia"/>
                <w:color w:val="auto"/>
                <w:sz w:val="21"/>
              </w:rPr>
              <w:t>电缆敷设固定应符合下列规定：</w:t>
            </w:r>
          </w:p>
          <w:p w14:paraId="262D425A">
            <w:pPr>
              <w:spacing w:line="240" w:lineRule="auto"/>
              <w:ind w:firstLine="420"/>
              <w:rPr>
                <w:rFonts w:hint="eastAsia"/>
                <w:color w:val="auto"/>
                <w:sz w:val="21"/>
              </w:rPr>
            </w:pPr>
            <w:r>
              <w:rPr>
                <w:rFonts w:hint="eastAsia"/>
                <w:color w:val="auto"/>
                <w:sz w:val="21"/>
              </w:rPr>
              <w:t>垂直敷设或大于45°倾斜敷设的电缆在每个支架上固定；</w:t>
            </w:r>
          </w:p>
          <w:p w14:paraId="31572D3F">
            <w:pPr>
              <w:spacing w:line="240" w:lineRule="auto"/>
              <w:ind w:firstLine="420"/>
              <w:rPr>
                <w:rFonts w:hint="eastAsia"/>
                <w:color w:val="auto"/>
                <w:sz w:val="21"/>
              </w:rPr>
            </w:pPr>
            <w:r>
              <w:rPr>
                <w:rFonts w:hint="eastAsia"/>
                <w:color w:val="auto"/>
                <w:sz w:val="21"/>
              </w:rPr>
              <w:t>交流单芯电缆或分相后的每相电缆固定用的夹具和支架，不形成闭合铁磁回路；</w:t>
            </w:r>
          </w:p>
          <w:p w14:paraId="786F865A">
            <w:pPr>
              <w:spacing w:line="240" w:lineRule="auto"/>
              <w:ind w:firstLine="420"/>
              <w:rPr>
                <w:rFonts w:hint="eastAsia"/>
                <w:color w:val="auto"/>
                <w:sz w:val="21"/>
              </w:rPr>
            </w:pPr>
            <w:r>
              <w:rPr>
                <w:rFonts w:hint="eastAsia"/>
                <w:color w:val="auto"/>
                <w:sz w:val="21"/>
              </w:rPr>
              <w:t>电缆排列整齐，少交叉；当设计无要求时，电缆支持点间距，不大于电缆支架层间最小允许距离表规定：</w:t>
            </w:r>
          </w:p>
          <w:p w14:paraId="69821AF0">
            <w:pPr>
              <w:spacing w:line="240" w:lineRule="auto"/>
              <w:ind w:firstLine="420"/>
              <w:rPr>
                <w:rFonts w:hint="eastAsia"/>
                <w:color w:val="auto"/>
                <w:sz w:val="21"/>
              </w:rPr>
            </w:pPr>
            <w:r>
              <w:rPr>
                <w:rFonts w:hint="eastAsia"/>
                <w:color w:val="auto"/>
                <w:sz w:val="21"/>
              </w:rPr>
              <w:t>当设计无要求时，电缆与管道的最小净距，符合规范规定，且敷设在易燃易爆气体管道和热力管道的下方；</w:t>
            </w:r>
          </w:p>
          <w:p w14:paraId="3F5046EC">
            <w:pPr>
              <w:spacing w:line="240" w:lineRule="auto"/>
              <w:ind w:firstLine="420"/>
              <w:rPr>
                <w:rFonts w:hint="eastAsia"/>
                <w:color w:val="auto"/>
                <w:sz w:val="21"/>
              </w:rPr>
            </w:pPr>
            <w:r>
              <w:rPr>
                <w:rFonts w:hint="eastAsia"/>
                <w:color w:val="auto"/>
                <w:sz w:val="21"/>
              </w:rPr>
              <w:t>敷设电缆的电缆沟和竖井，按设计要求位置，有防火墙堵措施；</w:t>
            </w:r>
          </w:p>
          <w:p w14:paraId="05BDAE7E">
            <w:pPr>
              <w:spacing w:line="240" w:lineRule="auto"/>
              <w:ind w:firstLine="420"/>
              <w:rPr>
                <w:rFonts w:hint="eastAsia"/>
                <w:color w:val="auto"/>
                <w:sz w:val="21"/>
              </w:rPr>
            </w:pPr>
            <w:r>
              <w:rPr>
                <w:rFonts w:hint="eastAsia"/>
                <w:color w:val="auto"/>
                <w:sz w:val="21"/>
              </w:rPr>
              <w:t>电缆的首端、末端和分支处应设标志牌。</w:t>
            </w:r>
          </w:p>
        </w:tc>
      </w:tr>
    </w:tbl>
    <w:p w14:paraId="05614D49">
      <w:pPr>
        <w:rPr>
          <w:rFonts w:hint="eastAsia"/>
          <w:color w:val="auto"/>
        </w:rPr>
      </w:pPr>
      <w:r>
        <w:rPr>
          <w:rFonts w:hint="eastAsia"/>
          <w:color w:val="auto"/>
        </w:rPr>
        <w:t>电缆支架层间最小允许距离（mm）</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8"/>
        <w:gridCol w:w="4892"/>
      </w:tblGrid>
      <w:tr w14:paraId="77F94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0" w:type="pct"/>
            <w:tcBorders>
              <w:top w:val="single" w:color="auto" w:sz="4" w:space="0"/>
              <w:left w:val="single" w:color="auto" w:sz="4" w:space="0"/>
              <w:bottom w:val="single" w:color="auto" w:sz="4" w:space="0"/>
              <w:right w:val="single" w:color="auto" w:sz="4" w:space="0"/>
            </w:tcBorders>
            <w:vAlign w:val="center"/>
          </w:tcPr>
          <w:p w14:paraId="00DE979B">
            <w:pPr>
              <w:spacing w:line="240" w:lineRule="auto"/>
              <w:ind w:firstLine="0" w:firstLineChars="0"/>
              <w:jc w:val="center"/>
              <w:rPr>
                <w:rFonts w:hint="eastAsia"/>
                <w:color w:val="auto"/>
                <w:sz w:val="21"/>
              </w:rPr>
            </w:pPr>
            <w:r>
              <w:rPr>
                <w:rFonts w:hint="eastAsia"/>
                <w:color w:val="auto"/>
                <w:sz w:val="21"/>
              </w:rPr>
              <w:t>电缆种类</w:t>
            </w:r>
          </w:p>
        </w:tc>
        <w:tc>
          <w:tcPr>
            <w:tcW w:w="2700" w:type="pct"/>
            <w:tcBorders>
              <w:top w:val="single" w:color="auto" w:sz="4" w:space="0"/>
              <w:left w:val="single" w:color="auto" w:sz="4" w:space="0"/>
              <w:bottom w:val="single" w:color="auto" w:sz="4" w:space="0"/>
              <w:right w:val="single" w:color="auto" w:sz="4" w:space="0"/>
            </w:tcBorders>
            <w:vAlign w:val="center"/>
          </w:tcPr>
          <w:p w14:paraId="766ABD9E">
            <w:pPr>
              <w:spacing w:line="240" w:lineRule="auto"/>
              <w:ind w:firstLine="0" w:firstLineChars="0"/>
              <w:jc w:val="center"/>
              <w:rPr>
                <w:rFonts w:hint="eastAsia"/>
                <w:color w:val="auto"/>
                <w:sz w:val="21"/>
              </w:rPr>
            </w:pPr>
            <w:r>
              <w:rPr>
                <w:rFonts w:hint="eastAsia"/>
                <w:color w:val="auto"/>
                <w:sz w:val="21"/>
              </w:rPr>
              <w:t>支架层间最小距离</w:t>
            </w:r>
          </w:p>
        </w:tc>
      </w:tr>
      <w:tr w14:paraId="02F2B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0" w:type="pct"/>
            <w:tcBorders>
              <w:top w:val="single" w:color="auto" w:sz="4" w:space="0"/>
              <w:left w:val="single" w:color="auto" w:sz="4" w:space="0"/>
              <w:bottom w:val="single" w:color="auto" w:sz="4" w:space="0"/>
              <w:right w:val="single" w:color="auto" w:sz="4" w:space="0"/>
            </w:tcBorders>
            <w:vAlign w:val="center"/>
          </w:tcPr>
          <w:p w14:paraId="31E40199">
            <w:pPr>
              <w:spacing w:line="240" w:lineRule="auto"/>
              <w:ind w:firstLine="0" w:firstLineChars="0"/>
              <w:jc w:val="center"/>
              <w:rPr>
                <w:rFonts w:hint="eastAsia"/>
                <w:color w:val="auto"/>
                <w:sz w:val="21"/>
              </w:rPr>
            </w:pPr>
            <w:r>
              <w:rPr>
                <w:rFonts w:hint="eastAsia"/>
                <w:color w:val="auto"/>
                <w:sz w:val="21"/>
              </w:rPr>
              <w:t>控制电缆</w:t>
            </w:r>
          </w:p>
        </w:tc>
        <w:tc>
          <w:tcPr>
            <w:tcW w:w="2700" w:type="pct"/>
            <w:tcBorders>
              <w:top w:val="single" w:color="auto" w:sz="4" w:space="0"/>
              <w:left w:val="single" w:color="auto" w:sz="4" w:space="0"/>
              <w:bottom w:val="single" w:color="auto" w:sz="4" w:space="0"/>
              <w:right w:val="single" w:color="auto" w:sz="4" w:space="0"/>
            </w:tcBorders>
            <w:vAlign w:val="center"/>
          </w:tcPr>
          <w:p w14:paraId="131E0D59">
            <w:pPr>
              <w:spacing w:line="240" w:lineRule="auto"/>
              <w:ind w:firstLine="0" w:firstLineChars="0"/>
              <w:jc w:val="center"/>
              <w:rPr>
                <w:rFonts w:hint="eastAsia"/>
                <w:color w:val="auto"/>
                <w:sz w:val="21"/>
              </w:rPr>
            </w:pPr>
            <w:r>
              <w:rPr>
                <w:rFonts w:hint="eastAsia"/>
                <w:color w:val="auto"/>
                <w:sz w:val="21"/>
              </w:rPr>
              <w:t>120</w:t>
            </w:r>
          </w:p>
        </w:tc>
      </w:tr>
      <w:tr w14:paraId="4694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300" w:type="pct"/>
            <w:tcBorders>
              <w:top w:val="single" w:color="auto" w:sz="4" w:space="0"/>
              <w:left w:val="single" w:color="auto" w:sz="4" w:space="0"/>
              <w:bottom w:val="single" w:color="auto" w:sz="4" w:space="0"/>
              <w:right w:val="single" w:color="auto" w:sz="4" w:space="0"/>
            </w:tcBorders>
            <w:vAlign w:val="center"/>
          </w:tcPr>
          <w:p w14:paraId="353F7B59">
            <w:pPr>
              <w:spacing w:line="240" w:lineRule="auto"/>
              <w:ind w:firstLine="0" w:firstLineChars="0"/>
              <w:jc w:val="center"/>
              <w:rPr>
                <w:rFonts w:hint="eastAsia"/>
                <w:color w:val="auto"/>
                <w:sz w:val="21"/>
              </w:rPr>
            </w:pPr>
            <w:r>
              <w:rPr>
                <w:rFonts w:hint="eastAsia"/>
                <w:color w:val="auto"/>
                <w:sz w:val="21"/>
              </w:rPr>
              <w:t>10KV及以下电力电缆</w:t>
            </w:r>
          </w:p>
        </w:tc>
        <w:tc>
          <w:tcPr>
            <w:tcW w:w="2700" w:type="pct"/>
            <w:tcBorders>
              <w:top w:val="single" w:color="auto" w:sz="4" w:space="0"/>
              <w:left w:val="single" w:color="auto" w:sz="4" w:space="0"/>
              <w:bottom w:val="single" w:color="auto" w:sz="4" w:space="0"/>
              <w:right w:val="single" w:color="auto" w:sz="4" w:space="0"/>
            </w:tcBorders>
            <w:vAlign w:val="center"/>
          </w:tcPr>
          <w:p w14:paraId="5F6BD342">
            <w:pPr>
              <w:spacing w:line="240" w:lineRule="auto"/>
              <w:ind w:firstLine="0" w:firstLineChars="0"/>
              <w:jc w:val="center"/>
              <w:rPr>
                <w:rFonts w:hint="eastAsia"/>
                <w:color w:val="auto"/>
                <w:sz w:val="21"/>
              </w:rPr>
            </w:pPr>
            <w:r>
              <w:rPr>
                <w:rFonts w:hint="eastAsia"/>
                <w:color w:val="auto"/>
                <w:sz w:val="21"/>
              </w:rPr>
              <w:t>150～200</w:t>
            </w:r>
          </w:p>
        </w:tc>
      </w:tr>
    </w:tbl>
    <w:p w14:paraId="48D4F61A">
      <w:pPr>
        <w:rPr>
          <w:rFonts w:hint="eastAsia"/>
          <w:color w:val="auto"/>
        </w:rPr>
      </w:pPr>
      <w:r>
        <w:rPr>
          <w:rFonts w:hint="eastAsia"/>
          <w:color w:val="auto"/>
        </w:rPr>
        <w:t>电缆支持点间距（mm）</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1"/>
        <w:gridCol w:w="4575"/>
        <w:gridCol w:w="1491"/>
        <w:gridCol w:w="1503"/>
      </w:tblGrid>
      <w:tr w14:paraId="4364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348" w:type="pct"/>
            <w:gridSpan w:val="2"/>
            <w:vMerge w:val="restart"/>
            <w:tcBorders>
              <w:top w:val="single" w:color="auto" w:sz="4" w:space="0"/>
              <w:left w:val="single" w:color="auto" w:sz="4" w:space="0"/>
              <w:bottom w:val="single" w:color="auto" w:sz="4" w:space="0"/>
              <w:right w:val="single" w:color="auto" w:sz="4" w:space="0"/>
            </w:tcBorders>
            <w:vAlign w:val="center"/>
          </w:tcPr>
          <w:p w14:paraId="2CF223A8">
            <w:pPr>
              <w:spacing w:line="240" w:lineRule="auto"/>
              <w:ind w:firstLine="0" w:firstLineChars="0"/>
              <w:jc w:val="center"/>
              <w:rPr>
                <w:rFonts w:hint="eastAsia"/>
                <w:color w:val="auto"/>
                <w:sz w:val="21"/>
              </w:rPr>
            </w:pPr>
            <w:r>
              <w:rPr>
                <w:rFonts w:hint="eastAsia"/>
                <w:color w:val="auto"/>
                <w:sz w:val="21"/>
              </w:rPr>
              <w:t>电缆种类</w:t>
            </w:r>
          </w:p>
        </w:tc>
        <w:tc>
          <w:tcPr>
            <w:tcW w:w="1652" w:type="pct"/>
            <w:gridSpan w:val="2"/>
            <w:tcBorders>
              <w:top w:val="single" w:color="auto" w:sz="4" w:space="0"/>
              <w:left w:val="single" w:color="auto" w:sz="4" w:space="0"/>
              <w:bottom w:val="single" w:color="auto" w:sz="4" w:space="0"/>
              <w:right w:val="single" w:color="auto" w:sz="4" w:space="0"/>
            </w:tcBorders>
            <w:vAlign w:val="center"/>
          </w:tcPr>
          <w:p w14:paraId="604EA032">
            <w:pPr>
              <w:spacing w:line="240" w:lineRule="auto"/>
              <w:ind w:firstLine="0" w:firstLineChars="0"/>
              <w:jc w:val="center"/>
              <w:rPr>
                <w:rFonts w:hint="eastAsia"/>
                <w:color w:val="auto"/>
                <w:sz w:val="21"/>
              </w:rPr>
            </w:pPr>
            <w:r>
              <w:rPr>
                <w:rFonts w:hint="eastAsia"/>
                <w:color w:val="auto"/>
                <w:sz w:val="21"/>
              </w:rPr>
              <w:t>敷设方式</w:t>
            </w:r>
          </w:p>
        </w:tc>
      </w:tr>
      <w:tr w14:paraId="08140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054A7744">
            <w:pPr>
              <w:spacing w:line="240" w:lineRule="auto"/>
              <w:ind w:firstLine="0" w:firstLineChars="0"/>
              <w:jc w:val="center"/>
              <w:rPr>
                <w:color w:val="auto"/>
                <w:sz w:val="21"/>
              </w:rPr>
            </w:pPr>
          </w:p>
        </w:tc>
        <w:tc>
          <w:tcPr>
            <w:tcW w:w="823" w:type="pct"/>
            <w:tcBorders>
              <w:top w:val="single" w:color="auto" w:sz="4" w:space="0"/>
              <w:left w:val="single" w:color="auto" w:sz="4" w:space="0"/>
              <w:bottom w:val="single" w:color="auto" w:sz="4" w:space="0"/>
              <w:right w:val="single" w:color="auto" w:sz="4" w:space="0"/>
            </w:tcBorders>
            <w:vAlign w:val="center"/>
          </w:tcPr>
          <w:p w14:paraId="14CE18AA">
            <w:pPr>
              <w:spacing w:line="240" w:lineRule="auto"/>
              <w:ind w:firstLine="0" w:firstLineChars="0"/>
              <w:jc w:val="center"/>
              <w:rPr>
                <w:rFonts w:hint="eastAsia"/>
                <w:color w:val="auto"/>
                <w:sz w:val="21"/>
              </w:rPr>
            </w:pPr>
            <w:r>
              <w:rPr>
                <w:rFonts w:hint="eastAsia"/>
                <w:color w:val="auto"/>
                <w:sz w:val="21"/>
              </w:rPr>
              <w:t>水平</w:t>
            </w:r>
          </w:p>
        </w:tc>
        <w:tc>
          <w:tcPr>
            <w:tcW w:w="830" w:type="pct"/>
            <w:tcBorders>
              <w:top w:val="single" w:color="auto" w:sz="4" w:space="0"/>
              <w:left w:val="single" w:color="auto" w:sz="4" w:space="0"/>
              <w:bottom w:val="single" w:color="auto" w:sz="4" w:space="0"/>
              <w:right w:val="single" w:color="auto" w:sz="4" w:space="0"/>
            </w:tcBorders>
            <w:vAlign w:val="center"/>
          </w:tcPr>
          <w:p w14:paraId="4194E4A2">
            <w:pPr>
              <w:spacing w:line="240" w:lineRule="auto"/>
              <w:ind w:firstLine="0" w:firstLineChars="0"/>
              <w:jc w:val="center"/>
              <w:rPr>
                <w:rFonts w:hint="eastAsia"/>
                <w:color w:val="auto"/>
                <w:sz w:val="21"/>
              </w:rPr>
            </w:pPr>
            <w:r>
              <w:rPr>
                <w:rFonts w:hint="eastAsia"/>
                <w:color w:val="auto"/>
                <w:sz w:val="21"/>
              </w:rPr>
              <w:t>垂直</w:t>
            </w:r>
          </w:p>
        </w:tc>
      </w:tr>
      <w:tr w14:paraId="2096A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23" w:type="pct"/>
            <w:vMerge w:val="restart"/>
            <w:tcBorders>
              <w:top w:val="nil"/>
              <w:left w:val="single" w:color="auto" w:sz="4" w:space="0"/>
              <w:bottom w:val="single" w:color="auto" w:sz="4" w:space="0"/>
              <w:right w:val="single" w:color="auto" w:sz="4" w:space="0"/>
            </w:tcBorders>
            <w:vAlign w:val="center"/>
          </w:tcPr>
          <w:p w14:paraId="028A85DD">
            <w:pPr>
              <w:spacing w:line="240" w:lineRule="auto"/>
              <w:ind w:firstLine="0" w:firstLineChars="0"/>
              <w:jc w:val="center"/>
              <w:rPr>
                <w:rFonts w:hint="eastAsia"/>
                <w:color w:val="auto"/>
              </w:rPr>
            </w:pPr>
            <w:r>
              <w:rPr>
                <w:rFonts w:hint="eastAsia"/>
                <w:color w:val="auto"/>
                <w:sz w:val="21"/>
              </w:rPr>
              <w:t>电力电缆</w:t>
            </w:r>
          </w:p>
        </w:tc>
        <w:tc>
          <w:tcPr>
            <w:tcW w:w="2524" w:type="pct"/>
            <w:tcBorders>
              <w:top w:val="single" w:color="auto" w:sz="4" w:space="0"/>
              <w:left w:val="single" w:color="auto" w:sz="4" w:space="0"/>
              <w:bottom w:val="single" w:color="auto" w:sz="4" w:space="0"/>
              <w:right w:val="single" w:color="auto" w:sz="4" w:space="0"/>
            </w:tcBorders>
            <w:vAlign w:val="center"/>
          </w:tcPr>
          <w:p w14:paraId="173E1427">
            <w:pPr>
              <w:spacing w:line="240" w:lineRule="auto"/>
              <w:ind w:firstLine="0" w:firstLineChars="0"/>
              <w:jc w:val="center"/>
              <w:rPr>
                <w:rFonts w:hint="eastAsia"/>
                <w:color w:val="auto"/>
                <w:sz w:val="21"/>
              </w:rPr>
            </w:pPr>
            <w:r>
              <w:rPr>
                <w:rFonts w:hint="eastAsia"/>
                <w:color w:val="auto"/>
                <w:sz w:val="21"/>
              </w:rPr>
              <w:t>全塑型</w:t>
            </w:r>
          </w:p>
        </w:tc>
        <w:tc>
          <w:tcPr>
            <w:tcW w:w="823" w:type="pct"/>
            <w:tcBorders>
              <w:top w:val="single" w:color="auto" w:sz="4" w:space="0"/>
              <w:left w:val="single" w:color="auto" w:sz="4" w:space="0"/>
              <w:bottom w:val="single" w:color="auto" w:sz="4" w:space="0"/>
              <w:right w:val="single" w:color="auto" w:sz="4" w:space="0"/>
            </w:tcBorders>
            <w:vAlign w:val="center"/>
          </w:tcPr>
          <w:p w14:paraId="4397DDBC">
            <w:pPr>
              <w:spacing w:line="240" w:lineRule="auto"/>
              <w:ind w:firstLine="0" w:firstLineChars="0"/>
              <w:jc w:val="center"/>
              <w:rPr>
                <w:rFonts w:hint="eastAsia"/>
                <w:color w:val="auto"/>
                <w:sz w:val="21"/>
              </w:rPr>
            </w:pPr>
            <w:r>
              <w:rPr>
                <w:rFonts w:hint="eastAsia"/>
                <w:color w:val="auto"/>
                <w:sz w:val="21"/>
              </w:rPr>
              <w:t>400</w:t>
            </w:r>
          </w:p>
        </w:tc>
        <w:tc>
          <w:tcPr>
            <w:tcW w:w="830" w:type="pct"/>
            <w:tcBorders>
              <w:top w:val="single" w:color="auto" w:sz="4" w:space="0"/>
              <w:left w:val="single" w:color="auto" w:sz="4" w:space="0"/>
              <w:bottom w:val="single" w:color="auto" w:sz="4" w:space="0"/>
              <w:right w:val="single" w:color="auto" w:sz="4" w:space="0"/>
            </w:tcBorders>
            <w:vAlign w:val="center"/>
          </w:tcPr>
          <w:p w14:paraId="34223D4E">
            <w:pPr>
              <w:spacing w:line="240" w:lineRule="auto"/>
              <w:ind w:firstLine="0" w:firstLineChars="0"/>
              <w:jc w:val="center"/>
              <w:rPr>
                <w:rFonts w:hint="eastAsia"/>
                <w:color w:val="auto"/>
                <w:sz w:val="21"/>
              </w:rPr>
            </w:pPr>
            <w:r>
              <w:rPr>
                <w:rFonts w:hint="eastAsia"/>
                <w:color w:val="auto"/>
                <w:sz w:val="21"/>
              </w:rPr>
              <w:t>1000</w:t>
            </w:r>
          </w:p>
        </w:tc>
      </w:tr>
      <w:tr w14:paraId="3760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4DD81460">
            <w:pPr>
              <w:rPr>
                <w:color w:val="auto"/>
              </w:rPr>
            </w:pPr>
          </w:p>
        </w:tc>
        <w:tc>
          <w:tcPr>
            <w:tcW w:w="2524" w:type="pct"/>
            <w:tcBorders>
              <w:top w:val="single" w:color="auto" w:sz="4" w:space="0"/>
              <w:left w:val="single" w:color="auto" w:sz="4" w:space="0"/>
              <w:bottom w:val="single" w:color="auto" w:sz="4" w:space="0"/>
              <w:right w:val="single" w:color="auto" w:sz="4" w:space="0"/>
            </w:tcBorders>
            <w:vAlign w:val="center"/>
          </w:tcPr>
          <w:p w14:paraId="75928F06">
            <w:pPr>
              <w:spacing w:line="240" w:lineRule="auto"/>
              <w:ind w:firstLine="0" w:firstLineChars="0"/>
              <w:jc w:val="center"/>
              <w:rPr>
                <w:rFonts w:hint="eastAsia"/>
                <w:color w:val="auto"/>
                <w:sz w:val="21"/>
              </w:rPr>
            </w:pPr>
            <w:r>
              <w:rPr>
                <w:rFonts w:hint="eastAsia"/>
                <w:color w:val="auto"/>
                <w:sz w:val="21"/>
              </w:rPr>
              <w:t>除全塑型外的电缆</w:t>
            </w:r>
          </w:p>
        </w:tc>
        <w:tc>
          <w:tcPr>
            <w:tcW w:w="823" w:type="pct"/>
            <w:tcBorders>
              <w:top w:val="single" w:color="auto" w:sz="4" w:space="0"/>
              <w:left w:val="single" w:color="auto" w:sz="4" w:space="0"/>
              <w:bottom w:val="single" w:color="auto" w:sz="4" w:space="0"/>
              <w:right w:val="single" w:color="auto" w:sz="4" w:space="0"/>
            </w:tcBorders>
            <w:vAlign w:val="center"/>
          </w:tcPr>
          <w:p w14:paraId="1285C574">
            <w:pPr>
              <w:spacing w:line="240" w:lineRule="auto"/>
              <w:ind w:firstLine="0" w:firstLineChars="0"/>
              <w:jc w:val="center"/>
              <w:rPr>
                <w:rFonts w:hint="eastAsia"/>
                <w:color w:val="auto"/>
                <w:sz w:val="21"/>
              </w:rPr>
            </w:pPr>
            <w:r>
              <w:rPr>
                <w:rFonts w:hint="eastAsia"/>
                <w:color w:val="auto"/>
                <w:sz w:val="21"/>
              </w:rPr>
              <w:t>800</w:t>
            </w:r>
          </w:p>
        </w:tc>
        <w:tc>
          <w:tcPr>
            <w:tcW w:w="830" w:type="pct"/>
            <w:tcBorders>
              <w:top w:val="single" w:color="auto" w:sz="4" w:space="0"/>
              <w:left w:val="single" w:color="auto" w:sz="4" w:space="0"/>
              <w:bottom w:val="single" w:color="auto" w:sz="4" w:space="0"/>
              <w:right w:val="single" w:color="auto" w:sz="4" w:space="0"/>
            </w:tcBorders>
            <w:vAlign w:val="center"/>
          </w:tcPr>
          <w:p w14:paraId="30F4B8C0">
            <w:pPr>
              <w:spacing w:line="240" w:lineRule="auto"/>
              <w:ind w:firstLine="0" w:firstLineChars="0"/>
              <w:jc w:val="center"/>
              <w:rPr>
                <w:rFonts w:hint="eastAsia"/>
                <w:color w:val="auto"/>
                <w:sz w:val="21"/>
              </w:rPr>
            </w:pPr>
            <w:r>
              <w:rPr>
                <w:rFonts w:hint="eastAsia"/>
                <w:color w:val="auto"/>
                <w:sz w:val="21"/>
              </w:rPr>
              <w:t>1500</w:t>
            </w:r>
          </w:p>
        </w:tc>
      </w:tr>
    </w:tbl>
    <w:p w14:paraId="09601E79">
      <w:pPr>
        <w:rPr>
          <w:rFonts w:hint="eastAsia"/>
          <w:color w:val="auto"/>
        </w:rPr>
      </w:pPr>
      <w:r>
        <w:rPr>
          <w:rFonts w:hint="eastAsia"/>
          <w:color w:val="auto"/>
        </w:rPr>
        <w:t>（9）电线导管、电缆导管和线槽敷设</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0CCB5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77DBDC1">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3DE57EFD">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28457CA3">
            <w:pPr>
              <w:spacing w:line="240" w:lineRule="auto"/>
              <w:ind w:firstLine="0" w:firstLineChars="0"/>
              <w:jc w:val="center"/>
              <w:rPr>
                <w:rFonts w:hint="eastAsia"/>
                <w:color w:val="auto"/>
                <w:sz w:val="21"/>
              </w:rPr>
            </w:pPr>
            <w:r>
              <w:rPr>
                <w:rFonts w:hint="eastAsia"/>
                <w:color w:val="auto"/>
                <w:sz w:val="21"/>
              </w:rPr>
              <w:t>检查内容</w:t>
            </w:r>
          </w:p>
        </w:tc>
      </w:tr>
      <w:tr w14:paraId="2E203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F3E11C1">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3B3C18DE">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0B92CAF4">
            <w:pPr>
              <w:spacing w:line="240" w:lineRule="auto"/>
              <w:ind w:firstLine="420"/>
              <w:rPr>
                <w:rFonts w:hint="eastAsia"/>
                <w:color w:val="auto"/>
                <w:sz w:val="21"/>
              </w:rPr>
            </w:pPr>
            <w:r>
              <w:rPr>
                <w:rFonts w:hint="eastAsia"/>
                <w:color w:val="auto"/>
                <w:sz w:val="21"/>
              </w:rPr>
              <w:t>金属的导管和线槽必须接地（PE）或接零（PEN）可靠，并符合下列规定：</w:t>
            </w:r>
          </w:p>
          <w:p w14:paraId="19809F00">
            <w:pPr>
              <w:spacing w:line="240" w:lineRule="auto"/>
              <w:ind w:firstLine="420"/>
              <w:rPr>
                <w:rFonts w:hint="eastAsia"/>
                <w:color w:val="auto"/>
                <w:sz w:val="21"/>
              </w:rPr>
            </w:pPr>
            <w:r>
              <w:rPr>
                <w:rFonts w:hint="eastAsia"/>
                <w:color w:val="auto"/>
                <w:sz w:val="21"/>
              </w:rPr>
              <w:t>镀锌的钢导管、可挠性导管和金属线槽不得熔焊跨接接地线，以专用接地卡跨接的两卡间连线为铜芯软导线，截面积不小于4mm²；</w:t>
            </w:r>
          </w:p>
          <w:p w14:paraId="76608ADA">
            <w:pPr>
              <w:spacing w:line="240" w:lineRule="auto"/>
              <w:ind w:firstLine="420"/>
              <w:rPr>
                <w:rFonts w:hint="eastAsia"/>
                <w:color w:val="auto"/>
                <w:sz w:val="21"/>
              </w:rPr>
            </w:pPr>
            <w:r>
              <w:rPr>
                <w:rFonts w:hint="eastAsia"/>
                <w:color w:val="auto"/>
                <w:sz w:val="21"/>
              </w:rPr>
              <w:t>当非镀锌钢导管采用螺纹连接时，连接处的两端焊跨接接地线；当镀锌钢导管采用螺纹连接时，连接处的两端用专用接地卡固定跨接接地线；</w:t>
            </w:r>
          </w:p>
          <w:p w14:paraId="70BBD4D0">
            <w:pPr>
              <w:spacing w:line="240" w:lineRule="auto"/>
              <w:ind w:firstLine="420"/>
              <w:rPr>
                <w:rFonts w:hint="eastAsia"/>
                <w:color w:val="auto"/>
                <w:sz w:val="21"/>
              </w:rPr>
            </w:pPr>
            <w:r>
              <w:rPr>
                <w:rFonts w:hint="eastAsia"/>
                <w:color w:val="auto"/>
                <w:sz w:val="21"/>
              </w:rPr>
              <w:t>金属线槽不作设备的接地导体，当设计无要求时，金属线槽全长不少于2处与接地（PE）或接零（PEN）干线连接；非镀锌金属线槽间连接板的两端跨接铜芯接地线，镀锌线槽间连接的两端不跨接接地线，但连接板两端不少于2个有防松螺帽或防松垫圈的连接固定螺栓。</w:t>
            </w:r>
          </w:p>
          <w:p w14:paraId="70E02712">
            <w:pPr>
              <w:spacing w:line="240" w:lineRule="auto"/>
              <w:ind w:firstLine="420"/>
              <w:rPr>
                <w:rFonts w:hint="eastAsia"/>
                <w:color w:val="auto"/>
                <w:sz w:val="21"/>
              </w:rPr>
            </w:pPr>
            <w:r>
              <w:rPr>
                <w:rFonts w:hint="eastAsia"/>
                <w:color w:val="auto"/>
                <w:sz w:val="21"/>
              </w:rPr>
              <w:t>金属导管严禁对口熔焊连接；镀锌和壁厚小于2mm的钢导管不得套管熔焊连接。</w:t>
            </w:r>
          </w:p>
          <w:p w14:paraId="6247D2F3">
            <w:pPr>
              <w:spacing w:line="240" w:lineRule="auto"/>
              <w:ind w:firstLine="420"/>
              <w:rPr>
                <w:rFonts w:hint="eastAsia"/>
                <w:color w:val="auto"/>
                <w:sz w:val="21"/>
              </w:rPr>
            </w:pPr>
            <w:r>
              <w:rPr>
                <w:rFonts w:hint="eastAsia"/>
                <w:color w:val="auto"/>
                <w:sz w:val="21"/>
              </w:rPr>
              <w:t>防爆导管不应采用倒扣连接；当连接有困难时，应采用防爆活接头，其接合面应严密。</w:t>
            </w:r>
          </w:p>
          <w:p w14:paraId="7874A664">
            <w:pPr>
              <w:spacing w:line="240" w:lineRule="auto"/>
              <w:ind w:firstLine="420"/>
              <w:rPr>
                <w:rFonts w:hint="eastAsia"/>
                <w:color w:val="auto"/>
                <w:sz w:val="21"/>
              </w:rPr>
            </w:pPr>
            <w:r>
              <w:rPr>
                <w:rFonts w:hint="eastAsia"/>
                <w:color w:val="auto"/>
                <w:sz w:val="21"/>
              </w:rPr>
              <w:t>当绝缘导管在砌体上剔槽埋设时，应采用强度等级不小于M10的水泥砂浆抹面保护，保护层厚度大于15mm。</w:t>
            </w:r>
          </w:p>
        </w:tc>
      </w:tr>
      <w:tr w14:paraId="7B4BB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5C44D28">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76D0B39F">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3F87CE87">
            <w:pPr>
              <w:spacing w:line="240" w:lineRule="auto"/>
              <w:ind w:firstLine="420"/>
              <w:rPr>
                <w:rFonts w:hint="eastAsia"/>
                <w:color w:val="auto"/>
                <w:sz w:val="21"/>
              </w:rPr>
            </w:pPr>
            <w:r>
              <w:rPr>
                <w:rFonts w:hint="eastAsia"/>
                <w:color w:val="auto"/>
                <w:sz w:val="21"/>
              </w:rPr>
              <w:t>室外埋地敷设的电缆导管，埋深不应小于0.7m。壁厚小于等于2mm的钢电线导管不应埋设于室外土壤内。</w:t>
            </w:r>
          </w:p>
          <w:p w14:paraId="580ADCF2">
            <w:pPr>
              <w:spacing w:line="240" w:lineRule="auto"/>
              <w:ind w:firstLine="420"/>
              <w:rPr>
                <w:rFonts w:hint="eastAsia"/>
                <w:color w:val="auto"/>
                <w:sz w:val="21"/>
              </w:rPr>
            </w:pPr>
            <w:r>
              <w:rPr>
                <w:rFonts w:hint="eastAsia"/>
                <w:color w:val="auto"/>
                <w:sz w:val="21"/>
              </w:rPr>
              <w:t>室外导管的管口应设置在盒、箱内。在落地式配电箱内的管口，箱底无封板的，管口应高出基础面50～80mm。所有管口在穿入电线、电缆后应做密封处理。由箱式变电所或落地式配电箱引向建筑物的导管，建筑物一侧的导管管口应设在建筑物内。</w:t>
            </w:r>
          </w:p>
          <w:p w14:paraId="33CB09D4">
            <w:pPr>
              <w:spacing w:line="240" w:lineRule="auto"/>
              <w:ind w:firstLine="420"/>
              <w:rPr>
                <w:rFonts w:hint="eastAsia"/>
                <w:color w:val="auto"/>
                <w:sz w:val="21"/>
              </w:rPr>
            </w:pPr>
            <w:r>
              <w:rPr>
                <w:rFonts w:hint="eastAsia"/>
                <w:color w:val="auto"/>
                <w:sz w:val="21"/>
              </w:rPr>
              <w:t>金属导管内外壁应防腐处理；埋设于混凝土内的导管内壁应防腐处理，外壁可不防腐处理。</w:t>
            </w:r>
          </w:p>
          <w:p w14:paraId="0F44E2A9">
            <w:pPr>
              <w:spacing w:line="240" w:lineRule="auto"/>
              <w:ind w:firstLine="420"/>
              <w:rPr>
                <w:rFonts w:hint="eastAsia"/>
                <w:color w:val="auto"/>
                <w:sz w:val="21"/>
              </w:rPr>
            </w:pPr>
            <w:r>
              <w:rPr>
                <w:rFonts w:hint="eastAsia"/>
                <w:color w:val="auto"/>
                <w:sz w:val="21"/>
              </w:rPr>
              <w:t>室内进入落地式柜、台、箱、盘内的导管管口，应高出柜、台、箱、盘的基础面50～80mm。</w:t>
            </w:r>
          </w:p>
          <w:p w14:paraId="60B81C4C">
            <w:pPr>
              <w:spacing w:line="240" w:lineRule="auto"/>
              <w:ind w:firstLine="420"/>
              <w:rPr>
                <w:rFonts w:hint="eastAsia"/>
                <w:color w:val="auto"/>
                <w:sz w:val="21"/>
              </w:rPr>
            </w:pPr>
            <w:r>
              <w:rPr>
                <w:rFonts w:hint="eastAsia"/>
                <w:color w:val="auto"/>
                <w:sz w:val="21"/>
              </w:rPr>
              <w:t>暗配管要有一定的埋设深度，太深不利于与盒箱连接，有时剔槽太深会影响墙体等建筑物的质量；太浅同样不利于盒箱连接，还会使建筑物表面有裂纹，在某些潮湿场所（如实验室等），钢导管的锈蚀会印显在墙面上，所以埋设深度恰当，既保护导管又不影响建筑物质量。</w:t>
            </w:r>
          </w:p>
          <w:p w14:paraId="12228493">
            <w:pPr>
              <w:spacing w:line="240" w:lineRule="auto"/>
              <w:ind w:firstLine="420"/>
              <w:rPr>
                <w:rFonts w:hint="eastAsia"/>
                <w:color w:val="auto"/>
                <w:sz w:val="21"/>
              </w:rPr>
            </w:pPr>
            <w:r>
              <w:rPr>
                <w:rFonts w:hint="eastAsia"/>
                <w:color w:val="auto"/>
                <w:sz w:val="21"/>
              </w:rPr>
              <w:t>明配管要合理设置固定点，是为了穿线缆时不发生管子移位，脱落现象，也是为了使电气线路有足够的机械强度，受到冲击（如轻度地震）仍安全可靠地保持使用功能。</w:t>
            </w:r>
          </w:p>
          <w:p w14:paraId="5144C3A2">
            <w:pPr>
              <w:spacing w:line="240" w:lineRule="auto"/>
              <w:ind w:firstLine="420"/>
              <w:rPr>
                <w:rFonts w:hint="eastAsia"/>
                <w:color w:val="auto"/>
                <w:sz w:val="21"/>
              </w:rPr>
            </w:pPr>
            <w:r>
              <w:rPr>
                <w:rFonts w:hint="eastAsia"/>
                <w:color w:val="auto"/>
                <w:sz w:val="21"/>
              </w:rPr>
              <w:t>暗配的导管，埋设深度与建筑物、构筑物表面的距离不应小于15mm；明配的导管应排列整齐，固定点间距均匀。安装牢固；在终端、弯头中点或柜、台、箱、盘等边缘的距离150～500mm范围内设有管卡。线槽应安装牢固，无扭曲变形，紧固件的螺母应在线槽外侧。</w:t>
            </w:r>
          </w:p>
          <w:p w14:paraId="5611FB96">
            <w:pPr>
              <w:spacing w:line="240" w:lineRule="auto"/>
              <w:ind w:firstLine="420"/>
              <w:rPr>
                <w:rFonts w:hint="eastAsia"/>
                <w:color w:val="auto"/>
                <w:sz w:val="21"/>
              </w:rPr>
            </w:pPr>
            <w:r>
              <w:rPr>
                <w:rFonts w:hint="eastAsia"/>
                <w:color w:val="auto"/>
                <w:sz w:val="21"/>
              </w:rPr>
              <w:t>线槽内的各种连接螺栓，均要由内向外穿，应尽量使螺栓的头部与线槽内壁平齐，以利敷设，不致敷设线时损坏导线的绝缘护层。</w:t>
            </w:r>
          </w:p>
          <w:p w14:paraId="0AED8C40">
            <w:pPr>
              <w:spacing w:line="240" w:lineRule="auto"/>
              <w:ind w:firstLine="420"/>
              <w:rPr>
                <w:rFonts w:hint="eastAsia"/>
                <w:color w:val="auto"/>
                <w:sz w:val="21"/>
              </w:rPr>
            </w:pPr>
            <w:r>
              <w:rPr>
                <w:rFonts w:hint="eastAsia"/>
                <w:color w:val="auto"/>
                <w:sz w:val="21"/>
              </w:rPr>
              <w:t>防爆导管敷设应符合下列规定：</w:t>
            </w:r>
          </w:p>
          <w:p w14:paraId="562A3629">
            <w:pPr>
              <w:spacing w:line="240" w:lineRule="auto"/>
              <w:ind w:firstLine="420"/>
              <w:rPr>
                <w:rFonts w:hint="eastAsia"/>
                <w:color w:val="auto"/>
                <w:sz w:val="21"/>
              </w:rPr>
            </w:pPr>
            <w:r>
              <w:rPr>
                <w:rFonts w:hint="eastAsia"/>
                <w:color w:val="auto"/>
                <w:sz w:val="21"/>
              </w:rPr>
              <w:t>导管间及与灯具、开关、线盒等的螺纹连接处紧固，除设计有特殊要求外，连接处不跨接接地线，在螺纹上涂以电力复合酯或导电性防锈酯；</w:t>
            </w:r>
          </w:p>
          <w:p w14:paraId="2C6CA49A">
            <w:pPr>
              <w:spacing w:line="240" w:lineRule="auto"/>
              <w:ind w:firstLine="420"/>
              <w:rPr>
                <w:rFonts w:hint="eastAsia"/>
                <w:color w:val="auto"/>
                <w:sz w:val="21"/>
              </w:rPr>
            </w:pPr>
            <w:r>
              <w:rPr>
                <w:rFonts w:hint="eastAsia"/>
                <w:color w:val="auto"/>
                <w:sz w:val="21"/>
              </w:rPr>
              <w:t>安装牢固顺直，镀锌层锈蚀或剥落处做防腐处理。</w:t>
            </w:r>
          </w:p>
          <w:p w14:paraId="5EF37C63">
            <w:pPr>
              <w:spacing w:line="240" w:lineRule="auto"/>
              <w:ind w:firstLine="420"/>
              <w:rPr>
                <w:rFonts w:hint="eastAsia"/>
                <w:color w:val="auto"/>
                <w:sz w:val="21"/>
              </w:rPr>
            </w:pPr>
            <w:r>
              <w:rPr>
                <w:rFonts w:hint="eastAsia"/>
                <w:color w:val="auto"/>
                <w:sz w:val="21"/>
              </w:rPr>
              <w:t>需要按防爆标准施工的具有爆炸和水灾危险环境的场所，主要是锅炉房和自备柴油发电机组的燃油或燃气供给运转室，以及燃料的小额储备室。</w:t>
            </w:r>
          </w:p>
          <w:p w14:paraId="3DF7D701">
            <w:pPr>
              <w:spacing w:line="240" w:lineRule="auto"/>
              <w:ind w:firstLine="420"/>
              <w:rPr>
                <w:rFonts w:hint="eastAsia"/>
                <w:color w:val="auto"/>
                <w:sz w:val="21"/>
              </w:rPr>
            </w:pPr>
            <w:r>
              <w:rPr>
                <w:rFonts w:hint="eastAsia"/>
                <w:color w:val="auto"/>
                <w:sz w:val="21"/>
              </w:rPr>
              <w:t>配管应按防爆要求执行，由于防爆线路明确用低压流体镀锌钢管做导管，管子间连接、管子与电气设备器具间连接一律采用螺纹连接，且要在丝扣上涂电力复合酯，使导管具有导电连续性，所以除设计要求外，可以不跨接接地线。同时有些防爆接线盒等器具是铝合金的，也不宜焊接，因而施工设计中通常有专用保护地线（PE线）与设备、器具等零部件用螺栓连接，使接地可靠连通。</w:t>
            </w:r>
          </w:p>
          <w:p w14:paraId="6800108F">
            <w:pPr>
              <w:spacing w:line="240" w:lineRule="auto"/>
              <w:ind w:firstLine="420"/>
              <w:rPr>
                <w:rFonts w:hint="eastAsia"/>
                <w:color w:val="auto"/>
                <w:sz w:val="21"/>
              </w:rPr>
            </w:pPr>
            <w:r>
              <w:rPr>
                <w:rFonts w:hint="eastAsia"/>
                <w:color w:val="auto"/>
                <w:sz w:val="21"/>
              </w:rPr>
              <w:t>绝缘导管敷设应符合下列规定：</w:t>
            </w:r>
          </w:p>
          <w:p w14:paraId="65883DED">
            <w:pPr>
              <w:spacing w:line="240" w:lineRule="auto"/>
              <w:ind w:firstLine="420"/>
              <w:rPr>
                <w:rFonts w:hint="eastAsia"/>
                <w:color w:val="auto"/>
                <w:sz w:val="21"/>
              </w:rPr>
            </w:pPr>
            <w:r>
              <w:rPr>
                <w:rFonts w:hint="eastAsia"/>
                <w:color w:val="auto"/>
                <w:sz w:val="21"/>
              </w:rPr>
              <w:t>管口平整光滑；管与盒（箱）等器件采用插入法连接时，连接处结合面涂专用胶合剂，接口牢固密封；</w:t>
            </w:r>
          </w:p>
          <w:p w14:paraId="36BC903B">
            <w:pPr>
              <w:spacing w:line="240" w:lineRule="auto"/>
              <w:ind w:firstLine="420"/>
              <w:rPr>
                <w:rFonts w:hint="eastAsia"/>
                <w:color w:val="auto"/>
                <w:sz w:val="21"/>
              </w:rPr>
            </w:pPr>
            <w:r>
              <w:rPr>
                <w:rFonts w:hint="eastAsia"/>
                <w:color w:val="auto"/>
                <w:sz w:val="21"/>
              </w:rPr>
              <w:t>直埋于地下或楼板上的刚性绝缘导管，在穿出地面或楼板易受机械损伤的一段，采取保护措施；</w:t>
            </w:r>
          </w:p>
          <w:p w14:paraId="7AF5E6D2">
            <w:pPr>
              <w:spacing w:line="240" w:lineRule="auto"/>
              <w:ind w:firstLine="420"/>
              <w:rPr>
                <w:rFonts w:hint="eastAsia"/>
                <w:color w:val="auto"/>
                <w:sz w:val="21"/>
              </w:rPr>
            </w:pPr>
            <w:r>
              <w:rPr>
                <w:rFonts w:hint="eastAsia"/>
                <w:color w:val="auto"/>
                <w:sz w:val="21"/>
              </w:rPr>
              <w:t>当设计无要求时，埋设在墙内或混凝土内的绝缘导管，采用中型以上的导管；</w:t>
            </w:r>
          </w:p>
          <w:p w14:paraId="46A4F9C1">
            <w:pPr>
              <w:spacing w:line="240" w:lineRule="auto"/>
              <w:ind w:firstLine="420"/>
              <w:rPr>
                <w:rFonts w:hint="eastAsia"/>
                <w:color w:val="auto"/>
                <w:sz w:val="21"/>
              </w:rPr>
            </w:pPr>
            <w:r>
              <w:rPr>
                <w:rFonts w:hint="eastAsia"/>
                <w:color w:val="auto"/>
                <w:sz w:val="21"/>
              </w:rPr>
              <w:t>刚性绝缘导管可以螺纹连接，更适宜用胶合剂胶接，胶接可方便与设备器具的连接，效率高、质量好、便于施工。</w:t>
            </w:r>
          </w:p>
          <w:p w14:paraId="420E3781">
            <w:pPr>
              <w:spacing w:line="240" w:lineRule="auto"/>
              <w:ind w:firstLine="420"/>
              <w:rPr>
                <w:rFonts w:hint="eastAsia"/>
                <w:color w:val="auto"/>
                <w:sz w:val="21"/>
              </w:rPr>
            </w:pPr>
            <w:r>
              <w:rPr>
                <w:rFonts w:hint="eastAsia"/>
                <w:color w:val="auto"/>
                <w:sz w:val="21"/>
              </w:rPr>
              <w:t>金属、非金属柔性导管敷设应符合下列规定：</w:t>
            </w:r>
          </w:p>
          <w:p w14:paraId="36743A43">
            <w:pPr>
              <w:spacing w:line="240" w:lineRule="auto"/>
              <w:ind w:firstLine="420"/>
              <w:rPr>
                <w:rFonts w:hint="eastAsia"/>
                <w:color w:val="auto"/>
                <w:sz w:val="21"/>
              </w:rPr>
            </w:pPr>
            <w:r>
              <w:rPr>
                <w:rFonts w:hint="eastAsia"/>
                <w:color w:val="auto"/>
                <w:sz w:val="21"/>
              </w:rPr>
              <w:t>刚性导管经柔性导管与电气设备、器具连接，柔性导管的长度在动力工程中不大于0.8m，在照明工程中不大于1.2m；</w:t>
            </w:r>
          </w:p>
          <w:p w14:paraId="23EBF37C">
            <w:pPr>
              <w:spacing w:line="240" w:lineRule="auto"/>
              <w:ind w:firstLine="420"/>
              <w:rPr>
                <w:rFonts w:hint="eastAsia"/>
                <w:color w:val="auto"/>
                <w:sz w:val="21"/>
              </w:rPr>
            </w:pPr>
            <w:r>
              <w:rPr>
                <w:rFonts w:hint="eastAsia"/>
                <w:color w:val="auto"/>
                <w:sz w:val="21"/>
              </w:rPr>
              <w:t>可挠金属管或其他柔性导管与刚性导管或电气设置、器具间的连接采用专用接头；复合型可挠金属管或其他柔性导管的连接处密封良好，防液覆盖层完整无损；</w:t>
            </w:r>
          </w:p>
          <w:p w14:paraId="2DE8990A">
            <w:pPr>
              <w:spacing w:line="240" w:lineRule="auto"/>
              <w:ind w:firstLine="420"/>
              <w:rPr>
                <w:rFonts w:hint="eastAsia"/>
                <w:color w:val="auto"/>
                <w:sz w:val="21"/>
              </w:rPr>
            </w:pPr>
            <w:r>
              <w:rPr>
                <w:rFonts w:hint="eastAsia"/>
                <w:color w:val="auto"/>
                <w:sz w:val="21"/>
              </w:rPr>
              <w:t>可挠性金属导管和金属柔性导管不能做接地（PE）或接零（PEN）的连续导体；</w:t>
            </w:r>
          </w:p>
          <w:p w14:paraId="4F43E8ED">
            <w:pPr>
              <w:spacing w:line="240" w:lineRule="auto"/>
              <w:ind w:firstLine="420"/>
              <w:rPr>
                <w:rFonts w:hint="eastAsia"/>
                <w:color w:val="auto"/>
                <w:sz w:val="21"/>
              </w:rPr>
            </w:pPr>
            <w:r>
              <w:rPr>
                <w:rFonts w:hint="eastAsia"/>
                <w:color w:val="auto"/>
                <w:sz w:val="21"/>
              </w:rPr>
              <w:t>导管和线槽，在建筑物变形缝处，应设补偿装置。</w:t>
            </w:r>
          </w:p>
        </w:tc>
      </w:tr>
    </w:tbl>
    <w:p w14:paraId="222682F9">
      <w:pPr>
        <w:rPr>
          <w:rFonts w:hint="eastAsia"/>
          <w:color w:val="auto"/>
        </w:rPr>
      </w:pPr>
      <w:r>
        <w:rPr>
          <w:rFonts w:hint="eastAsia"/>
          <w:color w:val="auto"/>
        </w:rPr>
        <w:t>管卡间最大距离规定如下：</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73"/>
        <w:gridCol w:w="2812"/>
        <w:gridCol w:w="808"/>
        <w:gridCol w:w="808"/>
        <w:gridCol w:w="808"/>
        <w:gridCol w:w="808"/>
        <w:gridCol w:w="1043"/>
      </w:tblGrid>
      <w:tr w14:paraId="5B61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pct"/>
            <w:vMerge w:val="restart"/>
            <w:tcBorders>
              <w:top w:val="single" w:color="auto" w:sz="4" w:space="0"/>
              <w:left w:val="single" w:color="auto" w:sz="4" w:space="0"/>
              <w:bottom w:val="single" w:color="auto" w:sz="4" w:space="0"/>
              <w:right w:val="single" w:color="auto" w:sz="4" w:space="0"/>
            </w:tcBorders>
            <w:vAlign w:val="center"/>
          </w:tcPr>
          <w:p w14:paraId="3A7B3D09">
            <w:pPr>
              <w:spacing w:line="240" w:lineRule="auto"/>
              <w:ind w:firstLine="0" w:firstLineChars="0"/>
              <w:jc w:val="center"/>
              <w:rPr>
                <w:rFonts w:hint="eastAsia"/>
                <w:color w:val="auto"/>
                <w:sz w:val="21"/>
              </w:rPr>
            </w:pPr>
            <w:r>
              <w:rPr>
                <w:rFonts w:hint="eastAsia"/>
                <w:color w:val="auto"/>
                <w:sz w:val="21"/>
              </w:rPr>
              <w:t>敷设方式</w:t>
            </w:r>
          </w:p>
        </w:tc>
        <w:tc>
          <w:tcPr>
            <w:tcW w:w="1552" w:type="pct"/>
            <w:vMerge w:val="restart"/>
            <w:tcBorders>
              <w:top w:val="single" w:color="auto" w:sz="4" w:space="0"/>
              <w:left w:val="single" w:color="auto" w:sz="4" w:space="0"/>
              <w:bottom w:val="single" w:color="auto" w:sz="4" w:space="0"/>
              <w:right w:val="single" w:color="auto" w:sz="4" w:space="0"/>
            </w:tcBorders>
            <w:vAlign w:val="center"/>
          </w:tcPr>
          <w:p w14:paraId="24E14D0D">
            <w:pPr>
              <w:spacing w:line="240" w:lineRule="auto"/>
              <w:ind w:firstLine="0" w:firstLineChars="0"/>
              <w:jc w:val="center"/>
              <w:rPr>
                <w:rFonts w:hint="eastAsia"/>
                <w:color w:val="auto"/>
                <w:sz w:val="21"/>
              </w:rPr>
            </w:pPr>
            <w:r>
              <w:rPr>
                <w:rFonts w:hint="eastAsia"/>
                <w:color w:val="auto"/>
                <w:sz w:val="21"/>
              </w:rPr>
              <w:t>导管种类</w:t>
            </w:r>
          </w:p>
        </w:tc>
        <w:tc>
          <w:tcPr>
            <w:tcW w:w="2359" w:type="pct"/>
            <w:gridSpan w:val="5"/>
            <w:tcBorders>
              <w:top w:val="single" w:color="auto" w:sz="4" w:space="0"/>
              <w:left w:val="single" w:color="auto" w:sz="4" w:space="0"/>
              <w:bottom w:val="single" w:color="auto" w:sz="4" w:space="0"/>
              <w:right w:val="single" w:color="auto" w:sz="4" w:space="0"/>
            </w:tcBorders>
            <w:vAlign w:val="center"/>
          </w:tcPr>
          <w:p w14:paraId="7255A9D6">
            <w:pPr>
              <w:spacing w:line="240" w:lineRule="auto"/>
              <w:ind w:firstLine="0" w:firstLineChars="0"/>
              <w:jc w:val="center"/>
              <w:rPr>
                <w:rFonts w:hint="eastAsia"/>
                <w:color w:val="auto"/>
                <w:sz w:val="21"/>
              </w:rPr>
            </w:pPr>
            <w:r>
              <w:rPr>
                <w:rFonts w:hint="eastAsia"/>
                <w:color w:val="auto"/>
                <w:sz w:val="21"/>
              </w:rPr>
              <w:t>导管直径（mm）</w:t>
            </w:r>
          </w:p>
        </w:tc>
      </w:tr>
      <w:tr w14:paraId="54CFC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2B2EF64">
            <w:pPr>
              <w:spacing w:line="240" w:lineRule="auto"/>
              <w:ind w:firstLine="0" w:firstLineChars="0"/>
              <w:jc w:val="center"/>
              <w:rPr>
                <w:color w:val="auto"/>
                <w:sz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96AC63">
            <w:pPr>
              <w:spacing w:line="240" w:lineRule="auto"/>
              <w:ind w:firstLine="0" w:firstLineChars="0"/>
              <w:jc w:val="center"/>
              <w:rPr>
                <w:color w:val="auto"/>
                <w:sz w:val="21"/>
              </w:rPr>
            </w:pPr>
          </w:p>
        </w:tc>
        <w:tc>
          <w:tcPr>
            <w:tcW w:w="446" w:type="pct"/>
            <w:tcBorders>
              <w:top w:val="single" w:color="auto" w:sz="4" w:space="0"/>
              <w:left w:val="single" w:color="auto" w:sz="4" w:space="0"/>
              <w:bottom w:val="single" w:color="auto" w:sz="4" w:space="0"/>
              <w:right w:val="single" w:color="auto" w:sz="4" w:space="0"/>
            </w:tcBorders>
            <w:vAlign w:val="center"/>
          </w:tcPr>
          <w:p w14:paraId="606042BB">
            <w:pPr>
              <w:spacing w:line="240" w:lineRule="auto"/>
              <w:ind w:firstLine="0" w:firstLineChars="0"/>
              <w:jc w:val="center"/>
              <w:rPr>
                <w:rFonts w:hint="eastAsia"/>
                <w:color w:val="auto"/>
                <w:sz w:val="21"/>
              </w:rPr>
            </w:pPr>
            <w:r>
              <w:rPr>
                <w:rFonts w:hint="eastAsia"/>
                <w:color w:val="auto"/>
                <w:sz w:val="21"/>
              </w:rPr>
              <w:t>15-20</w:t>
            </w:r>
          </w:p>
        </w:tc>
        <w:tc>
          <w:tcPr>
            <w:tcW w:w="446" w:type="pct"/>
            <w:tcBorders>
              <w:top w:val="single" w:color="auto" w:sz="4" w:space="0"/>
              <w:left w:val="single" w:color="auto" w:sz="4" w:space="0"/>
              <w:bottom w:val="single" w:color="auto" w:sz="4" w:space="0"/>
              <w:right w:val="single" w:color="auto" w:sz="4" w:space="0"/>
            </w:tcBorders>
            <w:vAlign w:val="center"/>
          </w:tcPr>
          <w:p w14:paraId="67ECE7EF">
            <w:pPr>
              <w:spacing w:line="240" w:lineRule="auto"/>
              <w:ind w:firstLine="0" w:firstLineChars="0"/>
              <w:jc w:val="center"/>
              <w:rPr>
                <w:rFonts w:hint="eastAsia"/>
                <w:color w:val="auto"/>
                <w:sz w:val="21"/>
              </w:rPr>
            </w:pPr>
            <w:r>
              <w:rPr>
                <w:rFonts w:hint="eastAsia"/>
                <w:color w:val="auto"/>
                <w:sz w:val="21"/>
              </w:rPr>
              <w:t>25-32</w:t>
            </w:r>
          </w:p>
        </w:tc>
        <w:tc>
          <w:tcPr>
            <w:tcW w:w="446" w:type="pct"/>
            <w:tcBorders>
              <w:top w:val="single" w:color="auto" w:sz="4" w:space="0"/>
              <w:left w:val="single" w:color="auto" w:sz="4" w:space="0"/>
              <w:bottom w:val="single" w:color="auto" w:sz="4" w:space="0"/>
              <w:right w:val="single" w:color="auto" w:sz="4" w:space="0"/>
            </w:tcBorders>
            <w:vAlign w:val="center"/>
          </w:tcPr>
          <w:p w14:paraId="068A9A2A">
            <w:pPr>
              <w:spacing w:line="240" w:lineRule="auto"/>
              <w:ind w:firstLine="0" w:firstLineChars="0"/>
              <w:jc w:val="center"/>
              <w:rPr>
                <w:rFonts w:hint="eastAsia"/>
                <w:color w:val="auto"/>
                <w:sz w:val="21"/>
              </w:rPr>
            </w:pPr>
            <w:r>
              <w:rPr>
                <w:rFonts w:hint="eastAsia"/>
                <w:color w:val="auto"/>
                <w:sz w:val="21"/>
              </w:rPr>
              <w:t>32-40</w:t>
            </w:r>
          </w:p>
        </w:tc>
        <w:tc>
          <w:tcPr>
            <w:tcW w:w="446" w:type="pct"/>
            <w:tcBorders>
              <w:top w:val="single" w:color="auto" w:sz="4" w:space="0"/>
              <w:left w:val="single" w:color="auto" w:sz="4" w:space="0"/>
              <w:bottom w:val="single" w:color="auto" w:sz="4" w:space="0"/>
              <w:right w:val="single" w:color="auto" w:sz="4" w:space="0"/>
            </w:tcBorders>
            <w:vAlign w:val="center"/>
          </w:tcPr>
          <w:p w14:paraId="0E48E4AC">
            <w:pPr>
              <w:spacing w:line="240" w:lineRule="auto"/>
              <w:ind w:firstLine="0" w:firstLineChars="0"/>
              <w:jc w:val="center"/>
              <w:rPr>
                <w:rFonts w:hint="eastAsia"/>
                <w:color w:val="auto"/>
                <w:sz w:val="21"/>
              </w:rPr>
            </w:pPr>
            <w:r>
              <w:rPr>
                <w:rFonts w:hint="eastAsia"/>
                <w:color w:val="auto"/>
                <w:sz w:val="21"/>
              </w:rPr>
              <w:t>50-65</w:t>
            </w:r>
          </w:p>
        </w:tc>
        <w:tc>
          <w:tcPr>
            <w:tcW w:w="575" w:type="pct"/>
            <w:tcBorders>
              <w:top w:val="single" w:color="auto" w:sz="4" w:space="0"/>
              <w:left w:val="single" w:color="auto" w:sz="4" w:space="0"/>
              <w:bottom w:val="single" w:color="auto" w:sz="4" w:space="0"/>
              <w:right w:val="single" w:color="auto" w:sz="4" w:space="0"/>
            </w:tcBorders>
            <w:vAlign w:val="center"/>
          </w:tcPr>
          <w:p w14:paraId="1D7962CB">
            <w:pPr>
              <w:spacing w:line="240" w:lineRule="auto"/>
              <w:ind w:firstLine="0" w:firstLineChars="0"/>
              <w:jc w:val="center"/>
              <w:rPr>
                <w:rFonts w:hint="eastAsia"/>
                <w:color w:val="auto"/>
                <w:sz w:val="21"/>
              </w:rPr>
            </w:pPr>
            <w:r>
              <w:rPr>
                <w:rFonts w:hint="eastAsia"/>
                <w:color w:val="auto"/>
                <w:sz w:val="21"/>
              </w:rPr>
              <w:t>65以上</w:t>
            </w:r>
          </w:p>
        </w:tc>
      </w:tr>
      <w:tr w14:paraId="4E2A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1A25EA0">
            <w:pPr>
              <w:spacing w:line="240" w:lineRule="auto"/>
              <w:ind w:firstLine="0" w:firstLineChars="0"/>
              <w:jc w:val="center"/>
              <w:rPr>
                <w:color w:val="auto"/>
                <w:sz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D1509C7">
            <w:pPr>
              <w:spacing w:line="240" w:lineRule="auto"/>
              <w:ind w:firstLine="0" w:firstLineChars="0"/>
              <w:jc w:val="center"/>
              <w:rPr>
                <w:color w:val="auto"/>
                <w:sz w:val="21"/>
              </w:rPr>
            </w:pPr>
          </w:p>
        </w:tc>
        <w:tc>
          <w:tcPr>
            <w:tcW w:w="2359" w:type="pct"/>
            <w:gridSpan w:val="5"/>
            <w:tcBorders>
              <w:top w:val="single" w:color="auto" w:sz="4" w:space="0"/>
              <w:left w:val="single" w:color="auto" w:sz="4" w:space="0"/>
              <w:bottom w:val="single" w:color="auto" w:sz="4" w:space="0"/>
              <w:right w:val="single" w:color="auto" w:sz="4" w:space="0"/>
            </w:tcBorders>
            <w:vAlign w:val="center"/>
          </w:tcPr>
          <w:p w14:paraId="7B24CF1C">
            <w:pPr>
              <w:spacing w:line="240" w:lineRule="auto"/>
              <w:ind w:firstLine="0" w:firstLineChars="0"/>
              <w:jc w:val="center"/>
              <w:rPr>
                <w:rFonts w:hint="eastAsia"/>
                <w:color w:val="auto"/>
                <w:sz w:val="21"/>
              </w:rPr>
            </w:pPr>
            <w:r>
              <w:rPr>
                <w:rFonts w:hint="eastAsia"/>
                <w:color w:val="auto"/>
                <w:sz w:val="21"/>
              </w:rPr>
              <w:t>管卡间最大距离（m）</w:t>
            </w:r>
          </w:p>
        </w:tc>
      </w:tr>
      <w:tr w14:paraId="6E7D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89" w:type="pct"/>
            <w:vMerge w:val="restart"/>
            <w:tcBorders>
              <w:top w:val="nil"/>
              <w:left w:val="single" w:color="auto" w:sz="4" w:space="0"/>
              <w:bottom w:val="single" w:color="auto" w:sz="4" w:space="0"/>
              <w:right w:val="single" w:color="auto" w:sz="4" w:space="0"/>
            </w:tcBorders>
            <w:vAlign w:val="center"/>
          </w:tcPr>
          <w:p w14:paraId="4D5A3035">
            <w:pPr>
              <w:spacing w:line="240" w:lineRule="auto"/>
              <w:ind w:firstLine="0" w:firstLineChars="0"/>
              <w:jc w:val="center"/>
              <w:rPr>
                <w:rFonts w:hint="eastAsia"/>
                <w:color w:val="auto"/>
                <w:sz w:val="21"/>
              </w:rPr>
            </w:pPr>
            <w:r>
              <w:rPr>
                <w:rFonts w:hint="eastAsia"/>
                <w:color w:val="auto"/>
                <w:sz w:val="21"/>
              </w:rPr>
              <w:t>支架或沿墙明敷</w:t>
            </w:r>
          </w:p>
        </w:tc>
        <w:tc>
          <w:tcPr>
            <w:tcW w:w="1552" w:type="pct"/>
            <w:tcBorders>
              <w:top w:val="single" w:color="auto" w:sz="4" w:space="0"/>
              <w:left w:val="single" w:color="auto" w:sz="4" w:space="0"/>
              <w:bottom w:val="single" w:color="auto" w:sz="4" w:space="0"/>
              <w:right w:val="single" w:color="auto" w:sz="4" w:space="0"/>
            </w:tcBorders>
            <w:vAlign w:val="center"/>
          </w:tcPr>
          <w:p w14:paraId="17F84536">
            <w:pPr>
              <w:spacing w:line="240" w:lineRule="auto"/>
              <w:ind w:firstLine="0" w:firstLineChars="0"/>
              <w:jc w:val="center"/>
              <w:rPr>
                <w:rFonts w:hint="eastAsia"/>
                <w:color w:val="auto"/>
                <w:sz w:val="21"/>
              </w:rPr>
            </w:pPr>
            <w:r>
              <w:rPr>
                <w:rFonts w:hint="eastAsia"/>
                <w:color w:val="auto"/>
                <w:sz w:val="21"/>
              </w:rPr>
              <w:t>壁厚&gt;2mm刚性钢导管</w:t>
            </w:r>
          </w:p>
        </w:tc>
        <w:tc>
          <w:tcPr>
            <w:tcW w:w="446" w:type="pct"/>
            <w:tcBorders>
              <w:top w:val="single" w:color="auto" w:sz="4" w:space="0"/>
              <w:left w:val="single" w:color="auto" w:sz="4" w:space="0"/>
              <w:bottom w:val="single" w:color="auto" w:sz="4" w:space="0"/>
              <w:right w:val="single" w:color="auto" w:sz="4" w:space="0"/>
            </w:tcBorders>
            <w:vAlign w:val="center"/>
          </w:tcPr>
          <w:p w14:paraId="2A83E7EF">
            <w:pPr>
              <w:spacing w:line="240" w:lineRule="auto"/>
              <w:ind w:firstLine="0" w:firstLineChars="0"/>
              <w:jc w:val="center"/>
              <w:rPr>
                <w:rFonts w:hint="eastAsia"/>
                <w:color w:val="auto"/>
                <w:sz w:val="21"/>
              </w:rPr>
            </w:pPr>
            <w:r>
              <w:rPr>
                <w:rFonts w:hint="eastAsia"/>
                <w:color w:val="auto"/>
                <w:sz w:val="21"/>
              </w:rPr>
              <w:t>1.5</w:t>
            </w:r>
          </w:p>
        </w:tc>
        <w:tc>
          <w:tcPr>
            <w:tcW w:w="446" w:type="pct"/>
            <w:tcBorders>
              <w:top w:val="single" w:color="auto" w:sz="4" w:space="0"/>
              <w:left w:val="single" w:color="auto" w:sz="4" w:space="0"/>
              <w:bottom w:val="single" w:color="auto" w:sz="4" w:space="0"/>
              <w:right w:val="single" w:color="auto" w:sz="4" w:space="0"/>
            </w:tcBorders>
            <w:vAlign w:val="center"/>
          </w:tcPr>
          <w:p w14:paraId="216581F6">
            <w:pPr>
              <w:spacing w:line="240" w:lineRule="auto"/>
              <w:ind w:firstLine="0" w:firstLineChars="0"/>
              <w:jc w:val="center"/>
              <w:rPr>
                <w:rFonts w:hint="eastAsia"/>
                <w:color w:val="auto"/>
                <w:sz w:val="21"/>
              </w:rPr>
            </w:pPr>
            <w:r>
              <w:rPr>
                <w:rFonts w:hint="eastAsia"/>
                <w:color w:val="auto"/>
                <w:sz w:val="21"/>
              </w:rPr>
              <w:t>2.0</w:t>
            </w:r>
          </w:p>
        </w:tc>
        <w:tc>
          <w:tcPr>
            <w:tcW w:w="446" w:type="pct"/>
            <w:tcBorders>
              <w:top w:val="single" w:color="auto" w:sz="4" w:space="0"/>
              <w:left w:val="single" w:color="auto" w:sz="4" w:space="0"/>
              <w:bottom w:val="single" w:color="auto" w:sz="4" w:space="0"/>
              <w:right w:val="single" w:color="auto" w:sz="4" w:space="0"/>
            </w:tcBorders>
            <w:vAlign w:val="center"/>
          </w:tcPr>
          <w:p w14:paraId="4E376E71">
            <w:pPr>
              <w:spacing w:line="240" w:lineRule="auto"/>
              <w:ind w:firstLine="0" w:firstLineChars="0"/>
              <w:jc w:val="center"/>
              <w:rPr>
                <w:rFonts w:hint="eastAsia"/>
                <w:color w:val="auto"/>
                <w:sz w:val="21"/>
              </w:rPr>
            </w:pPr>
            <w:r>
              <w:rPr>
                <w:rFonts w:hint="eastAsia"/>
                <w:color w:val="auto"/>
                <w:sz w:val="21"/>
              </w:rPr>
              <w:t>2.5</w:t>
            </w:r>
          </w:p>
        </w:tc>
        <w:tc>
          <w:tcPr>
            <w:tcW w:w="446" w:type="pct"/>
            <w:tcBorders>
              <w:top w:val="single" w:color="auto" w:sz="4" w:space="0"/>
              <w:left w:val="single" w:color="auto" w:sz="4" w:space="0"/>
              <w:bottom w:val="single" w:color="auto" w:sz="4" w:space="0"/>
              <w:right w:val="single" w:color="auto" w:sz="4" w:space="0"/>
            </w:tcBorders>
            <w:vAlign w:val="center"/>
          </w:tcPr>
          <w:p w14:paraId="3F94C81B">
            <w:pPr>
              <w:spacing w:line="240" w:lineRule="auto"/>
              <w:ind w:firstLine="0" w:firstLineChars="0"/>
              <w:jc w:val="center"/>
              <w:rPr>
                <w:rFonts w:hint="eastAsia"/>
                <w:color w:val="auto"/>
                <w:sz w:val="21"/>
              </w:rPr>
            </w:pPr>
            <w:r>
              <w:rPr>
                <w:rFonts w:hint="eastAsia"/>
                <w:color w:val="auto"/>
                <w:sz w:val="21"/>
              </w:rPr>
              <w:t>2.5</w:t>
            </w:r>
          </w:p>
        </w:tc>
        <w:tc>
          <w:tcPr>
            <w:tcW w:w="575" w:type="pct"/>
            <w:tcBorders>
              <w:top w:val="single" w:color="auto" w:sz="4" w:space="0"/>
              <w:left w:val="single" w:color="auto" w:sz="4" w:space="0"/>
              <w:bottom w:val="single" w:color="auto" w:sz="4" w:space="0"/>
              <w:right w:val="single" w:color="auto" w:sz="4" w:space="0"/>
            </w:tcBorders>
            <w:vAlign w:val="center"/>
          </w:tcPr>
          <w:p w14:paraId="49CD9298">
            <w:pPr>
              <w:spacing w:line="240" w:lineRule="auto"/>
              <w:ind w:firstLine="0" w:firstLineChars="0"/>
              <w:jc w:val="center"/>
              <w:rPr>
                <w:rFonts w:hint="eastAsia"/>
                <w:color w:val="auto"/>
                <w:sz w:val="21"/>
              </w:rPr>
            </w:pPr>
            <w:r>
              <w:rPr>
                <w:rFonts w:hint="eastAsia"/>
                <w:color w:val="auto"/>
                <w:sz w:val="21"/>
              </w:rPr>
              <w:t>3.5</w:t>
            </w:r>
          </w:p>
        </w:tc>
      </w:tr>
      <w:tr w14:paraId="45F89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4CD9EFE">
            <w:pPr>
              <w:spacing w:line="240" w:lineRule="auto"/>
              <w:ind w:firstLine="0" w:firstLineChars="0"/>
              <w:jc w:val="center"/>
              <w:rPr>
                <w:color w:val="auto"/>
                <w:sz w:val="21"/>
              </w:rPr>
            </w:pPr>
          </w:p>
        </w:tc>
        <w:tc>
          <w:tcPr>
            <w:tcW w:w="1552" w:type="pct"/>
            <w:tcBorders>
              <w:top w:val="single" w:color="auto" w:sz="4" w:space="0"/>
              <w:left w:val="single" w:color="auto" w:sz="4" w:space="0"/>
              <w:bottom w:val="single" w:color="auto" w:sz="4" w:space="0"/>
              <w:right w:val="single" w:color="auto" w:sz="4" w:space="0"/>
            </w:tcBorders>
            <w:vAlign w:val="center"/>
          </w:tcPr>
          <w:p w14:paraId="3F595D4D">
            <w:pPr>
              <w:spacing w:line="240" w:lineRule="auto"/>
              <w:ind w:firstLine="0" w:firstLineChars="0"/>
              <w:jc w:val="center"/>
              <w:rPr>
                <w:rFonts w:hint="eastAsia"/>
                <w:color w:val="auto"/>
                <w:sz w:val="21"/>
              </w:rPr>
            </w:pPr>
            <w:r>
              <w:rPr>
                <w:rFonts w:hint="eastAsia"/>
                <w:color w:val="auto"/>
                <w:sz w:val="21"/>
              </w:rPr>
              <w:t>壁厚≤2mm刚性钢导管</w:t>
            </w:r>
          </w:p>
        </w:tc>
        <w:tc>
          <w:tcPr>
            <w:tcW w:w="446" w:type="pct"/>
            <w:tcBorders>
              <w:top w:val="single" w:color="auto" w:sz="4" w:space="0"/>
              <w:left w:val="single" w:color="auto" w:sz="4" w:space="0"/>
              <w:bottom w:val="single" w:color="auto" w:sz="4" w:space="0"/>
              <w:right w:val="single" w:color="auto" w:sz="4" w:space="0"/>
            </w:tcBorders>
            <w:vAlign w:val="center"/>
          </w:tcPr>
          <w:p w14:paraId="625D2372">
            <w:pPr>
              <w:spacing w:line="240" w:lineRule="auto"/>
              <w:ind w:firstLine="0" w:firstLineChars="0"/>
              <w:jc w:val="center"/>
              <w:rPr>
                <w:rFonts w:hint="eastAsia"/>
                <w:color w:val="auto"/>
                <w:sz w:val="21"/>
              </w:rPr>
            </w:pPr>
            <w:r>
              <w:rPr>
                <w:rFonts w:hint="eastAsia"/>
                <w:color w:val="auto"/>
                <w:sz w:val="21"/>
              </w:rPr>
              <w:t>1.0</w:t>
            </w:r>
          </w:p>
        </w:tc>
        <w:tc>
          <w:tcPr>
            <w:tcW w:w="446" w:type="pct"/>
            <w:tcBorders>
              <w:top w:val="single" w:color="auto" w:sz="4" w:space="0"/>
              <w:left w:val="single" w:color="auto" w:sz="4" w:space="0"/>
              <w:bottom w:val="single" w:color="auto" w:sz="4" w:space="0"/>
              <w:right w:val="single" w:color="auto" w:sz="4" w:space="0"/>
            </w:tcBorders>
            <w:vAlign w:val="center"/>
          </w:tcPr>
          <w:p w14:paraId="2A25A967">
            <w:pPr>
              <w:spacing w:line="240" w:lineRule="auto"/>
              <w:ind w:firstLine="0" w:firstLineChars="0"/>
              <w:jc w:val="center"/>
              <w:rPr>
                <w:rFonts w:hint="eastAsia"/>
                <w:color w:val="auto"/>
                <w:sz w:val="21"/>
              </w:rPr>
            </w:pPr>
            <w:r>
              <w:rPr>
                <w:rFonts w:hint="eastAsia"/>
                <w:color w:val="auto"/>
                <w:sz w:val="21"/>
              </w:rPr>
              <w:t>1.5</w:t>
            </w:r>
          </w:p>
        </w:tc>
        <w:tc>
          <w:tcPr>
            <w:tcW w:w="446" w:type="pct"/>
            <w:tcBorders>
              <w:top w:val="single" w:color="auto" w:sz="4" w:space="0"/>
              <w:left w:val="single" w:color="auto" w:sz="4" w:space="0"/>
              <w:bottom w:val="single" w:color="auto" w:sz="4" w:space="0"/>
              <w:right w:val="single" w:color="auto" w:sz="4" w:space="0"/>
            </w:tcBorders>
            <w:vAlign w:val="center"/>
          </w:tcPr>
          <w:p w14:paraId="01E097DC">
            <w:pPr>
              <w:spacing w:line="240" w:lineRule="auto"/>
              <w:ind w:firstLine="0" w:firstLineChars="0"/>
              <w:jc w:val="center"/>
              <w:rPr>
                <w:rFonts w:hint="eastAsia"/>
                <w:color w:val="auto"/>
                <w:sz w:val="21"/>
              </w:rPr>
            </w:pPr>
            <w:r>
              <w:rPr>
                <w:rFonts w:hint="eastAsia"/>
                <w:color w:val="auto"/>
                <w:sz w:val="21"/>
              </w:rPr>
              <w:t>2.0</w:t>
            </w:r>
          </w:p>
        </w:tc>
        <w:tc>
          <w:tcPr>
            <w:tcW w:w="446" w:type="pct"/>
            <w:tcBorders>
              <w:top w:val="single" w:color="auto" w:sz="4" w:space="0"/>
              <w:left w:val="single" w:color="auto" w:sz="4" w:space="0"/>
              <w:bottom w:val="single" w:color="auto" w:sz="4" w:space="0"/>
              <w:right w:val="single" w:color="auto" w:sz="4" w:space="0"/>
            </w:tcBorders>
            <w:vAlign w:val="center"/>
          </w:tcPr>
          <w:p w14:paraId="202E7252">
            <w:pPr>
              <w:spacing w:line="240" w:lineRule="auto"/>
              <w:ind w:firstLine="0" w:firstLineChars="0"/>
              <w:jc w:val="center"/>
              <w:rPr>
                <w:rFonts w:hint="eastAsia"/>
                <w:color w:val="auto"/>
                <w:sz w:val="21"/>
              </w:rPr>
            </w:pPr>
            <w:r>
              <w:rPr>
                <w:rFonts w:hint="eastAsia"/>
                <w:color w:val="auto"/>
                <w:sz w:val="21"/>
              </w:rPr>
              <w:t>-</w:t>
            </w:r>
          </w:p>
        </w:tc>
        <w:tc>
          <w:tcPr>
            <w:tcW w:w="575" w:type="pct"/>
            <w:tcBorders>
              <w:top w:val="single" w:color="auto" w:sz="4" w:space="0"/>
              <w:left w:val="single" w:color="auto" w:sz="4" w:space="0"/>
              <w:bottom w:val="single" w:color="auto" w:sz="4" w:space="0"/>
              <w:right w:val="single" w:color="auto" w:sz="4" w:space="0"/>
            </w:tcBorders>
            <w:vAlign w:val="center"/>
          </w:tcPr>
          <w:p w14:paraId="30E46B64">
            <w:pPr>
              <w:spacing w:line="240" w:lineRule="auto"/>
              <w:ind w:firstLine="0" w:firstLineChars="0"/>
              <w:jc w:val="center"/>
              <w:rPr>
                <w:rFonts w:hint="eastAsia"/>
                <w:color w:val="auto"/>
                <w:sz w:val="21"/>
              </w:rPr>
            </w:pPr>
            <w:r>
              <w:rPr>
                <w:rFonts w:hint="eastAsia"/>
                <w:color w:val="auto"/>
                <w:sz w:val="21"/>
              </w:rPr>
              <w:t>-</w:t>
            </w:r>
          </w:p>
        </w:tc>
      </w:tr>
      <w:tr w14:paraId="34F1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DB60D8C">
            <w:pPr>
              <w:spacing w:line="240" w:lineRule="auto"/>
              <w:ind w:firstLine="0" w:firstLineChars="0"/>
              <w:jc w:val="center"/>
              <w:rPr>
                <w:color w:val="auto"/>
                <w:sz w:val="21"/>
              </w:rPr>
            </w:pPr>
          </w:p>
        </w:tc>
        <w:tc>
          <w:tcPr>
            <w:tcW w:w="1552" w:type="pct"/>
            <w:tcBorders>
              <w:top w:val="single" w:color="auto" w:sz="4" w:space="0"/>
              <w:left w:val="single" w:color="auto" w:sz="4" w:space="0"/>
              <w:bottom w:val="single" w:color="auto" w:sz="4" w:space="0"/>
              <w:right w:val="single" w:color="auto" w:sz="4" w:space="0"/>
            </w:tcBorders>
            <w:vAlign w:val="center"/>
          </w:tcPr>
          <w:p w14:paraId="7C329783">
            <w:pPr>
              <w:spacing w:line="240" w:lineRule="auto"/>
              <w:ind w:firstLine="0" w:firstLineChars="0"/>
              <w:jc w:val="center"/>
              <w:rPr>
                <w:rFonts w:hint="eastAsia"/>
                <w:color w:val="auto"/>
                <w:sz w:val="21"/>
              </w:rPr>
            </w:pPr>
            <w:r>
              <w:rPr>
                <w:rFonts w:hint="eastAsia"/>
                <w:color w:val="auto"/>
                <w:sz w:val="21"/>
              </w:rPr>
              <w:t>刚性绝缘导管</w:t>
            </w:r>
          </w:p>
        </w:tc>
        <w:tc>
          <w:tcPr>
            <w:tcW w:w="446" w:type="pct"/>
            <w:tcBorders>
              <w:top w:val="single" w:color="auto" w:sz="4" w:space="0"/>
              <w:left w:val="single" w:color="auto" w:sz="4" w:space="0"/>
              <w:bottom w:val="single" w:color="auto" w:sz="4" w:space="0"/>
              <w:right w:val="single" w:color="auto" w:sz="4" w:space="0"/>
            </w:tcBorders>
            <w:vAlign w:val="center"/>
          </w:tcPr>
          <w:p w14:paraId="3BEB6CE8">
            <w:pPr>
              <w:spacing w:line="240" w:lineRule="auto"/>
              <w:ind w:firstLine="0" w:firstLineChars="0"/>
              <w:jc w:val="center"/>
              <w:rPr>
                <w:rFonts w:hint="eastAsia"/>
                <w:color w:val="auto"/>
                <w:sz w:val="21"/>
              </w:rPr>
            </w:pPr>
            <w:r>
              <w:rPr>
                <w:rFonts w:hint="eastAsia"/>
                <w:color w:val="auto"/>
                <w:sz w:val="21"/>
              </w:rPr>
              <w:t>1.0</w:t>
            </w:r>
          </w:p>
        </w:tc>
        <w:tc>
          <w:tcPr>
            <w:tcW w:w="446" w:type="pct"/>
            <w:tcBorders>
              <w:top w:val="single" w:color="auto" w:sz="4" w:space="0"/>
              <w:left w:val="single" w:color="auto" w:sz="4" w:space="0"/>
              <w:bottom w:val="single" w:color="auto" w:sz="4" w:space="0"/>
              <w:right w:val="single" w:color="auto" w:sz="4" w:space="0"/>
            </w:tcBorders>
            <w:vAlign w:val="center"/>
          </w:tcPr>
          <w:p w14:paraId="51BDE4E9">
            <w:pPr>
              <w:spacing w:line="240" w:lineRule="auto"/>
              <w:ind w:firstLine="0" w:firstLineChars="0"/>
              <w:jc w:val="center"/>
              <w:rPr>
                <w:rFonts w:hint="eastAsia"/>
                <w:color w:val="auto"/>
                <w:sz w:val="21"/>
              </w:rPr>
            </w:pPr>
            <w:r>
              <w:rPr>
                <w:rFonts w:hint="eastAsia"/>
                <w:color w:val="auto"/>
                <w:sz w:val="21"/>
              </w:rPr>
              <w:t>1.5</w:t>
            </w:r>
          </w:p>
        </w:tc>
        <w:tc>
          <w:tcPr>
            <w:tcW w:w="446" w:type="pct"/>
            <w:tcBorders>
              <w:top w:val="single" w:color="auto" w:sz="4" w:space="0"/>
              <w:left w:val="single" w:color="auto" w:sz="4" w:space="0"/>
              <w:bottom w:val="single" w:color="auto" w:sz="4" w:space="0"/>
              <w:right w:val="single" w:color="auto" w:sz="4" w:space="0"/>
            </w:tcBorders>
            <w:vAlign w:val="center"/>
          </w:tcPr>
          <w:p w14:paraId="7D03964F">
            <w:pPr>
              <w:spacing w:line="240" w:lineRule="auto"/>
              <w:ind w:firstLine="0" w:firstLineChars="0"/>
              <w:jc w:val="center"/>
              <w:rPr>
                <w:rFonts w:hint="eastAsia"/>
                <w:color w:val="auto"/>
                <w:sz w:val="21"/>
              </w:rPr>
            </w:pPr>
            <w:r>
              <w:rPr>
                <w:rFonts w:hint="eastAsia"/>
                <w:color w:val="auto"/>
                <w:sz w:val="21"/>
              </w:rPr>
              <w:t>1.5</w:t>
            </w:r>
          </w:p>
        </w:tc>
        <w:tc>
          <w:tcPr>
            <w:tcW w:w="446" w:type="pct"/>
            <w:tcBorders>
              <w:top w:val="single" w:color="auto" w:sz="4" w:space="0"/>
              <w:left w:val="single" w:color="auto" w:sz="4" w:space="0"/>
              <w:bottom w:val="single" w:color="auto" w:sz="4" w:space="0"/>
              <w:right w:val="single" w:color="auto" w:sz="4" w:space="0"/>
            </w:tcBorders>
            <w:vAlign w:val="center"/>
          </w:tcPr>
          <w:p w14:paraId="0DAA4279">
            <w:pPr>
              <w:spacing w:line="240" w:lineRule="auto"/>
              <w:ind w:firstLine="0" w:firstLineChars="0"/>
              <w:jc w:val="center"/>
              <w:rPr>
                <w:rFonts w:hint="eastAsia"/>
                <w:color w:val="auto"/>
                <w:sz w:val="21"/>
              </w:rPr>
            </w:pPr>
            <w:r>
              <w:rPr>
                <w:rFonts w:hint="eastAsia"/>
                <w:color w:val="auto"/>
                <w:sz w:val="21"/>
              </w:rPr>
              <w:t>2.0</w:t>
            </w:r>
          </w:p>
        </w:tc>
        <w:tc>
          <w:tcPr>
            <w:tcW w:w="575" w:type="pct"/>
            <w:tcBorders>
              <w:top w:val="single" w:color="auto" w:sz="4" w:space="0"/>
              <w:left w:val="single" w:color="auto" w:sz="4" w:space="0"/>
              <w:bottom w:val="single" w:color="auto" w:sz="4" w:space="0"/>
              <w:right w:val="single" w:color="auto" w:sz="4" w:space="0"/>
            </w:tcBorders>
            <w:vAlign w:val="center"/>
          </w:tcPr>
          <w:p w14:paraId="57C4D37A">
            <w:pPr>
              <w:spacing w:line="240" w:lineRule="auto"/>
              <w:ind w:firstLine="0" w:firstLineChars="0"/>
              <w:jc w:val="center"/>
              <w:rPr>
                <w:rFonts w:hint="eastAsia"/>
                <w:color w:val="auto"/>
                <w:sz w:val="21"/>
              </w:rPr>
            </w:pPr>
            <w:r>
              <w:rPr>
                <w:rFonts w:hint="eastAsia"/>
                <w:color w:val="auto"/>
                <w:sz w:val="21"/>
              </w:rPr>
              <w:t>2.0</w:t>
            </w:r>
          </w:p>
        </w:tc>
      </w:tr>
    </w:tbl>
    <w:p w14:paraId="3E2BB41F">
      <w:pPr>
        <w:rPr>
          <w:rFonts w:hint="eastAsia"/>
          <w:color w:val="auto"/>
        </w:rPr>
      </w:pPr>
      <w:r>
        <w:rPr>
          <w:rFonts w:hint="eastAsia"/>
          <w:color w:val="auto"/>
        </w:rPr>
        <w:t>（10）电线、电缆穿管和线槽敷线</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55A1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DA9EBB8">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6AC4BF3E">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18E99FB8">
            <w:pPr>
              <w:spacing w:line="240" w:lineRule="auto"/>
              <w:ind w:firstLine="0" w:firstLineChars="0"/>
              <w:jc w:val="center"/>
              <w:rPr>
                <w:rFonts w:hint="eastAsia"/>
                <w:color w:val="auto"/>
                <w:sz w:val="21"/>
              </w:rPr>
            </w:pPr>
            <w:r>
              <w:rPr>
                <w:rFonts w:hint="eastAsia"/>
                <w:color w:val="auto"/>
                <w:sz w:val="21"/>
              </w:rPr>
              <w:t>检查内容</w:t>
            </w:r>
          </w:p>
        </w:tc>
      </w:tr>
      <w:tr w14:paraId="5444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1CE6EC5D">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62065A50">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28C3A78D">
            <w:pPr>
              <w:spacing w:line="240" w:lineRule="auto"/>
              <w:ind w:firstLine="420"/>
              <w:rPr>
                <w:rFonts w:hint="eastAsia"/>
                <w:color w:val="auto"/>
                <w:sz w:val="21"/>
              </w:rPr>
            </w:pPr>
            <w:r>
              <w:rPr>
                <w:rFonts w:hint="eastAsia"/>
                <w:color w:val="auto"/>
                <w:sz w:val="21"/>
              </w:rPr>
              <w:t>三相或单相的交流单芯电缆，不得单独穿于钢导管内。</w:t>
            </w:r>
          </w:p>
          <w:p w14:paraId="74FF82B1">
            <w:pPr>
              <w:spacing w:line="240" w:lineRule="auto"/>
              <w:ind w:firstLine="420"/>
              <w:rPr>
                <w:rFonts w:hint="eastAsia"/>
                <w:color w:val="auto"/>
                <w:sz w:val="21"/>
              </w:rPr>
            </w:pPr>
            <w:r>
              <w:rPr>
                <w:rFonts w:hint="eastAsia"/>
                <w:color w:val="auto"/>
                <w:sz w:val="21"/>
              </w:rPr>
              <w:t>不同回路、不同电压和交流与直流的电线，不应穿于同一导管内；同一交流回电线应穿于同一金属导管内，且管内电线不得有接头。</w:t>
            </w:r>
          </w:p>
          <w:p w14:paraId="0945C288">
            <w:pPr>
              <w:spacing w:line="240" w:lineRule="auto"/>
              <w:ind w:firstLine="420"/>
              <w:rPr>
                <w:rFonts w:hint="eastAsia"/>
                <w:color w:val="auto"/>
                <w:sz w:val="21"/>
              </w:rPr>
            </w:pPr>
            <w:r>
              <w:rPr>
                <w:rFonts w:hint="eastAsia"/>
                <w:color w:val="auto"/>
                <w:sz w:val="21"/>
              </w:rPr>
              <w:t>爆炸危险环境照明线路的电线和电缆额定电压不得低于750V，且电线必须穿于钢导管内。</w:t>
            </w:r>
          </w:p>
        </w:tc>
      </w:tr>
      <w:tr w14:paraId="6B16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369D9F2">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6EDB0F60">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64E9B661">
            <w:pPr>
              <w:spacing w:line="240" w:lineRule="auto"/>
              <w:ind w:firstLine="420"/>
              <w:rPr>
                <w:rFonts w:hint="eastAsia"/>
                <w:color w:val="auto"/>
                <w:sz w:val="21"/>
              </w:rPr>
            </w:pPr>
            <w:r>
              <w:rPr>
                <w:rFonts w:hint="eastAsia"/>
                <w:color w:val="auto"/>
                <w:sz w:val="21"/>
              </w:rPr>
              <w:t>电线、电缆穿管前，应清除管内杂物和积水。管口应有保护措施，不进入接线盒（箱）的垂直管口穿入电线、电缆后，管口应密封。</w:t>
            </w:r>
          </w:p>
          <w:p w14:paraId="7506A5A4">
            <w:pPr>
              <w:spacing w:line="240" w:lineRule="auto"/>
              <w:ind w:firstLine="420"/>
              <w:rPr>
                <w:rFonts w:hint="eastAsia"/>
                <w:color w:val="auto"/>
                <w:sz w:val="21"/>
              </w:rPr>
            </w:pPr>
            <w:r>
              <w:rPr>
                <w:rFonts w:hint="eastAsia"/>
                <w:color w:val="auto"/>
                <w:sz w:val="21"/>
              </w:rPr>
              <w:t>当采用多相供电时，同一建筑物、构筑物的电线绝缘层颜色选择应一致，即保护地线（PE线）应是黄绿相间色，零线用淡蓝色；相线用；A相-黄色、B相-绿色、C相-红色。</w:t>
            </w:r>
          </w:p>
          <w:p w14:paraId="1B0D6ED4">
            <w:pPr>
              <w:spacing w:line="240" w:lineRule="auto"/>
              <w:ind w:firstLine="420"/>
              <w:rPr>
                <w:rFonts w:hint="eastAsia"/>
                <w:color w:val="auto"/>
                <w:sz w:val="21"/>
              </w:rPr>
            </w:pPr>
            <w:r>
              <w:rPr>
                <w:rFonts w:hint="eastAsia"/>
                <w:color w:val="auto"/>
                <w:sz w:val="21"/>
              </w:rPr>
              <w:t>线槽敷线应符合下列规定：</w:t>
            </w:r>
          </w:p>
          <w:p w14:paraId="6D61845E">
            <w:pPr>
              <w:spacing w:line="240" w:lineRule="auto"/>
              <w:ind w:firstLine="420"/>
              <w:rPr>
                <w:rFonts w:hint="eastAsia"/>
                <w:color w:val="auto"/>
                <w:sz w:val="21"/>
              </w:rPr>
            </w:pPr>
            <w:r>
              <w:rPr>
                <w:rFonts w:hint="eastAsia"/>
                <w:color w:val="auto"/>
                <w:sz w:val="21"/>
              </w:rPr>
              <w:t>电线在线槽内有一公平余量，不得有接头。电线按回路编号分段绑扎，绑扎点间应大于2m。</w:t>
            </w:r>
          </w:p>
          <w:p w14:paraId="512003AE">
            <w:pPr>
              <w:spacing w:line="240" w:lineRule="auto"/>
              <w:ind w:firstLine="420"/>
              <w:rPr>
                <w:rFonts w:hint="eastAsia"/>
                <w:color w:val="auto"/>
                <w:sz w:val="21"/>
              </w:rPr>
            </w:pPr>
            <w:r>
              <w:rPr>
                <w:rFonts w:hint="eastAsia"/>
                <w:color w:val="auto"/>
                <w:sz w:val="21"/>
              </w:rPr>
              <w:t>同一回路的相线和零线，敷设于同一金属线槽内；</w:t>
            </w:r>
          </w:p>
          <w:p w14:paraId="543A1C07">
            <w:pPr>
              <w:spacing w:line="240" w:lineRule="auto"/>
              <w:ind w:firstLine="420"/>
              <w:rPr>
                <w:rFonts w:hint="eastAsia"/>
                <w:color w:val="auto"/>
                <w:sz w:val="21"/>
              </w:rPr>
            </w:pPr>
            <w:r>
              <w:rPr>
                <w:rFonts w:hint="eastAsia"/>
                <w:color w:val="auto"/>
                <w:sz w:val="21"/>
              </w:rPr>
              <w:t>同一电源的不同回抗干扰要求的线路用隔板隔离，或采用屏蔽电线且屏蔽护套一端接地。</w:t>
            </w:r>
          </w:p>
          <w:p w14:paraId="54520F02">
            <w:pPr>
              <w:spacing w:line="240" w:lineRule="auto"/>
              <w:ind w:firstLine="420"/>
              <w:rPr>
                <w:rFonts w:hint="eastAsia"/>
                <w:color w:val="auto"/>
                <w:sz w:val="21"/>
              </w:rPr>
            </w:pPr>
            <w:r>
              <w:rPr>
                <w:rFonts w:hint="eastAsia"/>
                <w:color w:val="auto"/>
                <w:sz w:val="21"/>
              </w:rPr>
              <w:t>为方便识别和检修，对每个回路的线槽内进行分段绑扎；由于线槽内电线有相互交叉和平行紧挨现象，所以要注意有抗电磁干扰要求的线路采取屏蔽和隔离措施。</w:t>
            </w:r>
          </w:p>
        </w:tc>
      </w:tr>
    </w:tbl>
    <w:p w14:paraId="6094B8BD">
      <w:pPr>
        <w:rPr>
          <w:rFonts w:hint="eastAsia"/>
          <w:color w:val="auto"/>
        </w:rPr>
      </w:pPr>
      <w:r>
        <w:rPr>
          <w:rFonts w:hint="eastAsia"/>
          <w:color w:val="auto"/>
        </w:rPr>
        <w:t>（11）槽板配线</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190A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4800E64">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7FB4E319">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59792EF1">
            <w:pPr>
              <w:spacing w:line="240" w:lineRule="auto"/>
              <w:ind w:firstLine="0" w:firstLineChars="0"/>
              <w:jc w:val="center"/>
              <w:rPr>
                <w:rFonts w:hint="eastAsia"/>
                <w:color w:val="auto"/>
                <w:sz w:val="21"/>
              </w:rPr>
            </w:pPr>
            <w:r>
              <w:rPr>
                <w:rFonts w:hint="eastAsia"/>
                <w:color w:val="auto"/>
                <w:sz w:val="21"/>
              </w:rPr>
              <w:t>检查内容</w:t>
            </w:r>
          </w:p>
        </w:tc>
      </w:tr>
      <w:tr w14:paraId="6F265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99967C7">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1D2F090C">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307ADD57">
            <w:pPr>
              <w:spacing w:line="240" w:lineRule="auto"/>
              <w:ind w:firstLine="420"/>
              <w:rPr>
                <w:rFonts w:hint="eastAsia"/>
                <w:color w:val="auto"/>
                <w:sz w:val="21"/>
              </w:rPr>
            </w:pPr>
            <w:r>
              <w:rPr>
                <w:rFonts w:hint="eastAsia"/>
                <w:color w:val="auto"/>
                <w:sz w:val="21"/>
              </w:rPr>
              <w:t>槽板内电线无接头，电线连接设在器具处；槽板与各种器具连接时，电线应留有余量，器具底座应压住槽板端部。</w:t>
            </w:r>
          </w:p>
          <w:p w14:paraId="748A0D1F">
            <w:pPr>
              <w:spacing w:line="240" w:lineRule="auto"/>
              <w:ind w:firstLine="420"/>
              <w:rPr>
                <w:rFonts w:hint="eastAsia"/>
                <w:color w:val="auto"/>
                <w:sz w:val="21"/>
              </w:rPr>
            </w:pPr>
            <w:r>
              <w:rPr>
                <w:rFonts w:hint="eastAsia"/>
                <w:color w:val="auto"/>
                <w:sz w:val="21"/>
              </w:rPr>
              <w:t>槽板敷设应紧贴建筑物表面，且横平竖直、固定可靠，严禁用木楔固定；木槽板应经阻燃处理，塑料槽板应有阻燃标识。</w:t>
            </w:r>
          </w:p>
        </w:tc>
      </w:tr>
      <w:tr w14:paraId="7F058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2D36B616">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26F43526">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01A7AD67">
            <w:pPr>
              <w:spacing w:line="240" w:lineRule="auto"/>
              <w:ind w:firstLine="420"/>
              <w:rPr>
                <w:rFonts w:hint="eastAsia"/>
                <w:color w:val="auto"/>
                <w:sz w:val="21"/>
              </w:rPr>
            </w:pPr>
            <w:r>
              <w:rPr>
                <w:rFonts w:hint="eastAsia"/>
                <w:color w:val="auto"/>
                <w:sz w:val="21"/>
              </w:rPr>
              <w:t>木槽板无劈裂，塑料槽板无扭曲形。槽板底板固定点间距应小于500mm；槽板盖板固定点间距小于300mm；底板距终端50mm和盖板距终端30mm处应固定。</w:t>
            </w:r>
          </w:p>
          <w:p w14:paraId="18B3FD8B">
            <w:pPr>
              <w:spacing w:line="240" w:lineRule="auto"/>
              <w:ind w:firstLine="420"/>
              <w:rPr>
                <w:rFonts w:hint="eastAsia"/>
                <w:color w:val="auto"/>
                <w:sz w:val="21"/>
              </w:rPr>
            </w:pPr>
            <w:r>
              <w:rPr>
                <w:rFonts w:hint="eastAsia"/>
                <w:color w:val="auto"/>
                <w:sz w:val="21"/>
              </w:rPr>
              <w:t>槽板的底板接口与盖板接口应错开20mm，盖板在直线段和90°转角处应成45°斜口对接，T型分支处应成三角叉接，盖板应无翘边，接口应严密整齐。</w:t>
            </w:r>
          </w:p>
          <w:p w14:paraId="4C128F05">
            <w:pPr>
              <w:spacing w:line="240" w:lineRule="auto"/>
              <w:ind w:firstLine="420"/>
              <w:rPr>
                <w:rFonts w:hint="eastAsia"/>
                <w:color w:val="auto"/>
                <w:sz w:val="21"/>
              </w:rPr>
            </w:pPr>
            <w:r>
              <w:rPr>
                <w:rFonts w:hint="eastAsia"/>
                <w:color w:val="auto"/>
                <w:sz w:val="21"/>
              </w:rPr>
              <w:t>槽板穿过梁、墙和楼板处应有保护套管，跨越建筑物变形缝处槽板应设补偿装置，且与槽板结合严密。</w:t>
            </w:r>
          </w:p>
        </w:tc>
      </w:tr>
    </w:tbl>
    <w:p w14:paraId="12832FB9">
      <w:pPr>
        <w:rPr>
          <w:rFonts w:hint="eastAsia"/>
          <w:color w:val="auto"/>
        </w:rPr>
      </w:pPr>
      <w:r>
        <w:rPr>
          <w:rFonts w:hint="eastAsia"/>
          <w:color w:val="auto"/>
        </w:rPr>
        <w:t>（12）电缆头制作、接线和线缘测试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7182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DCA8813">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6DD31FC2">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57765408">
            <w:pPr>
              <w:spacing w:line="240" w:lineRule="auto"/>
              <w:ind w:firstLine="0" w:firstLineChars="0"/>
              <w:jc w:val="center"/>
              <w:rPr>
                <w:rFonts w:hint="eastAsia"/>
                <w:color w:val="auto"/>
                <w:sz w:val="21"/>
              </w:rPr>
            </w:pPr>
            <w:r>
              <w:rPr>
                <w:rFonts w:hint="eastAsia"/>
                <w:color w:val="auto"/>
                <w:sz w:val="21"/>
              </w:rPr>
              <w:t>检查内容</w:t>
            </w:r>
          </w:p>
        </w:tc>
      </w:tr>
      <w:tr w14:paraId="7D96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7C70EC5">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6A8E5D6D">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72A311D6">
            <w:pPr>
              <w:spacing w:line="240" w:lineRule="auto"/>
              <w:ind w:firstLine="420"/>
              <w:rPr>
                <w:rFonts w:hint="eastAsia"/>
                <w:color w:val="auto"/>
                <w:sz w:val="21"/>
              </w:rPr>
            </w:pPr>
            <w:r>
              <w:rPr>
                <w:rFonts w:hint="eastAsia"/>
                <w:color w:val="auto"/>
                <w:sz w:val="21"/>
              </w:rPr>
              <w:t>高压电力电缆直流耐压试验必须按规范规定交接试验合格。</w:t>
            </w:r>
          </w:p>
          <w:p w14:paraId="74F02684">
            <w:pPr>
              <w:spacing w:line="240" w:lineRule="auto"/>
              <w:ind w:firstLine="420"/>
              <w:rPr>
                <w:rFonts w:hint="eastAsia"/>
                <w:color w:val="auto"/>
                <w:sz w:val="21"/>
              </w:rPr>
            </w:pPr>
            <w:r>
              <w:rPr>
                <w:rFonts w:hint="eastAsia"/>
                <w:color w:val="auto"/>
                <w:sz w:val="21"/>
              </w:rPr>
              <w:t>低压电线和电缆，线间和线对地间的绝缘电阻值必须大于0.5MΩ。</w:t>
            </w:r>
          </w:p>
          <w:p w14:paraId="3C0285D2">
            <w:pPr>
              <w:spacing w:line="240" w:lineRule="auto"/>
              <w:ind w:firstLine="420"/>
              <w:rPr>
                <w:rFonts w:hint="eastAsia"/>
                <w:color w:val="auto"/>
                <w:sz w:val="21"/>
              </w:rPr>
            </w:pPr>
            <w:r>
              <w:rPr>
                <w:rFonts w:hint="eastAsia"/>
                <w:color w:val="auto"/>
                <w:sz w:val="21"/>
              </w:rPr>
              <w:t>馈电线路敷设完毕，电缆做好电缆头、电线做好连接端子后，与其他电气设备、器具一样，要做电气交接试验，合格后，方能通电运行。</w:t>
            </w:r>
          </w:p>
          <w:p w14:paraId="47D4AA79">
            <w:pPr>
              <w:spacing w:line="240" w:lineRule="auto"/>
              <w:ind w:firstLine="420"/>
              <w:rPr>
                <w:rFonts w:hint="eastAsia"/>
                <w:color w:val="auto"/>
                <w:sz w:val="21"/>
              </w:rPr>
            </w:pPr>
            <w:r>
              <w:rPr>
                <w:rFonts w:hint="eastAsia"/>
                <w:color w:val="auto"/>
                <w:sz w:val="21"/>
              </w:rPr>
              <w:t>铠装电力电缆头的接地线应采用铜绞线或镀锡铜编织线，截面积不应小于电缆芯线和接地线截面积表规定。</w:t>
            </w:r>
          </w:p>
          <w:p w14:paraId="449CADFC">
            <w:pPr>
              <w:spacing w:line="240" w:lineRule="auto"/>
              <w:ind w:firstLine="420"/>
              <w:rPr>
                <w:rFonts w:hint="eastAsia"/>
                <w:color w:val="auto"/>
                <w:sz w:val="21"/>
              </w:rPr>
            </w:pPr>
            <w:r>
              <w:rPr>
                <w:rFonts w:hint="eastAsia"/>
                <w:color w:val="auto"/>
                <w:sz w:val="21"/>
              </w:rPr>
              <w:t>接地线的截面积应按电缆线路故障时，接地电流的大小而选定。在建筑电气工程中由于容量比发电厂、大型变电所小，故障电流也较小，加上实际工程也缺乏设计提供的资料，所以表中推荐值为经常选用值，在使用中尚未发现因故障而熔断现象。使用镀锡铜纺织线，更有利于方便橡塑电缆头焊接地线，如用铜绞线也应先搪锡再焊接。</w:t>
            </w:r>
          </w:p>
          <w:p w14:paraId="49CB8812">
            <w:pPr>
              <w:spacing w:line="240" w:lineRule="auto"/>
              <w:ind w:firstLine="420"/>
              <w:rPr>
                <w:rFonts w:hint="eastAsia"/>
                <w:color w:val="auto"/>
                <w:sz w:val="21"/>
              </w:rPr>
            </w:pPr>
            <w:r>
              <w:rPr>
                <w:rFonts w:hint="eastAsia"/>
                <w:color w:val="auto"/>
                <w:sz w:val="21"/>
              </w:rPr>
              <w:t>电线、电缆接线必须准确，并联运行电线或电缆的型号、规格、长度、相位应一致。</w:t>
            </w:r>
          </w:p>
          <w:p w14:paraId="202FE71E">
            <w:pPr>
              <w:spacing w:line="240" w:lineRule="auto"/>
              <w:ind w:firstLine="420"/>
              <w:rPr>
                <w:rFonts w:hint="eastAsia"/>
                <w:color w:val="auto"/>
                <w:sz w:val="21"/>
              </w:rPr>
            </w:pPr>
            <w:r>
              <w:rPr>
                <w:rFonts w:hint="eastAsia"/>
                <w:color w:val="auto"/>
                <w:sz w:val="21"/>
              </w:rPr>
              <w:t>接线准确，是指定位准确，不要错接开关的位号或编号，也不要把相位接错，以避免送电时造成失误而引发重大安全事故。</w:t>
            </w:r>
          </w:p>
          <w:p w14:paraId="68C235CC">
            <w:pPr>
              <w:spacing w:line="240" w:lineRule="auto"/>
              <w:ind w:firstLine="420"/>
              <w:rPr>
                <w:rFonts w:hint="eastAsia"/>
                <w:color w:val="auto"/>
                <w:sz w:val="21"/>
              </w:rPr>
            </w:pPr>
            <w:r>
              <w:rPr>
                <w:rFonts w:hint="eastAsia"/>
                <w:color w:val="auto"/>
                <w:sz w:val="21"/>
              </w:rPr>
              <w:t>并联运行的线路设计通常采用同规格型号，使之处于最经济合理状态，而施工同样要使负荷电流平衡达到设计要求，所以要十分注意长度和连接方法。相位一致是并联运行的基本条件，也是必检项目，否则不可能并联运行。</w:t>
            </w:r>
          </w:p>
        </w:tc>
      </w:tr>
      <w:tr w14:paraId="3DAA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1E38559B">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7238F0A6">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0D750C3D">
            <w:pPr>
              <w:spacing w:line="240" w:lineRule="auto"/>
              <w:ind w:firstLine="420"/>
              <w:rPr>
                <w:rFonts w:hint="eastAsia"/>
                <w:color w:val="auto"/>
                <w:sz w:val="21"/>
              </w:rPr>
            </w:pPr>
            <w:r>
              <w:rPr>
                <w:rFonts w:hint="eastAsia"/>
                <w:color w:val="auto"/>
                <w:sz w:val="21"/>
              </w:rPr>
              <w:t>芯线与电器设备的连接应符合下列规定：</w:t>
            </w:r>
          </w:p>
          <w:p w14:paraId="5E63446B">
            <w:pPr>
              <w:spacing w:line="240" w:lineRule="auto"/>
              <w:ind w:firstLine="420"/>
              <w:rPr>
                <w:rFonts w:hint="eastAsia"/>
                <w:color w:val="auto"/>
                <w:sz w:val="21"/>
              </w:rPr>
            </w:pPr>
            <w:r>
              <w:rPr>
                <w:rFonts w:hint="eastAsia"/>
                <w:color w:val="auto"/>
                <w:sz w:val="21"/>
              </w:rPr>
              <w:t>截面积在10mm²及以下的单股铜芯线和单股铝芯线直接与设备、器具的端子连接；</w:t>
            </w:r>
          </w:p>
          <w:p w14:paraId="2144A8EB">
            <w:pPr>
              <w:spacing w:line="240" w:lineRule="auto"/>
              <w:ind w:firstLine="420"/>
              <w:rPr>
                <w:rFonts w:hint="eastAsia"/>
                <w:color w:val="auto"/>
                <w:sz w:val="21"/>
              </w:rPr>
            </w:pPr>
            <w:r>
              <w:rPr>
                <w:rFonts w:hint="eastAsia"/>
                <w:color w:val="auto"/>
                <w:sz w:val="21"/>
              </w:rPr>
              <w:t>截面积在2.5mm²及以下的多股铜芯线拧紧搪锡或接续端子后与设备、器具的端子连接；</w:t>
            </w:r>
          </w:p>
          <w:p w14:paraId="6211165C">
            <w:pPr>
              <w:spacing w:line="240" w:lineRule="auto"/>
              <w:ind w:firstLine="420"/>
              <w:rPr>
                <w:rFonts w:hint="eastAsia"/>
                <w:color w:val="auto"/>
                <w:sz w:val="21"/>
              </w:rPr>
            </w:pPr>
            <w:r>
              <w:rPr>
                <w:rFonts w:hint="eastAsia"/>
                <w:color w:val="auto"/>
                <w:sz w:val="21"/>
              </w:rPr>
              <w:t>截面积大于2.5mm²的多股铜芯线，除设备自带插接式端子外，接续端子后与设备或器具的端子连接；多股铜芯线与插接式端子连接前，端部拧紧搪锡；</w:t>
            </w:r>
          </w:p>
          <w:p w14:paraId="4493C334">
            <w:pPr>
              <w:spacing w:line="240" w:lineRule="auto"/>
              <w:ind w:firstLine="420"/>
              <w:rPr>
                <w:rFonts w:hint="eastAsia"/>
                <w:color w:val="auto"/>
                <w:sz w:val="21"/>
              </w:rPr>
            </w:pPr>
            <w:r>
              <w:rPr>
                <w:rFonts w:hint="eastAsia"/>
                <w:color w:val="auto"/>
                <w:sz w:val="21"/>
              </w:rPr>
              <w:t>多股铝芯线接续端子后与设备、器具的端子连接；</w:t>
            </w:r>
          </w:p>
          <w:p w14:paraId="73B47E6D">
            <w:pPr>
              <w:spacing w:line="240" w:lineRule="auto"/>
              <w:ind w:firstLine="420"/>
              <w:rPr>
                <w:rFonts w:hint="eastAsia"/>
                <w:color w:val="auto"/>
                <w:sz w:val="21"/>
              </w:rPr>
            </w:pPr>
            <w:r>
              <w:rPr>
                <w:rFonts w:hint="eastAsia"/>
                <w:color w:val="auto"/>
                <w:sz w:val="21"/>
              </w:rPr>
              <w:t>每个设备和器具的端子接线不多于2根电线。</w:t>
            </w:r>
          </w:p>
          <w:p w14:paraId="6E6301F2">
            <w:pPr>
              <w:spacing w:line="240" w:lineRule="auto"/>
              <w:ind w:firstLine="420"/>
              <w:rPr>
                <w:rFonts w:hint="eastAsia"/>
                <w:color w:val="auto"/>
                <w:sz w:val="21"/>
              </w:rPr>
            </w:pPr>
            <w:r>
              <w:rPr>
                <w:rFonts w:hint="eastAsia"/>
                <w:color w:val="auto"/>
                <w:sz w:val="21"/>
              </w:rPr>
              <w:t>为保证导线与设备器具连接可靠，不致通电运行后发行过热效应，并诱发燃烧事故，作此规定。要说明一下，芯线的端子即端部的接头，俗称铜接头、铝接头，也有称接线鼻子的；设备、器具的端子指设备、器具的接线柱、接线螺丝或其他形式的接线处，即俗称的接线桩头；而标示线路符号套在电线端部做标记用的零件称端子头；有些设备内、外部接线的接口零件称端子板。</w:t>
            </w:r>
          </w:p>
          <w:p w14:paraId="674EA5E9">
            <w:pPr>
              <w:spacing w:line="240" w:lineRule="auto"/>
              <w:ind w:firstLine="420"/>
              <w:rPr>
                <w:rFonts w:hint="eastAsia"/>
                <w:color w:val="auto"/>
                <w:sz w:val="21"/>
              </w:rPr>
            </w:pPr>
            <w:r>
              <w:rPr>
                <w:rFonts w:hint="eastAsia"/>
                <w:color w:val="auto"/>
                <w:sz w:val="21"/>
              </w:rPr>
              <w:t>电线、电缆的芯线连接金具（连接管和端子），规格应与芯线的规格适配，且不得采用开口端子。</w:t>
            </w:r>
          </w:p>
          <w:p w14:paraId="4F3FC55E">
            <w:pPr>
              <w:spacing w:line="240" w:lineRule="auto"/>
              <w:ind w:firstLine="420"/>
              <w:rPr>
                <w:rFonts w:hint="eastAsia"/>
                <w:color w:val="auto"/>
                <w:sz w:val="21"/>
              </w:rPr>
            </w:pPr>
            <w:r>
              <w:rPr>
                <w:rFonts w:hint="eastAsia"/>
                <w:color w:val="auto"/>
                <w:sz w:val="21"/>
              </w:rPr>
              <w:t>大规格金具、端子与小规格芯线连接，如焊接要多用焊料，不经济，如压接更不可取，压接不到位也压不紧，电阻大，运行时要过热而出故障；反之小规格金具、端子与大规格芯线连接，必然要截去部分芯线，同样不能保证连接质量，而在使用中易引发电气故障，所以必须两者适配。开口端子一般用于实验室或调试用的临时线路上，以便拆装，不应用在永久连接的线路上，否则可靠性就无法保证。</w:t>
            </w:r>
          </w:p>
          <w:p w14:paraId="5C838C4D">
            <w:pPr>
              <w:spacing w:line="240" w:lineRule="auto"/>
              <w:ind w:firstLine="420"/>
              <w:rPr>
                <w:rFonts w:hint="eastAsia"/>
                <w:color w:val="auto"/>
                <w:sz w:val="21"/>
              </w:rPr>
            </w:pPr>
            <w:r>
              <w:rPr>
                <w:rFonts w:hint="eastAsia"/>
                <w:color w:val="auto"/>
                <w:sz w:val="21"/>
              </w:rPr>
              <w:t>电线、电缆的回路标记应清晰，编号准确。</w:t>
            </w:r>
          </w:p>
        </w:tc>
      </w:tr>
    </w:tbl>
    <w:p w14:paraId="489B1202">
      <w:pPr>
        <w:rPr>
          <w:rFonts w:hint="eastAsia"/>
          <w:color w:val="auto"/>
        </w:rPr>
      </w:pPr>
      <w:r>
        <w:rPr>
          <w:rFonts w:hint="eastAsia"/>
          <w:color w:val="auto"/>
        </w:rPr>
        <w:t>电缆芯线和接地线截面积（mm²）</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6"/>
        <w:gridCol w:w="4224"/>
      </w:tblGrid>
      <w:tr w14:paraId="331BA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69" w:type="pct"/>
            <w:tcBorders>
              <w:top w:val="single" w:color="auto" w:sz="4" w:space="0"/>
              <w:left w:val="single" w:color="auto" w:sz="4" w:space="0"/>
              <w:bottom w:val="single" w:color="auto" w:sz="4" w:space="0"/>
              <w:right w:val="single" w:color="auto" w:sz="4" w:space="0"/>
            </w:tcBorders>
            <w:vAlign w:val="center"/>
          </w:tcPr>
          <w:p w14:paraId="000EB72A">
            <w:pPr>
              <w:spacing w:line="240" w:lineRule="auto"/>
              <w:ind w:firstLine="0" w:firstLineChars="0"/>
              <w:jc w:val="center"/>
              <w:rPr>
                <w:rFonts w:hint="eastAsia"/>
                <w:color w:val="auto"/>
                <w:sz w:val="21"/>
              </w:rPr>
            </w:pPr>
            <w:r>
              <w:rPr>
                <w:rFonts w:hint="eastAsia"/>
                <w:color w:val="auto"/>
                <w:sz w:val="21"/>
              </w:rPr>
              <w:t>电缆芯线截面积</w:t>
            </w:r>
          </w:p>
        </w:tc>
        <w:tc>
          <w:tcPr>
            <w:tcW w:w="2331" w:type="pct"/>
            <w:tcBorders>
              <w:top w:val="single" w:color="auto" w:sz="4" w:space="0"/>
              <w:left w:val="single" w:color="auto" w:sz="4" w:space="0"/>
              <w:bottom w:val="single" w:color="auto" w:sz="4" w:space="0"/>
              <w:right w:val="single" w:color="auto" w:sz="4" w:space="0"/>
            </w:tcBorders>
            <w:vAlign w:val="center"/>
          </w:tcPr>
          <w:p w14:paraId="4F9570F7">
            <w:pPr>
              <w:spacing w:line="240" w:lineRule="auto"/>
              <w:ind w:firstLine="0" w:firstLineChars="0"/>
              <w:jc w:val="center"/>
              <w:rPr>
                <w:rFonts w:hint="eastAsia"/>
                <w:color w:val="auto"/>
                <w:sz w:val="21"/>
              </w:rPr>
            </w:pPr>
            <w:r>
              <w:rPr>
                <w:rFonts w:hint="eastAsia"/>
                <w:color w:val="auto"/>
                <w:sz w:val="21"/>
              </w:rPr>
              <w:t>接地线截面积</w:t>
            </w:r>
          </w:p>
        </w:tc>
      </w:tr>
      <w:tr w14:paraId="51642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69" w:type="pct"/>
            <w:tcBorders>
              <w:top w:val="single" w:color="auto" w:sz="4" w:space="0"/>
              <w:left w:val="single" w:color="auto" w:sz="4" w:space="0"/>
              <w:bottom w:val="single" w:color="auto" w:sz="4" w:space="0"/>
              <w:right w:val="single" w:color="auto" w:sz="4" w:space="0"/>
            </w:tcBorders>
            <w:vAlign w:val="center"/>
          </w:tcPr>
          <w:p w14:paraId="462695EA">
            <w:pPr>
              <w:spacing w:line="240" w:lineRule="auto"/>
              <w:ind w:firstLine="0" w:firstLineChars="0"/>
              <w:jc w:val="center"/>
              <w:rPr>
                <w:rFonts w:hint="eastAsia"/>
                <w:color w:val="auto"/>
                <w:sz w:val="21"/>
              </w:rPr>
            </w:pPr>
            <w:r>
              <w:rPr>
                <w:rFonts w:hint="eastAsia"/>
                <w:color w:val="auto"/>
                <w:sz w:val="21"/>
              </w:rPr>
              <w:t>120及以下</w:t>
            </w:r>
          </w:p>
        </w:tc>
        <w:tc>
          <w:tcPr>
            <w:tcW w:w="2331" w:type="pct"/>
            <w:tcBorders>
              <w:top w:val="single" w:color="auto" w:sz="4" w:space="0"/>
              <w:left w:val="single" w:color="auto" w:sz="4" w:space="0"/>
              <w:bottom w:val="single" w:color="auto" w:sz="4" w:space="0"/>
              <w:right w:val="single" w:color="auto" w:sz="4" w:space="0"/>
            </w:tcBorders>
            <w:vAlign w:val="center"/>
          </w:tcPr>
          <w:p w14:paraId="5151FD03">
            <w:pPr>
              <w:spacing w:line="240" w:lineRule="auto"/>
              <w:ind w:firstLine="0" w:firstLineChars="0"/>
              <w:jc w:val="center"/>
              <w:rPr>
                <w:rFonts w:hint="eastAsia"/>
                <w:color w:val="auto"/>
                <w:sz w:val="21"/>
              </w:rPr>
            </w:pPr>
            <w:r>
              <w:rPr>
                <w:rFonts w:hint="eastAsia"/>
                <w:color w:val="auto"/>
                <w:sz w:val="21"/>
              </w:rPr>
              <w:t>16</w:t>
            </w:r>
          </w:p>
        </w:tc>
      </w:tr>
      <w:tr w14:paraId="264D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669" w:type="pct"/>
            <w:tcBorders>
              <w:top w:val="single" w:color="auto" w:sz="4" w:space="0"/>
              <w:left w:val="single" w:color="auto" w:sz="4" w:space="0"/>
              <w:bottom w:val="single" w:color="auto" w:sz="4" w:space="0"/>
              <w:right w:val="single" w:color="auto" w:sz="4" w:space="0"/>
            </w:tcBorders>
            <w:vAlign w:val="center"/>
          </w:tcPr>
          <w:p w14:paraId="0B7028E8">
            <w:pPr>
              <w:spacing w:line="240" w:lineRule="auto"/>
              <w:ind w:firstLine="0" w:firstLineChars="0"/>
              <w:jc w:val="center"/>
              <w:rPr>
                <w:rFonts w:hint="eastAsia"/>
                <w:color w:val="auto"/>
                <w:sz w:val="21"/>
              </w:rPr>
            </w:pPr>
            <w:r>
              <w:rPr>
                <w:rFonts w:hint="eastAsia"/>
                <w:color w:val="auto"/>
                <w:sz w:val="21"/>
              </w:rPr>
              <w:t>150及以下</w:t>
            </w:r>
          </w:p>
        </w:tc>
        <w:tc>
          <w:tcPr>
            <w:tcW w:w="2331" w:type="pct"/>
            <w:tcBorders>
              <w:top w:val="single" w:color="auto" w:sz="4" w:space="0"/>
              <w:left w:val="single" w:color="auto" w:sz="4" w:space="0"/>
              <w:bottom w:val="single" w:color="auto" w:sz="4" w:space="0"/>
              <w:right w:val="single" w:color="auto" w:sz="4" w:space="0"/>
            </w:tcBorders>
            <w:vAlign w:val="center"/>
          </w:tcPr>
          <w:p w14:paraId="68DDF6B0">
            <w:pPr>
              <w:spacing w:line="240" w:lineRule="auto"/>
              <w:ind w:firstLine="0" w:firstLineChars="0"/>
              <w:jc w:val="center"/>
              <w:rPr>
                <w:rFonts w:hint="eastAsia"/>
                <w:color w:val="auto"/>
                <w:sz w:val="21"/>
              </w:rPr>
            </w:pPr>
            <w:r>
              <w:rPr>
                <w:rFonts w:hint="eastAsia"/>
                <w:color w:val="auto"/>
                <w:sz w:val="21"/>
              </w:rPr>
              <w:t>25</w:t>
            </w:r>
          </w:p>
        </w:tc>
      </w:tr>
      <w:tr w14:paraId="2826E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14:paraId="0E6A896D">
            <w:pPr>
              <w:spacing w:line="240" w:lineRule="auto"/>
              <w:ind w:firstLine="0" w:firstLineChars="0"/>
              <w:jc w:val="center"/>
              <w:rPr>
                <w:rFonts w:hint="eastAsia"/>
                <w:color w:val="auto"/>
                <w:sz w:val="21"/>
              </w:rPr>
            </w:pPr>
            <w:r>
              <w:rPr>
                <w:rFonts w:hint="eastAsia"/>
                <w:color w:val="auto"/>
                <w:sz w:val="21"/>
              </w:rPr>
              <w:t>注：电缆芯线截面积在16mm²及以下，接地线截面积与电缆芯线截面积相等。</w:t>
            </w:r>
          </w:p>
        </w:tc>
      </w:tr>
    </w:tbl>
    <w:p w14:paraId="76B35E6E">
      <w:pPr>
        <w:rPr>
          <w:rFonts w:hint="eastAsia"/>
          <w:color w:val="auto"/>
        </w:rPr>
      </w:pPr>
      <w:r>
        <w:rPr>
          <w:rFonts w:hint="eastAsia"/>
          <w:color w:val="auto"/>
        </w:rPr>
        <w:t>（13）普通灯具安装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0444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A3A93ED">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1449CF94">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6EAD2A7E">
            <w:pPr>
              <w:spacing w:line="240" w:lineRule="auto"/>
              <w:ind w:firstLine="0" w:firstLineChars="0"/>
              <w:jc w:val="center"/>
              <w:rPr>
                <w:rFonts w:hint="eastAsia"/>
                <w:color w:val="auto"/>
                <w:sz w:val="21"/>
              </w:rPr>
            </w:pPr>
            <w:r>
              <w:rPr>
                <w:rFonts w:hint="eastAsia"/>
                <w:color w:val="auto"/>
                <w:sz w:val="21"/>
              </w:rPr>
              <w:t>检查内容</w:t>
            </w:r>
          </w:p>
        </w:tc>
      </w:tr>
      <w:tr w14:paraId="2846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439E1128">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2204FCE8">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34670DCC">
            <w:pPr>
              <w:spacing w:line="240" w:lineRule="auto"/>
              <w:ind w:firstLine="420"/>
              <w:rPr>
                <w:rFonts w:hint="eastAsia"/>
                <w:color w:val="auto"/>
                <w:sz w:val="21"/>
              </w:rPr>
            </w:pPr>
            <w:r>
              <w:rPr>
                <w:rFonts w:hint="eastAsia"/>
                <w:color w:val="auto"/>
                <w:sz w:val="21"/>
              </w:rPr>
              <w:t>灯具的固定应符合下列规定：</w:t>
            </w:r>
          </w:p>
          <w:p w14:paraId="708929D1">
            <w:pPr>
              <w:spacing w:line="240" w:lineRule="auto"/>
              <w:ind w:firstLine="420"/>
              <w:rPr>
                <w:rFonts w:hint="eastAsia"/>
                <w:color w:val="auto"/>
                <w:sz w:val="21"/>
              </w:rPr>
            </w:pPr>
            <w:r>
              <w:rPr>
                <w:rFonts w:hint="eastAsia"/>
                <w:color w:val="auto"/>
                <w:sz w:val="21"/>
              </w:rPr>
              <w:t>灯具重量大于3kg时，固定在螺栓或预埋吊钩上；</w:t>
            </w:r>
          </w:p>
          <w:p w14:paraId="5916278B">
            <w:pPr>
              <w:spacing w:line="240" w:lineRule="auto"/>
              <w:ind w:firstLine="420"/>
              <w:rPr>
                <w:rFonts w:hint="eastAsia"/>
                <w:color w:val="auto"/>
                <w:sz w:val="21"/>
              </w:rPr>
            </w:pPr>
            <w:r>
              <w:rPr>
                <w:rFonts w:hint="eastAsia"/>
                <w:color w:val="auto"/>
                <w:sz w:val="21"/>
              </w:rPr>
              <w:t>软线吊灯，灯具重要在0.5kg及以下时，采用软电线自身吊装；大于0.5kg的灯具采用吊链，且软电线编叉在吊链内，使电线不受力；</w:t>
            </w:r>
          </w:p>
          <w:p w14:paraId="41F7D9A3">
            <w:pPr>
              <w:spacing w:line="240" w:lineRule="auto"/>
              <w:ind w:firstLine="420"/>
              <w:rPr>
                <w:rFonts w:hint="eastAsia"/>
                <w:color w:val="auto"/>
                <w:sz w:val="21"/>
              </w:rPr>
            </w:pPr>
            <w:r>
              <w:rPr>
                <w:rFonts w:hint="eastAsia"/>
                <w:color w:val="auto"/>
                <w:sz w:val="21"/>
              </w:rPr>
              <w:t>灯具固定牢固可靠，不使用木楔。每个灯具固定用螺钉或螺栓不少于2个；当绝缘台直径在75mm及以下时，采用1个螺钉或螺栓固定。</w:t>
            </w:r>
          </w:p>
          <w:p w14:paraId="5C650965">
            <w:pPr>
              <w:spacing w:line="240" w:lineRule="auto"/>
              <w:ind w:firstLine="420"/>
              <w:rPr>
                <w:rFonts w:hint="eastAsia"/>
                <w:color w:val="auto"/>
                <w:sz w:val="21"/>
              </w:rPr>
            </w:pPr>
            <w:r>
              <w:rPr>
                <w:rFonts w:hint="eastAsia"/>
                <w:color w:val="auto"/>
                <w:sz w:val="21"/>
              </w:rPr>
              <w:t>由于灯具悬于人们日常生活工作的正上方，能否可靠固定，在受外力冲击情况下也不致坠落（如轻度地震等）而危害人身安全，是至关重要的。普通软线吊灯，已大部分由双股塑料软线替代纱包双芯花线，其抗张强度降低。而软线吊灯的自重连塑料灯伞、灯头、灯泡在内重量不超过0.5kg，为确保安全，将普通吊线灯的重量规定为0.5kg，超过时要用吊链。其余的规定与原《电气装置安装工程电气照明装置施工及验收规范》规定一致。</w:t>
            </w:r>
          </w:p>
          <w:p w14:paraId="2B2656F6">
            <w:pPr>
              <w:spacing w:line="240" w:lineRule="auto"/>
              <w:ind w:firstLine="420"/>
              <w:rPr>
                <w:rFonts w:hint="eastAsia"/>
                <w:color w:val="auto"/>
                <w:sz w:val="21"/>
              </w:rPr>
            </w:pPr>
            <w:r>
              <w:rPr>
                <w:rFonts w:hint="eastAsia"/>
                <w:color w:val="auto"/>
                <w:sz w:val="21"/>
              </w:rPr>
              <w:t>花灯吊钩圆钢直径不应小于灯具挂销直径，且不应小于6mm。大型花灯的固定及悬吊装置，应按灯具重量的2倍做过载试验。</w:t>
            </w:r>
          </w:p>
          <w:p w14:paraId="78E2EB16">
            <w:pPr>
              <w:spacing w:line="240" w:lineRule="auto"/>
              <w:ind w:firstLine="420"/>
              <w:rPr>
                <w:rFonts w:hint="eastAsia"/>
                <w:color w:val="auto"/>
                <w:sz w:val="21"/>
              </w:rPr>
            </w:pPr>
            <w:r>
              <w:rPr>
                <w:rFonts w:hint="eastAsia"/>
                <w:color w:val="auto"/>
                <w:sz w:val="21"/>
              </w:rPr>
              <w:t>固定灯具的吊钩与灯具一致，是等强度概念。若直径小于6mm，吊钩易受意外拉力而变直、发生灯具坠落现象，故规定此下限。大型灯具的固定及悬吊装置由施工设计经计算后出图预埋安装，为检验其牢固程序是否符合图纸要求，故应做过载试验，同样是为了使用安全。</w:t>
            </w:r>
          </w:p>
          <w:p w14:paraId="3461B563">
            <w:pPr>
              <w:spacing w:line="240" w:lineRule="auto"/>
              <w:ind w:firstLine="420"/>
              <w:rPr>
                <w:rFonts w:hint="eastAsia"/>
                <w:color w:val="auto"/>
                <w:sz w:val="21"/>
              </w:rPr>
            </w:pPr>
            <w:r>
              <w:rPr>
                <w:rFonts w:hint="eastAsia"/>
                <w:color w:val="auto"/>
                <w:sz w:val="21"/>
              </w:rPr>
              <w:t>当钢管做灯杆时，钢管内径不应小于10mm，钢管厚度不应小于1.5mm。</w:t>
            </w:r>
          </w:p>
          <w:p w14:paraId="23785D53">
            <w:pPr>
              <w:spacing w:line="240" w:lineRule="auto"/>
              <w:ind w:firstLine="420"/>
              <w:rPr>
                <w:rFonts w:hint="eastAsia"/>
                <w:color w:val="auto"/>
                <w:sz w:val="21"/>
              </w:rPr>
            </w:pPr>
            <w:r>
              <w:rPr>
                <w:rFonts w:hint="eastAsia"/>
                <w:color w:val="auto"/>
                <w:sz w:val="21"/>
              </w:rPr>
              <w:t>钢管吊杆与灯具和吊杆上端法兰均为螺纹连接，直径太小，壁厚太薄，均不利套丝，套丝后强度不能保证，受外力冲撞或风吹后易发生螺纹断裂现象，于安全使用不利。故作此规定。</w:t>
            </w:r>
          </w:p>
          <w:p w14:paraId="5BA10222">
            <w:pPr>
              <w:spacing w:line="240" w:lineRule="auto"/>
              <w:ind w:firstLine="420"/>
              <w:rPr>
                <w:rFonts w:hint="eastAsia"/>
                <w:color w:val="auto"/>
                <w:sz w:val="21"/>
              </w:rPr>
            </w:pPr>
            <w:r>
              <w:rPr>
                <w:rFonts w:hint="eastAsia"/>
                <w:color w:val="auto"/>
                <w:sz w:val="21"/>
              </w:rPr>
              <w:t>固定灯具带电部件的绝缘材料以及提供防触电保护的绝缘材料，应耐燃烧和防明火。</w:t>
            </w:r>
          </w:p>
          <w:p w14:paraId="4ADBA90B">
            <w:pPr>
              <w:spacing w:line="240" w:lineRule="auto"/>
              <w:ind w:firstLine="420"/>
              <w:rPr>
                <w:rFonts w:hint="eastAsia"/>
                <w:color w:val="auto"/>
                <w:sz w:val="21"/>
              </w:rPr>
            </w:pPr>
            <w:r>
              <w:rPr>
                <w:rFonts w:hint="eastAsia"/>
                <w:color w:val="auto"/>
                <w:sz w:val="21"/>
              </w:rPr>
              <w:t>当设计无要求时，灯具的安装高度和使用电压等级应符合下列规定：</w:t>
            </w:r>
          </w:p>
          <w:p w14:paraId="67F0EAE7">
            <w:pPr>
              <w:spacing w:line="240" w:lineRule="auto"/>
              <w:ind w:firstLine="420"/>
              <w:rPr>
                <w:rFonts w:hint="eastAsia"/>
                <w:color w:val="auto"/>
                <w:sz w:val="21"/>
              </w:rPr>
            </w:pPr>
            <w:r>
              <w:rPr>
                <w:rFonts w:hint="eastAsia"/>
                <w:color w:val="auto"/>
                <w:sz w:val="21"/>
              </w:rPr>
              <w:t>一般敞开式灯具，灯头对地面距离不小于下列数值（采用安全电压时除外）：</w:t>
            </w:r>
          </w:p>
          <w:p w14:paraId="20708CF1">
            <w:pPr>
              <w:spacing w:line="240" w:lineRule="auto"/>
              <w:ind w:firstLine="420"/>
              <w:rPr>
                <w:rFonts w:hint="eastAsia"/>
                <w:color w:val="auto"/>
                <w:sz w:val="21"/>
              </w:rPr>
            </w:pPr>
            <w:r>
              <w:rPr>
                <w:rFonts w:hint="eastAsia"/>
                <w:color w:val="auto"/>
                <w:sz w:val="21"/>
              </w:rPr>
              <w:t>室外：2.5m（室外墙上安装）；</w:t>
            </w:r>
          </w:p>
          <w:p w14:paraId="18DBB80B">
            <w:pPr>
              <w:spacing w:line="240" w:lineRule="auto"/>
              <w:ind w:firstLine="420"/>
              <w:rPr>
                <w:rFonts w:hint="eastAsia"/>
                <w:color w:val="auto"/>
                <w:sz w:val="21"/>
              </w:rPr>
            </w:pPr>
            <w:r>
              <w:rPr>
                <w:rFonts w:hint="eastAsia"/>
                <w:color w:val="auto"/>
                <w:sz w:val="21"/>
              </w:rPr>
              <w:t>室内：2m；</w:t>
            </w:r>
          </w:p>
          <w:p w14:paraId="40304434">
            <w:pPr>
              <w:spacing w:line="240" w:lineRule="auto"/>
              <w:ind w:firstLine="420"/>
              <w:rPr>
                <w:rFonts w:hint="eastAsia"/>
                <w:color w:val="auto"/>
                <w:sz w:val="21"/>
              </w:rPr>
            </w:pPr>
            <w:r>
              <w:rPr>
                <w:rFonts w:hint="eastAsia"/>
                <w:color w:val="auto"/>
                <w:sz w:val="21"/>
              </w:rPr>
              <w:t>软吊线带升降器的灯具在吊线展开后：0.8m。</w:t>
            </w:r>
          </w:p>
          <w:p w14:paraId="16B5604D">
            <w:pPr>
              <w:spacing w:line="240" w:lineRule="auto"/>
              <w:ind w:firstLine="420"/>
              <w:rPr>
                <w:rFonts w:hint="eastAsia"/>
                <w:color w:val="auto"/>
                <w:sz w:val="21"/>
              </w:rPr>
            </w:pPr>
            <w:r>
              <w:rPr>
                <w:rFonts w:hint="eastAsia"/>
                <w:color w:val="auto"/>
                <w:sz w:val="21"/>
              </w:rPr>
              <w:t>危险性较大及特殊危险场所，当灯具距地面高度小于2.4m时，使用额定电压为36V及以下的照明灯具，或有专用保护措施。</w:t>
            </w:r>
          </w:p>
          <w:p w14:paraId="473C228B">
            <w:pPr>
              <w:spacing w:line="240" w:lineRule="auto"/>
              <w:ind w:firstLine="420"/>
              <w:rPr>
                <w:rFonts w:hint="eastAsia"/>
                <w:color w:val="auto"/>
                <w:sz w:val="21"/>
              </w:rPr>
            </w:pPr>
            <w:r>
              <w:rPr>
                <w:rFonts w:hint="eastAsia"/>
                <w:color w:val="auto"/>
                <w:sz w:val="21"/>
              </w:rPr>
              <w:t>在建筑电气照明工程中，灯具的安装位置和高度，以及根据不同场所采用的电压等级，通常由施工设计确定，施工时应严格按设计要求执行。</w:t>
            </w:r>
          </w:p>
          <w:p w14:paraId="69060DA7">
            <w:pPr>
              <w:spacing w:line="240" w:lineRule="auto"/>
              <w:ind w:firstLine="420"/>
              <w:rPr>
                <w:rFonts w:hint="eastAsia"/>
                <w:color w:val="auto"/>
                <w:sz w:val="21"/>
              </w:rPr>
            </w:pPr>
            <w:r>
              <w:rPr>
                <w:rFonts w:hint="eastAsia"/>
                <w:color w:val="auto"/>
                <w:sz w:val="21"/>
              </w:rPr>
              <w:t>当灯具距地面高度小于2.4m时，灯具的可靠性裸露导体必须接地（PE）或接零（PEN）可靠，并应有专用接地螺栓，且有标识。</w:t>
            </w:r>
          </w:p>
        </w:tc>
      </w:tr>
      <w:tr w14:paraId="1735D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B69F4A3">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6ADAD3AD">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67F7721B">
            <w:pPr>
              <w:spacing w:line="240" w:lineRule="auto"/>
              <w:ind w:firstLine="420"/>
              <w:rPr>
                <w:rFonts w:hint="eastAsia"/>
                <w:color w:val="auto"/>
                <w:sz w:val="21"/>
              </w:rPr>
            </w:pPr>
            <w:r>
              <w:rPr>
                <w:rFonts w:hint="eastAsia"/>
                <w:color w:val="auto"/>
                <w:sz w:val="21"/>
              </w:rPr>
              <w:t>引向每个灯具的导线线芯最小截面积应符合导线线芯最小截面积表规定。</w:t>
            </w:r>
          </w:p>
          <w:p w14:paraId="1AE16322">
            <w:pPr>
              <w:spacing w:line="240" w:lineRule="auto"/>
              <w:ind w:firstLine="420"/>
              <w:rPr>
                <w:rFonts w:hint="eastAsia"/>
                <w:color w:val="auto"/>
                <w:sz w:val="21"/>
              </w:rPr>
            </w:pPr>
            <w:r>
              <w:rPr>
                <w:rFonts w:hint="eastAsia"/>
                <w:color w:val="auto"/>
                <w:sz w:val="21"/>
              </w:rPr>
              <w:t>灯具的外形、灯头及其接线应符合下列规定：</w:t>
            </w:r>
          </w:p>
          <w:p w14:paraId="53A4C35A">
            <w:pPr>
              <w:spacing w:line="240" w:lineRule="auto"/>
              <w:ind w:firstLine="420"/>
              <w:rPr>
                <w:rFonts w:hint="eastAsia"/>
                <w:color w:val="auto"/>
                <w:sz w:val="21"/>
              </w:rPr>
            </w:pPr>
            <w:r>
              <w:rPr>
                <w:rFonts w:hint="eastAsia"/>
                <w:color w:val="auto"/>
                <w:sz w:val="21"/>
              </w:rPr>
              <w:t>灯具及配件齐全，无机械损伤、变形、涂层剥落和灯罩破裂等缺陷；</w:t>
            </w:r>
          </w:p>
          <w:p w14:paraId="72E72FC8">
            <w:pPr>
              <w:spacing w:line="240" w:lineRule="auto"/>
              <w:ind w:firstLine="420"/>
              <w:rPr>
                <w:rFonts w:hint="eastAsia"/>
                <w:color w:val="auto"/>
                <w:sz w:val="21"/>
              </w:rPr>
            </w:pPr>
            <w:r>
              <w:rPr>
                <w:rFonts w:hint="eastAsia"/>
                <w:color w:val="auto"/>
                <w:sz w:val="21"/>
              </w:rPr>
              <w:t>软线吊灯的软线两端做保护扣，两端芯线搪锡；当装升降器时，套塑料软管，采用安全灯头；</w:t>
            </w:r>
          </w:p>
          <w:p w14:paraId="2A20EE90">
            <w:pPr>
              <w:spacing w:line="240" w:lineRule="auto"/>
              <w:ind w:firstLine="420"/>
              <w:rPr>
                <w:rFonts w:hint="eastAsia"/>
                <w:color w:val="auto"/>
                <w:sz w:val="21"/>
              </w:rPr>
            </w:pPr>
            <w:r>
              <w:rPr>
                <w:rFonts w:hint="eastAsia"/>
                <w:color w:val="auto"/>
                <w:sz w:val="21"/>
              </w:rPr>
              <w:t>除敞开式灯具外，其他各类灯具灯泡容量在100W及以上者采用瓷质灯头；</w:t>
            </w:r>
          </w:p>
          <w:p w14:paraId="4C6CDB29">
            <w:pPr>
              <w:spacing w:line="240" w:lineRule="auto"/>
              <w:ind w:firstLine="420"/>
              <w:rPr>
                <w:rFonts w:hint="eastAsia"/>
                <w:color w:val="auto"/>
                <w:sz w:val="21"/>
              </w:rPr>
            </w:pPr>
            <w:r>
              <w:rPr>
                <w:rFonts w:hint="eastAsia"/>
                <w:color w:val="auto"/>
                <w:sz w:val="21"/>
              </w:rPr>
              <w:t>连接灯具的软线盘扣、搪锡压线，当采用螺口灯头时，相线接于螺口灯头中间的端子上；</w:t>
            </w:r>
          </w:p>
          <w:p w14:paraId="07208D5D">
            <w:pPr>
              <w:spacing w:line="240" w:lineRule="auto"/>
              <w:ind w:firstLine="420"/>
              <w:rPr>
                <w:rFonts w:hint="eastAsia"/>
                <w:color w:val="auto"/>
                <w:sz w:val="21"/>
              </w:rPr>
            </w:pPr>
            <w:r>
              <w:rPr>
                <w:rFonts w:hint="eastAsia"/>
                <w:color w:val="auto"/>
                <w:sz w:val="21"/>
              </w:rPr>
              <w:t>灯头的绝缘外壳不破损和漏电；带有开关的灯头，开关手柄无裸露的金属部分。</w:t>
            </w:r>
          </w:p>
          <w:p w14:paraId="06DBD79F">
            <w:pPr>
              <w:spacing w:line="240" w:lineRule="auto"/>
              <w:ind w:firstLine="420"/>
              <w:rPr>
                <w:rFonts w:hint="eastAsia"/>
                <w:color w:val="auto"/>
                <w:sz w:val="21"/>
              </w:rPr>
            </w:pPr>
            <w:r>
              <w:rPr>
                <w:rFonts w:hint="eastAsia"/>
                <w:color w:val="auto"/>
                <w:sz w:val="21"/>
              </w:rPr>
              <w:t>变电所内，高低压配电设备及裸母线的正上方不应安装灯具。</w:t>
            </w:r>
          </w:p>
          <w:p w14:paraId="3AEB9008">
            <w:pPr>
              <w:spacing w:line="240" w:lineRule="auto"/>
              <w:ind w:firstLine="420"/>
              <w:rPr>
                <w:rFonts w:hint="eastAsia"/>
                <w:color w:val="auto"/>
                <w:sz w:val="21"/>
              </w:rPr>
            </w:pPr>
            <w:r>
              <w:rPr>
                <w:rFonts w:hint="eastAsia"/>
                <w:color w:val="auto"/>
                <w:sz w:val="21"/>
              </w:rPr>
              <w:t>为确保灯具维修时的人身安全，同时也不致因维修需要而使变配电设备正常供电中断，造成不必要的损失，故作此规定。</w:t>
            </w:r>
          </w:p>
          <w:p w14:paraId="7A014F41">
            <w:pPr>
              <w:spacing w:line="240" w:lineRule="auto"/>
              <w:ind w:firstLine="420"/>
              <w:rPr>
                <w:rFonts w:hint="eastAsia"/>
                <w:color w:val="auto"/>
                <w:sz w:val="21"/>
              </w:rPr>
            </w:pPr>
            <w:r>
              <w:rPr>
                <w:rFonts w:hint="eastAsia"/>
                <w:color w:val="auto"/>
                <w:sz w:val="21"/>
              </w:rPr>
              <w:t>装有白炽灯泡的吸顶灯具，灯泡不应紧贴灯罩；当灯泡与绝缘台间距离小于5mm时，灯泡与绝缘台间应采取隔热措施。</w:t>
            </w:r>
          </w:p>
          <w:p w14:paraId="1F4A7457">
            <w:pPr>
              <w:spacing w:line="240" w:lineRule="auto"/>
              <w:ind w:firstLine="420"/>
              <w:rPr>
                <w:rFonts w:hint="eastAsia"/>
                <w:color w:val="auto"/>
                <w:sz w:val="21"/>
              </w:rPr>
            </w:pPr>
            <w:r>
              <w:rPr>
                <w:rFonts w:hint="eastAsia"/>
                <w:color w:val="auto"/>
                <w:sz w:val="21"/>
              </w:rPr>
              <w:t>说明：白炽灯泡发热量较大，离绝缘台过近，不管绝缘台是木质的还是塑料制成的，均会因过热而易烤焦或老化，导致燃烧，故应在灯泡与绝缘台间设置隔热阻燃制品，如石棉布等。</w:t>
            </w:r>
          </w:p>
          <w:p w14:paraId="065DEDAC">
            <w:pPr>
              <w:spacing w:line="240" w:lineRule="auto"/>
              <w:ind w:firstLine="420"/>
              <w:rPr>
                <w:rFonts w:hint="eastAsia"/>
                <w:color w:val="auto"/>
                <w:sz w:val="21"/>
              </w:rPr>
            </w:pPr>
            <w:r>
              <w:rPr>
                <w:rFonts w:hint="eastAsia"/>
                <w:color w:val="auto"/>
                <w:sz w:val="21"/>
              </w:rPr>
              <w:t>安装在重要场所的大型灯具的玻璃罩，应采取防止玻璃罩碎裂后向下溅落的措施。</w:t>
            </w:r>
          </w:p>
          <w:p w14:paraId="5C739E93">
            <w:pPr>
              <w:spacing w:line="240" w:lineRule="auto"/>
              <w:ind w:firstLine="420"/>
              <w:rPr>
                <w:rFonts w:hint="eastAsia"/>
                <w:color w:val="auto"/>
                <w:sz w:val="21"/>
              </w:rPr>
            </w:pPr>
            <w:r>
              <w:rPr>
                <w:rFonts w:hint="eastAsia"/>
                <w:color w:val="auto"/>
                <w:sz w:val="21"/>
              </w:rPr>
              <w:t>投光灯的底座及去架应固定牢固，枢轴应沿需要的光轴方向拧紧固定。</w:t>
            </w:r>
          </w:p>
          <w:p w14:paraId="5A9744FE">
            <w:pPr>
              <w:spacing w:line="240" w:lineRule="auto"/>
              <w:ind w:firstLine="420"/>
              <w:rPr>
                <w:rFonts w:hint="eastAsia"/>
                <w:color w:val="auto"/>
                <w:sz w:val="21"/>
              </w:rPr>
            </w:pPr>
            <w:r>
              <w:rPr>
                <w:rFonts w:hint="eastAsia"/>
                <w:color w:val="auto"/>
                <w:sz w:val="21"/>
              </w:rPr>
              <w:t>安装在室外的壁灯应有泄水孔，绝缘台与墙面之间应有防水措施。</w:t>
            </w:r>
          </w:p>
          <w:p w14:paraId="783EAB12">
            <w:pPr>
              <w:spacing w:line="240" w:lineRule="auto"/>
              <w:ind w:firstLine="420"/>
              <w:rPr>
                <w:rFonts w:hint="eastAsia"/>
                <w:color w:val="auto"/>
                <w:sz w:val="21"/>
              </w:rPr>
            </w:pPr>
            <w:r>
              <w:rPr>
                <w:rFonts w:hint="eastAsia"/>
                <w:color w:val="auto"/>
                <w:sz w:val="21"/>
              </w:rPr>
              <w:t>灯具制造标准《灯具一般安全要求与试验》：“防滴、防淋、防贱和防喷灯具应设计得如果灯具内积水能及时有效地排出，比如开一个或多个排水孔”。同样室外的壁灯应防淋、如有积水，应可以及时排放，如灯具本身不会积水，则无开排水孔的需要，也就是说水密型或伞型壁灯可以不开排水孔。制定这条规定是要引起注意检查，施工中查验排水孔是否畅通，没有的话，要加工钻孔。</w:t>
            </w:r>
          </w:p>
        </w:tc>
      </w:tr>
    </w:tbl>
    <w:p w14:paraId="07F2A9CF">
      <w:pPr>
        <w:rPr>
          <w:rFonts w:hint="eastAsia"/>
          <w:color w:val="auto"/>
        </w:rPr>
      </w:pPr>
      <w:r>
        <w:rPr>
          <w:rFonts w:hint="eastAsia"/>
          <w:color w:val="auto"/>
        </w:rPr>
        <w:t>导线线芯最小截面积（mm²）：</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1"/>
        <w:gridCol w:w="2303"/>
        <w:gridCol w:w="1571"/>
        <w:gridCol w:w="1573"/>
        <w:gridCol w:w="2142"/>
      </w:tblGrid>
      <w:tr w14:paraId="708F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83" w:type="pct"/>
            <w:gridSpan w:val="2"/>
            <w:vMerge w:val="restart"/>
            <w:tcBorders>
              <w:top w:val="single" w:color="auto" w:sz="4" w:space="0"/>
              <w:left w:val="single" w:color="auto" w:sz="4" w:space="0"/>
              <w:bottom w:val="single" w:color="auto" w:sz="4" w:space="0"/>
              <w:right w:val="single" w:color="auto" w:sz="4" w:space="0"/>
            </w:tcBorders>
            <w:vAlign w:val="center"/>
          </w:tcPr>
          <w:p w14:paraId="03690D1F">
            <w:pPr>
              <w:spacing w:line="240" w:lineRule="auto"/>
              <w:ind w:firstLine="0" w:firstLineChars="0"/>
              <w:jc w:val="center"/>
              <w:rPr>
                <w:rFonts w:hint="eastAsia"/>
                <w:color w:val="auto"/>
                <w:sz w:val="21"/>
              </w:rPr>
            </w:pPr>
            <w:r>
              <w:rPr>
                <w:rFonts w:hint="eastAsia"/>
                <w:color w:val="auto"/>
                <w:sz w:val="21"/>
              </w:rPr>
              <w:t>灯具安装的场所及用途</w:t>
            </w:r>
          </w:p>
        </w:tc>
        <w:tc>
          <w:tcPr>
            <w:tcW w:w="2917" w:type="pct"/>
            <w:gridSpan w:val="3"/>
            <w:tcBorders>
              <w:top w:val="single" w:color="auto" w:sz="4" w:space="0"/>
              <w:left w:val="single" w:color="auto" w:sz="4" w:space="0"/>
              <w:bottom w:val="single" w:color="auto" w:sz="4" w:space="0"/>
              <w:right w:val="single" w:color="auto" w:sz="4" w:space="0"/>
            </w:tcBorders>
            <w:vAlign w:val="center"/>
          </w:tcPr>
          <w:p w14:paraId="70290419">
            <w:pPr>
              <w:spacing w:line="240" w:lineRule="auto"/>
              <w:ind w:firstLine="0" w:firstLineChars="0"/>
              <w:jc w:val="center"/>
              <w:rPr>
                <w:rFonts w:hint="eastAsia"/>
                <w:color w:val="auto"/>
                <w:sz w:val="21"/>
              </w:rPr>
            </w:pPr>
            <w:r>
              <w:rPr>
                <w:rFonts w:hint="eastAsia"/>
                <w:color w:val="auto"/>
                <w:sz w:val="21"/>
              </w:rPr>
              <w:t>线芯最小截面积</w:t>
            </w:r>
          </w:p>
        </w:tc>
      </w:tr>
      <w:tr w14:paraId="53FC0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3F1FBB2B">
            <w:pPr>
              <w:spacing w:line="240" w:lineRule="auto"/>
              <w:ind w:firstLine="0" w:firstLineChars="0"/>
              <w:jc w:val="center"/>
              <w:rPr>
                <w:color w:val="auto"/>
                <w:sz w:val="21"/>
              </w:rPr>
            </w:pPr>
          </w:p>
        </w:tc>
        <w:tc>
          <w:tcPr>
            <w:tcW w:w="867" w:type="pct"/>
            <w:tcBorders>
              <w:top w:val="single" w:color="auto" w:sz="4" w:space="0"/>
              <w:left w:val="single" w:color="auto" w:sz="4" w:space="0"/>
              <w:bottom w:val="single" w:color="auto" w:sz="4" w:space="0"/>
              <w:right w:val="single" w:color="auto" w:sz="4" w:space="0"/>
            </w:tcBorders>
            <w:vAlign w:val="center"/>
          </w:tcPr>
          <w:p w14:paraId="3F5C3777">
            <w:pPr>
              <w:spacing w:line="240" w:lineRule="auto"/>
              <w:ind w:firstLine="0" w:firstLineChars="0"/>
              <w:jc w:val="center"/>
              <w:rPr>
                <w:rFonts w:hint="eastAsia"/>
                <w:color w:val="auto"/>
                <w:sz w:val="21"/>
              </w:rPr>
            </w:pPr>
            <w:r>
              <w:rPr>
                <w:rFonts w:hint="eastAsia"/>
                <w:color w:val="auto"/>
                <w:sz w:val="21"/>
              </w:rPr>
              <w:t>铜芯软线</w:t>
            </w:r>
          </w:p>
        </w:tc>
        <w:tc>
          <w:tcPr>
            <w:tcW w:w="868" w:type="pct"/>
            <w:tcBorders>
              <w:top w:val="single" w:color="auto" w:sz="4" w:space="0"/>
              <w:left w:val="single" w:color="auto" w:sz="4" w:space="0"/>
              <w:bottom w:val="single" w:color="auto" w:sz="4" w:space="0"/>
              <w:right w:val="single" w:color="auto" w:sz="4" w:space="0"/>
            </w:tcBorders>
            <w:vAlign w:val="center"/>
          </w:tcPr>
          <w:p w14:paraId="4FC897B6">
            <w:pPr>
              <w:spacing w:line="240" w:lineRule="auto"/>
              <w:ind w:firstLine="0" w:firstLineChars="0"/>
              <w:jc w:val="center"/>
              <w:rPr>
                <w:rFonts w:hint="eastAsia"/>
                <w:color w:val="auto"/>
                <w:sz w:val="21"/>
              </w:rPr>
            </w:pPr>
            <w:r>
              <w:rPr>
                <w:rFonts w:hint="eastAsia"/>
                <w:color w:val="auto"/>
                <w:sz w:val="21"/>
              </w:rPr>
              <w:t>铜线</w:t>
            </w:r>
          </w:p>
        </w:tc>
        <w:tc>
          <w:tcPr>
            <w:tcW w:w="1182" w:type="pct"/>
            <w:tcBorders>
              <w:top w:val="single" w:color="auto" w:sz="4" w:space="0"/>
              <w:left w:val="single" w:color="auto" w:sz="4" w:space="0"/>
              <w:bottom w:val="single" w:color="auto" w:sz="4" w:space="0"/>
              <w:right w:val="single" w:color="auto" w:sz="4" w:space="0"/>
            </w:tcBorders>
            <w:vAlign w:val="center"/>
          </w:tcPr>
          <w:p w14:paraId="5D7105E5">
            <w:pPr>
              <w:spacing w:line="240" w:lineRule="auto"/>
              <w:ind w:firstLine="0" w:firstLineChars="0"/>
              <w:jc w:val="center"/>
              <w:rPr>
                <w:rFonts w:hint="eastAsia"/>
                <w:color w:val="auto"/>
                <w:sz w:val="21"/>
              </w:rPr>
            </w:pPr>
            <w:r>
              <w:rPr>
                <w:rFonts w:hint="eastAsia"/>
                <w:color w:val="auto"/>
                <w:sz w:val="21"/>
              </w:rPr>
              <w:t>铝线</w:t>
            </w:r>
          </w:p>
        </w:tc>
      </w:tr>
      <w:tr w14:paraId="6816F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2" w:type="pct"/>
            <w:vMerge w:val="restart"/>
            <w:tcBorders>
              <w:top w:val="nil"/>
              <w:left w:val="single" w:color="auto" w:sz="4" w:space="0"/>
              <w:bottom w:val="single" w:color="auto" w:sz="4" w:space="0"/>
              <w:right w:val="single" w:color="auto" w:sz="4" w:space="0"/>
            </w:tcBorders>
            <w:vAlign w:val="center"/>
          </w:tcPr>
          <w:p w14:paraId="06C3DC47">
            <w:pPr>
              <w:spacing w:line="240" w:lineRule="auto"/>
              <w:ind w:firstLine="0" w:firstLineChars="0"/>
              <w:jc w:val="center"/>
              <w:rPr>
                <w:rFonts w:hint="eastAsia"/>
                <w:color w:val="auto"/>
                <w:sz w:val="21"/>
              </w:rPr>
            </w:pPr>
            <w:r>
              <w:rPr>
                <w:rFonts w:hint="eastAsia"/>
                <w:color w:val="auto"/>
                <w:sz w:val="21"/>
              </w:rPr>
              <w:t>灯头线</w:t>
            </w:r>
          </w:p>
        </w:tc>
        <w:tc>
          <w:tcPr>
            <w:tcW w:w="1271" w:type="pct"/>
            <w:tcBorders>
              <w:top w:val="single" w:color="auto" w:sz="4" w:space="0"/>
              <w:left w:val="single" w:color="auto" w:sz="4" w:space="0"/>
              <w:bottom w:val="single" w:color="auto" w:sz="4" w:space="0"/>
              <w:right w:val="single" w:color="auto" w:sz="4" w:space="0"/>
            </w:tcBorders>
            <w:vAlign w:val="center"/>
          </w:tcPr>
          <w:p w14:paraId="22E647FE">
            <w:pPr>
              <w:spacing w:line="240" w:lineRule="auto"/>
              <w:ind w:firstLine="0" w:firstLineChars="0"/>
              <w:jc w:val="center"/>
              <w:rPr>
                <w:rFonts w:hint="eastAsia"/>
                <w:color w:val="auto"/>
                <w:sz w:val="21"/>
              </w:rPr>
            </w:pPr>
            <w:r>
              <w:rPr>
                <w:rFonts w:hint="eastAsia"/>
                <w:color w:val="auto"/>
                <w:sz w:val="21"/>
              </w:rPr>
              <w:t>民用建筑室内</w:t>
            </w:r>
          </w:p>
        </w:tc>
        <w:tc>
          <w:tcPr>
            <w:tcW w:w="867" w:type="pct"/>
            <w:tcBorders>
              <w:top w:val="single" w:color="auto" w:sz="4" w:space="0"/>
              <w:left w:val="single" w:color="auto" w:sz="4" w:space="0"/>
              <w:bottom w:val="single" w:color="auto" w:sz="4" w:space="0"/>
              <w:right w:val="single" w:color="auto" w:sz="4" w:space="0"/>
            </w:tcBorders>
            <w:vAlign w:val="center"/>
          </w:tcPr>
          <w:p w14:paraId="77649796">
            <w:pPr>
              <w:spacing w:line="240" w:lineRule="auto"/>
              <w:ind w:firstLine="0" w:firstLineChars="0"/>
              <w:jc w:val="center"/>
              <w:rPr>
                <w:rFonts w:hint="eastAsia"/>
                <w:color w:val="auto"/>
                <w:sz w:val="21"/>
              </w:rPr>
            </w:pPr>
            <w:r>
              <w:rPr>
                <w:rFonts w:hint="eastAsia"/>
                <w:color w:val="auto"/>
                <w:sz w:val="21"/>
              </w:rPr>
              <w:t>0.5</w:t>
            </w:r>
          </w:p>
        </w:tc>
        <w:tc>
          <w:tcPr>
            <w:tcW w:w="868" w:type="pct"/>
            <w:tcBorders>
              <w:top w:val="single" w:color="auto" w:sz="4" w:space="0"/>
              <w:left w:val="single" w:color="auto" w:sz="4" w:space="0"/>
              <w:bottom w:val="single" w:color="auto" w:sz="4" w:space="0"/>
              <w:right w:val="single" w:color="auto" w:sz="4" w:space="0"/>
            </w:tcBorders>
            <w:vAlign w:val="center"/>
          </w:tcPr>
          <w:p w14:paraId="69185E29">
            <w:pPr>
              <w:spacing w:line="240" w:lineRule="auto"/>
              <w:ind w:firstLine="0" w:firstLineChars="0"/>
              <w:jc w:val="center"/>
              <w:rPr>
                <w:rFonts w:hint="eastAsia"/>
                <w:color w:val="auto"/>
                <w:sz w:val="21"/>
              </w:rPr>
            </w:pPr>
            <w:r>
              <w:rPr>
                <w:rFonts w:hint="eastAsia"/>
                <w:color w:val="auto"/>
                <w:sz w:val="21"/>
              </w:rPr>
              <w:t>0.5</w:t>
            </w:r>
          </w:p>
        </w:tc>
        <w:tc>
          <w:tcPr>
            <w:tcW w:w="1182" w:type="pct"/>
            <w:tcBorders>
              <w:top w:val="single" w:color="auto" w:sz="4" w:space="0"/>
              <w:left w:val="single" w:color="auto" w:sz="4" w:space="0"/>
              <w:bottom w:val="single" w:color="auto" w:sz="4" w:space="0"/>
              <w:right w:val="single" w:color="auto" w:sz="4" w:space="0"/>
            </w:tcBorders>
            <w:vAlign w:val="center"/>
          </w:tcPr>
          <w:p w14:paraId="66E130B8">
            <w:pPr>
              <w:spacing w:line="240" w:lineRule="auto"/>
              <w:ind w:firstLine="0" w:firstLineChars="0"/>
              <w:jc w:val="center"/>
              <w:rPr>
                <w:rFonts w:hint="eastAsia"/>
                <w:color w:val="auto"/>
                <w:sz w:val="21"/>
              </w:rPr>
            </w:pPr>
            <w:r>
              <w:rPr>
                <w:rFonts w:hint="eastAsia"/>
                <w:color w:val="auto"/>
                <w:sz w:val="21"/>
              </w:rPr>
              <w:t>2.5</w:t>
            </w:r>
          </w:p>
        </w:tc>
      </w:tr>
      <w:tr w14:paraId="28900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4FF5EFD">
            <w:pPr>
              <w:spacing w:line="240" w:lineRule="auto"/>
              <w:ind w:firstLine="0" w:firstLineChars="0"/>
              <w:jc w:val="center"/>
              <w:rPr>
                <w:color w:val="auto"/>
                <w:sz w:val="21"/>
              </w:rPr>
            </w:pPr>
          </w:p>
        </w:tc>
        <w:tc>
          <w:tcPr>
            <w:tcW w:w="1271" w:type="pct"/>
            <w:tcBorders>
              <w:top w:val="single" w:color="auto" w:sz="4" w:space="0"/>
              <w:left w:val="single" w:color="auto" w:sz="4" w:space="0"/>
              <w:bottom w:val="single" w:color="auto" w:sz="4" w:space="0"/>
              <w:right w:val="single" w:color="auto" w:sz="4" w:space="0"/>
            </w:tcBorders>
            <w:vAlign w:val="center"/>
          </w:tcPr>
          <w:p w14:paraId="63EBF3B6">
            <w:pPr>
              <w:spacing w:line="240" w:lineRule="auto"/>
              <w:ind w:firstLine="0" w:firstLineChars="0"/>
              <w:jc w:val="center"/>
              <w:rPr>
                <w:rFonts w:hint="eastAsia"/>
                <w:color w:val="auto"/>
                <w:sz w:val="21"/>
              </w:rPr>
            </w:pPr>
            <w:r>
              <w:rPr>
                <w:rFonts w:hint="eastAsia"/>
                <w:color w:val="auto"/>
                <w:sz w:val="21"/>
              </w:rPr>
              <w:t>工业建筑室内</w:t>
            </w:r>
          </w:p>
        </w:tc>
        <w:tc>
          <w:tcPr>
            <w:tcW w:w="867" w:type="pct"/>
            <w:tcBorders>
              <w:top w:val="single" w:color="auto" w:sz="4" w:space="0"/>
              <w:left w:val="single" w:color="auto" w:sz="4" w:space="0"/>
              <w:bottom w:val="single" w:color="auto" w:sz="4" w:space="0"/>
              <w:right w:val="single" w:color="auto" w:sz="4" w:space="0"/>
            </w:tcBorders>
            <w:vAlign w:val="center"/>
          </w:tcPr>
          <w:p w14:paraId="6DF18B38">
            <w:pPr>
              <w:spacing w:line="240" w:lineRule="auto"/>
              <w:ind w:firstLine="0" w:firstLineChars="0"/>
              <w:jc w:val="center"/>
              <w:rPr>
                <w:rFonts w:hint="eastAsia"/>
                <w:color w:val="auto"/>
                <w:sz w:val="21"/>
              </w:rPr>
            </w:pPr>
            <w:r>
              <w:rPr>
                <w:rFonts w:hint="eastAsia"/>
                <w:color w:val="auto"/>
                <w:sz w:val="21"/>
              </w:rPr>
              <w:t>0.5</w:t>
            </w:r>
          </w:p>
        </w:tc>
        <w:tc>
          <w:tcPr>
            <w:tcW w:w="868" w:type="pct"/>
            <w:tcBorders>
              <w:top w:val="single" w:color="auto" w:sz="4" w:space="0"/>
              <w:left w:val="single" w:color="auto" w:sz="4" w:space="0"/>
              <w:bottom w:val="single" w:color="auto" w:sz="4" w:space="0"/>
              <w:right w:val="single" w:color="auto" w:sz="4" w:space="0"/>
            </w:tcBorders>
            <w:vAlign w:val="center"/>
          </w:tcPr>
          <w:p w14:paraId="6676D814">
            <w:pPr>
              <w:spacing w:line="240" w:lineRule="auto"/>
              <w:ind w:firstLine="0" w:firstLineChars="0"/>
              <w:jc w:val="center"/>
              <w:rPr>
                <w:rFonts w:hint="eastAsia"/>
                <w:color w:val="auto"/>
                <w:sz w:val="21"/>
              </w:rPr>
            </w:pPr>
            <w:r>
              <w:rPr>
                <w:rFonts w:hint="eastAsia"/>
                <w:color w:val="auto"/>
                <w:sz w:val="21"/>
              </w:rPr>
              <w:t>1.0</w:t>
            </w:r>
          </w:p>
        </w:tc>
        <w:tc>
          <w:tcPr>
            <w:tcW w:w="1182" w:type="pct"/>
            <w:tcBorders>
              <w:top w:val="single" w:color="auto" w:sz="4" w:space="0"/>
              <w:left w:val="single" w:color="auto" w:sz="4" w:space="0"/>
              <w:bottom w:val="single" w:color="auto" w:sz="4" w:space="0"/>
              <w:right w:val="single" w:color="auto" w:sz="4" w:space="0"/>
            </w:tcBorders>
            <w:vAlign w:val="center"/>
          </w:tcPr>
          <w:p w14:paraId="784C7777">
            <w:pPr>
              <w:spacing w:line="240" w:lineRule="auto"/>
              <w:ind w:firstLine="0" w:firstLineChars="0"/>
              <w:jc w:val="center"/>
              <w:rPr>
                <w:rFonts w:hint="eastAsia"/>
                <w:color w:val="auto"/>
                <w:sz w:val="21"/>
              </w:rPr>
            </w:pPr>
            <w:r>
              <w:rPr>
                <w:rFonts w:hint="eastAsia"/>
                <w:color w:val="auto"/>
                <w:sz w:val="21"/>
              </w:rPr>
              <w:t>2.5</w:t>
            </w:r>
          </w:p>
        </w:tc>
      </w:tr>
      <w:tr w14:paraId="55E0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3899F23E">
            <w:pPr>
              <w:spacing w:line="240" w:lineRule="auto"/>
              <w:ind w:firstLine="0" w:firstLineChars="0"/>
              <w:jc w:val="center"/>
              <w:rPr>
                <w:color w:val="auto"/>
                <w:sz w:val="21"/>
              </w:rPr>
            </w:pPr>
          </w:p>
        </w:tc>
        <w:tc>
          <w:tcPr>
            <w:tcW w:w="1271" w:type="pct"/>
            <w:tcBorders>
              <w:top w:val="single" w:color="auto" w:sz="4" w:space="0"/>
              <w:left w:val="single" w:color="auto" w:sz="4" w:space="0"/>
              <w:bottom w:val="single" w:color="auto" w:sz="4" w:space="0"/>
              <w:right w:val="single" w:color="auto" w:sz="4" w:space="0"/>
            </w:tcBorders>
            <w:vAlign w:val="center"/>
          </w:tcPr>
          <w:p w14:paraId="04EF10B0">
            <w:pPr>
              <w:spacing w:line="240" w:lineRule="auto"/>
              <w:ind w:firstLine="0" w:firstLineChars="0"/>
              <w:jc w:val="center"/>
              <w:rPr>
                <w:rFonts w:hint="eastAsia"/>
                <w:color w:val="auto"/>
                <w:sz w:val="21"/>
              </w:rPr>
            </w:pPr>
            <w:r>
              <w:rPr>
                <w:rFonts w:hint="eastAsia"/>
                <w:color w:val="auto"/>
                <w:sz w:val="21"/>
              </w:rPr>
              <w:t>室外</w:t>
            </w:r>
          </w:p>
        </w:tc>
        <w:tc>
          <w:tcPr>
            <w:tcW w:w="867" w:type="pct"/>
            <w:tcBorders>
              <w:top w:val="single" w:color="auto" w:sz="4" w:space="0"/>
              <w:left w:val="single" w:color="auto" w:sz="4" w:space="0"/>
              <w:bottom w:val="single" w:color="auto" w:sz="4" w:space="0"/>
              <w:right w:val="single" w:color="auto" w:sz="4" w:space="0"/>
            </w:tcBorders>
            <w:vAlign w:val="center"/>
          </w:tcPr>
          <w:p w14:paraId="625FF372">
            <w:pPr>
              <w:spacing w:line="240" w:lineRule="auto"/>
              <w:ind w:firstLine="0" w:firstLineChars="0"/>
              <w:jc w:val="center"/>
              <w:rPr>
                <w:rFonts w:hint="eastAsia"/>
                <w:color w:val="auto"/>
                <w:sz w:val="21"/>
              </w:rPr>
            </w:pPr>
            <w:r>
              <w:rPr>
                <w:rFonts w:hint="eastAsia"/>
                <w:color w:val="auto"/>
                <w:sz w:val="21"/>
              </w:rPr>
              <w:t>1.0</w:t>
            </w:r>
          </w:p>
        </w:tc>
        <w:tc>
          <w:tcPr>
            <w:tcW w:w="868" w:type="pct"/>
            <w:tcBorders>
              <w:top w:val="single" w:color="auto" w:sz="4" w:space="0"/>
              <w:left w:val="single" w:color="auto" w:sz="4" w:space="0"/>
              <w:bottom w:val="single" w:color="auto" w:sz="4" w:space="0"/>
              <w:right w:val="single" w:color="auto" w:sz="4" w:space="0"/>
            </w:tcBorders>
            <w:vAlign w:val="center"/>
          </w:tcPr>
          <w:p w14:paraId="160B4F82">
            <w:pPr>
              <w:spacing w:line="240" w:lineRule="auto"/>
              <w:ind w:firstLine="0" w:firstLineChars="0"/>
              <w:jc w:val="center"/>
              <w:rPr>
                <w:rFonts w:hint="eastAsia"/>
                <w:color w:val="auto"/>
                <w:sz w:val="21"/>
              </w:rPr>
            </w:pPr>
            <w:r>
              <w:rPr>
                <w:rFonts w:hint="eastAsia"/>
                <w:color w:val="auto"/>
                <w:sz w:val="21"/>
              </w:rPr>
              <w:t>1.0</w:t>
            </w:r>
          </w:p>
        </w:tc>
        <w:tc>
          <w:tcPr>
            <w:tcW w:w="1182" w:type="pct"/>
            <w:tcBorders>
              <w:top w:val="single" w:color="auto" w:sz="4" w:space="0"/>
              <w:left w:val="single" w:color="auto" w:sz="4" w:space="0"/>
              <w:bottom w:val="single" w:color="auto" w:sz="4" w:space="0"/>
              <w:right w:val="single" w:color="auto" w:sz="4" w:space="0"/>
            </w:tcBorders>
            <w:vAlign w:val="center"/>
          </w:tcPr>
          <w:p w14:paraId="4AF5E1B4">
            <w:pPr>
              <w:spacing w:line="240" w:lineRule="auto"/>
              <w:ind w:firstLine="0" w:firstLineChars="0"/>
              <w:jc w:val="center"/>
              <w:rPr>
                <w:rFonts w:hint="eastAsia"/>
                <w:color w:val="auto"/>
                <w:sz w:val="21"/>
              </w:rPr>
            </w:pPr>
            <w:r>
              <w:rPr>
                <w:rFonts w:hint="eastAsia"/>
                <w:color w:val="auto"/>
                <w:sz w:val="21"/>
              </w:rPr>
              <w:t>2.5</w:t>
            </w:r>
          </w:p>
        </w:tc>
      </w:tr>
    </w:tbl>
    <w:p w14:paraId="21D0A734">
      <w:pPr>
        <w:rPr>
          <w:rFonts w:hint="eastAsia"/>
          <w:color w:val="auto"/>
        </w:rPr>
      </w:pPr>
      <w:r>
        <w:rPr>
          <w:rFonts w:hint="eastAsia"/>
          <w:color w:val="auto"/>
        </w:rPr>
        <w:t>（14）开关、插座、风扇安装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77BC5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5CAB441D">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3160FEA7">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711618A5">
            <w:pPr>
              <w:spacing w:line="240" w:lineRule="auto"/>
              <w:ind w:firstLine="0" w:firstLineChars="0"/>
              <w:jc w:val="center"/>
              <w:rPr>
                <w:rFonts w:hint="eastAsia"/>
                <w:color w:val="auto"/>
                <w:sz w:val="21"/>
              </w:rPr>
            </w:pPr>
            <w:r>
              <w:rPr>
                <w:rFonts w:hint="eastAsia"/>
                <w:color w:val="auto"/>
                <w:sz w:val="21"/>
              </w:rPr>
              <w:t>检查内容</w:t>
            </w:r>
          </w:p>
        </w:tc>
      </w:tr>
      <w:tr w14:paraId="1A8F8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EC23D40">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4CB47693">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4235B354">
            <w:pPr>
              <w:spacing w:line="240" w:lineRule="auto"/>
              <w:ind w:firstLine="420"/>
              <w:rPr>
                <w:rFonts w:hint="eastAsia"/>
                <w:color w:val="auto"/>
                <w:sz w:val="21"/>
              </w:rPr>
            </w:pPr>
            <w:r>
              <w:rPr>
                <w:rFonts w:hint="eastAsia"/>
                <w:color w:val="auto"/>
                <w:sz w:val="21"/>
              </w:rPr>
              <w:t>当交流、直流或不同电压等级的插座安装在同一场所时，应有明显的区别，且必须选择不同结构、不同规格和不能互换的插座；配套的插头应按交流、直流或不同电压等级区别使用。</w:t>
            </w:r>
          </w:p>
          <w:p w14:paraId="212D73C3">
            <w:pPr>
              <w:spacing w:line="240" w:lineRule="auto"/>
              <w:ind w:firstLine="420"/>
              <w:rPr>
                <w:rFonts w:hint="eastAsia"/>
                <w:color w:val="auto"/>
                <w:sz w:val="21"/>
              </w:rPr>
            </w:pPr>
            <w:r>
              <w:rPr>
                <w:rFonts w:hint="eastAsia"/>
                <w:color w:val="auto"/>
                <w:sz w:val="21"/>
              </w:rPr>
              <w:t>插座接线应符合下列规定：</w:t>
            </w:r>
          </w:p>
          <w:p w14:paraId="67BEB5F0">
            <w:pPr>
              <w:spacing w:line="240" w:lineRule="auto"/>
              <w:ind w:firstLine="420"/>
              <w:rPr>
                <w:rFonts w:hint="eastAsia"/>
                <w:color w:val="auto"/>
                <w:sz w:val="21"/>
              </w:rPr>
            </w:pPr>
            <w:r>
              <w:rPr>
                <w:rFonts w:hint="eastAsia"/>
                <w:color w:val="auto"/>
                <w:sz w:val="21"/>
              </w:rPr>
              <w:t>单相两孔插座，面对插座的右孔或上孔与相线连接，左孔或下孔与零线连接；单相三孔插座，面对插座的右孔与相线接连，左孔与零线连接；</w:t>
            </w:r>
          </w:p>
          <w:p w14:paraId="1A569793">
            <w:pPr>
              <w:spacing w:line="240" w:lineRule="auto"/>
              <w:ind w:firstLine="420"/>
              <w:rPr>
                <w:rFonts w:hint="eastAsia"/>
                <w:color w:val="auto"/>
                <w:sz w:val="21"/>
              </w:rPr>
            </w:pPr>
            <w:r>
              <w:rPr>
                <w:rFonts w:hint="eastAsia"/>
                <w:color w:val="auto"/>
                <w:sz w:val="21"/>
              </w:rPr>
              <w:t>单相三孔、三相四孔及三相五孔插座接地（PE）或接零（PEN）线接在上孔。插座的接地端子不与零线端子连接。同一场所的三相插座，接线的相序一致。</w:t>
            </w:r>
          </w:p>
          <w:p w14:paraId="07019EA6">
            <w:pPr>
              <w:spacing w:line="240" w:lineRule="auto"/>
              <w:ind w:firstLine="420"/>
              <w:rPr>
                <w:rFonts w:hint="eastAsia"/>
                <w:color w:val="auto"/>
                <w:sz w:val="21"/>
              </w:rPr>
            </w:pPr>
            <w:r>
              <w:rPr>
                <w:rFonts w:hint="eastAsia"/>
                <w:color w:val="auto"/>
                <w:sz w:val="21"/>
              </w:rPr>
              <w:t>特殊情况下插座安装应符合下列规定：</w:t>
            </w:r>
          </w:p>
          <w:p w14:paraId="642FFB47">
            <w:pPr>
              <w:spacing w:line="240" w:lineRule="auto"/>
              <w:ind w:firstLine="420"/>
              <w:rPr>
                <w:rFonts w:hint="eastAsia"/>
                <w:color w:val="auto"/>
                <w:sz w:val="21"/>
              </w:rPr>
            </w:pPr>
            <w:r>
              <w:rPr>
                <w:rFonts w:hint="eastAsia"/>
                <w:color w:val="auto"/>
                <w:sz w:val="21"/>
              </w:rPr>
              <w:t>当接插有触电危险家用电器的电源时，采用能断开电源的带开关插座，开关断开相线；</w:t>
            </w:r>
          </w:p>
          <w:p w14:paraId="1FC7BCBE">
            <w:pPr>
              <w:spacing w:line="240" w:lineRule="auto"/>
              <w:ind w:firstLine="420"/>
              <w:rPr>
                <w:rFonts w:hint="eastAsia"/>
                <w:color w:val="auto"/>
                <w:sz w:val="21"/>
              </w:rPr>
            </w:pPr>
            <w:r>
              <w:rPr>
                <w:rFonts w:hint="eastAsia"/>
                <w:color w:val="auto"/>
                <w:sz w:val="21"/>
              </w:rPr>
              <w:t>潮湿场所采用密封型并带保护地线触头的保护型插座，安装高度不低于1.5m。</w:t>
            </w:r>
          </w:p>
          <w:p w14:paraId="4CA098B8">
            <w:pPr>
              <w:spacing w:line="240" w:lineRule="auto"/>
              <w:ind w:firstLine="420"/>
              <w:rPr>
                <w:rFonts w:hint="eastAsia"/>
                <w:color w:val="auto"/>
                <w:sz w:val="21"/>
              </w:rPr>
            </w:pPr>
            <w:r>
              <w:rPr>
                <w:rFonts w:hint="eastAsia"/>
                <w:color w:val="auto"/>
                <w:sz w:val="21"/>
              </w:rPr>
              <w:t>照明开关安装应符合下列规定：</w:t>
            </w:r>
          </w:p>
          <w:p w14:paraId="480FA090">
            <w:pPr>
              <w:spacing w:line="240" w:lineRule="auto"/>
              <w:ind w:firstLine="420"/>
              <w:rPr>
                <w:rFonts w:hint="eastAsia"/>
                <w:color w:val="auto"/>
                <w:sz w:val="21"/>
              </w:rPr>
            </w:pPr>
            <w:r>
              <w:rPr>
                <w:rFonts w:hint="eastAsia"/>
                <w:color w:val="auto"/>
                <w:sz w:val="21"/>
              </w:rPr>
              <w:t>同一建筑、构筑物的开关采用同一系列的产品，开关的通断位置一致，操作灵活、接触可靠；</w:t>
            </w:r>
          </w:p>
        </w:tc>
      </w:tr>
      <w:tr w14:paraId="27863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0F224D4B">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31FBEFDE">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292DE547">
            <w:pPr>
              <w:spacing w:line="240" w:lineRule="auto"/>
              <w:ind w:firstLine="420"/>
              <w:rPr>
                <w:rFonts w:hint="eastAsia"/>
                <w:color w:val="auto"/>
                <w:sz w:val="21"/>
              </w:rPr>
            </w:pPr>
            <w:r>
              <w:rPr>
                <w:rFonts w:hint="eastAsia"/>
                <w:color w:val="auto"/>
                <w:sz w:val="21"/>
              </w:rPr>
              <w:t>暗装的插座紧贴墙面，四周无缝隙，安装牢固，表面光滑整洁、无碎裂、划伤，装饰帽齐全；</w:t>
            </w:r>
          </w:p>
          <w:p w14:paraId="60C18F29">
            <w:pPr>
              <w:spacing w:line="240" w:lineRule="auto"/>
              <w:ind w:firstLine="420"/>
              <w:rPr>
                <w:rFonts w:hint="eastAsia"/>
                <w:color w:val="auto"/>
                <w:sz w:val="21"/>
              </w:rPr>
            </w:pPr>
            <w:r>
              <w:rPr>
                <w:rFonts w:hint="eastAsia"/>
                <w:color w:val="auto"/>
                <w:sz w:val="21"/>
              </w:rPr>
              <w:t>地插座面板与地面齐平或紧贴地面，盖板固定牢固，密封良好。</w:t>
            </w:r>
          </w:p>
          <w:p w14:paraId="7C9E04D6">
            <w:pPr>
              <w:spacing w:line="240" w:lineRule="auto"/>
              <w:ind w:firstLine="420"/>
              <w:rPr>
                <w:rFonts w:hint="eastAsia"/>
                <w:color w:val="auto"/>
                <w:sz w:val="21"/>
              </w:rPr>
            </w:pPr>
            <w:r>
              <w:rPr>
                <w:rFonts w:hint="eastAsia"/>
                <w:color w:val="auto"/>
                <w:sz w:val="21"/>
              </w:rPr>
              <w:t>照明开关安装应符合下列规定：</w:t>
            </w:r>
          </w:p>
          <w:p w14:paraId="552C89FD">
            <w:pPr>
              <w:spacing w:line="240" w:lineRule="auto"/>
              <w:ind w:firstLine="420"/>
              <w:rPr>
                <w:rFonts w:hint="eastAsia"/>
                <w:color w:val="auto"/>
                <w:sz w:val="21"/>
              </w:rPr>
            </w:pPr>
            <w:r>
              <w:rPr>
                <w:rFonts w:hint="eastAsia"/>
                <w:color w:val="auto"/>
                <w:sz w:val="21"/>
              </w:rPr>
              <w:t>开关安装位置便于操作，开关边缘距门框边缘的距离0.15-0.2m，开关距地面高度1.3m；拉线开关距地面高度2-3m，层高小于3m时，拉线开关距顶板不小于100mm，拉线出口垂直向下；</w:t>
            </w:r>
          </w:p>
          <w:p w14:paraId="28B69FAE">
            <w:pPr>
              <w:spacing w:line="240" w:lineRule="auto"/>
              <w:ind w:firstLine="420"/>
              <w:rPr>
                <w:rFonts w:hint="eastAsia"/>
                <w:color w:val="auto"/>
                <w:sz w:val="21"/>
              </w:rPr>
            </w:pPr>
            <w:r>
              <w:rPr>
                <w:rFonts w:hint="eastAsia"/>
                <w:color w:val="auto"/>
                <w:sz w:val="21"/>
              </w:rPr>
              <w:t>相同型号并列安装及同一室内开关安装高度一致，且控制有序不错位。并列安装的拉线开关的相邻间距不小于20mm；</w:t>
            </w:r>
          </w:p>
          <w:p w14:paraId="011897DA">
            <w:pPr>
              <w:spacing w:line="240" w:lineRule="auto"/>
              <w:ind w:firstLine="420"/>
              <w:rPr>
                <w:rFonts w:hint="eastAsia"/>
                <w:color w:val="auto"/>
                <w:sz w:val="21"/>
              </w:rPr>
            </w:pPr>
            <w:r>
              <w:rPr>
                <w:rFonts w:hint="eastAsia"/>
                <w:color w:val="auto"/>
                <w:sz w:val="21"/>
              </w:rPr>
              <w:t>暗装的开关面板应紧贴墙面，四周无缝隙，安装牢固，表面光滑整洁装饰帽齐全。</w:t>
            </w:r>
          </w:p>
        </w:tc>
      </w:tr>
    </w:tbl>
    <w:p w14:paraId="640BC565">
      <w:pPr>
        <w:rPr>
          <w:rFonts w:hint="eastAsia"/>
          <w:color w:val="auto"/>
        </w:rPr>
      </w:pPr>
      <w:r>
        <w:rPr>
          <w:rFonts w:hint="eastAsia"/>
          <w:color w:val="auto"/>
        </w:rPr>
        <w:t>（15）接地装置安装</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879"/>
        <w:gridCol w:w="7522"/>
      </w:tblGrid>
      <w:tr w14:paraId="4F3E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2A0ADDD">
            <w:pPr>
              <w:spacing w:line="240" w:lineRule="auto"/>
              <w:ind w:firstLine="0" w:firstLineChars="0"/>
              <w:jc w:val="center"/>
              <w:rPr>
                <w:rFonts w:hint="eastAsia"/>
                <w:color w:val="auto"/>
                <w:sz w:val="21"/>
              </w:rPr>
            </w:pPr>
            <w:r>
              <w:rPr>
                <w:rFonts w:hint="eastAsia"/>
                <w:color w:val="auto"/>
                <w:sz w:val="21"/>
              </w:rPr>
              <w:t>序号</w:t>
            </w:r>
          </w:p>
        </w:tc>
        <w:tc>
          <w:tcPr>
            <w:tcW w:w="485" w:type="pct"/>
            <w:tcBorders>
              <w:top w:val="single" w:color="auto" w:sz="4" w:space="0"/>
              <w:left w:val="single" w:color="auto" w:sz="4" w:space="0"/>
              <w:bottom w:val="single" w:color="auto" w:sz="4" w:space="0"/>
              <w:right w:val="single" w:color="auto" w:sz="4" w:space="0"/>
            </w:tcBorders>
            <w:vAlign w:val="center"/>
          </w:tcPr>
          <w:p w14:paraId="593AC44F">
            <w:pPr>
              <w:spacing w:line="240" w:lineRule="auto"/>
              <w:ind w:firstLine="0" w:firstLineChars="0"/>
              <w:jc w:val="center"/>
              <w:rPr>
                <w:rFonts w:hint="eastAsia"/>
                <w:color w:val="auto"/>
                <w:sz w:val="21"/>
              </w:rPr>
            </w:pPr>
            <w:r>
              <w:rPr>
                <w:rFonts w:hint="eastAsia"/>
                <w:color w:val="auto"/>
                <w:sz w:val="21"/>
              </w:rPr>
              <w:t>项目类型</w:t>
            </w:r>
          </w:p>
        </w:tc>
        <w:tc>
          <w:tcPr>
            <w:tcW w:w="4151" w:type="pct"/>
            <w:tcBorders>
              <w:top w:val="single" w:color="auto" w:sz="4" w:space="0"/>
              <w:left w:val="single" w:color="auto" w:sz="4" w:space="0"/>
              <w:bottom w:val="single" w:color="auto" w:sz="4" w:space="0"/>
              <w:right w:val="single" w:color="auto" w:sz="4" w:space="0"/>
            </w:tcBorders>
            <w:vAlign w:val="center"/>
          </w:tcPr>
          <w:p w14:paraId="3E8A0069">
            <w:pPr>
              <w:spacing w:line="240" w:lineRule="auto"/>
              <w:ind w:firstLine="0" w:firstLineChars="0"/>
              <w:jc w:val="center"/>
              <w:rPr>
                <w:rFonts w:hint="eastAsia"/>
                <w:color w:val="auto"/>
                <w:sz w:val="21"/>
              </w:rPr>
            </w:pPr>
            <w:r>
              <w:rPr>
                <w:rFonts w:hint="eastAsia"/>
                <w:color w:val="auto"/>
                <w:sz w:val="21"/>
              </w:rPr>
              <w:t>检查内容</w:t>
            </w:r>
          </w:p>
        </w:tc>
      </w:tr>
      <w:tr w14:paraId="35B1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311ABE8E">
            <w:pPr>
              <w:spacing w:line="240" w:lineRule="auto"/>
              <w:ind w:firstLine="0" w:firstLineChars="0"/>
              <w:jc w:val="center"/>
              <w:rPr>
                <w:rFonts w:hint="eastAsia"/>
                <w:color w:val="auto"/>
                <w:sz w:val="21"/>
              </w:rPr>
            </w:pPr>
            <w:r>
              <w:rPr>
                <w:rFonts w:hint="eastAsia"/>
                <w:color w:val="auto"/>
                <w:sz w:val="21"/>
              </w:rPr>
              <w:t>1</w:t>
            </w:r>
          </w:p>
        </w:tc>
        <w:tc>
          <w:tcPr>
            <w:tcW w:w="485" w:type="pct"/>
            <w:tcBorders>
              <w:top w:val="single" w:color="auto" w:sz="4" w:space="0"/>
              <w:left w:val="single" w:color="auto" w:sz="4" w:space="0"/>
              <w:bottom w:val="single" w:color="auto" w:sz="4" w:space="0"/>
              <w:right w:val="single" w:color="auto" w:sz="4" w:space="0"/>
            </w:tcBorders>
            <w:vAlign w:val="center"/>
          </w:tcPr>
          <w:p w14:paraId="6A0D0DB9">
            <w:pPr>
              <w:spacing w:line="240" w:lineRule="auto"/>
              <w:ind w:firstLine="0" w:firstLineChars="0"/>
              <w:jc w:val="center"/>
              <w:rPr>
                <w:rFonts w:hint="eastAsia"/>
                <w:color w:val="auto"/>
                <w:sz w:val="21"/>
              </w:rPr>
            </w:pPr>
            <w:r>
              <w:rPr>
                <w:rFonts w:hint="eastAsia"/>
                <w:color w:val="auto"/>
                <w:sz w:val="21"/>
              </w:rPr>
              <w:t>主控项目</w:t>
            </w:r>
          </w:p>
        </w:tc>
        <w:tc>
          <w:tcPr>
            <w:tcW w:w="4151" w:type="pct"/>
            <w:tcBorders>
              <w:top w:val="single" w:color="auto" w:sz="4" w:space="0"/>
              <w:left w:val="single" w:color="auto" w:sz="4" w:space="0"/>
              <w:bottom w:val="single" w:color="auto" w:sz="4" w:space="0"/>
              <w:right w:val="single" w:color="auto" w:sz="4" w:space="0"/>
            </w:tcBorders>
            <w:vAlign w:val="center"/>
          </w:tcPr>
          <w:p w14:paraId="11D45EA2">
            <w:pPr>
              <w:spacing w:line="240" w:lineRule="auto"/>
              <w:ind w:firstLine="420"/>
              <w:rPr>
                <w:rFonts w:hint="eastAsia"/>
                <w:color w:val="auto"/>
                <w:sz w:val="21"/>
              </w:rPr>
            </w:pPr>
            <w:r>
              <w:rPr>
                <w:rFonts w:hint="eastAsia"/>
                <w:color w:val="auto"/>
                <w:sz w:val="21"/>
              </w:rPr>
              <w:t>人工接地装置或利用建筑物基础钢筋的接地装置必须在地面以上按设计要求位置设测试点。</w:t>
            </w:r>
          </w:p>
          <w:p w14:paraId="1B3F19F6">
            <w:pPr>
              <w:spacing w:line="240" w:lineRule="auto"/>
              <w:ind w:firstLine="420"/>
              <w:rPr>
                <w:rFonts w:hint="eastAsia"/>
                <w:color w:val="auto"/>
                <w:sz w:val="21"/>
              </w:rPr>
            </w:pPr>
            <w:r>
              <w:rPr>
                <w:rFonts w:hint="eastAsia"/>
                <w:color w:val="auto"/>
                <w:sz w:val="21"/>
              </w:rPr>
              <w:t>测试接地装置的接地电阻值必须符合设计要求。</w:t>
            </w:r>
          </w:p>
          <w:p w14:paraId="5ED3B32E">
            <w:pPr>
              <w:spacing w:line="240" w:lineRule="auto"/>
              <w:ind w:firstLine="420"/>
              <w:rPr>
                <w:rFonts w:hint="eastAsia"/>
                <w:color w:val="auto"/>
                <w:sz w:val="21"/>
              </w:rPr>
            </w:pPr>
            <w:r>
              <w:rPr>
                <w:rFonts w:hint="eastAsia"/>
                <w:color w:val="auto"/>
                <w:sz w:val="21"/>
              </w:rPr>
              <w:t>防雷接地的人工接地装置的接地干线埋设，经人行通道处理地深度不应小于1m，且应采取均压措施或在其上方铺设卵石或沥青地面。</w:t>
            </w:r>
          </w:p>
          <w:p w14:paraId="7A8DCA1E">
            <w:pPr>
              <w:spacing w:line="240" w:lineRule="auto"/>
              <w:ind w:firstLine="420"/>
              <w:rPr>
                <w:rFonts w:hint="eastAsia"/>
                <w:color w:val="auto"/>
                <w:sz w:val="21"/>
              </w:rPr>
            </w:pPr>
            <w:r>
              <w:rPr>
                <w:rFonts w:hint="eastAsia"/>
                <w:color w:val="auto"/>
                <w:sz w:val="21"/>
              </w:rPr>
              <w:t>在施工设计时，一般尽量避免防雷接地干线穿越人行通道，以防止雷击时跨步过高而危及人身安全。</w:t>
            </w:r>
          </w:p>
          <w:p w14:paraId="2C8FDC02">
            <w:pPr>
              <w:spacing w:line="240" w:lineRule="auto"/>
              <w:ind w:firstLine="420"/>
              <w:rPr>
                <w:rFonts w:hint="eastAsia"/>
                <w:color w:val="auto"/>
                <w:sz w:val="21"/>
              </w:rPr>
            </w:pPr>
            <w:r>
              <w:rPr>
                <w:rFonts w:hint="eastAsia"/>
                <w:color w:val="auto"/>
                <w:sz w:val="21"/>
              </w:rPr>
              <w:t>接地模块顶面埋深不应小于0.6m，接地模块间距不应小于模块长度的3～5倍。接地模块埋设基坑，一般为模块外形尺寸的1.2～1.4倍，且在开挖深度内详细记录地层情况。</w:t>
            </w:r>
          </w:p>
          <w:p w14:paraId="25F7FCFD">
            <w:pPr>
              <w:spacing w:line="240" w:lineRule="auto"/>
              <w:ind w:firstLine="420"/>
              <w:rPr>
                <w:rFonts w:hint="eastAsia"/>
                <w:color w:val="auto"/>
                <w:sz w:val="21"/>
              </w:rPr>
            </w:pPr>
            <w:r>
              <w:rPr>
                <w:rFonts w:hint="eastAsia"/>
                <w:color w:val="auto"/>
                <w:sz w:val="21"/>
              </w:rPr>
              <w:t>接地模块应垂直或水平就位，不应倾斜设置，保持与原土层接触良好。</w:t>
            </w:r>
          </w:p>
        </w:tc>
      </w:tr>
      <w:tr w14:paraId="1A1B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4" w:type="pct"/>
            <w:tcBorders>
              <w:top w:val="single" w:color="auto" w:sz="4" w:space="0"/>
              <w:left w:val="single" w:color="auto" w:sz="4" w:space="0"/>
              <w:bottom w:val="single" w:color="auto" w:sz="4" w:space="0"/>
              <w:right w:val="single" w:color="auto" w:sz="4" w:space="0"/>
            </w:tcBorders>
            <w:vAlign w:val="center"/>
          </w:tcPr>
          <w:p w14:paraId="6B480D35">
            <w:pPr>
              <w:spacing w:line="240" w:lineRule="auto"/>
              <w:ind w:firstLine="0" w:firstLineChars="0"/>
              <w:jc w:val="center"/>
              <w:rPr>
                <w:rFonts w:hint="eastAsia"/>
                <w:color w:val="auto"/>
                <w:sz w:val="21"/>
              </w:rPr>
            </w:pPr>
            <w:r>
              <w:rPr>
                <w:rFonts w:hint="eastAsia"/>
                <w:color w:val="auto"/>
                <w:sz w:val="21"/>
              </w:rPr>
              <w:t>2</w:t>
            </w:r>
          </w:p>
        </w:tc>
        <w:tc>
          <w:tcPr>
            <w:tcW w:w="485" w:type="pct"/>
            <w:tcBorders>
              <w:top w:val="single" w:color="auto" w:sz="4" w:space="0"/>
              <w:left w:val="single" w:color="auto" w:sz="4" w:space="0"/>
              <w:bottom w:val="single" w:color="auto" w:sz="4" w:space="0"/>
              <w:right w:val="single" w:color="auto" w:sz="4" w:space="0"/>
            </w:tcBorders>
            <w:vAlign w:val="center"/>
          </w:tcPr>
          <w:p w14:paraId="462FA609">
            <w:pPr>
              <w:spacing w:line="240" w:lineRule="auto"/>
              <w:ind w:firstLine="0" w:firstLineChars="0"/>
              <w:jc w:val="center"/>
              <w:rPr>
                <w:rFonts w:hint="eastAsia"/>
                <w:color w:val="auto"/>
                <w:sz w:val="21"/>
              </w:rPr>
            </w:pPr>
            <w:r>
              <w:rPr>
                <w:rFonts w:hint="eastAsia"/>
                <w:color w:val="auto"/>
                <w:sz w:val="21"/>
              </w:rPr>
              <w:t>一般项目</w:t>
            </w:r>
          </w:p>
        </w:tc>
        <w:tc>
          <w:tcPr>
            <w:tcW w:w="4151" w:type="pct"/>
            <w:tcBorders>
              <w:top w:val="single" w:color="auto" w:sz="4" w:space="0"/>
              <w:left w:val="single" w:color="auto" w:sz="4" w:space="0"/>
              <w:bottom w:val="single" w:color="auto" w:sz="4" w:space="0"/>
              <w:right w:val="single" w:color="auto" w:sz="4" w:space="0"/>
            </w:tcBorders>
            <w:vAlign w:val="center"/>
          </w:tcPr>
          <w:p w14:paraId="2D0183CF">
            <w:pPr>
              <w:spacing w:line="240" w:lineRule="auto"/>
              <w:ind w:firstLine="420"/>
              <w:rPr>
                <w:rFonts w:hint="eastAsia"/>
                <w:color w:val="auto"/>
                <w:sz w:val="21"/>
              </w:rPr>
            </w:pPr>
            <w:r>
              <w:rPr>
                <w:rFonts w:hint="eastAsia"/>
                <w:color w:val="auto"/>
                <w:sz w:val="21"/>
              </w:rPr>
              <w:t>当设计无要求时，接地装置顶面埋设深度不应小于0.6m。圆钢、角钢及钢管接地极应垂直埋入地下，间距不应小于5m。</w:t>
            </w:r>
          </w:p>
          <w:p w14:paraId="2E2A5C30">
            <w:pPr>
              <w:spacing w:line="240" w:lineRule="auto"/>
              <w:ind w:firstLine="420"/>
              <w:rPr>
                <w:rFonts w:hint="eastAsia"/>
                <w:color w:val="auto"/>
                <w:sz w:val="21"/>
              </w:rPr>
            </w:pPr>
            <w:r>
              <w:rPr>
                <w:rFonts w:hint="eastAsia"/>
                <w:color w:val="auto"/>
                <w:sz w:val="21"/>
              </w:rPr>
              <w:t>接地装置的焊接应采用搭接焊，搭接长度应符合下列规定：</w:t>
            </w:r>
          </w:p>
          <w:p w14:paraId="2A1F7BEC">
            <w:pPr>
              <w:spacing w:line="240" w:lineRule="auto"/>
              <w:ind w:firstLine="420"/>
              <w:rPr>
                <w:rFonts w:hint="eastAsia"/>
                <w:color w:val="auto"/>
                <w:sz w:val="21"/>
              </w:rPr>
            </w:pPr>
            <w:r>
              <w:rPr>
                <w:rFonts w:hint="eastAsia"/>
                <w:color w:val="auto"/>
                <w:sz w:val="21"/>
              </w:rPr>
              <w:t>扁钢与扁钢搭接为扁钢宽度的2倍，不少于三面施焊；</w:t>
            </w:r>
          </w:p>
          <w:p w14:paraId="14E1E873">
            <w:pPr>
              <w:spacing w:line="240" w:lineRule="auto"/>
              <w:ind w:firstLine="420"/>
              <w:rPr>
                <w:rFonts w:hint="eastAsia"/>
                <w:color w:val="auto"/>
                <w:sz w:val="21"/>
              </w:rPr>
            </w:pPr>
            <w:r>
              <w:rPr>
                <w:rFonts w:hint="eastAsia"/>
                <w:color w:val="auto"/>
                <w:sz w:val="21"/>
              </w:rPr>
              <w:t>圆钢与圆钢搭接为圆钢直径的6倍，双面施焊；</w:t>
            </w:r>
          </w:p>
          <w:p w14:paraId="399F43D7">
            <w:pPr>
              <w:spacing w:line="240" w:lineRule="auto"/>
              <w:ind w:firstLine="420"/>
              <w:rPr>
                <w:rFonts w:hint="eastAsia"/>
                <w:color w:val="auto"/>
                <w:sz w:val="21"/>
              </w:rPr>
            </w:pPr>
            <w:r>
              <w:rPr>
                <w:rFonts w:hint="eastAsia"/>
                <w:color w:val="auto"/>
                <w:sz w:val="21"/>
              </w:rPr>
              <w:t>圆钢与扁钢搭接为圆钢直径的6倍，双面施焊；</w:t>
            </w:r>
          </w:p>
          <w:p w14:paraId="2DFA748F">
            <w:pPr>
              <w:spacing w:line="240" w:lineRule="auto"/>
              <w:ind w:firstLine="420"/>
              <w:rPr>
                <w:rFonts w:hint="eastAsia"/>
                <w:color w:val="auto"/>
                <w:sz w:val="21"/>
              </w:rPr>
            </w:pPr>
            <w:r>
              <w:rPr>
                <w:rFonts w:hint="eastAsia"/>
                <w:color w:val="auto"/>
                <w:sz w:val="21"/>
              </w:rPr>
              <w:t>扁钢与钢管，扁钢与角钢焊接，紧贴角钢外侧两面，或紧贴3/4钢管表面，上下两侧施焊；</w:t>
            </w:r>
          </w:p>
          <w:p w14:paraId="7C566989">
            <w:pPr>
              <w:spacing w:line="240" w:lineRule="auto"/>
              <w:ind w:firstLine="420"/>
              <w:rPr>
                <w:rFonts w:hint="eastAsia"/>
                <w:color w:val="auto"/>
                <w:sz w:val="21"/>
              </w:rPr>
            </w:pPr>
            <w:r>
              <w:rPr>
                <w:rFonts w:hint="eastAsia"/>
                <w:color w:val="auto"/>
                <w:sz w:val="21"/>
              </w:rPr>
              <w:t>除埋设在混凝土中焊接接头外，有防腐措施。</w:t>
            </w:r>
          </w:p>
        </w:tc>
      </w:tr>
    </w:tbl>
    <w:p w14:paraId="34B8E7C2">
      <w:pPr>
        <w:rPr>
          <w:rFonts w:hint="eastAsia"/>
          <w:color w:val="auto"/>
        </w:rPr>
      </w:pPr>
      <w:r>
        <w:rPr>
          <w:rFonts w:hint="eastAsia"/>
          <w:color w:val="auto"/>
        </w:rPr>
        <w:t>接地装置铺设位置及使用类别：</w:t>
      </w:r>
    </w:p>
    <w:tbl>
      <w:tblPr>
        <w:tblStyle w:val="29"/>
        <w:tblW w:w="5000" w:type="pct"/>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6"/>
        <w:gridCol w:w="1790"/>
        <w:gridCol w:w="1239"/>
        <w:gridCol w:w="1247"/>
        <w:gridCol w:w="1939"/>
        <w:gridCol w:w="1899"/>
      </w:tblGrid>
      <w:tr w14:paraId="01D63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0" w:type="pct"/>
            <w:gridSpan w:val="2"/>
            <w:vMerge w:val="restart"/>
            <w:tcBorders>
              <w:top w:val="single" w:color="auto" w:sz="4" w:space="0"/>
              <w:left w:val="single" w:color="auto" w:sz="4" w:space="0"/>
              <w:bottom w:val="single" w:color="auto" w:sz="4" w:space="0"/>
              <w:right w:val="single" w:color="auto" w:sz="4" w:space="0"/>
            </w:tcBorders>
            <w:vAlign w:val="center"/>
          </w:tcPr>
          <w:p w14:paraId="349FC077">
            <w:pPr>
              <w:spacing w:line="240" w:lineRule="auto"/>
              <w:ind w:firstLine="0" w:firstLineChars="0"/>
              <w:jc w:val="center"/>
              <w:rPr>
                <w:rFonts w:hint="eastAsia"/>
                <w:color w:val="auto"/>
                <w:sz w:val="21"/>
              </w:rPr>
            </w:pPr>
            <w:r>
              <w:rPr>
                <w:rFonts w:hint="eastAsia"/>
                <w:color w:val="auto"/>
                <w:sz w:val="21"/>
              </w:rPr>
              <w:t>种类、规格及单位</w:t>
            </w:r>
          </w:p>
        </w:tc>
        <w:tc>
          <w:tcPr>
            <w:tcW w:w="3490" w:type="pct"/>
            <w:gridSpan w:val="4"/>
            <w:tcBorders>
              <w:top w:val="single" w:color="auto" w:sz="4" w:space="0"/>
              <w:left w:val="single" w:color="auto" w:sz="4" w:space="0"/>
              <w:bottom w:val="single" w:color="auto" w:sz="4" w:space="0"/>
              <w:right w:val="single" w:color="auto" w:sz="4" w:space="0"/>
            </w:tcBorders>
            <w:vAlign w:val="center"/>
          </w:tcPr>
          <w:p w14:paraId="6FA7578A">
            <w:pPr>
              <w:spacing w:line="240" w:lineRule="auto"/>
              <w:ind w:firstLine="0" w:firstLineChars="0"/>
              <w:jc w:val="center"/>
              <w:rPr>
                <w:rFonts w:hint="eastAsia"/>
                <w:color w:val="auto"/>
                <w:sz w:val="21"/>
              </w:rPr>
            </w:pPr>
            <w:r>
              <w:rPr>
                <w:rFonts w:hint="eastAsia"/>
                <w:color w:val="auto"/>
                <w:sz w:val="21"/>
              </w:rPr>
              <w:t>敷设位置及使用类别</w:t>
            </w:r>
          </w:p>
        </w:tc>
      </w:tr>
      <w:tr w14:paraId="772F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135B2A57">
            <w:pPr>
              <w:spacing w:line="240" w:lineRule="auto"/>
              <w:ind w:firstLine="0" w:firstLineChars="0"/>
              <w:jc w:val="center"/>
              <w:rPr>
                <w:color w:val="auto"/>
                <w:sz w:val="21"/>
              </w:rPr>
            </w:pPr>
          </w:p>
        </w:tc>
        <w:tc>
          <w:tcPr>
            <w:tcW w:w="1372" w:type="pct"/>
            <w:gridSpan w:val="2"/>
            <w:tcBorders>
              <w:top w:val="single" w:color="auto" w:sz="4" w:space="0"/>
              <w:left w:val="single" w:color="auto" w:sz="4" w:space="0"/>
              <w:bottom w:val="single" w:color="auto" w:sz="4" w:space="0"/>
              <w:right w:val="single" w:color="auto" w:sz="4" w:space="0"/>
            </w:tcBorders>
            <w:vAlign w:val="center"/>
          </w:tcPr>
          <w:p w14:paraId="2B741749">
            <w:pPr>
              <w:spacing w:line="240" w:lineRule="auto"/>
              <w:ind w:firstLine="0" w:firstLineChars="0"/>
              <w:jc w:val="center"/>
              <w:rPr>
                <w:rFonts w:hint="eastAsia"/>
                <w:color w:val="auto"/>
                <w:sz w:val="21"/>
              </w:rPr>
            </w:pPr>
            <w:r>
              <w:rPr>
                <w:rFonts w:hint="eastAsia"/>
                <w:color w:val="auto"/>
                <w:sz w:val="21"/>
              </w:rPr>
              <w:t>地上</w:t>
            </w:r>
          </w:p>
        </w:tc>
        <w:tc>
          <w:tcPr>
            <w:tcW w:w="2118" w:type="pct"/>
            <w:gridSpan w:val="2"/>
            <w:tcBorders>
              <w:top w:val="single" w:color="auto" w:sz="4" w:space="0"/>
              <w:left w:val="single" w:color="auto" w:sz="4" w:space="0"/>
              <w:bottom w:val="single" w:color="auto" w:sz="4" w:space="0"/>
              <w:right w:val="single" w:color="auto" w:sz="4" w:space="0"/>
            </w:tcBorders>
            <w:vAlign w:val="center"/>
          </w:tcPr>
          <w:p w14:paraId="1FAE2789">
            <w:pPr>
              <w:spacing w:line="240" w:lineRule="auto"/>
              <w:ind w:firstLine="0" w:firstLineChars="0"/>
              <w:jc w:val="center"/>
              <w:rPr>
                <w:rFonts w:hint="eastAsia"/>
                <w:color w:val="auto"/>
                <w:sz w:val="21"/>
              </w:rPr>
            </w:pPr>
            <w:r>
              <w:rPr>
                <w:rFonts w:hint="eastAsia"/>
                <w:color w:val="auto"/>
                <w:sz w:val="21"/>
              </w:rPr>
              <w:t>地下</w:t>
            </w:r>
          </w:p>
        </w:tc>
      </w:tr>
      <w:tr w14:paraId="1A5B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70C2CCEF">
            <w:pPr>
              <w:spacing w:line="240" w:lineRule="auto"/>
              <w:ind w:firstLine="0" w:firstLineChars="0"/>
              <w:jc w:val="center"/>
              <w:rPr>
                <w:color w:val="auto"/>
                <w:sz w:val="21"/>
              </w:rPr>
            </w:pPr>
          </w:p>
        </w:tc>
        <w:tc>
          <w:tcPr>
            <w:tcW w:w="684" w:type="pct"/>
            <w:tcBorders>
              <w:top w:val="single" w:color="auto" w:sz="4" w:space="0"/>
              <w:left w:val="single" w:color="auto" w:sz="4" w:space="0"/>
              <w:bottom w:val="single" w:color="auto" w:sz="4" w:space="0"/>
              <w:right w:val="single" w:color="auto" w:sz="4" w:space="0"/>
            </w:tcBorders>
            <w:vAlign w:val="center"/>
          </w:tcPr>
          <w:p w14:paraId="7C3CEC6C">
            <w:pPr>
              <w:spacing w:line="240" w:lineRule="auto"/>
              <w:ind w:firstLine="0" w:firstLineChars="0"/>
              <w:jc w:val="center"/>
              <w:rPr>
                <w:rFonts w:hint="eastAsia"/>
                <w:color w:val="auto"/>
                <w:sz w:val="21"/>
              </w:rPr>
            </w:pPr>
            <w:r>
              <w:rPr>
                <w:rFonts w:hint="eastAsia"/>
                <w:color w:val="auto"/>
                <w:sz w:val="21"/>
              </w:rPr>
              <w:t>室内</w:t>
            </w:r>
          </w:p>
        </w:tc>
        <w:tc>
          <w:tcPr>
            <w:tcW w:w="688" w:type="pct"/>
            <w:tcBorders>
              <w:top w:val="single" w:color="auto" w:sz="4" w:space="0"/>
              <w:left w:val="single" w:color="auto" w:sz="4" w:space="0"/>
              <w:bottom w:val="single" w:color="auto" w:sz="4" w:space="0"/>
              <w:right w:val="single" w:color="auto" w:sz="4" w:space="0"/>
            </w:tcBorders>
            <w:vAlign w:val="center"/>
          </w:tcPr>
          <w:p w14:paraId="4846F853">
            <w:pPr>
              <w:spacing w:line="240" w:lineRule="auto"/>
              <w:ind w:firstLine="0" w:firstLineChars="0"/>
              <w:jc w:val="center"/>
              <w:rPr>
                <w:rFonts w:hint="eastAsia"/>
                <w:color w:val="auto"/>
                <w:sz w:val="21"/>
              </w:rPr>
            </w:pPr>
            <w:r>
              <w:rPr>
                <w:rFonts w:hint="eastAsia"/>
                <w:color w:val="auto"/>
                <w:sz w:val="21"/>
              </w:rPr>
              <w:t>室外</w:t>
            </w:r>
          </w:p>
        </w:tc>
        <w:tc>
          <w:tcPr>
            <w:tcW w:w="1070" w:type="pct"/>
            <w:tcBorders>
              <w:top w:val="single" w:color="auto" w:sz="4" w:space="0"/>
              <w:left w:val="single" w:color="auto" w:sz="4" w:space="0"/>
              <w:bottom w:val="single" w:color="auto" w:sz="4" w:space="0"/>
              <w:right w:val="single" w:color="auto" w:sz="4" w:space="0"/>
            </w:tcBorders>
            <w:vAlign w:val="center"/>
          </w:tcPr>
          <w:p w14:paraId="65B16330">
            <w:pPr>
              <w:spacing w:line="240" w:lineRule="auto"/>
              <w:ind w:firstLine="0" w:firstLineChars="0"/>
              <w:jc w:val="center"/>
              <w:rPr>
                <w:rFonts w:hint="eastAsia"/>
                <w:color w:val="auto"/>
                <w:sz w:val="21"/>
              </w:rPr>
            </w:pPr>
            <w:r>
              <w:rPr>
                <w:rFonts w:hint="eastAsia"/>
                <w:color w:val="auto"/>
                <w:sz w:val="21"/>
              </w:rPr>
              <w:t>交流电流回路</w:t>
            </w:r>
          </w:p>
        </w:tc>
        <w:tc>
          <w:tcPr>
            <w:tcW w:w="1048" w:type="pct"/>
            <w:tcBorders>
              <w:top w:val="single" w:color="auto" w:sz="4" w:space="0"/>
              <w:left w:val="single" w:color="auto" w:sz="4" w:space="0"/>
              <w:bottom w:val="single" w:color="auto" w:sz="4" w:space="0"/>
              <w:right w:val="single" w:color="auto" w:sz="4" w:space="0"/>
            </w:tcBorders>
            <w:vAlign w:val="center"/>
          </w:tcPr>
          <w:p w14:paraId="61371CE0">
            <w:pPr>
              <w:spacing w:line="240" w:lineRule="auto"/>
              <w:ind w:firstLine="0" w:firstLineChars="0"/>
              <w:jc w:val="center"/>
              <w:rPr>
                <w:rFonts w:hint="eastAsia"/>
                <w:color w:val="auto"/>
                <w:sz w:val="21"/>
              </w:rPr>
            </w:pPr>
            <w:r>
              <w:rPr>
                <w:rFonts w:hint="eastAsia"/>
                <w:color w:val="auto"/>
                <w:sz w:val="21"/>
              </w:rPr>
              <w:t>直流电流回路</w:t>
            </w:r>
          </w:p>
        </w:tc>
      </w:tr>
      <w:tr w14:paraId="42F0E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0" w:type="pct"/>
            <w:gridSpan w:val="2"/>
            <w:tcBorders>
              <w:top w:val="single" w:color="auto" w:sz="4" w:space="0"/>
              <w:left w:val="single" w:color="auto" w:sz="4" w:space="0"/>
              <w:bottom w:val="single" w:color="auto" w:sz="4" w:space="0"/>
              <w:right w:val="single" w:color="auto" w:sz="4" w:space="0"/>
            </w:tcBorders>
            <w:vAlign w:val="center"/>
          </w:tcPr>
          <w:p w14:paraId="485198CE">
            <w:pPr>
              <w:spacing w:line="240" w:lineRule="auto"/>
              <w:ind w:firstLine="0" w:firstLineChars="0"/>
              <w:jc w:val="center"/>
              <w:rPr>
                <w:rFonts w:hint="eastAsia"/>
                <w:color w:val="auto"/>
                <w:sz w:val="21"/>
              </w:rPr>
            </w:pPr>
            <w:r>
              <w:rPr>
                <w:rFonts w:hint="eastAsia"/>
                <w:color w:val="auto"/>
                <w:sz w:val="21"/>
              </w:rPr>
              <w:t>圆钢直径（mm）</w:t>
            </w:r>
          </w:p>
        </w:tc>
        <w:tc>
          <w:tcPr>
            <w:tcW w:w="684" w:type="pct"/>
            <w:tcBorders>
              <w:top w:val="single" w:color="auto" w:sz="4" w:space="0"/>
              <w:left w:val="single" w:color="auto" w:sz="4" w:space="0"/>
              <w:bottom w:val="single" w:color="auto" w:sz="4" w:space="0"/>
              <w:right w:val="single" w:color="auto" w:sz="4" w:space="0"/>
            </w:tcBorders>
            <w:vAlign w:val="center"/>
          </w:tcPr>
          <w:p w14:paraId="7D5FF6F7">
            <w:pPr>
              <w:spacing w:line="240" w:lineRule="auto"/>
              <w:ind w:firstLine="0" w:firstLineChars="0"/>
              <w:jc w:val="center"/>
              <w:rPr>
                <w:rFonts w:hint="eastAsia"/>
                <w:color w:val="auto"/>
                <w:sz w:val="21"/>
              </w:rPr>
            </w:pPr>
            <w:r>
              <w:rPr>
                <w:rFonts w:hint="eastAsia"/>
                <w:color w:val="auto"/>
                <w:sz w:val="21"/>
              </w:rPr>
              <w:t>6</w:t>
            </w:r>
          </w:p>
        </w:tc>
        <w:tc>
          <w:tcPr>
            <w:tcW w:w="688" w:type="pct"/>
            <w:tcBorders>
              <w:top w:val="single" w:color="auto" w:sz="4" w:space="0"/>
              <w:left w:val="single" w:color="auto" w:sz="4" w:space="0"/>
              <w:bottom w:val="single" w:color="auto" w:sz="4" w:space="0"/>
              <w:right w:val="single" w:color="auto" w:sz="4" w:space="0"/>
            </w:tcBorders>
            <w:vAlign w:val="center"/>
          </w:tcPr>
          <w:p w14:paraId="659263A7">
            <w:pPr>
              <w:spacing w:line="240" w:lineRule="auto"/>
              <w:ind w:firstLine="0" w:firstLineChars="0"/>
              <w:jc w:val="center"/>
              <w:rPr>
                <w:rFonts w:hint="eastAsia"/>
                <w:color w:val="auto"/>
                <w:sz w:val="21"/>
              </w:rPr>
            </w:pPr>
            <w:r>
              <w:rPr>
                <w:rFonts w:hint="eastAsia"/>
                <w:color w:val="auto"/>
                <w:sz w:val="21"/>
              </w:rPr>
              <w:t>8</w:t>
            </w:r>
          </w:p>
        </w:tc>
        <w:tc>
          <w:tcPr>
            <w:tcW w:w="1070" w:type="pct"/>
            <w:tcBorders>
              <w:top w:val="single" w:color="auto" w:sz="4" w:space="0"/>
              <w:left w:val="single" w:color="auto" w:sz="4" w:space="0"/>
              <w:bottom w:val="single" w:color="auto" w:sz="4" w:space="0"/>
              <w:right w:val="single" w:color="auto" w:sz="4" w:space="0"/>
            </w:tcBorders>
            <w:vAlign w:val="center"/>
          </w:tcPr>
          <w:p w14:paraId="3C05FCAC">
            <w:pPr>
              <w:spacing w:line="240" w:lineRule="auto"/>
              <w:ind w:firstLine="0" w:firstLineChars="0"/>
              <w:jc w:val="center"/>
              <w:rPr>
                <w:rFonts w:hint="eastAsia"/>
                <w:color w:val="auto"/>
                <w:sz w:val="21"/>
              </w:rPr>
            </w:pPr>
            <w:r>
              <w:rPr>
                <w:rFonts w:hint="eastAsia"/>
                <w:color w:val="auto"/>
                <w:sz w:val="21"/>
              </w:rPr>
              <w:t>10</w:t>
            </w:r>
          </w:p>
        </w:tc>
        <w:tc>
          <w:tcPr>
            <w:tcW w:w="1048" w:type="pct"/>
            <w:tcBorders>
              <w:top w:val="single" w:color="auto" w:sz="4" w:space="0"/>
              <w:left w:val="single" w:color="auto" w:sz="4" w:space="0"/>
              <w:bottom w:val="single" w:color="auto" w:sz="4" w:space="0"/>
              <w:right w:val="single" w:color="auto" w:sz="4" w:space="0"/>
            </w:tcBorders>
            <w:vAlign w:val="center"/>
          </w:tcPr>
          <w:p w14:paraId="4CBB27C1">
            <w:pPr>
              <w:spacing w:line="240" w:lineRule="auto"/>
              <w:ind w:firstLine="0" w:firstLineChars="0"/>
              <w:jc w:val="center"/>
              <w:rPr>
                <w:rFonts w:hint="eastAsia"/>
                <w:color w:val="auto"/>
                <w:sz w:val="21"/>
              </w:rPr>
            </w:pPr>
            <w:r>
              <w:rPr>
                <w:rFonts w:hint="eastAsia"/>
                <w:color w:val="auto"/>
                <w:sz w:val="21"/>
              </w:rPr>
              <w:t>12</w:t>
            </w:r>
          </w:p>
        </w:tc>
      </w:tr>
      <w:tr w14:paraId="33265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2" w:type="pct"/>
            <w:vMerge w:val="restart"/>
            <w:tcBorders>
              <w:top w:val="nil"/>
              <w:left w:val="single" w:color="auto" w:sz="4" w:space="0"/>
              <w:bottom w:val="single" w:color="auto" w:sz="4" w:space="0"/>
              <w:right w:val="single" w:color="auto" w:sz="4" w:space="0"/>
            </w:tcBorders>
            <w:vAlign w:val="center"/>
          </w:tcPr>
          <w:p w14:paraId="2EA965B6">
            <w:pPr>
              <w:spacing w:line="240" w:lineRule="auto"/>
              <w:ind w:firstLine="0" w:firstLineChars="0"/>
              <w:jc w:val="center"/>
              <w:rPr>
                <w:rFonts w:hint="eastAsia"/>
                <w:color w:val="auto"/>
                <w:sz w:val="21"/>
              </w:rPr>
            </w:pPr>
            <w:r>
              <w:rPr>
                <w:rFonts w:hint="eastAsia"/>
                <w:color w:val="auto"/>
                <w:sz w:val="21"/>
              </w:rPr>
              <w:t>扁钢</w:t>
            </w:r>
          </w:p>
        </w:tc>
        <w:tc>
          <w:tcPr>
            <w:tcW w:w="988" w:type="pct"/>
            <w:tcBorders>
              <w:top w:val="single" w:color="auto" w:sz="4" w:space="0"/>
              <w:left w:val="single" w:color="auto" w:sz="4" w:space="0"/>
              <w:bottom w:val="single" w:color="auto" w:sz="4" w:space="0"/>
              <w:right w:val="single" w:color="auto" w:sz="4" w:space="0"/>
            </w:tcBorders>
            <w:vAlign w:val="center"/>
          </w:tcPr>
          <w:p w14:paraId="33AFD4DB">
            <w:pPr>
              <w:spacing w:line="240" w:lineRule="auto"/>
              <w:ind w:firstLine="0" w:firstLineChars="0"/>
              <w:jc w:val="center"/>
              <w:rPr>
                <w:rFonts w:hint="eastAsia"/>
                <w:color w:val="auto"/>
                <w:sz w:val="21"/>
              </w:rPr>
            </w:pPr>
            <w:r>
              <w:rPr>
                <w:rFonts w:hint="eastAsia"/>
                <w:color w:val="auto"/>
                <w:sz w:val="21"/>
              </w:rPr>
              <w:t>截面（mm²）</w:t>
            </w:r>
          </w:p>
        </w:tc>
        <w:tc>
          <w:tcPr>
            <w:tcW w:w="684" w:type="pct"/>
            <w:tcBorders>
              <w:top w:val="single" w:color="auto" w:sz="4" w:space="0"/>
              <w:left w:val="single" w:color="auto" w:sz="4" w:space="0"/>
              <w:bottom w:val="single" w:color="auto" w:sz="4" w:space="0"/>
              <w:right w:val="single" w:color="auto" w:sz="4" w:space="0"/>
            </w:tcBorders>
            <w:vAlign w:val="center"/>
          </w:tcPr>
          <w:p w14:paraId="7B8591F3">
            <w:pPr>
              <w:spacing w:line="240" w:lineRule="auto"/>
              <w:ind w:firstLine="0" w:firstLineChars="0"/>
              <w:jc w:val="center"/>
              <w:rPr>
                <w:rFonts w:hint="eastAsia"/>
                <w:color w:val="auto"/>
                <w:sz w:val="21"/>
              </w:rPr>
            </w:pPr>
            <w:r>
              <w:rPr>
                <w:rFonts w:hint="eastAsia"/>
                <w:color w:val="auto"/>
                <w:sz w:val="21"/>
              </w:rPr>
              <w:t>60</w:t>
            </w:r>
          </w:p>
        </w:tc>
        <w:tc>
          <w:tcPr>
            <w:tcW w:w="688" w:type="pct"/>
            <w:tcBorders>
              <w:top w:val="single" w:color="auto" w:sz="4" w:space="0"/>
              <w:left w:val="single" w:color="auto" w:sz="4" w:space="0"/>
              <w:bottom w:val="single" w:color="auto" w:sz="4" w:space="0"/>
              <w:right w:val="single" w:color="auto" w:sz="4" w:space="0"/>
            </w:tcBorders>
            <w:vAlign w:val="center"/>
          </w:tcPr>
          <w:p w14:paraId="4E3D008D">
            <w:pPr>
              <w:spacing w:line="240" w:lineRule="auto"/>
              <w:ind w:firstLine="0" w:firstLineChars="0"/>
              <w:jc w:val="center"/>
              <w:rPr>
                <w:rFonts w:hint="eastAsia"/>
                <w:color w:val="auto"/>
                <w:sz w:val="21"/>
              </w:rPr>
            </w:pPr>
            <w:r>
              <w:rPr>
                <w:rFonts w:hint="eastAsia"/>
                <w:color w:val="auto"/>
                <w:sz w:val="21"/>
              </w:rPr>
              <w:t>100</w:t>
            </w:r>
          </w:p>
        </w:tc>
        <w:tc>
          <w:tcPr>
            <w:tcW w:w="1070" w:type="pct"/>
            <w:tcBorders>
              <w:top w:val="single" w:color="auto" w:sz="4" w:space="0"/>
              <w:left w:val="single" w:color="auto" w:sz="4" w:space="0"/>
              <w:bottom w:val="single" w:color="auto" w:sz="4" w:space="0"/>
              <w:right w:val="single" w:color="auto" w:sz="4" w:space="0"/>
            </w:tcBorders>
            <w:vAlign w:val="center"/>
          </w:tcPr>
          <w:p w14:paraId="154B0302">
            <w:pPr>
              <w:spacing w:line="240" w:lineRule="auto"/>
              <w:ind w:firstLine="0" w:firstLineChars="0"/>
              <w:jc w:val="center"/>
              <w:rPr>
                <w:rFonts w:hint="eastAsia"/>
                <w:color w:val="auto"/>
                <w:sz w:val="21"/>
              </w:rPr>
            </w:pPr>
            <w:r>
              <w:rPr>
                <w:rFonts w:hint="eastAsia"/>
                <w:color w:val="auto"/>
                <w:sz w:val="21"/>
              </w:rPr>
              <w:t>100</w:t>
            </w:r>
          </w:p>
        </w:tc>
        <w:tc>
          <w:tcPr>
            <w:tcW w:w="1048" w:type="pct"/>
            <w:tcBorders>
              <w:top w:val="single" w:color="auto" w:sz="4" w:space="0"/>
              <w:left w:val="single" w:color="auto" w:sz="4" w:space="0"/>
              <w:bottom w:val="single" w:color="auto" w:sz="4" w:space="0"/>
              <w:right w:val="single" w:color="auto" w:sz="4" w:space="0"/>
            </w:tcBorders>
            <w:vAlign w:val="center"/>
          </w:tcPr>
          <w:p w14:paraId="79BF18C6">
            <w:pPr>
              <w:spacing w:line="240" w:lineRule="auto"/>
              <w:ind w:firstLine="0" w:firstLineChars="0"/>
              <w:jc w:val="center"/>
              <w:rPr>
                <w:rFonts w:hint="eastAsia"/>
                <w:color w:val="auto"/>
                <w:sz w:val="21"/>
              </w:rPr>
            </w:pPr>
            <w:r>
              <w:rPr>
                <w:rFonts w:hint="eastAsia"/>
                <w:color w:val="auto"/>
                <w:sz w:val="21"/>
              </w:rPr>
              <w:t>100</w:t>
            </w:r>
          </w:p>
        </w:tc>
      </w:tr>
      <w:tr w14:paraId="1293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6091D87B">
            <w:pPr>
              <w:spacing w:line="240" w:lineRule="auto"/>
              <w:ind w:firstLine="0" w:firstLineChars="0"/>
              <w:jc w:val="center"/>
              <w:rPr>
                <w:color w:val="auto"/>
                <w:sz w:val="21"/>
              </w:rPr>
            </w:pPr>
          </w:p>
        </w:tc>
        <w:tc>
          <w:tcPr>
            <w:tcW w:w="988" w:type="pct"/>
            <w:tcBorders>
              <w:top w:val="single" w:color="auto" w:sz="4" w:space="0"/>
              <w:left w:val="single" w:color="auto" w:sz="4" w:space="0"/>
              <w:bottom w:val="single" w:color="auto" w:sz="4" w:space="0"/>
              <w:right w:val="single" w:color="auto" w:sz="4" w:space="0"/>
            </w:tcBorders>
            <w:vAlign w:val="center"/>
          </w:tcPr>
          <w:p w14:paraId="562AC3BE">
            <w:pPr>
              <w:spacing w:line="240" w:lineRule="auto"/>
              <w:ind w:firstLine="0" w:firstLineChars="0"/>
              <w:jc w:val="center"/>
              <w:rPr>
                <w:rFonts w:hint="eastAsia"/>
                <w:color w:val="auto"/>
                <w:sz w:val="21"/>
              </w:rPr>
            </w:pPr>
            <w:r>
              <w:rPr>
                <w:rFonts w:hint="eastAsia"/>
                <w:color w:val="auto"/>
                <w:sz w:val="21"/>
              </w:rPr>
              <w:t>厚度（mm）</w:t>
            </w:r>
          </w:p>
        </w:tc>
        <w:tc>
          <w:tcPr>
            <w:tcW w:w="684" w:type="pct"/>
            <w:tcBorders>
              <w:top w:val="single" w:color="auto" w:sz="4" w:space="0"/>
              <w:left w:val="single" w:color="auto" w:sz="4" w:space="0"/>
              <w:bottom w:val="single" w:color="auto" w:sz="4" w:space="0"/>
              <w:right w:val="single" w:color="auto" w:sz="4" w:space="0"/>
            </w:tcBorders>
            <w:vAlign w:val="center"/>
          </w:tcPr>
          <w:p w14:paraId="41A440CA">
            <w:pPr>
              <w:spacing w:line="240" w:lineRule="auto"/>
              <w:ind w:firstLine="0" w:firstLineChars="0"/>
              <w:jc w:val="center"/>
              <w:rPr>
                <w:rFonts w:hint="eastAsia"/>
                <w:color w:val="auto"/>
                <w:sz w:val="21"/>
              </w:rPr>
            </w:pPr>
            <w:r>
              <w:rPr>
                <w:rFonts w:hint="eastAsia"/>
                <w:color w:val="auto"/>
                <w:sz w:val="21"/>
              </w:rPr>
              <w:t>3</w:t>
            </w:r>
          </w:p>
        </w:tc>
        <w:tc>
          <w:tcPr>
            <w:tcW w:w="688" w:type="pct"/>
            <w:tcBorders>
              <w:top w:val="single" w:color="auto" w:sz="4" w:space="0"/>
              <w:left w:val="single" w:color="auto" w:sz="4" w:space="0"/>
              <w:bottom w:val="single" w:color="auto" w:sz="4" w:space="0"/>
              <w:right w:val="single" w:color="auto" w:sz="4" w:space="0"/>
            </w:tcBorders>
            <w:vAlign w:val="center"/>
          </w:tcPr>
          <w:p w14:paraId="55566D62">
            <w:pPr>
              <w:spacing w:line="240" w:lineRule="auto"/>
              <w:ind w:firstLine="0" w:firstLineChars="0"/>
              <w:jc w:val="center"/>
              <w:rPr>
                <w:rFonts w:hint="eastAsia"/>
                <w:color w:val="auto"/>
                <w:sz w:val="21"/>
              </w:rPr>
            </w:pPr>
            <w:r>
              <w:rPr>
                <w:rFonts w:hint="eastAsia"/>
                <w:color w:val="auto"/>
                <w:sz w:val="21"/>
              </w:rPr>
              <w:t>4</w:t>
            </w:r>
          </w:p>
        </w:tc>
        <w:tc>
          <w:tcPr>
            <w:tcW w:w="1070" w:type="pct"/>
            <w:tcBorders>
              <w:top w:val="single" w:color="auto" w:sz="4" w:space="0"/>
              <w:left w:val="single" w:color="auto" w:sz="4" w:space="0"/>
              <w:bottom w:val="single" w:color="auto" w:sz="4" w:space="0"/>
              <w:right w:val="single" w:color="auto" w:sz="4" w:space="0"/>
            </w:tcBorders>
            <w:vAlign w:val="center"/>
          </w:tcPr>
          <w:p w14:paraId="6FAF26EF">
            <w:pPr>
              <w:spacing w:line="240" w:lineRule="auto"/>
              <w:ind w:firstLine="0" w:firstLineChars="0"/>
              <w:jc w:val="center"/>
              <w:rPr>
                <w:rFonts w:hint="eastAsia"/>
                <w:color w:val="auto"/>
                <w:sz w:val="21"/>
              </w:rPr>
            </w:pPr>
            <w:r>
              <w:rPr>
                <w:rFonts w:hint="eastAsia"/>
                <w:color w:val="auto"/>
                <w:sz w:val="21"/>
              </w:rPr>
              <w:t>4</w:t>
            </w:r>
          </w:p>
        </w:tc>
        <w:tc>
          <w:tcPr>
            <w:tcW w:w="1048" w:type="pct"/>
            <w:tcBorders>
              <w:top w:val="single" w:color="auto" w:sz="4" w:space="0"/>
              <w:left w:val="single" w:color="auto" w:sz="4" w:space="0"/>
              <w:bottom w:val="single" w:color="auto" w:sz="4" w:space="0"/>
              <w:right w:val="single" w:color="auto" w:sz="4" w:space="0"/>
            </w:tcBorders>
            <w:vAlign w:val="center"/>
          </w:tcPr>
          <w:p w14:paraId="2D7592F7">
            <w:pPr>
              <w:spacing w:line="240" w:lineRule="auto"/>
              <w:ind w:firstLine="0" w:firstLineChars="0"/>
              <w:jc w:val="center"/>
              <w:rPr>
                <w:rFonts w:hint="eastAsia"/>
                <w:color w:val="auto"/>
                <w:sz w:val="21"/>
              </w:rPr>
            </w:pPr>
            <w:r>
              <w:rPr>
                <w:rFonts w:hint="eastAsia"/>
                <w:color w:val="auto"/>
                <w:sz w:val="21"/>
              </w:rPr>
              <w:t>6</w:t>
            </w:r>
          </w:p>
        </w:tc>
      </w:tr>
      <w:tr w14:paraId="447A0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0" w:type="pct"/>
            <w:gridSpan w:val="2"/>
            <w:tcBorders>
              <w:top w:val="single" w:color="auto" w:sz="4" w:space="0"/>
              <w:left w:val="single" w:color="auto" w:sz="4" w:space="0"/>
              <w:bottom w:val="single" w:color="auto" w:sz="4" w:space="0"/>
              <w:right w:val="single" w:color="auto" w:sz="4" w:space="0"/>
            </w:tcBorders>
            <w:vAlign w:val="center"/>
          </w:tcPr>
          <w:p w14:paraId="4C8CBBB7">
            <w:pPr>
              <w:spacing w:line="240" w:lineRule="auto"/>
              <w:ind w:firstLine="0" w:firstLineChars="0"/>
              <w:jc w:val="center"/>
              <w:rPr>
                <w:rFonts w:hint="eastAsia"/>
                <w:color w:val="auto"/>
                <w:sz w:val="21"/>
              </w:rPr>
            </w:pPr>
            <w:r>
              <w:rPr>
                <w:rFonts w:hint="eastAsia"/>
                <w:color w:val="auto"/>
                <w:sz w:val="21"/>
              </w:rPr>
              <w:t>角钢厚度（mm）</w:t>
            </w:r>
          </w:p>
        </w:tc>
        <w:tc>
          <w:tcPr>
            <w:tcW w:w="684" w:type="pct"/>
            <w:tcBorders>
              <w:top w:val="single" w:color="auto" w:sz="4" w:space="0"/>
              <w:left w:val="single" w:color="auto" w:sz="4" w:space="0"/>
              <w:bottom w:val="single" w:color="auto" w:sz="4" w:space="0"/>
              <w:right w:val="single" w:color="auto" w:sz="4" w:space="0"/>
            </w:tcBorders>
            <w:vAlign w:val="center"/>
          </w:tcPr>
          <w:p w14:paraId="4E0A31DF">
            <w:pPr>
              <w:spacing w:line="240" w:lineRule="auto"/>
              <w:ind w:firstLine="0" w:firstLineChars="0"/>
              <w:jc w:val="center"/>
              <w:rPr>
                <w:rFonts w:hint="eastAsia"/>
                <w:color w:val="auto"/>
                <w:sz w:val="21"/>
              </w:rPr>
            </w:pPr>
            <w:r>
              <w:rPr>
                <w:rFonts w:hint="eastAsia"/>
                <w:color w:val="auto"/>
                <w:sz w:val="21"/>
              </w:rPr>
              <w:t>2</w:t>
            </w:r>
          </w:p>
        </w:tc>
        <w:tc>
          <w:tcPr>
            <w:tcW w:w="688" w:type="pct"/>
            <w:tcBorders>
              <w:top w:val="single" w:color="auto" w:sz="4" w:space="0"/>
              <w:left w:val="single" w:color="auto" w:sz="4" w:space="0"/>
              <w:bottom w:val="single" w:color="auto" w:sz="4" w:space="0"/>
              <w:right w:val="single" w:color="auto" w:sz="4" w:space="0"/>
            </w:tcBorders>
            <w:vAlign w:val="center"/>
          </w:tcPr>
          <w:p w14:paraId="78282268">
            <w:pPr>
              <w:spacing w:line="240" w:lineRule="auto"/>
              <w:ind w:firstLine="0" w:firstLineChars="0"/>
              <w:jc w:val="center"/>
              <w:rPr>
                <w:rFonts w:hint="eastAsia"/>
                <w:color w:val="auto"/>
                <w:sz w:val="21"/>
              </w:rPr>
            </w:pPr>
            <w:r>
              <w:rPr>
                <w:rFonts w:hint="eastAsia"/>
                <w:color w:val="auto"/>
                <w:sz w:val="21"/>
              </w:rPr>
              <w:t>2.5</w:t>
            </w:r>
          </w:p>
        </w:tc>
        <w:tc>
          <w:tcPr>
            <w:tcW w:w="1070" w:type="pct"/>
            <w:tcBorders>
              <w:top w:val="single" w:color="auto" w:sz="4" w:space="0"/>
              <w:left w:val="single" w:color="auto" w:sz="4" w:space="0"/>
              <w:bottom w:val="single" w:color="auto" w:sz="4" w:space="0"/>
              <w:right w:val="single" w:color="auto" w:sz="4" w:space="0"/>
            </w:tcBorders>
            <w:vAlign w:val="center"/>
          </w:tcPr>
          <w:p w14:paraId="36BCED49">
            <w:pPr>
              <w:spacing w:line="240" w:lineRule="auto"/>
              <w:ind w:firstLine="0" w:firstLineChars="0"/>
              <w:jc w:val="center"/>
              <w:rPr>
                <w:rFonts w:hint="eastAsia"/>
                <w:color w:val="auto"/>
                <w:sz w:val="21"/>
              </w:rPr>
            </w:pPr>
            <w:r>
              <w:rPr>
                <w:rFonts w:hint="eastAsia"/>
                <w:color w:val="auto"/>
                <w:sz w:val="21"/>
              </w:rPr>
              <w:t>4</w:t>
            </w:r>
          </w:p>
        </w:tc>
        <w:tc>
          <w:tcPr>
            <w:tcW w:w="1048" w:type="pct"/>
            <w:tcBorders>
              <w:top w:val="single" w:color="auto" w:sz="4" w:space="0"/>
              <w:left w:val="single" w:color="auto" w:sz="4" w:space="0"/>
              <w:bottom w:val="single" w:color="auto" w:sz="4" w:space="0"/>
              <w:right w:val="single" w:color="auto" w:sz="4" w:space="0"/>
            </w:tcBorders>
            <w:vAlign w:val="center"/>
          </w:tcPr>
          <w:p w14:paraId="08E7ECF4">
            <w:pPr>
              <w:spacing w:line="240" w:lineRule="auto"/>
              <w:ind w:firstLine="0" w:firstLineChars="0"/>
              <w:jc w:val="center"/>
              <w:rPr>
                <w:rFonts w:hint="eastAsia"/>
                <w:color w:val="auto"/>
                <w:sz w:val="21"/>
              </w:rPr>
            </w:pPr>
            <w:r>
              <w:rPr>
                <w:rFonts w:hint="eastAsia"/>
                <w:color w:val="auto"/>
                <w:sz w:val="21"/>
              </w:rPr>
              <w:t>6</w:t>
            </w:r>
          </w:p>
        </w:tc>
      </w:tr>
      <w:tr w14:paraId="15F5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510" w:type="pct"/>
            <w:gridSpan w:val="2"/>
            <w:tcBorders>
              <w:top w:val="single" w:color="auto" w:sz="4" w:space="0"/>
              <w:left w:val="single" w:color="auto" w:sz="4" w:space="0"/>
              <w:bottom w:val="single" w:color="auto" w:sz="4" w:space="0"/>
              <w:right w:val="single" w:color="auto" w:sz="4" w:space="0"/>
            </w:tcBorders>
            <w:vAlign w:val="center"/>
          </w:tcPr>
          <w:p w14:paraId="1799EE1E">
            <w:pPr>
              <w:spacing w:line="240" w:lineRule="auto"/>
              <w:ind w:firstLine="0" w:firstLineChars="0"/>
              <w:jc w:val="center"/>
              <w:rPr>
                <w:rFonts w:hint="eastAsia"/>
                <w:color w:val="auto"/>
                <w:sz w:val="21"/>
              </w:rPr>
            </w:pPr>
            <w:r>
              <w:rPr>
                <w:rFonts w:hint="eastAsia"/>
                <w:color w:val="auto"/>
                <w:sz w:val="21"/>
              </w:rPr>
              <w:t>钢管管壁厚度（mm）</w:t>
            </w:r>
          </w:p>
        </w:tc>
        <w:tc>
          <w:tcPr>
            <w:tcW w:w="684" w:type="pct"/>
            <w:tcBorders>
              <w:top w:val="single" w:color="auto" w:sz="4" w:space="0"/>
              <w:left w:val="single" w:color="auto" w:sz="4" w:space="0"/>
              <w:bottom w:val="single" w:color="auto" w:sz="4" w:space="0"/>
              <w:right w:val="single" w:color="auto" w:sz="4" w:space="0"/>
            </w:tcBorders>
            <w:vAlign w:val="center"/>
          </w:tcPr>
          <w:p w14:paraId="0750A65B">
            <w:pPr>
              <w:spacing w:line="240" w:lineRule="auto"/>
              <w:ind w:firstLine="0" w:firstLineChars="0"/>
              <w:jc w:val="center"/>
              <w:rPr>
                <w:rFonts w:hint="eastAsia"/>
                <w:color w:val="auto"/>
                <w:sz w:val="21"/>
              </w:rPr>
            </w:pPr>
            <w:r>
              <w:rPr>
                <w:rFonts w:hint="eastAsia"/>
                <w:color w:val="auto"/>
                <w:sz w:val="21"/>
              </w:rPr>
              <w:t>2.5</w:t>
            </w:r>
          </w:p>
        </w:tc>
        <w:tc>
          <w:tcPr>
            <w:tcW w:w="688" w:type="pct"/>
            <w:tcBorders>
              <w:top w:val="single" w:color="auto" w:sz="4" w:space="0"/>
              <w:left w:val="single" w:color="auto" w:sz="4" w:space="0"/>
              <w:bottom w:val="single" w:color="auto" w:sz="4" w:space="0"/>
              <w:right w:val="single" w:color="auto" w:sz="4" w:space="0"/>
            </w:tcBorders>
            <w:vAlign w:val="center"/>
          </w:tcPr>
          <w:p w14:paraId="3C0AA00A">
            <w:pPr>
              <w:spacing w:line="240" w:lineRule="auto"/>
              <w:ind w:firstLine="0" w:firstLineChars="0"/>
              <w:jc w:val="center"/>
              <w:rPr>
                <w:rFonts w:hint="eastAsia"/>
                <w:color w:val="auto"/>
                <w:sz w:val="21"/>
              </w:rPr>
            </w:pPr>
            <w:r>
              <w:rPr>
                <w:rFonts w:hint="eastAsia"/>
                <w:color w:val="auto"/>
                <w:sz w:val="21"/>
              </w:rPr>
              <w:t>2.5</w:t>
            </w:r>
          </w:p>
        </w:tc>
        <w:tc>
          <w:tcPr>
            <w:tcW w:w="1070" w:type="pct"/>
            <w:tcBorders>
              <w:top w:val="single" w:color="auto" w:sz="4" w:space="0"/>
              <w:left w:val="single" w:color="auto" w:sz="4" w:space="0"/>
              <w:bottom w:val="single" w:color="auto" w:sz="4" w:space="0"/>
              <w:right w:val="single" w:color="auto" w:sz="4" w:space="0"/>
            </w:tcBorders>
            <w:vAlign w:val="center"/>
          </w:tcPr>
          <w:p w14:paraId="7EAA7533">
            <w:pPr>
              <w:spacing w:line="240" w:lineRule="auto"/>
              <w:ind w:firstLine="0" w:firstLineChars="0"/>
              <w:jc w:val="center"/>
              <w:rPr>
                <w:rFonts w:hint="eastAsia"/>
                <w:color w:val="auto"/>
                <w:sz w:val="21"/>
              </w:rPr>
            </w:pPr>
            <w:r>
              <w:rPr>
                <w:rFonts w:hint="eastAsia"/>
                <w:color w:val="auto"/>
                <w:sz w:val="21"/>
              </w:rPr>
              <w:t>3.5</w:t>
            </w:r>
          </w:p>
        </w:tc>
        <w:tc>
          <w:tcPr>
            <w:tcW w:w="1048" w:type="pct"/>
            <w:tcBorders>
              <w:top w:val="single" w:color="auto" w:sz="4" w:space="0"/>
              <w:left w:val="single" w:color="auto" w:sz="4" w:space="0"/>
              <w:bottom w:val="single" w:color="auto" w:sz="4" w:space="0"/>
              <w:right w:val="single" w:color="auto" w:sz="4" w:space="0"/>
            </w:tcBorders>
            <w:vAlign w:val="center"/>
          </w:tcPr>
          <w:p w14:paraId="6C5F1000">
            <w:pPr>
              <w:spacing w:line="240" w:lineRule="auto"/>
              <w:ind w:firstLine="0" w:firstLineChars="0"/>
              <w:jc w:val="center"/>
              <w:rPr>
                <w:rFonts w:hint="eastAsia"/>
                <w:color w:val="auto"/>
                <w:sz w:val="21"/>
              </w:rPr>
            </w:pPr>
            <w:r>
              <w:rPr>
                <w:rFonts w:hint="eastAsia"/>
                <w:color w:val="auto"/>
                <w:sz w:val="21"/>
              </w:rPr>
              <w:t>4.5</w:t>
            </w:r>
          </w:p>
        </w:tc>
      </w:tr>
    </w:tbl>
    <w:p w14:paraId="1F2CEDED">
      <w:pPr>
        <w:pStyle w:val="6"/>
        <w:ind w:firstLine="480"/>
        <w:rPr>
          <w:rFonts w:ascii="宋体" w:hAnsi="宋体"/>
          <w:b w:val="0"/>
          <w:bCs w:val="0"/>
          <w:color w:val="auto"/>
        </w:rPr>
      </w:pPr>
      <w:bookmarkStart w:id="343" w:name="_Toc31003"/>
      <w:bookmarkStart w:id="344" w:name="_Toc75894996"/>
      <w:bookmarkStart w:id="345" w:name="_Toc76234102"/>
      <w:bookmarkStart w:id="346" w:name="_Toc126528435"/>
      <w:r>
        <w:rPr>
          <w:rFonts w:hint="eastAsia" w:ascii="宋体" w:hAnsi="宋体"/>
          <w:b w:val="0"/>
          <w:bCs w:val="0"/>
          <w:color w:val="auto"/>
        </w:rPr>
        <w:t>消防工程质量保证措施</w:t>
      </w:r>
      <w:bookmarkEnd w:id="343"/>
      <w:bookmarkEnd w:id="344"/>
      <w:bookmarkEnd w:id="345"/>
      <w:bookmarkEnd w:id="346"/>
    </w:p>
    <w:p w14:paraId="12CB1632">
      <w:pPr>
        <w:pStyle w:val="97"/>
        <w:spacing w:before="24" w:beforeLines="10" w:after="24" w:afterLines="10" w:line="360" w:lineRule="auto"/>
        <w:ind w:firstLine="560"/>
        <w:rPr>
          <w:color w:val="auto"/>
          <w:sz w:val="24"/>
          <w:szCs w:val="24"/>
        </w:rPr>
      </w:pPr>
      <w:r>
        <w:rPr>
          <w:rFonts w:hint="eastAsia"/>
          <w:color w:val="auto"/>
          <w:sz w:val="24"/>
          <w:szCs w:val="24"/>
        </w:rPr>
        <w:t>1、自动报警系统质量保证措施</w:t>
      </w:r>
    </w:p>
    <w:p w14:paraId="16852C99">
      <w:pPr>
        <w:pStyle w:val="97"/>
        <w:spacing w:before="24" w:beforeLines="10" w:after="24" w:afterLines="10" w:line="360" w:lineRule="auto"/>
        <w:ind w:firstLine="560"/>
        <w:rPr>
          <w:color w:val="auto"/>
          <w:sz w:val="24"/>
          <w:szCs w:val="24"/>
        </w:rPr>
      </w:pPr>
      <w:r>
        <w:rPr>
          <w:rFonts w:hint="eastAsia"/>
          <w:color w:val="auto"/>
          <w:sz w:val="24"/>
          <w:szCs w:val="24"/>
        </w:rPr>
        <w:t>（1）管道连接紧密、管口光滑、护口齐全、管子弯曲处无明显折皱，盒、箱设置正确、固定可靠、管子入合、箱处顺直。</w:t>
      </w:r>
    </w:p>
    <w:p w14:paraId="0AFD334C">
      <w:pPr>
        <w:pStyle w:val="97"/>
        <w:spacing w:before="24" w:beforeLines="10" w:after="24" w:afterLines="10" w:line="360" w:lineRule="auto"/>
        <w:ind w:firstLine="560"/>
        <w:rPr>
          <w:color w:val="auto"/>
          <w:sz w:val="24"/>
          <w:szCs w:val="24"/>
        </w:rPr>
      </w:pPr>
      <w:r>
        <w:rPr>
          <w:rFonts w:hint="eastAsia"/>
          <w:color w:val="auto"/>
          <w:sz w:val="24"/>
          <w:szCs w:val="24"/>
        </w:rPr>
        <w:t xml:space="preserve">（2）穿过变形缝处有补偿装置，穿过建筑物和设备基础处加保护套管。 </w:t>
      </w:r>
    </w:p>
    <w:p w14:paraId="53ADF834">
      <w:pPr>
        <w:pStyle w:val="97"/>
        <w:spacing w:before="24" w:beforeLines="10" w:after="24" w:afterLines="10" w:line="360" w:lineRule="auto"/>
        <w:ind w:firstLine="560"/>
        <w:rPr>
          <w:color w:val="auto"/>
          <w:sz w:val="24"/>
          <w:szCs w:val="24"/>
        </w:rPr>
      </w:pPr>
      <w:r>
        <w:rPr>
          <w:rFonts w:hint="eastAsia"/>
          <w:color w:val="auto"/>
          <w:sz w:val="24"/>
          <w:szCs w:val="24"/>
        </w:rPr>
        <w:t xml:space="preserve">（3）绝缘电阻值不小于 20MΩ，接地（接零）线截面选用正确，连接牢固紧密。 </w:t>
      </w:r>
    </w:p>
    <w:p w14:paraId="3E0BBF2E">
      <w:pPr>
        <w:pStyle w:val="97"/>
        <w:spacing w:before="24" w:beforeLines="10" w:after="24" w:afterLines="10" w:line="360" w:lineRule="auto"/>
        <w:ind w:firstLine="560"/>
        <w:rPr>
          <w:color w:val="auto"/>
          <w:sz w:val="24"/>
          <w:szCs w:val="24"/>
        </w:rPr>
      </w:pPr>
      <w:r>
        <w:rPr>
          <w:rFonts w:hint="eastAsia"/>
          <w:color w:val="auto"/>
          <w:sz w:val="24"/>
          <w:szCs w:val="24"/>
        </w:rPr>
        <w:t>（4）感烟、感温等探测器安装时必须达到盒口周边无破损，探测器接线正确，外观无损伤和无浆活污染，牢固可靠。并采取防尘和防潮措施。</w:t>
      </w:r>
    </w:p>
    <w:p w14:paraId="7CB156A0">
      <w:pPr>
        <w:pStyle w:val="97"/>
        <w:spacing w:before="24" w:beforeLines="10" w:after="24" w:afterLines="10" w:line="360" w:lineRule="auto"/>
        <w:ind w:firstLine="560"/>
        <w:rPr>
          <w:color w:val="auto"/>
          <w:sz w:val="24"/>
          <w:szCs w:val="24"/>
        </w:rPr>
      </w:pPr>
      <w:r>
        <w:rPr>
          <w:rFonts w:hint="eastAsia"/>
          <w:color w:val="auto"/>
          <w:sz w:val="24"/>
          <w:szCs w:val="24"/>
        </w:rPr>
        <w:t>（5）消防控制设备的布置应符合下列要求∶</w:t>
      </w:r>
    </w:p>
    <w:p w14:paraId="46BD012E">
      <w:pPr>
        <w:pStyle w:val="97"/>
        <w:spacing w:before="24" w:beforeLines="10" w:after="24" w:afterLines="10" w:line="360" w:lineRule="auto"/>
        <w:ind w:firstLine="560"/>
        <w:rPr>
          <w:color w:val="auto"/>
          <w:sz w:val="24"/>
          <w:szCs w:val="24"/>
        </w:rPr>
      </w:pPr>
      <w:r>
        <w:rPr>
          <w:rFonts w:hint="eastAsia"/>
          <w:color w:val="auto"/>
          <w:sz w:val="24"/>
          <w:szCs w:val="24"/>
        </w:rPr>
        <w:t>1）单列布置时，盘前操作距离不应小于2m;</w:t>
      </w:r>
    </w:p>
    <w:p w14:paraId="04D1C74C">
      <w:pPr>
        <w:pStyle w:val="97"/>
        <w:spacing w:before="24" w:beforeLines="10" w:after="24" w:afterLines="10" w:line="360" w:lineRule="auto"/>
        <w:ind w:firstLine="560"/>
        <w:rPr>
          <w:color w:val="auto"/>
          <w:sz w:val="24"/>
          <w:szCs w:val="24"/>
        </w:rPr>
      </w:pPr>
      <w:r>
        <w:rPr>
          <w:rFonts w:hint="eastAsia"/>
          <w:color w:val="auto"/>
          <w:sz w:val="24"/>
          <w:szCs w:val="24"/>
        </w:rPr>
        <w:t>2）在值班人员经常工作的一面，控制盘至墙的距离不应小于3m;</w:t>
      </w:r>
    </w:p>
    <w:p w14:paraId="12347CBE">
      <w:pPr>
        <w:pStyle w:val="97"/>
        <w:spacing w:before="24" w:beforeLines="10" w:after="24" w:afterLines="10" w:line="360" w:lineRule="auto"/>
        <w:ind w:firstLine="560"/>
        <w:rPr>
          <w:color w:val="auto"/>
          <w:sz w:val="24"/>
          <w:szCs w:val="24"/>
        </w:rPr>
      </w:pPr>
      <w:r>
        <w:rPr>
          <w:rFonts w:hint="eastAsia"/>
          <w:color w:val="auto"/>
          <w:sz w:val="24"/>
          <w:szCs w:val="24"/>
        </w:rPr>
        <w:t>3）盘后维修距离不应小于lm;</w:t>
      </w:r>
    </w:p>
    <w:p w14:paraId="0627800B">
      <w:pPr>
        <w:pStyle w:val="97"/>
        <w:spacing w:before="24" w:beforeLines="10" w:after="24" w:afterLines="10" w:line="360" w:lineRule="auto"/>
        <w:ind w:firstLine="560"/>
        <w:rPr>
          <w:color w:val="auto"/>
          <w:sz w:val="24"/>
          <w:szCs w:val="24"/>
        </w:rPr>
      </w:pPr>
      <w:r>
        <w:rPr>
          <w:rFonts w:hint="eastAsia"/>
          <w:color w:val="auto"/>
          <w:sz w:val="24"/>
          <w:szCs w:val="24"/>
        </w:rPr>
        <w:t>4）控制盘排列长度大于4m时，控制盘两端应设置宽度不小于 1m的通道。</w:t>
      </w:r>
    </w:p>
    <w:p w14:paraId="24DE1062">
      <w:pPr>
        <w:pStyle w:val="97"/>
        <w:spacing w:before="24" w:beforeLines="10" w:after="24" w:afterLines="10" w:line="360" w:lineRule="auto"/>
        <w:ind w:firstLine="560"/>
        <w:rPr>
          <w:color w:val="auto"/>
          <w:sz w:val="24"/>
          <w:szCs w:val="24"/>
        </w:rPr>
      </w:pPr>
      <w:r>
        <w:rPr>
          <w:rFonts w:hint="eastAsia"/>
          <w:color w:val="auto"/>
          <w:sz w:val="24"/>
          <w:szCs w:val="24"/>
        </w:rPr>
        <w:t>（6）探测器的安装倾斜角不能大于45°，大于45°时应采取措施使探测器成水平安装;活动地板下的探测器应做独立支架固定，不允许直接安装在活动地板下面或倒置安装在基础地面上;安装在轻钢龙骨吊顶或活动式（插板式）吊顶下面的探测器盒必须与顶板固定好，再安装探测器。</w:t>
      </w:r>
    </w:p>
    <w:p w14:paraId="1E9AAC24">
      <w:pPr>
        <w:pStyle w:val="97"/>
        <w:spacing w:before="24" w:beforeLines="10" w:after="24" w:afterLines="10" w:line="360" w:lineRule="auto"/>
        <w:ind w:firstLine="560"/>
        <w:rPr>
          <w:color w:val="auto"/>
          <w:sz w:val="24"/>
          <w:szCs w:val="24"/>
        </w:rPr>
      </w:pPr>
      <w:r>
        <w:rPr>
          <w:rFonts w:hint="eastAsia"/>
          <w:color w:val="auto"/>
          <w:sz w:val="24"/>
          <w:szCs w:val="24"/>
        </w:rPr>
        <w:t>（7）端子箱内各回路电线排列整齐，线号清楚，导线绑扎成束，端子号相互对应，字迹清晰。</w:t>
      </w:r>
    </w:p>
    <w:p w14:paraId="5447EC18">
      <w:pPr>
        <w:pStyle w:val="97"/>
        <w:spacing w:before="24" w:beforeLines="10" w:after="24" w:afterLines="10" w:line="360" w:lineRule="auto"/>
        <w:ind w:firstLine="560"/>
        <w:rPr>
          <w:color w:val="auto"/>
          <w:sz w:val="24"/>
          <w:szCs w:val="24"/>
        </w:rPr>
      </w:pPr>
      <w:r>
        <w:rPr>
          <w:rFonts w:hint="eastAsia"/>
          <w:color w:val="auto"/>
          <w:sz w:val="24"/>
          <w:szCs w:val="24"/>
        </w:rPr>
        <w:t>（8）消防控制室内柜（盘）接地电阻值应符合下列要求∶工作接地采用联合接地，接地电阻值应小于 1Ω;应用专用接地干线由消防控制室引至接地体。专用接地干线应用铜芯绝缘导线或电缆，其线芯截面积为 25mm</w:t>
      </w:r>
      <w:r>
        <w:rPr>
          <w:rFonts w:hint="eastAsia"/>
          <w:color w:val="auto"/>
          <w:sz w:val="24"/>
          <w:szCs w:val="24"/>
          <w:vertAlign w:val="superscript"/>
        </w:rPr>
        <w:t>2</w:t>
      </w:r>
      <w:r>
        <w:rPr>
          <w:rFonts w:hint="eastAsia"/>
          <w:color w:val="auto"/>
          <w:sz w:val="24"/>
          <w:szCs w:val="24"/>
        </w:rPr>
        <w:t>；由消防控制室接地极引至各消防设备的接地线应选用铜芯绝缘软线，其线芯截面积为 6mm</w:t>
      </w:r>
      <w:r>
        <w:rPr>
          <w:rFonts w:hint="eastAsia"/>
          <w:color w:val="auto"/>
          <w:sz w:val="24"/>
          <w:szCs w:val="24"/>
          <w:vertAlign w:val="superscript"/>
        </w:rPr>
        <w:t>2</w:t>
      </w:r>
      <w:r>
        <w:rPr>
          <w:rFonts w:hint="eastAsia"/>
          <w:color w:val="auto"/>
          <w:sz w:val="24"/>
          <w:szCs w:val="24"/>
        </w:rPr>
        <w:t>；各地线压接应牢固可靠，并有防松垫圈;各路导线接头正确牢固，编号清晰，绑扎成束。</w:t>
      </w:r>
    </w:p>
    <w:p w14:paraId="51860F96">
      <w:pPr>
        <w:pStyle w:val="97"/>
        <w:spacing w:before="24" w:beforeLines="10" w:after="24" w:afterLines="10" w:line="360" w:lineRule="auto"/>
        <w:ind w:firstLine="560"/>
        <w:rPr>
          <w:color w:val="auto"/>
          <w:sz w:val="24"/>
          <w:szCs w:val="24"/>
        </w:rPr>
      </w:pPr>
      <w:r>
        <w:rPr>
          <w:rFonts w:hint="eastAsia"/>
          <w:color w:val="auto"/>
          <w:sz w:val="24"/>
          <w:szCs w:val="24"/>
        </w:rPr>
        <w:t>（9）安装探测器及手动报警器时应注意保持吊顶、墙面的整洁。安装后应采取防尘和防潮措施，配有专用防尘罩的应及时装上，具有探测器防护盖的应在调试前上好，调试时再拧装探头。柜（盘）除采用防尘和防潮等措施外，最好及时将房门上锁，以防止设备损坏和丢失。</w:t>
      </w:r>
    </w:p>
    <w:p w14:paraId="12759834">
      <w:pPr>
        <w:pStyle w:val="97"/>
        <w:spacing w:before="24" w:beforeLines="10" w:after="24" w:afterLines="10" w:line="360" w:lineRule="auto"/>
        <w:ind w:firstLine="560"/>
        <w:rPr>
          <w:color w:val="auto"/>
          <w:sz w:val="24"/>
          <w:szCs w:val="24"/>
        </w:rPr>
      </w:pPr>
      <w:r>
        <w:rPr>
          <w:rFonts w:hint="eastAsia"/>
          <w:color w:val="auto"/>
          <w:sz w:val="24"/>
          <w:szCs w:val="24"/>
        </w:rPr>
        <w:t>2、自动喷淋灭火系统、室内消火栓系统质量保证措施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263"/>
      </w:tblGrid>
      <w:tr w14:paraId="356AB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0" w:type="pct"/>
            <w:noWrap w:val="0"/>
            <w:vAlign w:val="center"/>
          </w:tcPr>
          <w:p w14:paraId="24D48198">
            <w:pPr>
              <w:pStyle w:val="97"/>
              <w:spacing w:before="24" w:beforeLines="10" w:after="24" w:afterLines="10" w:line="240" w:lineRule="auto"/>
              <w:ind w:firstLine="0" w:firstLineChars="0"/>
              <w:jc w:val="center"/>
              <w:rPr>
                <w:color w:val="auto"/>
                <w:sz w:val="21"/>
                <w:szCs w:val="21"/>
              </w:rPr>
            </w:pPr>
            <w:r>
              <w:rPr>
                <w:rFonts w:hint="eastAsia"/>
                <w:color w:val="auto"/>
                <w:sz w:val="21"/>
                <w:szCs w:val="21"/>
              </w:rPr>
              <w:t>项目</w:t>
            </w:r>
          </w:p>
        </w:tc>
        <w:tc>
          <w:tcPr>
            <w:tcW w:w="4560" w:type="pct"/>
            <w:noWrap w:val="0"/>
            <w:vAlign w:val="center"/>
          </w:tcPr>
          <w:p w14:paraId="132E3D63">
            <w:pPr>
              <w:pStyle w:val="97"/>
              <w:spacing w:before="24" w:beforeLines="10" w:after="24" w:afterLines="10" w:line="240" w:lineRule="auto"/>
              <w:ind w:firstLine="0" w:firstLineChars="0"/>
              <w:jc w:val="center"/>
              <w:rPr>
                <w:color w:val="auto"/>
                <w:sz w:val="21"/>
                <w:szCs w:val="21"/>
              </w:rPr>
            </w:pPr>
            <w:r>
              <w:rPr>
                <w:rFonts w:hint="eastAsia"/>
                <w:color w:val="auto"/>
                <w:sz w:val="21"/>
                <w:szCs w:val="21"/>
              </w:rPr>
              <w:t>保证措施</w:t>
            </w:r>
          </w:p>
        </w:tc>
      </w:tr>
      <w:tr w14:paraId="7058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40" w:type="pct"/>
            <w:noWrap w:val="0"/>
            <w:vAlign w:val="center"/>
          </w:tcPr>
          <w:p w14:paraId="0640C312">
            <w:pPr>
              <w:pStyle w:val="97"/>
              <w:spacing w:before="24" w:beforeLines="10" w:after="24" w:afterLines="10" w:line="240" w:lineRule="auto"/>
              <w:ind w:firstLine="0" w:firstLineChars="0"/>
              <w:jc w:val="center"/>
              <w:rPr>
                <w:color w:val="auto"/>
                <w:sz w:val="21"/>
                <w:szCs w:val="21"/>
              </w:rPr>
            </w:pPr>
            <w:r>
              <w:rPr>
                <w:rFonts w:hint="eastAsia"/>
                <w:color w:val="auto"/>
                <w:sz w:val="21"/>
                <w:szCs w:val="21"/>
              </w:rPr>
              <w:t>进场材料</w:t>
            </w:r>
          </w:p>
        </w:tc>
        <w:tc>
          <w:tcPr>
            <w:tcW w:w="4560" w:type="pct"/>
            <w:noWrap w:val="0"/>
            <w:vAlign w:val="center"/>
          </w:tcPr>
          <w:p w14:paraId="46626DB2">
            <w:pPr>
              <w:pStyle w:val="97"/>
              <w:spacing w:before="24" w:beforeLines="10" w:after="24" w:afterLines="10" w:line="240" w:lineRule="auto"/>
              <w:ind w:firstLine="560"/>
              <w:rPr>
                <w:color w:val="auto"/>
                <w:sz w:val="21"/>
                <w:szCs w:val="21"/>
              </w:rPr>
            </w:pPr>
            <w:r>
              <w:rPr>
                <w:color w:val="auto"/>
                <w:sz w:val="21"/>
                <w:szCs w:val="21"/>
              </w:rPr>
              <w:t>进场的材料，检验其规格、型号、尺寸、质量是否符合设计图纸要求。</w:t>
            </w:r>
          </w:p>
          <w:p w14:paraId="42D5BA42">
            <w:pPr>
              <w:pStyle w:val="97"/>
              <w:spacing w:before="24" w:beforeLines="10" w:after="24" w:afterLines="10" w:line="240" w:lineRule="auto"/>
              <w:ind w:firstLine="560"/>
              <w:rPr>
                <w:color w:val="auto"/>
                <w:sz w:val="21"/>
                <w:szCs w:val="21"/>
              </w:rPr>
            </w:pPr>
            <w:r>
              <w:rPr>
                <w:color w:val="auto"/>
                <w:sz w:val="21"/>
                <w:szCs w:val="21"/>
              </w:rPr>
              <w:t>室内消防系统的钢材、管材、各类阀件及附属制品零配件等，应有出厂证书及产品合格证书并附带公安消防部门的检验认可证书。进入现场后，安装使用前做检查、验证工作，必须符合有关规范、部颁标准及消防监督部门的规定和要求。</w:t>
            </w:r>
          </w:p>
          <w:p w14:paraId="0D6CC100">
            <w:pPr>
              <w:pStyle w:val="97"/>
              <w:spacing w:before="24" w:beforeLines="10" w:after="24" w:afterLines="10" w:line="240" w:lineRule="auto"/>
              <w:ind w:firstLine="560"/>
              <w:rPr>
                <w:color w:val="auto"/>
                <w:sz w:val="21"/>
                <w:szCs w:val="21"/>
              </w:rPr>
            </w:pPr>
            <w:r>
              <w:rPr>
                <w:color w:val="auto"/>
                <w:sz w:val="21"/>
                <w:szCs w:val="21"/>
              </w:rPr>
              <w:t>消火栓箱体的规格类型应符合设计要求，箱体表面平整、光洁。金属箱体无锈蚀、划伤、箱门开启灵活。箱体方正，箱内配件齐全，栓阀外形规矩、无裂纹，启闭灵活，关闭严密，密封填料完好，有产品出厂合格证。</w:t>
            </w:r>
          </w:p>
        </w:tc>
      </w:tr>
      <w:tr w14:paraId="5ADD6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1CC89B1B">
            <w:pPr>
              <w:pStyle w:val="97"/>
              <w:spacing w:before="24" w:beforeLines="10" w:after="24" w:afterLines="10" w:line="240" w:lineRule="auto"/>
              <w:ind w:firstLine="0" w:firstLineChars="0"/>
              <w:jc w:val="center"/>
              <w:rPr>
                <w:color w:val="auto"/>
                <w:sz w:val="21"/>
                <w:szCs w:val="21"/>
              </w:rPr>
            </w:pPr>
            <w:r>
              <w:rPr>
                <w:rFonts w:hint="eastAsia"/>
                <w:color w:val="auto"/>
                <w:sz w:val="21"/>
                <w:szCs w:val="21"/>
              </w:rPr>
              <w:t>消防栓配管及箱体安装</w:t>
            </w:r>
          </w:p>
        </w:tc>
        <w:tc>
          <w:tcPr>
            <w:tcW w:w="4560" w:type="pct"/>
            <w:noWrap w:val="0"/>
            <w:vAlign w:val="center"/>
          </w:tcPr>
          <w:p w14:paraId="36151061">
            <w:pPr>
              <w:pStyle w:val="97"/>
              <w:spacing w:before="24" w:beforeLines="10" w:after="24" w:afterLines="10" w:line="240" w:lineRule="auto"/>
              <w:ind w:firstLine="560"/>
              <w:rPr>
                <w:color w:val="auto"/>
                <w:sz w:val="21"/>
                <w:szCs w:val="21"/>
              </w:rPr>
            </w:pPr>
            <w:r>
              <w:rPr>
                <w:color w:val="auto"/>
                <w:sz w:val="21"/>
                <w:szCs w:val="21"/>
              </w:rPr>
              <w:t>消火栓的安装应严格按规范中的有关规定安装，栓口应朝外，阀门中心距地面为1.1m，阀门距箱侧面为140mm，距箱后内表面为100mm，水龙带应根据箱内挂钉或水龙带盘上。管道采用法兰连接时，检查法兰端面是否干净，采用3～5mm的橡胶垫片，法兰螺栓的规格应符合规定。紧固螺栓应先收紧最不利点，然后依次对称紧固。法兰接口应安装在易拆装的位置。</w:t>
            </w:r>
          </w:p>
          <w:p w14:paraId="5590D9DB">
            <w:pPr>
              <w:pStyle w:val="97"/>
              <w:spacing w:before="24" w:beforeLines="10" w:after="24" w:afterLines="10" w:line="240" w:lineRule="auto"/>
              <w:ind w:firstLine="560"/>
              <w:rPr>
                <w:color w:val="auto"/>
                <w:sz w:val="21"/>
                <w:szCs w:val="21"/>
              </w:rPr>
            </w:pPr>
            <w:r>
              <w:rPr>
                <w:color w:val="auto"/>
                <w:sz w:val="21"/>
                <w:szCs w:val="21"/>
              </w:rPr>
              <w:t>管道在安装前应清除接口处的浮锈，污垢及油脂。</w:t>
            </w:r>
          </w:p>
          <w:p w14:paraId="0698628A">
            <w:pPr>
              <w:pStyle w:val="97"/>
              <w:spacing w:before="24" w:beforeLines="10" w:after="24" w:afterLines="10" w:line="240" w:lineRule="auto"/>
              <w:ind w:firstLine="560"/>
              <w:rPr>
                <w:color w:val="auto"/>
                <w:sz w:val="21"/>
                <w:szCs w:val="21"/>
              </w:rPr>
            </w:pPr>
            <w:r>
              <w:rPr>
                <w:color w:val="auto"/>
                <w:sz w:val="21"/>
                <w:szCs w:val="21"/>
              </w:rPr>
              <w:t>管道变径采用异径管，喷头与管网连接时采用异径管件，不得采用补心。</w:t>
            </w:r>
          </w:p>
          <w:p w14:paraId="4EA5C7D3">
            <w:pPr>
              <w:pStyle w:val="97"/>
              <w:spacing w:before="24" w:beforeLines="10" w:after="24" w:afterLines="10" w:line="240" w:lineRule="auto"/>
              <w:ind w:firstLine="560"/>
              <w:rPr>
                <w:color w:val="auto"/>
                <w:sz w:val="21"/>
                <w:szCs w:val="21"/>
              </w:rPr>
            </w:pPr>
            <w:r>
              <w:rPr>
                <w:color w:val="auto"/>
                <w:sz w:val="21"/>
                <w:szCs w:val="21"/>
              </w:rPr>
              <w:t>每段供水干管或配水管上应设一个防晃支架，管道过长或改变方向需增设，但管径小于等于DN150时可不设</w:t>
            </w:r>
          </w:p>
          <w:p w14:paraId="5521D94F">
            <w:pPr>
              <w:pStyle w:val="97"/>
              <w:spacing w:before="24" w:beforeLines="10" w:after="24" w:afterLines="10" w:line="240" w:lineRule="auto"/>
              <w:ind w:firstLine="560"/>
              <w:rPr>
                <w:color w:val="auto"/>
                <w:sz w:val="21"/>
                <w:szCs w:val="21"/>
              </w:rPr>
            </w:pPr>
            <w:r>
              <w:rPr>
                <w:color w:val="auto"/>
                <w:sz w:val="21"/>
                <w:szCs w:val="21"/>
              </w:rPr>
              <w:t>系统中直径等于或大于DN100mm的管道，分段采用法兰或沟槽连接式连接件（卡箍）连接。净空高度大于8m的场所内，立管上应有法兰或卡箍连接。</w:t>
            </w:r>
          </w:p>
          <w:p w14:paraId="0118B513">
            <w:pPr>
              <w:pStyle w:val="97"/>
              <w:spacing w:before="24" w:beforeLines="10" w:after="24" w:afterLines="10" w:line="240" w:lineRule="auto"/>
              <w:ind w:firstLine="560"/>
              <w:rPr>
                <w:color w:val="auto"/>
                <w:sz w:val="21"/>
                <w:szCs w:val="21"/>
              </w:rPr>
            </w:pPr>
            <w:r>
              <w:rPr>
                <w:color w:val="auto"/>
                <w:sz w:val="21"/>
                <w:szCs w:val="21"/>
              </w:rPr>
              <w:t>消火栓支管要以栓阀的坐标，标高定位甩口，核定后再稳固消火栓箱，箱体找正稳固后再把栓阀安装好，栓阀侧装在箱内时应在箱门开启的一侧，箱门开启应灵活。</w:t>
            </w:r>
          </w:p>
          <w:p w14:paraId="05B98C91">
            <w:pPr>
              <w:pStyle w:val="97"/>
              <w:spacing w:before="24" w:beforeLines="10" w:after="24" w:afterLines="10" w:line="240" w:lineRule="auto"/>
              <w:ind w:firstLine="560"/>
              <w:rPr>
                <w:color w:val="auto"/>
                <w:sz w:val="21"/>
                <w:szCs w:val="21"/>
              </w:rPr>
            </w:pPr>
            <w:r>
              <w:rPr>
                <w:color w:val="auto"/>
                <w:sz w:val="21"/>
                <w:szCs w:val="21"/>
              </w:rPr>
              <w:t>不同管径的管道连接采用三通配件或机械三通配件</w:t>
            </w:r>
            <w:r>
              <w:rPr>
                <w:rFonts w:hint="eastAsia"/>
                <w:color w:val="auto"/>
                <w:sz w:val="21"/>
                <w:szCs w:val="21"/>
              </w:rPr>
              <w:t>。</w:t>
            </w:r>
          </w:p>
        </w:tc>
      </w:tr>
      <w:tr w14:paraId="7FAD4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30DC9AB5">
            <w:pPr>
              <w:pStyle w:val="97"/>
              <w:spacing w:before="24" w:beforeLines="10" w:after="24" w:afterLines="10" w:line="240" w:lineRule="auto"/>
              <w:ind w:firstLine="0" w:firstLineChars="0"/>
              <w:jc w:val="center"/>
              <w:rPr>
                <w:color w:val="auto"/>
                <w:sz w:val="21"/>
                <w:szCs w:val="21"/>
              </w:rPr>
            </w:pPr>
            <w:r>
              <w:rPr>
                <w:rFonts w:hint="eastAsia"/>
                <w:color w:val="auto"/>
                <w:sz w:val="21"/>
                <w:szCs w:val="21"/>
              </w:rPr>
              <w:t>水泵安装</w:t>
            </w:r>
          </w:p>
        </w:tc>
        <w:tc>
          <w:tcPr>
            <w:tcW w:w="4560" w:type="pct"/>
            <w:noWrap w:val="0"/>
            <w:vAlign w:val="center"/>
          </w:tcPr>
          <w:p w14:paraId="35CD8DF1">
            <w:pPr>
              <w:pStyle w:val="97"/>
              <w:spacing w:before="24" w:beforeLines="10" w:after="24" w:afterLines="10" w:line="240" w:lineRule="auto"/>
              <w:ind w:firstLine="560"/>
              <w:rPr>
                <w:color w:val="auto"/>
                <w:sz w:val="21"/>
                <w:szCs w:val="21"/>
              </w:rPr>
            </w:pPr>
            <w:r>
              <w:rPr>
                <w:color w:val="auto"/>
                <w:sz w:val="21"/>
                <w:szCs w:val="21"/>
              </w:rPr>
              <w:t>配管法兰应与水泵、阀门的法兰相符，阀门安装手轮方向应便于操作，标高一致，配管排列整齐。</w:t>
            </w:r>
          </w:p>
        </w:tc>
      </w:tr>
      <w:tr w14:paraId="1BA1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259BCF9C">
            <w:pPr>
              <w:pStyle w:val="97"/>
              <w:spacing w:before="24" w:beforeLines="10" w:after="24" w:afterLines="10" w:line="240" w:lineRule="auto"/>
              <w:ind w:firstLine="0" w:firstLineChars="0"/>
              <w:jc w:val="center"/>
              <w:rPr>
                <w:color w:val="auto"/>
                <w:sz w:val="21"/>
                <w:szCs w:val="21"/>
              </w:rPr>
            </w:pPr>
            <w:r>
              <w:rPr>
                <w:rFonts w:hint="eastAsia"/>
                <w:color w:val="auto"/>
                <w:sz w:val="21"/>
                <w:szCs w:val="21"/>
              </w:rPr>
              <w:t>消火栓配件安装</w:t>
            </w:r>
          </w:p>
        </w:tc>
        <w:tc>
          <w:tcPr>
            <w:tcW w:w="4560" w:type="pct"/>
            <w:noWrap w:val="0"/>
            <w:vAlign w:val="center"/>
          </w:tcPr>
          <w:p w14:paraId="6C41919C">
            <w:pPr>
              <w:pStyle w:val="97"/>
              <w:spacing w:before="24" w:beforeLines="10" w:after="24" w:afterLines="10" w:line="240" w:lineRule="auto"/>
              <w:ind w:firstLine="560"/>
              <w:rPr>
                <w:color w:val="auto"/>
                <w:sz w:val="21"/>
                <w:szCs w:val="21"/>
              </w:rPr>
            </w:pPr>
            <w:r>
              <w:rPr>
                <w:color w:val="auto"/>
                <w:sz w:val="21"/>
                <w:szCs w:val="21"/>
              </w:rPr>
              <w:t>管道安装要做到横平竖直，器具供水口标高位置要准确。</w:t>
            </w:r>
          </w:p>
          <w:p w14:paraId="4E2BB92A">
            <w:pPr>
              <w:pStyle w:val="97"/>
              <w:spacing w:before="24" w:beforeLines="10" w:after="24" w:afterLines="10" w:line="240" w:lineRule="auto"/>
              <w:ind w:firstLine="560"/>
              <w:rPr>
                <w:color w:val="auto"/>
                <w:sz w:val="21"/>
                <w:szCs w:val="21"/>
              </w:rPr>
            </w:pPr>
            <w:r>
              <w:rPr>
                <w:color w:val="auto"/>
                <w:sz w:val="21"/>
                <w:szCs w:val="21"/>
              </w:rPr>
              <w:t>法兰阀门安装时，需进行阀体手把开启关闭动作检查，管道设备连接时，法兰需采用双面焊接，法兰固定罗栓外露丝扣2~3 扣。丝扣阀门连接时，阀前须设活接配件，以方便日后拆卸维修。阀门安装位置要合理，方便操作，成排阀门安装时，标高要一致，操作轮朝向也</w:t>
            </w:r>
            <w:r>
              <w:rPr>
                <w:rFonts w:hint="eastAsia"/>
                <w:color w:val="auto"/>
                <w:sz w:val="21"/>
                <w:szCs w:val="21"/>
              </w:rPr>
              <w:t>需统一，保持整体美观。</w:t>
            </w:r>
          </w:p>
        </w:tc>
      </w:tr>
      <w:tr w14:paraId="2DC1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vAlign w:val="center"/>
          </w:tcPr>
          <w:p w14:paraId="28B9F0FB">
            <w:pPr>
              <w:pStyle w:val="97"/>
              <w:spacing w:before="24" w:beforeLines="10" w:after="24" w:afterLines="10" w:line="240" w:lineRule="auto"/>
              <w:ind w:firstLine="0" w:firstLineChars="0"/>
              <w:jc w:val="center"/>
              <w:rPr>
                <w:color w:val="auto"/>
                <w:sz w:val="21"/>
                <w:szCs w:val="21"/>
              </w:rPr>
            </w:pPr>
            <w:r>
              <w:rPr>
                <w:color w:val="auto"/>
                <w:sz w:val="21"/>
                <w:szCs w:val="21"/>
              </w:rPr>
              <w:t>消防管道试压</w:t>
            </w:r>
          </w:p>
        </w:tc>
        <w:tc>
          <w:tcPr>
            <w:tcW w:w="4560" w:type="pct"/>
            <w:noWrap w:val="0"/>
            <w:vAlign w:val="center"/>
          </w:tcPr>
          <w:p w14:paraId="1152B900">
            <w:pPr>
              <w:pStyle w:val="97"/>
              <w:spacing w:before="24" w:beforeLines="10" w:after="24" w:afterLines="10" w:line="240" w:lineRule="auto"/>
              <w:ind w:firstLine="560"/>
              <w:rPr>
                <w:color w:val="auto"/>
                <w:sz w:val="21"/>
                <w:szCs w:val="21"/>
              </w:rPr>
            </w:pPr>
            <w:r>
              <w:rPr>
                <w:rFonts w:hint="eastAsia"/>
                <w:color w:val="auto"/>
                <w:sz w:val="21"/>
                <w:szCs w:val="21"/>
              </w:rPr>
              <w:t>（1）</w:t>
            </w:r>
            <w:r>
              <w:rPr>
                <w:color w:val="auto"/>
                <w:sz w:val="21"/>
                <w:szCs w:val="21"/>
              </w:rPr>
              <w:t>消火栓系统试验水压采用1.0MPa，保持2h无明显渗漏。</w:t>
            </w:r>
          </w:p>
          <w:p w14:paraId="4291ECB7">
            <w:pPr>
              <w:pStyle w:val="97"/>
              <w:spacing w:before="24" w:beforeLines="10" w:after="24" w:afterLines="10" w:line="240" w:lineRule="auto"/>
              <w:ind w:firstLine="560"/>
              <w:rPr>
                <w:color w:val="auto"/>
                <w:sz w:val="21"/>
                <w:szCs w:val="21"/>
              </w:rPr>
            </w:pPr>
            <w:r>
              <w:rPr>
                <w:rFonts w:hint="eastAsia"/>
                <w:color w:val="auto"/>
                <w:sz w:val="21"/>
                <w:szCs w:val="21"/>
              </w:rPr>
              <w:t>（2）</w:t>
            </w:r>
            <w:r>
              <w:rPr>
                <w:color w:val="auto"/>
                <w:sz w:val="21"/>
                <w:szCs w:val="21"/>
              </w:rPr>
              <w:t>自动喷水灭火系统试验压力采用 1.4MPa，试压方法按《自动喷水灭火系统工程施工及验收规范》GB50261-2005 的规定执行。</w:t>
            </w:r>
          </w:p>
        </w:tc>
      </w:tr>
    </w:tbl>
    <w:p w14:paraId="197FCB8D">
      <w:pPr>
        <w:pStyle w:val="6"/>
        <w:ind w:firstLine="480"/>
        <w:rPr>
          <w:color w:val="auto"/>
        </w:rPr>
      </w:pPr>
      <w:r>
        <w:rPr>
          <w:rFonts w:hint="eastAsia"/>
          <w:color w:val="auto"/>
        </w:rPr>
        <w:t>室外工程质量保证措施</w:t>
      </w:r>
    </w:p>
    <w:p w14:paraId="56B0939F">
      <w:pPr>
        <w:rPr>
          <w:rFonts w:hint="eastAsia"/>
          <w:color w:val="auto"/>
        </w:rPr>
      </w:pPr>
      <w:r>
        <w:rPr>
          <w:rFonts w:hint="eastAsia"/>
          <w:color w:val="auto"/>
        </w:rPr>
        <w:t>1、各关键工序质量控制方案</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263"/>
      </w:tblGrid>
      <w:tr w14:paraId="1840A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4F1C2BD4">
            <w:pPr>
              <w:spacing w:line="240" w:lineRule="auto"/>
              <w:ind w:firstLine="0" w:firstLineChars="0"/>
              <w:jc w:val="center"/>
              <w:rPr>
                <w:rFonts w:hint="eastAsia"/>
                <w:color w:val="auto"/>
                <w:sz w:val="21"/>
              </w:rPr>
            </w:pPr>
            <w:r>
              <w:rPr>
                <w:rFonts w:hint="eastAsia"/>
                <w:color w:val="auto"/>
                <w:sz w:val="21"/>
              </w:rPr>
              <w:t>项目</w:t>
            </w:r>
          </w:p>
        </w:tc>
        <w:tc>
          <w:tcPr>
            <w:tcW w:w="4560" w:type="pct"/>
            <w:tcBorders>
              <w:top w:val="single" w:color="auto" w:sz="4" w:space="0"/>
              <w:left w:val="single" w:color="auto" w:sz="4" w:space="0"/>
              <w:bottom w:val="single" w:color="auto" w:sz="4" w:space="0"/>
              <w:right w:val="single" w:color="auto" w:sz="4" w:space="0"/>
            </w:tcBorders>
            <w:vAlign w:val="center"/>
          </w:tcPr>
          <w:p w14:paraId="06CA4188">
            <w:pPr>
              <w:spacing w:line="240" w:lineRule="auto"/>
              <w:ind w:firstLine="0" w:firstLineChars="0"/>
              <w:jc w:val="center"/>
              <w:rPr>
                <w:rFonts w:hint="eastAsia"/>
                <w:color w:val="auto"/>
                <w:sz w:val="21"/>
              </w:rPr>
            </w:pPr>
            <w:r>
              <w:rPr>
                <w:rFonts w:hint="eastAsia"/>
                <w:color w:val="auto"/>
                <w:sz w:val="21"/>
              </w:rPr>
              <w:t>保证措施</w:t>
            </w:r>
          </w:p>
        </w:tc>
      </w:tr>
      <w:tr w14:paraId="4610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03291178">
            <w:pPr>
              <w:spacing w:line="240" w:lineRule="auto"/>
              <w:ind w:firstLine="0" w:firstLineChars="0"/>
              <w:jc w:val="center"/>
              <w:rPr>
                <w:rFonts w:hint="eastAsia"/>
                <w:color w:val="auto"/>
                <w:sz w:val="21"/>
              </w:rPr>
            </w:pPr>
            <w:r>
              <w:rPr>
                <w:rFonts w:hint="eastAsia"/>
                <w:color w:val="auto"/>
                <w:sz w:val="21"/>
              </w:rPr>
              <w:t>路基质量</w:t>
            </w:r>
          </w:p>
        </w:tc>
        <w:tc>
          <w:tcPr>
            <w:tcW w:w="4560" w:type="pct"/>
            <w:tcBorders>
              <w:top w:val="single" w:color="auto" w:sz="4" w:space="0"/>
              <w:left w:val="single" w:color="auto" w:sz="4" w:space="0"/>
              <w:bottom w:val="single" w:color="auto" w:sz="4" w:space="0"/>
              <w:right w:val="single" w:color="auto" w:sz="4" w:space="0"/>
            </w:tcBorders>
            <w:vAlign w:val="center"/>
          </w:tcPr>
          <w:p w14:paraId="598FE2D0">
            <w:pPr>
              <w:spacing w:line="240" w:lineRule="auto"/>
              <w:ind w:firstLine="420"/>
              <w:rPr>
                <w:rFonts w:hint="eastAsia"/>
                <w:color w:val="auto"/>
                <w:sz w:val="21"/>
              </w:rPr>
            </w:pPr>
            <w:r>
              <w:rPr>
                <w:rFonts w:hint="eastAsia"/>
                <w:color w:val="auto"/>
                <w:sz w:val="21"/>
              </w:rPr>
              <w:t>（1）分层碾压：严格控制每层的虚铺厚度和标高，确保分层压实，预防“弹簧土”现象。</w:t>
            </w:r>
          </w:p>
          <w:p w14:paraId="7FFD2492">
            <w:pPr>
              <w:spacing w:line="240" w:lineRule="auto"/>
              <w:ind w:firstLine="420"/>
              <w:rPr>
                <w:rFonts w:hint="eastAsia"/>
                <w:color w:val="auto"/>
                <w:sz w:val="21"/>
              </w:rPr>
            </w:pPr>
            <w:r>
              <w:rPr>
                <w:rFonts w:hint="eastAsia"/>
                <w:color w:val="auto"/>
                <w:sz w:val="21"/>
              </w:rPr>
              <w:t>（2）含水量：土方回填时通过试验测定是否达到最佳含水率的允许范围内。</w:t>
            </w:r>
          </w:p>
          <w:p w14:paraId="2D70F22C">
            <w:pPr>
              <w:spacing w:line="240" w:lineRule="auto"/>
              <w:ind w:firstLine="420"/>
              <w:rPr>
                <w:rFonts w:hint="eastAsia"/>
                <w:color w:val="auto"/>
                <w:sz w:val="21"/>
              </w:rPr>
            </w:pPr>
            <w:r>
              <w:rPr>
                <w:rFonts w:hint="eastAsia"/>
                <w:color w:val="auto"/>
                <w:sz w:val="21"/>
              </w:rPr>
              <w:t>（3）平整度：现场需采用平地机整平路基，对局部不平整处进行处理后方可进行碾压。</w:t>
            </w:r>
          </w:p>
          <w:p w14:paraId="610742A5">
            <w:pPr>
              <w:spacing w:line="240" w:lineRule="auto"/>
              <w:ind w:firstLine="420"/>
              <w:rPr>
                <w:rFonts w:hint="eastAsia"/>
                <w:color w:val="auto"/>
                <w:sz w:val="21"/>
              </w:rPr>
            </w:pPr>
            <w:r>
              <w:rPr>
                <w:rFonts w:hint="eastAsia"/>
                <w:color w:val="auto"/>
                <w:sz w:val="21"/>
              </w:rPr>
              <w:t>（4）防止路基起皮：保证翻晒均匀、碾压及时，严禁薄层贴补。</w:t>
            </w:r>
          </w:p>
          <w:p w14:paraId="6E94AAC6">
            <w:pPr>
              <w:spacing w:line="240" w:lineRule="auto"/>
              <w:ind w:firstLine="420"/>
              <w:rPr>
                <w:rFonts w:hint="eastAsia"/>
                <w:color w:val="auto"/>
                <w:sz w:val="21"/>
              </w:rPr>
            </w:pPr>
            <w:r>
              <w:rPr>
                <w:rFonts w:hint="eastAsia"/>
                <w:color w:val="auto"/>
                <w:sz w:val="21"/>
              </w:rPr>
              <w:t>（5）防止路基表层松散：表层不采用掺砂石料碾压回填，控制好回填土的含水量。</w:t>
            </w:r>
          </w:p>
          <w:p w14:paraId="58687147">
            <w:pPr>
              <w:spacing w:line="240" w:lineRule="auto"/>
              <w:ind w:firstLine="420"/>
              <w:rPr>
                <w:rFonts w:hint="eastAsia"/>
                <w:color w:val="auto"/>
                <w:sz w:val="21"/>
              </w:rPr>
            </w:pPr>
            <w:r>
              <w:rPr>
                <w:rFonts w:hint="eastAsia"/>
                <w:color w:val="auto"/>
                <w:sz w:val="21"/>
              </w:rPr>
              <w:t>（6）局部路基弹簧土处理：对产生弹簧土的部位，可采用湿土翻晒、拌合均匀后重新碾压和挖除换填含水量适宜的良性土壤后重新分层碾压。</w:t>
            </w:r>
          </w:p>
          <w:p w14:paraId="39CE9AAB">
            <w:pPr>
              <w:spacing w:line="240" w:lineRule="auto"/>
              <w:ind w:firstLine="420"/>
              <w:rPr>
                <w:rFonts w:hint="eastAsia"/>
                <w:color w:val="auto"/>
                <w:sz w:val="21"/>
              </w:rPr>
            </w:pPr>
            <w:r>
              <w:rPr>
                <w:rFonts w:hint="eastAsia"/>
                <w:color w:val="auto"/>
                <w:sz w:val="21"/>
              </w:rPr>
              <w:t>（7）压好的路基表面应平整、坚实，无显著轮迹、翻浆、波浪、起皮等现象。</w:t>
            </w:r>
          </w:p>
        </w:tc>
      </w:tr>
      <w:tr w14:paraId="4BA3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7D1384AB">
            <w:pPr>
              <w:spacing w:line="240" w:lineRule="auto"/>
              <w:ind w:firstLine="0" w:firstLineChars="0"/>
              <w:jc w:val="center"/>
              <w:rPr>
                <w:rFonts w:hint="eastAsia"/>
                <w:color w:val="auto"/>
                <w:sz w:val="21"/>
              </w:rPr>
            </w:pPr>
            <w:r>
              <w:rPr>
                <w:rFonts w:hint="eastAsia"/>
                <w:color w:val="auto"/>
                <w:sz w:val="21"/>
              </w:rPr>
              <w:t>钢筋质量</w:t>
            </w:r>
          </w:p>
        </w:tc>
        <w:tc>
          <w:tcPr>
            <w:tcW w:w="4560" w:type="pct"/>
            <w:tcBorders>
              <w:top w:val="single" w:color="auto" w:sz="4" w:space="0"/>
              <w:left w:val="single" w:color="auto" w:sz="4" w:space="0"/>
              <w:bottom w:val="single" w:color="auto" w:sz="4" w:space="0"/>
              <w:right w:val="single" w:color="auto" w:sz="4" w:space="0"/>
            </w:tcBorders>
            <w:vAlign w:val="center"/>
          </w:tcPr>
          <w:p w14:paraId="70D58C27">
            <w:pPr>
              <w:spacing w:line="240" w:lineRule="auto"/>
              <w:ind w:firstLine="420"/>
              <w:rPr>
                <w:rFonts w:hint="eastAsia"/>
                <w:color w:val="auto"/>
                <w:sz w:val="21"/>
              </w:rPr>
            </w:pPr>
            <w:r>
              <w:rPr>
                <w:rFonts w:hint="eastAsia"/>
                <w:color w:val="auto"/>
                <w:sz w:val="21"/>
              </w:rPr>
              <w:t>钢筋采购：必须要有出厂质量保证书，没有出厂质量保证书的钢筋，不能采购，对使用的钢筋，要严格按规定取样试验合格后方能使用。</w:t>
            </w:r>
          </w:p>
          <w:p w14:paraId="4B6EB412">
            <w:pPr>
              <w:spacing w:line="240" w:lineRule="auto"/>
              <w:ind w:firstLine="420"/>
              <w:rPr>
                <w:rFonts w:hint="eastAsia"/>
                <w:color w:val="auto"/>
                <w:sz w:val="21"/>
              </w:rPr>
            </w:pPr>
            <w:r>
              <w:rPr>
                <w:rFonts w:hint="eastAsia"/>
                <w:color w:val="auto"/>
                <w:sz w:val="21"/>
              </w:rPr>
              <w:t>钢筋焊接：操作人员必须持证上岗，焊接头要经过试验合格后才允许正式作业。在一批焊件中，进行随机抽样检查，并以此作为加强对焊接作业质量的监督考核。</w:t>
            </w:r>
          </w:p>
          <w:p w14:paraId="70FEF2C6">
            <w:pPr>
              <w:spacing w:line="240" w:lineRule="auto"/>
              <w:ind w:firstLine="420"/>
              <w:rPr>
                <w:rFonts w:hint="eastAsia"/>
                <w:color w:val="auto"/>
                <w:sz w:val="21"/>
              </w:rPr>
            </w:pPr>
            <w:r>
              <w:rPr>
                <w:rFonts w:hint="eastAsia"/>
                <w:color w:val="auto"/>
                <w:sz w:val="21"/>
              </w:rPr>
              <w:t>钢筋配料卡必须经过技术主管审核后，才准开料。开料成型的钢筋，应按图纸编号顺序挂牌，堆放整齐，钢筋的堆放场地要采取防锈措施。专人负责钢筋垫块的制作，要确保规格准确，数量充足，并达到足够的设计强度，垫块的安放要疏密均匀，可靠地起到保护的作用。</w:t>
            </w:r>
          </w:p>
          <w:p w14:paraId="7FB486C5">
            <w:pPr>
              <w:spacing w:line="240" w:lineRule="auto"/>
              <w:ind w:firstLine="420"/>
              <w:rPr>
                <w:rFonts w:hint="eastAsia"/>
                <w:color w:val="auto"/>
                <w:sz w:val="21"/>
              </w:rPr>
            </w:pPr>
            <w:r>
              <w:rPr>
                <w:rFonts w:hint="eastAsia"/>
                <w:color w:val="auto"/>
                <w:sz w:val="21"/>
              </w:rPr>
              <w:t>钢筋绑扎完毕，要经过监理工程师验收合格后，方可浇筑砼，在砼浇筑过程中，必须派钢筋工值班，以便处理在施工过程中发生的钢筋及预埋移位等问题。</w:t>
            </w:r>
          </w:p>
        </w:tc>
      </w:tr>
      <w:tr w14:paraId="225DB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4C767BCD">
            <w:pPr>
              <w:spacing w:line="240" w:lineRule="auto"/>
              <w:ind w:firstLine="0" w:firstLineChars="0"/>
              <w:jc w:val="center"/>
              <w:rPr>
                <w:rFonts w:hint="eastAsia"/>
                <w:color w:val="auto"/>
                <w:sz w:val="21"/>
              </w:rPr>
            </w:pPr>
            <w:r>
              <w:rPr>
                <w:rFonts w:hint="eastAsia"/>
                <w:color w:val="auto"/>
                <w:sz w:val="21"/>
              </w:rPr>
              <w:t>砼的质量</w:t>
            </w:r>
          </w:p>
        </w:tc>
        <w:tc>
          <w:tcPr>
            <w:tcW w:w="4560" w:type="pct"/>
            <w:tcBorders>
              <w:top w:val="single" w:color="auto" w:sz="4" w:space="0"/>
              <w:left w:val="single" w:color="auto" w:sz="4" w:space="0"/>
              <w:bottom w:val="single" w:color="auto" w:sz="4" w:space="0"/>
              <w:right w:val="single" w:color="auto" w:sz="4" w:space="0"/>
            </w:tcBorders>
            <w:vAlign w:val="center"/>
          </w:tcPr>
          <w:p w14:paraId="78783459">
            <w:pPr>
              <w:spacing w:line="240" w:lineRule="auto"/>
              <w:ind w:firstLine="420"/>
              <w:rPr>
                <w:rFonts w:hint="eastAsia"/>
                <w:color w:val="auto"/>
                <w:sz w:val="21"/>
              </w:rPr>
            </w:pPr>
            <w:r>
              <w:rPr>
                <w:rFonts w:hint="eastAsia"/>
                <w:color w:val="auto"/>
                <w:sz w:val="21"/>
              </w:rPr>
              <w:t>派专人（试验人员）到搅拌站旁站监督检查配合比执行情况以及原材料、坍落度、试件取样、称量衡器检查校准以及拌合时间是否相符。</w:t>
            </w:r>
          </w:p>
          <w:p w14:paraId="367D221C">
            <w:pPr>
              <w:spacing w:line="240" w:lineRule="auto"/>
              <w:ind w:firstLine="420"/>
              <w:rPr>
                <w:rFonts w:hint="eastAsia"/>
                <w:color w:val="auto"/>
                <w:sz w:val="21"/>
              </w:rPr>
            </w:pPr>
            <w:r>
              <w:rPr>
                <w:rFonts w:hint="eastAsia"/>
                <w:color w:val="auto"/>
                <w:sz w:val="21"/>
              </w:rPr>
              <w:t>砼浇筑前，全部模板和钢筋应清理干净，不得有杂物，模板若有缝隙应填密，并经监理工程师检查批准后方能开始浇筑，砼的浇筑方法，必须经过监理工程师的批准。</w:t>
            </w:r>
          </w:p>
          <w:p w14:paraId="799255AC">
            <w:pPr>
              <w:spacing w:line="240" w:lineRule="auto"/>
              <w:ind w:firstLine="420"/>
              <w:rPr>
                <w:rFonts w:hint="eastAsia"/>
                <w:color w:val="auto"/>
                <w:sz w:val="21"/>
              </w:rPr>
            </w:pPr>
            <w:r>
              <w:rPr>
                <w:rFonts w:hint="eastAsia"/>
                <w:color w:val="auto"/>
                <w:sz w:val="21"/>
              </w:rPr>
              <w:t>施工缝的处理，应按规定的插入或监理工程师的要求进行，在旧砼表面浇筑新砼前，必须将其表面凿毛清洗干净，用水湿润后，先浇一层水泥浆以确保新旧砼之间能结合良好。</w:t>
            </w:r>
          </w:p>
          <w:p w14:paraId="7DEDAEF4">
            <w:pPr>
              <w:spacing w:line="240" w:lineRule="auto"/>
              <w:ind w:firstLine="420"/>
              <w:rPr>
                <w:rFonts w:hint="eastAsia"/>
                <w:color w:val="auto"/>
                <w:sz w:val="21"/>
              </w:rPr>
            </w:pPr>
            <w:r>
              <w:rPr>
                <w:rFonts w:hint="eastAsia"/>
                <w:color w:val="auto"/>
                <w:sz w:val="21"/>
              </w:rPr>
              <w:t>砼终凝以后要采取适当措施养护，并在浇筑部位注明养护起止日期，以免遗漏。</w:t>
            </w:r>
          </w:p>
        </w:tc>
      </w:tr>
      <w:tr w14:paraId="74C1E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7F384587">
            <w:pPr>
              <w:spacing w:line="240" w:lineRule="auto"/>
              <w:ind w:firstLine="0" w:firstLineChars="0"/>
              <w:jc w:val="center"/>
              <w:rPr>
                <w:rFonts w:hint="eastAsia"/>
                <w:color w:val="auto"/>
                <w:sz w:val="21"/>
              </w:rPr>
            </w:pPr>
            <w:r>
              <w:rPr>
                <w:rFonts w:hint="eastAsia"/>
                <w:color w:val="auto"/>
                <w:sz w:val="21"/>
              </w:rPr>
              <w:t>模板控制</w:t>
            </w:r>
          </w:p>
        </w:tc>
        <w:tc>
          <w:tcPr>
            <w:tcW w:w="4560" w:type="pct"/>
            <w:tcBorders>
              <w:top w:val="single" w:color="auto" w:sz="4" w:space="0"/>
              <w:left w:val="single" w:color="auto" w:sz="4" w:space="0"/>
              <w:bottom w:val="single" w:color="auto" w:sz="4" w:space="0"/>
              <w:right w:val="single" w:color="auto" w:sz="4" w:space="0"/>
            </w:tcBorders>
            <w:vAlign w:val="center"/>
          </w:tcPr>
          <w:p w14:paraId="2CD04594">
            <w:pPr>
              <w:spacing w:line="240" w:lineRule="auto"/>
              <w:ind w:firstLine="420"/>
              <w:rPr>
                <w:rFonts w:hint="eastAsia"/>
                <w:color w:val="auto"/>
                <w:sz w:val="21"/>
              </w:rPr>
            </w:pPr>
            <w:r>
              <w:rPr>
                <w:rFonts w:hint="eastAsia"/>
                <w:color w:val="auto"/>
                <w:sz w:val="21"/>
              </w:rPr>
              <w:t>（1）模板要经过结构设计，保证有足够的强度和刚度，并要求装拆方便。</w:t>
            </w:r>
          </w:p>
          <w:p w14:paraId="4D0A0A38">
            <w:pPr>
              <w:spacing w:line="240" w:lineRule="auto"/>
              <w:ind w:firstLine="420"/>
              <w:rPr>
                <w:rFonts w:hint="eastAsia"/>
                <w:color w:val="auto"/>
                <w:sz w:val="21"/>
              </w:rPr>
            </w:pPr>
            <w:r>
              <w:rPr>
                <w:rFonts w:hint="eastAsia"/>
                <w:color w:val="auto"/>
                <w:sz w:val="21"/>
              </w:rPr>
              <w:t>（2）加工模板要严格按技术规范施工，实行三级验收程序。</w:t>
            </w:r>
          </w:p>
          <w:p w14:paraId="1536DCD0">
            <w:pPr>
              <w:spacing w:line="240" w:lineRule="auto"/>
              <w:ind w:firstLine="420"/>
              <w:rPr>
                <w:rFonts w:hint="eastAsia"/>
                <w:color w:val="auto"/>
                <w:sz w:val="21"/>
              </w:rPr>
            </w:pPr>
            <w:r>
              <w:rPr>
                <w:rFonts w:hint="eastAsia"/>
                <w:color w:val="auto"/>
                <w:sz w:val="21"/>
              </w:rPr>
              <w:t>（3）模板统一调拨，安装时要涂脱模剂，加贴防漏胶条，并注意控制高差、平整度、轴线位置、尺寸、垂直度等技术要求，流水作业，逐一检查，防止漏浆、错装等错误。</w:t>
            </w:r>
          </w:p>
        </w:tc>
      </w:tr>
      <w:tr w14:paraId="62C44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4D1DA7B2">
            <w:pPr>
              <w:spacing w:line="240" w:lineRule="auto"/>
              <w:ind w:firstLine="0" w:firstLineChars="0"/>
              <w:jc w:val="center"/>
              <w:rPr>
                <w:rFonts w:hint="eastAsia"/>
                <w:color w:val="auto"/>
                <w:sz w:val="21"/>
              </w:rPr>
            </w:pPr>
            <w:r>
              <w:rPr>
                <w:rFonts w:hint="eastAsia"/>
                <w:color w:val="auto"/>
                <w:sz w:val="21"/>
              </w:rPr>
              <w:t>水泥稳定基层控制</w:t>
            </w:r>
          </w:p>
        </w:tc>
        <w:tc>
          <w:tcPr>
            <w:tcW w:w="4560" w:type="pct"/>
            <w:tcBorders>
              <w:top w:val="single" w:color="auto" w:sz="4" w:space="0"/>
              <w:left w:val="single" w:color="auto" w:sz="4" w:space="0"/>
              <w:bottom w:val="single" w:color="auto" w:sz="4" w:space="0"/>
              <w:right w:val="single" w:color="auto" w:sz="4" w:space="0"/>
            </w:tcBorders>
            <w:vAlign w:val="center"/>
          </w:tcPr>
          <w:p w14:paraId="05B73B66">
            <w:pPr>
              <w:spacing w:line="240" w:lineRule="auto"/>
              <w:ind w:firstLine="420"/>
              <w:rPr>
                <w:rFonts w:hint="eastAsia"/>
                <w:color w:val="auto"/>
                <w:sz w:val="21"/>
              </w:rPr>
            </w:pPr>
            <w:r>
              <w:rPr>
                <w:rFonts w:hint="eastAsia"/>
                <w:color w:val="auto"/>
                <w:sz w:val="21"/>
              </w:rPr>
              <w:t>受潮、变质硬化的水泥不得使用。水泥稳定级配碎石必须使用机械拌和，保证水稳料的拌合质量。</w:t>
            </w:r>
          </w:p>
          <w:p w14:paraId="616E6276">
            <w:pPr>
              <w:spacing w:line="240" w:lineRule="auto"/>
              <w:ind w:firstLine="420"/>
              <w:rPr>
                <w:rFonts w:hint="eastAsia"/>
                <w:color w:val="auto"/>
                <w:sz w:val="21"/>
              </w:rPr>
            </w:pPr>
            <w:r>
              <w:rPr>
                <w:rFonts w:hint="eastAsia"/>
                <w:color w:val="auto"/>
                <w:sz w:val="21"/>
              </w:rPr>
              <w:t>稳定层摊铺后应大致整平，以便碾压。水泥稳定层的压实系数约为l.3—l.35。松铺大致整平后，应立即使用机械压实，在水泥初凝前碾压成活。</w:t>
            </w:r>
          </w:p>
        </w:tc>
      </w:tr>
      <w:tr w14:paraId="7B69A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1E1A55E3">
            <w:pPr>
              <w:spacing w:line="240" w:lineRule="auto"/>
              <w:ind w:firstLine="0" w:firstLineChars="0"/>
              <w:jc w:val="center"/>
              <w:rPr>
                <w:rFonts w:hint="eastAsia"/>
                <w:color w:val="auto"/>
                <w:sz w:val="21"/>
              </w:rPr>
            </w:pPr>
            <w:r>
              <w:rPr>
                <w:rFonts w:hint="eastAsia"/>
                <w:color w:val="auto"/>
                <w:sz w:val="21"/>
              </w:rPr>
              <w:t>沥青施工的质量</w:t>
            </w:r>
          </w:p>
        </w:tc>
        <w:tc>
          <w:tcPr>
            <w:tcW w:w="4560" w:type="pct"/>
            <w:tcBorders>
              <w:top w:val="single" w:color="auto" w:sz="4" w:space="0"/>
              <w:left w:val="single" w:color="auto" w:sz="4" w:space="0"/>
              <w:bottom w:val="single" w:color="auto" w:sz="4" w:space="0"/>
              <w:right w:val="single" w:color="auto" w:sz="4" w:space="0"/>
            </w:tcBorders>
            <w:vAlign w:val="center"/>
          </w:tcPr>
          <w:p w14:paraId="735DACB8">
            <w:pPr>
              <w:spacing w:line="240" w:lineRule="auto"/>
              <w:ind w:firstLine="420"/>
              <w:rPr>
                <w:rFonts w:hint="eastAsia"/>
                <w:color w:val="auto"/>
                <w:sz w:val="21"/>
              </w:rPr>
            </w:pPr>
            <w:r>
              <w:rPr>
                <w:rFonts w:hint="eastAsia"/>
                <w:color w:val="auto"/>
                <w:sz w:val="21"/>
              </w:rPr>
              <w:t>现场质控人员对到场材料及时检查，对于过分离析、超粒径骨料过多的混合料坚决退料。</w:t>
            </w:r>
          </w:p>
          <w:p w14:paraId="6BB80514">
            <w:pPr>
              <w:spacing w:line="240" w:lineRule="auto"/>
              <w:ind w:firstLine="420"/>
              <w:rPr>
                <w:rFonts w:hint="eastAsia"/>
                <w:color w:val="auto"/>
                <w:sz w:val="21"/>
              </w:rPr>
            </w:pPr>
            <w:r>
              <w:rPr>
                <w:rFonts w:hint="eastAsia"/>
                <w:color w:val="auto"/>
                <w:sz w:val="21"/>
              </w:rPr>
              <w:t>摊铺机在摊铺时要低速匀速行驶，运料车倒车上料时严禁碰撞摊铺机。</w:t>
            </w:r>
          </w:p>
          <w:p w14:paraId="0DA7C263">
            <w:pPr>
              <w:spacing w:line="240" w:lineRule="auto"/>
              <w:ind w:firstLine="420"/>
              <w:rPr>
                <w:rFonts w:hint="eastAsia"/>
                <w:color w:val="auto"/>
                <w:sz w:val="21"/>
              </w:rPr>
            </w:pPr>
            <w:r>
              <w:rPr>
                <w:rFonts w:hint="eastAsia"/>
                <w:color w:val="auto"/>
                <w:sz w:val="21"/>
              </w:rPr>
              <w:t>横向碾压轮迹重叠10～20cm，做到无漏压、无死角，确保碾压均匀。</w:t>
            </w:r>
          </w:p>
          <w:p w14:paraId="77D8F5A7">
            <w:pPr>
              <w:spacing w:line="240" w:lineRule="auto"/>
              <w:ind w:firstLine="420"/>
              <w:rPr>
                <w:rFonts w:hint="eastAsia"/>
                <w:color w:val="auto"/>
                <w:sz w:val="21"/>
              </w:rPr>
            </w:pPr>
            <w:r>
              <w:rPr>
                <w:rFonts w:hint="eastAsia"/>
                <w:color w:val="auto"/>
                <w:sz w:val="21"/>
              </w:rPr>
              <w:t>压路机启动和制动时，做到慢速启动、慢速刹车。</w:t>
            </w:r>
          </w:p>
          <w:p w14:paraId="5954EF84">
            <w:pPr>
              <w:spacing w:line="240" w:lineRule="auto"/>
              <w:ind w:firstLine="420"/>
              <w:rPr>
                <w:rFonts w:hint="eastAsia"/>
                <w:color w:val="auto"/>
                <w:sz w:val="21"/>
              </w:rPr>
            </w:pPr>
            <w:r>
              <w:rPr>
                <w:rFonts w:hint="eastAsia"/>
                <w:color w:val="auto"/>
                <w:sz w:val="21"/>
              </w:rPr>
              <w:t>碾压过程中设专人找平，如遇弹簧、松散、起皮、离析等现象时重新翻开，筛细料填补后重新拌合碾压。</w:t>
            </w:r>
          </w:p>
          <w:p w14:paraId="2A7591DE">
            <w:pPr>
              <w:spacing w:line="240" w:lineRule="auto"/>
              <w:ind w:firstLine="420"/>
              <w:rPr>
                <w:rFonts w:hint="eastAsia"/>
                <w:color w:val="auto"/>
                <w:sz w:val="21"/>
              </w:rPr>
            </w:pPr>
            <w:r>
              <w:rPr>
                <w:rFonts w:hint="eastAsia"/>
                <w:color w:val="auto"/>
                <w:sz w:val="21"/>
              </w:rPr>
              <w:t>施工时注意施工缝的搭接。</w:t>
            </w:r>
          </w:p>
        </w:tc>
      </w:tr>
      <w:tr w14:paraId="47805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tcBorders>
              <w:top w:val="single" w:color="auto" w:sz="4" w:space="0"/>
              <w:left w:val="single" w:color="auto" w:sz="4" w:space="0"/>
              <w:bottom w:val="single" w:color="auto" w:sz="4" w:space="0"/>
              <w:right w:val="single" w:color="auto" w:sz="4" w:space="0"/>
            </w:tcBorders>
            <w:vAlign w:val="center"/>
          </w:tcPr>
          <w:p w14:paraId="20749CD7">
            <w:pPr>
              <w:spacing w:line="240" w:lineRule="auto"/>
              <w:ind w:firstLine="0" w:firstLineChars="0"/>
              <w:jc w:val="center"/>
              <w:rPr>
                <w:rFonts w:hint="eastAsia"/>
                <w:color w:val="auto"/>
                <w:sz w:val="21"/>
              </w:rPr>
            </w:pPr>
            <w:r>
              <w:rPr>
                <w:rFonts w:hint="eastAsia"/>
                <w:color w:val="auto"/>
                <w:sz w:val="21"/>
              </w:rPr>
              <w:t>站卧石、人行道铺砖处理等质量</w:t>
            </w:r>
          </w:p>
        </w:tc>
        <w:tc>
          <w:tcPr>
            <w:tcW w:w="4560" w:type="pct"/>
            <w:tcBorders>
              <w:top w:val="single" w:color="auto" w:sz="4" w:space="0"/>
              <w:left w:val="single" w:color="auto" w:sz="4" w:space="0"/>
              <w:bottom w:val="single" w:color="auto" w:sz="4" w:space="0"/>
              <w:right w:val="single" w:color="auto" w:sz="4" w:space="0"/>
            </w:tcBorders>
            <w:vAlign w:val="center"/>
          </w:tcPr>
          <w:p w14:paraId="34B1AA50">
            <w:pPr>
              <w:spacing w:line="240" w:lineRule="auto"/>
              <w:ind w:firstLine="420"/>
              <w:rPr>
                <w:rFonts w:hint="eastAsia"/>
                <w:color w:val="auto"/>
                <w:sz w:val="21"/>
              </w:rPr>
            </w:pPr>
            <w:r>
              <w:rPr>
                <w:rFonts w:hint="eastAsia"/>
                <w:color w:val="auto"/>
                <w:sz w:val="21"/>
              </w:rPr>
              <w:t>（1）站、卧石质量保证措施</w:t>
            </w:r>
          </w:p>
          <w:p w14:paraId="1EDFA079">
            <w:pPr>
              <w:spacing w:line="240" w:lineRule="auto"/>
              <w:ind w:firstLine="420"/>
              <w:rPr>
                <w:rFonts w:hint="eastAsia"/>
                <w:color w:val="auto"/>
                <w:sz w:val="21"/>
              </w:rPr>
            </w:pPr>
            <w:r>
              <w:rPr>
                <w:rFonts w:hint="eastAsia"/>
                <w:color w:val="auto"/>
                <w:sz w:val="21"/>
              </w:rPr>
              <w:t>砌前每10m测一点高程，采用经纬仪控制直线，关于曲线段采用全站仪每3m测一点，保证曲线圆弧尺寸。按边桩的位置拉线，以线为准。按要求宽度向外刨槽，一般为一锨宽（约25cm），刨槽深应比设计加深1～2cm，且槽底修理平整。安装时先拌制1：3水泥砂浆做垫层，厚1～2cm铺于站石与路缘石底部。按站卧石顶面标高挂线，每段长度为站卧石的块数（含缝宽）的整数倍，以防多处砌筑出现较大空档。直线处保证站石的直顺，曲线处应注意站卧石外形圆滑。相邻站卧石缝隙为1cm，缝隙可用木板条控制间隔。回填时站石外侧后背可用刨槽基层混合料回填夯实。勾缝时将站卧石缝内的杂物及土清除干净，用水湿润，然后用1：2水泥砂浆灌缝填实勾缝。砂浆初凝后，扫除多余灰浆，达到整齐、美观，并适当泼水养护，防止开裂。</w:t>
            </w:r>
          </w:p>
          <w:p w14:paraId="041BFA88">
            <w:pPr>
              <w:spacing w:line="240" w:lineRule="auto"/>
              <w:ind w:firstLine="420"/>
              <w:rPr>
                <w:rFonts w:hint="eastAsia"/>
                <w:color w:val="auto"/>
                <w:sz w:val="21"/>
              </w:rPr>
            </w:pPr>
            <w:r>
              <w:rPr>
                <w:rFonts w:hint="eastAsia"/>
                <w:color w:val="auto"/>
                <w:sz w:val="21"/>
              </w:rPr>
              <w:t>（2）人行道施工质量保证措施</w:t>
            </w:r>
          </w:p>
          <w:p w14:paraId="4066EC34">
            <w:pPr>
              <w:spacing w:line="240" w:lineRule="auto"/>
              <w:ind w:firstLine="420"/>
              <w:rPr>
                <w:rFonts w:hint="eastAsia"/>
                <w:color w:val="auto"/>
                <w:sz w:val="21"/>
              </w:rPr>
            </w:pPr>
            <w:r>
              <w:rPr>
                <w:rFonts w:hint="eastAsia"/>
                <w:color w:val="auto"/>
                <w:sz w:val="21"/>
              </w:rPr>
              <w:t>严格控制花岗岩、铺砌砂浆质量，分段进行施工，先施工试验段，确定虚铺砌路段，形成成果后大面积展开施工，铺砌时先铺筑一层2cm厚M10水泥砂浆进行调平，铺好后用刮大杆拍实，用抹子找平，厚度适当高出水平线2-3mm。</w:t>
            </w:r>
          </w:p>
        </w:tc>
      </w:tr>
    </w:tbl>
    <w:p w14:paraId="213A0C8F">
      <w:pPr>
        <w:rPr>
          <w:rFonts w:hint="eastAsia"/>
          <w:color w:val="auto"/>
        </w:rPr>
      </w:pPr>
      <w:r>
        <w:rPr>
          <w:rFonts w:hint="eastAsia"/>
          <w:color w:val="auto"/>
        </w:rPr>
        <w:t>2、质量教育及技术交底保证措施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8047"/>
      </w:tblGrid>
      <w:tr w14:paraId="72263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tcBorders>
              <w:top w:val="single" w:color="auto" w:sz="4" w:space="0"/>
              <w:left w:val="single" w:color="auto" w:sz="4" w:space="0"/>
              <w:bottom w:val="single" w:color="auto" w:sz="4" w:space="0"/>
              <w:right w:val="single" w:color="auto" w:sz="4" w:space="0"/>
            </w:tcBorders>
            <w:vAlign w:val="center"/>
          </w:tcPr>
          <w:p w14:paraId="4B008C69">
            <w:pPr>
              <w:spacing w:line="240" w:lineRule="auto"/>
              <w:ind w:firstLine="0" w:firstLineChars="0"/>
              <w:jc w:val="center"/>
              <w:rPr>
                <w:rFonts w:hint="eastAsia"/>
                <w:color w:val="auto"/>
                <w:sz w:val="21"/>
              </w:rPr>
            </w:pPr>
            <w:r>
              <w:rPr>
                <w:rFonts w:hint="eastAsia"/>
                <w:color w:val="auto"/>
                <w:sz w:val="21"/>
              </w:rPr>
              <w:t>制度</w:t>
            </w:r>
          </w:p>
        </w:tc>
        <w:tc>
          <w:tcPr>
            <w:tcW w:w="4441" w:type="pct"/>
            <w:tcBorders>
              <w:top w:val="single" w:color="auto" w:sz="4" w:space="0"/>
              <w:left w:val="single" w:color="auto" w:sz="4" w:space="0"/>
              <w:bottom w:val="single" w:color="auto" w:sz="4" w:space="0"/>
              <w:right w:val="single" w:color="auto" w:sz="4" w:space="0"/>
            </w:tcBorders>
            <w:vAlign w:val="center"/>
          </w:tcPr>
          <w:p w14:paraId="6F177667">
            <w:pPr>
              <w:spacing w:line="240" w:lineRule="auto"/>
              <w:ind w:firstLine="0" w:firstLineChars="0"/>
              <w:jc w:val="center"/>
              <w:rPr>
                <w:rFonts w:hint="eastAsia"/>
                <w:color w:val="auto"/>
                <w:sz w:val="21"/>
              </w:rPr>
            </w:pPr>
            <w:r>
              <w:rPr>
                <w:rFonts w:hint="eastAsia"/>
                <w:color w:val="auto"/>
                <w:sz w:val="21"/>
              </w:rPr>
              <w:t>保证措施</w:t>
            </w:r>
          </w:p>
        </w:tc>
      </w:tr>
      <w:tr w14:paraId="015B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1" w:hRule="atLeast"/>
        </w:trPr>
        <w:tc>
          <w:tcPr>
            <w:tcW w:w="559" w:type="pct"/>
            <w:tcBorders>
              <w:top w:val="single" w:color="auto" w:sz="4" w:space="0"/>
              <w:left w:val="single" w:color="auto" w:sz="4" w:space="0"/>
              <w:bottom w:val="single" w:color="auto" w:sz="4" w:space="0"/>
              <w:right w:val="single" w:color="auto" w:sz="4" w:space="0"/>
            </w:tcBorders>
            <w:vAlign w:val="center"/>
          </w:tcPr>
          <w:p w14:paraId="3FA27F5C">
            <w:pPr>
              <w:spacing w:line="240" w:lineRule="auto"/>
              <w:ind w:firstLine="0" w:firstLineChars="0"/>
              <w:jc w:val="center"/>
              <w:rPr>
                <w:rFonts w:hint="eastAsia"/>
                <w:color w:val="auto"/>
                <w:sz w:val="21"/>
              </w:rPr>
            </w:pPr>
            <w:r>
              <w:rPr>
                <w:rFonts w:hint="eastAsia"/>
                <w:color w:val="auto"/>
                <w:sz w:val="21"/>
              </w:rPr>
              <w:t>技术复核、隐蔽工程验收制度</w:t>
            </w:r>
          </w:p>
        </w:tc>
        <w:tc>
          <w:tcPr>
            <w:tcW w:w="4441" w:type="pct"/>
            <w:tcBorders>
              <w:top w:val="single" w:color="auto" w:sz="4" w:space="0"/>
              <w:left w:val="single" w:color="auto" w:sz="4" w:space="0"/>
              <w:bottom w:val="single" w:color="auto" w:sz="4" w:space="0"/>
              <w:right w:val="single" w:color="auto" w:sz="4" w:space="0"/>
            </w:tcBorders>
            <w:vAlign w:val="center"/>
          </w:tcPr>
          <w:p w14:paraId="57FCB16E">
            <w:pPr>
              <w:spacing w:line="240" w:lineRule="auto"/>
              <w:ind w:firstLine="420"/>
              <w:rPr>
                <w:rFonts w:hint="eastAsia"/>
                <w:color w:val="auto"/>
                <w:sz w:val="21"/>
              </w:rPr>
            </w:pPr>
            <w:r>
              <w:rPr>
                <w:rFonts w:hint="eastAsia"/>
                <w:color w:val="auto"/>
                <w:sz w:val="21"/>
              </w:rPr>
              <w:t>技术复核应在施工组织设计中编制技术复核计划，明确复核内容、部位、复核人员及复核方法。</w:t>
            </w:r>
          </w:p>
          <w:p w14:paraId="142FADF8">
            <w:pPr>
              <w:spacing w:line="240" w:lineRule="auto"/>
              <w:ind w:firstLine="420"/>
              <w:rPr>
                <w:rFonts w:hint="eastAsia"/>
                <w:color w:val="auto"/>
                <w:sz w:val="21"/>
              </w:rPr>
            </w:pPr>
            <w:r>
              <w:rPr>
                <w:rFonts w:hint="eastAsia"/>
                <w:color w:val="auto"/>
                <w:sz w:val="21"/>
              </w:rPr>
              <w:t>技术复核结果应填写《分部分项工程技术复核记录》，作为施工技术资料归档。</w:t>
            </w:r>
          </w:p>
          <w:p w14:paraId="0431B0E1">
            <w:pPr>
              <w:spacing w:line="240" w:lineRule="auto"/>
              <w:ind w:firstLine="420"/>
              <w:rPr>
                <w:rFonts w:hint="eastAsia"/>
                <w:color w:val="auto"/>
                <w:sz w:val="21"/>
              </w:rPr>
            </w:pPr>
            <w:r>
              <w:rPr>
                <w:rFonts w:hint="eastAsia"/>
                <w:color w:val="auto"/>
                <w:sz w:val="21"/>
              </w:rPr>
              <w:t>凡分项工程的施工结果被后道工序所覆盖，均应进行隐蔽工程验收。验收的结果必须填写《隐蔽工程验收记录》。</w:t>
            </w:r>
          </w:p>
        </w:tc>
      </w:tr>
      <w:tr w14:paraId="25F4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tcBorders>
              <w:top w:val="single" w:color="auto" w:sz="4" w:space="0"/>
              <w:left w:val="single" w:color="auto" w:sz="4" w:space="0"/>
              <w:bottom w:val="single" w:color="auto" w:sz="4" w:space="0"/>
              <w:right w:val="single" w:color="auto" w:sz="4" w:space="0"/>
            </w:tcBorders>
            <w:vAlign w:val="center"/>
          </w:tcPr>
          <w:p w14:paraId="28AD3FD1">
            <w:pPr>
              <w:spacing w:line="240" w:lineRule="auto"/>
              <w:ind w:firstLine="0" w:firstLineChars="0"/>
              <w:jc w:val="center"/>
              <w:rPr>
                <w:rFonts w:hint="eastAsia"/>
                <w:color w:val="auto"/>
                <w:sz w:val="21"/>
              </w:rPr>
            </w:pPr>
            <w:r>
              <w:rPr>
                <w:rFonts w:hint="eastAsia"/>
                <w:color w:val="auto"/>
                <w:sz w:val="21"/>
              </w:rPr>
              <w:t>技术、质量交底制度</w:t>
            </w:r>
          </w:p>
        </w:tc>
        <w:tc>
          <w:tcPr>
            <w:tcW w:w="4441" w:type="pct"/>
            <w:tcBorders>
              <w:top w:val="single" w:color="auto" w:sz="4" w:space="0"/>
              <w:left w:val="single" w:color="auto" w:sz="4" w:space="0"/>
              <w:bottom w:val="single" w:color="auto" w:sz="4" w:space="0"/>
              <w:right w:val="single" w:color="auto" w:sz="4" w:space="0"/>
            </w:tcBorders>
            <w:vAlign w:val="center"/>
          </w:tcPr>
          <w:p w14:paraId="19760D0C">
            <w:pPr>
              <w:spacing w:line="240" w:lineRule="auto"/>
              <w:ind w:firstLine="420"/>
              <w:rPr>
                <w:rFonts w:hint="eastAsia"/>
                <w:color w:val="auto"/>
                <w:sz w:val="21"/>
              </w:rPr>
            </w:pPr>
            <w:r>
              <w:rPr>
                <w:rFonts w:hint="eastAsia"/>
                <w:color w:val="auto"/>
                <w:sz w:val="21"/>
              </w:rPr>
              <w:t>技术、质量的交底工作是施工过程基础管理中一项不可缺少的重要工作内容，交底必须采用书面签字确认形式，具体可分为以下几方面：</w:t>
            </w:r>
          </w:p>
          <w:p w14:paraId="60DF3559">
            <w:pPr>
              <w:spacing w:line="240" w:lineRule="auto"/>
              <w:ind w:firstLine="420"/>
              <w:rPr>
                <w:rFonts w:hint="eastAsia"/>
                <w:color w:val="auto"/>
                <w:sz w:val="21"/>
              </w:rPr>
            </w:pPr>
            <w:r>
              <w:rPr>
                <w:rFonts w:hint="eastAsia"/>
                <w:color w:val="auto"/>
                <w:sz w:val="21"/>
              </w:rPr>
              <w:t>必须组织项目部全体人员对图纸进行认真学习，并同设计代表联系进行设计交底。</w:t>
            </w:r>
          </w:p>
          <w:p w14:paraId="6E0E916D">
            <w:pPr>
              <w:spacing w:line="240" w:lineRule="auto"/>
              <w:ind w:firstLine="420"/>
              <w:rPr>
                <w:rFonts w:hint="eastAsia"/>
                <w:color w:val="auto"/>
                <w:sz w:val="21"/>
              </w:rPr>
            </w:pPr>
            <w:r>
              <w:rPr>
                <w:rFonts w:hint="eastAsia"/>
                <w:color w:val="auto"/>
                <w:sz w:val="21"/>
              </w:rPr>
              <w:t>施工组织设计编制完毕并送业主和总监审批确认后，由项目经理牵头，项目技术负责人组织全体人员认真学习施工方案，并进行技术、质量、安全书面交底，列出关键分部工程和施工要点。</w:t>
            </w:r>
          </w:p>
          <w:p w14:paraId="3FEDEEF2">
            <w:pPr>
              <w:spacing w:line="240" w:lineRule="auto"/>
              <w:ind w:firstLine="420"/>
              <w:rPr>
                <w:rFonts w:hint="eastAsia"/>
                <w:color w:val="auto"/>
                <w:sz w:val="21"/>
              </w:rPr>
            </w:pPr>
            <w:r>
              <w:rPr>
                <w:rFonts w:hint="eastAsia"/>
                <w:color w:val="auto"/>
                <w:sz w:val="21"/>
              </w:rPr>
              <w:t>本着谁负责施工谁负责质量、安全工作的原则，各分管分项工程负责人在安排施工任务同时，必须对施工班组进行书面技术、质量、安全交底，必须做到交底不明确不上岗，不签字不上岗。</w:t>
            </w:r>
          </w:p>
        </w:tc>
      </w:tr>
      <w:tr w14:paraId="09C32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tcBorders>
              <w:top w:val="single" w:color="auto" w:sz="4" w:space="0"/>
              <w:left w:val="single" w:color="auto" w:sz="4" w:space="0"/>
              <w:bottom w:val="single" w:color="auto" w:sz="4" w:space="0"/>
              <w:right w:val="single" w:color="auto" w:sz="4" w:space="0"/>
            </w:tcBorders>
            <w:vAlign w:val="center"/>
          </w:tcPr>
          <w:p w14:paraId="30DB3B8C">
            <w:pPr>
              <w:spacing w:line="240" w:lineRule="auto"/>
              <w:ind w:firstLine="0" w:firstLineChars="0"/>
              <w:jc w:val="center"/>
              <w:rPr>
                <w:rFonts w:hint="eastAsia"/>
                <w:color w:val="auto"/>
                <w:sz w:val="21"/>
              </w:rPr>
            </w:pPr>
            <w:r>
              <w:rPr>
                <w:rFonts w:hint="eastAsia"/>
                <w:color w:val="auto"/>
                <w:sz w:val="21"/>
              </w:rPr>
              <w:t>二级验收及分部分项质量评定制度</w:t>
            </w:r>
          </w:p>
        </w:tc>
        <w:tc>
          <w:tcPr>
            <w:tcW w:w="4441" w:type="pct"/>
            <w:tcBorders>
              <w:top w:val="single" w:color="auto" w:sz="4" w:space="0"/>
              <w:left w:val="single" w:color="auto" w:sz="4" w:space="0"/>
              <w:bottom w:val="single" w:color="auto" w:sz="4" w:space="0"/>
              <w:right w:val="single" w:color="auto" w:sz="4" w:space="0"/>
            </w:tcBorders>
            <w:vAlign w:val="center"/>
          </w:tcPr>
          <w:p w14:paraId="65883FA6">
            <w:pPr>
              <w:spacing w:line="240" w:lineRule="auto"/>
              <w:ind w:firstLine="420"/>
              <w:rPr>
                <w:rFonts w:hint="eastAsia"/>
                <w:color w:val="auto"/>
                <w:sz w:val="21"/>
              </w:rPr>
            </w:pPr>
            <w:r>
              <w:rPr>
                <w:rFonts w:hint="eastAsia"/>
                <w:color w:val="auto"/>
                <w:sz w:val="21"/>
              </w:rPr>
              <w:t>分项工程施工过程中，各分管负责人必须督促班组做好自检工作，确保当天问题当天整改完毕。</w:t>
            </w:r>
          </w:p>
          <w:p w14:paraId="36FEC2AF">
            <w:pPr>
              <w:spacing w:line="240" w:lineRule="auto"/>
              <w:ind w:firstLine="420"/>
              <w:rPr>
                <w:rFonts w:hint="eastAsia"/>
                <w:color w:val="auto"/>
                <w:sz w:val="21"/>
              </w:rPr>
            </w:pPr>
            <w:r>
              <w:rPr>
                <w:rFonts w:hint="eastAsia"/>
                <w:color w:val="auto"/>
                <w:sz w:val="21"/>
              </w:rPr>
              <w:t>分项工程施工完毕后，各分管负责人必须及时组织班组进行分项工程质量评定工作，并填写分项工程质量评定表交施工队长确认，最终评定由项目经理部的质检部专职质检员检定。</w:t>
            </w:r>
          </w:p>
          <w:p w14:paraId="667F8552">
            <w:pPr>
              <w:spacing w:line="240" w:lineRule="auto"/>
              <w:ind w:firstLine="420"/>
              <w:rPr>
                <w:rFonts w:hint="eastAsia"/>
                <w:color w:val="auto"/>
                <w:sz w:val="21"/>
              </w:rPr>
            </w:pPr>
            <w:r>
              <w:rPr>
                <w:rFonts w:hint="eastAsia"/>
                <w:color w:val="auto"/>
                <w:sz w:val="21"/>
              </w:rPr>
              <w:t>项目经理部每月组织一次施工队之间的质量互检，并进行质量讲评。</w:t>
            </w:r>
          </w:p>
          <w:p w14:paraId="452A7B26">
            <w:pPr>
              <w:spacing w:line="240" w:lineRule="auto"/>
              <w:ind w:firstLine="420"/>
              <w:rPr>
                <w:rFonts w:hint="eastAsia"/>
                <w:color w:val="auto"/>
                <w:sz w:val="21"/>
              </w:rPr>
            </w:pPr>
            <w:r>
              <w:rPr>
                <w:rFonts w:hint="eastAsia"/>
                <w:color w:val="auto"/>
                <w:sz w:val="21"/>
              </w:rPr>
              <w:t>质检部对每个项目进行不定期抽样检查，发现问题后以书面形式发出限期整改指令单，项目施工队负责在指定期限内将整改情况以书面形式反馈到质检部。</w:t>
            </w:r>
          </w:p>
        </w:tc>
      </w:tr>
    </w:tbl>
    <w:p w14:paraId="1F51F8C6">
      <w:pPr>
        <w:rPr>
          <w:rFonts w:hint="eastAsia"/>
          <w:color w:val="auto"/>
        </w:rPr>
      </w:pPr>
      <w:r>
        <w:rPr>
          <w:rFonts w:hint="eastAsia"/>
          <w:color w:val="auto"/>
        </w:rPr>
        <w:t>3、原材料、构配件、半成品及成品见证取样送检计划及验收、搬运、保护、交付措施</w:t>
      </w:r>
    </w:p>
    <w:p w14:paraId="26C18C63">
      <w:pPr>
        <w:rPr>
          <w:rFonts w:hint="eastAsia"/>
          <w:color w:val="auto"/>
        </w:rPr>
      </w:pPr>
      <w:r>
        <w:rPr>
          <w:rFonts w:hint="eastAsia"/>
          <w:color w:val="auto"/>
        </w:rPr>
        <w:t>见证施工单位取样人员按规范要求进行取样。</w:t>
      </w:r>
    </w:p>
    <w:p w14:paraId="6A337E3D">
      <w:pPr>
        <w:rPr>
          <w:rFonts w:hint="eastAsia"/>
          <w:color w:val="auto"/>
        </w:rPr>
      </w:pPr>
      <w:r>
        <w:rPr>
          <w:rFonts w:hint="eastAsia"/>
          <w:color w:val="auto"/>
        </w:rPr>
        <w:t>对已取样品做好标识、封存并送检。认真填写“见证取样记录”，并在该项工作完成后，将“见证取样记录”交信息管理人员归档。</w:t>
      </w:r>
    </w:p>
    <w:p w14:paraId="547EE6EA">
      <w:pPr>
        <w:rPr>
          <w:rFonts w:hint="eastAsia"/>
          <w:color w:val="auto"/>
        </w:rPr>
      </w:pPr>
      <w:r>
        <w:rPr>
          <w:rFonts w:hint="eastAsia"/>
          <w:color w:val="auto"/>
        </w:rPr>
        <w:t>见证人必须持有见证取样资格证，见证人对见证样品的代表性、真实性负责。</w:t>
      </w:r>
    </w:p>
    <w:p w14:paraId="236D8968">
      <w:pPr>
        <w:rPr>
          <w:rFonts w:hint="eastAsia"/>
          <w:color w:val="auto"/>
        </w:rPr>
      </w:pPr>
      <w:r>
        <w:rPr>
          <w:rFonts w:hint="eastAsia"/>
          <w:color w:val="auto"/>
        </w:rPr>
        <w:t>试样或其包装上应作出标识、封。标识和封应标明样品名称、样品数量、工程名称、取样部位、取样日期，并有取样人和见证人签字。</w:t>
      </w:r>
    </w:p>
    <w:p w14:paraId="3C3D31EC">
      <w:pPr>
        <w:rPr>
          <w:rFonts w:hint="eastAsia"/>
          <w:color w:val="auto"/>
        </w:rPr>
      </w:pPr>
      <w:r>
        <w:rPr>
          <w:rFonts w:hint="eastAsia"/>
          <w:color w:val="auto"/>
        </w:rPr>
        <w:t>承担有见证试验的试验室，在检查确认试样上的见证标识、封无误后方可进行试验，否则有权拒绝试验。</w:t>
      </w:r>
    </w:p>
    <w:p w14:paraId="12B10E18">
      <w:pPr>
        <w:rPr>
          <w:rFonts w:hint="eastAsia"/>
          <w:color w:val="auto"/>
        </w:rPr>
      </w:pPr>
      <w:r>
        <w:rPr>
          <w:rFonts w:hint="eastAsia"/>
          <w:color w:val="auto"/>
        </w:rPr>
        <w:t>见证试验报告单必须由见证人签名盖章，而且加盖“见证试验”专用章。</w:t>
      </w:r>
    </w:p>
    <w:p w14:paraId="2D765CA7">
      <w:pPr>
        <w:rPr>
          <w:rFonts w:hint="eastAsia"/>
          <w:color w:val="auto"/>
        </w:rPr>
      </w:pPr>
      <w:r>
        <w:rPr>
          <w:rFonts w:hint="eastAsia"/>
          <w:color w:val="auto"/>
        </w:rPr>
        <w:t>4、检验、测量、和试验设备的周期检定、校准、维护计划</w:t>
      </w:r>
    </w:p>
    <w:p w14:paraId="30CD3368">
      <w:pPr>
        <w:rPr>
          <w:rFonts w:hint="eastAsia"/>
          <w:color w:val="auto"/>
        </w:rPr>
      </w:pPr>
      <w:r>
        <w:rPr>
          <w:rFonts w:hint="eastAsia"/>
          <w:color w:val="auto"/>
        </w:rPr>
        <w:t>（1）检定及维护计划</w:t>
      </w:r>
    </w:p>
    <w:p w14:paraId="4B39F439">
      <w:pPr>
        <w:rPr>
          <w:rFonts w:hint="eastAsia"/>
          <w:color w:val="auto"/>
        </w:rPr>
      </w:pPr>
      <w:r>
        <w:rPr>
          <w:rFonts w:hint="eastAsia"/>
          <w:color w:val="auto"/>
        </w:rPr>
        <w:t>制定各类检测仪器的《年度校准计划》。所有校准应按校准计划或按校准计划时间提前5天进行校准</w:t>
      </w:r>
    </w:p>
    <w:p w14:paraId="095B0793">
      <w:pPr>
        <w:rPr>
          <w:rFonts w:hint="eastAsia"/>
          <w:color w:val="auto"/>
        </w:rPr>
      </w:pPr>
      <w:r>
        <w:rPr>
          <w:rFonts w:hint="eastAsia"/>
          <w:color w:val="auto"/>
        </w:rPr>
        <w:t>每次校准完毕，应填写《校准记录》，并把检测报告附在校准记录后面，作为该仪器的校准档案。每次校准完毕，应带有表明校准状态的计量合格的标识，标明本次校准日期和下次校准日期。</w:t>
      </w:r>
    </w:p>
    <w:p w14:paraId="043E5637">
      <w:pPr>
        <w:rPr>
          <w:rFonts w:hint="eastAsia"/>
          <w:color w:val="auto"/>
        </w:rPr>
      </w:pPr>
      <w:r>
        <w:rPr>
          <w:rFonts w:hint="eastAsia"/>
          <w:color w:val="auto"/>
        </w:rPr>
        <w:t>（2）校准失控的处置</w:t>
      </w:r>
    </w:p>
    <w:p w14:paraId="667E3E37">
      <w:pPr>
        <w:rPr>
          <w:rFonts w:hint="eastAsia"/>
          <w:color w:val="auto"/>
        </w:rPr>
      </w:pPr>
      <w:r>
        <w:rPr>
          <w:rFonts w:hint="eastAsia"/>
          <w:color w:val="auto"/>
        </w:rPr>
        <w:t>任何仪器或仪表发现过期没有校准，必须立即停止使用，送外部校准。</w:t>
      </w:r>
    </w:p>
    <w:p w14:paraId="1425B3B4">
      <w:pPr>
        <w:rPr>
          <w:rFonts w:hint="eastAsia"/>
          <w:color w:val="auto"/>
        </w:rPr>
      </w:pPr>
      <w:r>
        <w:rPr>
          <w:rFonts w:hint="eastAsia"/>
          <w:color w:val="auto"/>
        </w:rPr>
        <w:t>校准时发现仪器或仪表不符合要求时，通知管理者代表，应组织评定已检验和试验结果的有效性，评定结果应予以记录。所采取的措施应进行记录。</w:t>
      </w:r>
    </w:p>
    <w:p w14:paraId="056BAD34">
      <w:pPr>
        <w:rPr>
          <w:rFonts w:hint="eastAsia"/>
          <w:color w:val="auto"/>
        </w:rPr>
      </w:pPr>
      <w:r>
        <w:rPr>
          <w:rFonts w:hint="eastAsia"/>
          <w:color w:val="auto"/>
        </w:rPr>
        <w:t>新购进检测仪器，各实验室相关人员进行验收，合格后登记入库，同时按程序进行检定和校准，经校准合格后方可投入使用。</w:t>
      </w:r>
    </w:p>
    <w:p w14:paraId="0EE048D5">
      <w:pPr>
        <w:rPr>
          <w:rFonts w:hint="eastAsia"/>
          <w:color w:val="auto"/>
        </w:rPr>
      </w:pPr>
      <w:r>
        <w:rPr>
          <w:rFonts w:hint="eastAsia"/>
          <w:color w:val="auto"/>
        </w:rPr>
        <w:t>（3）设备的检定和维护计划</w:t>
      </w:r>
    </w:p>
    <w:p w14:paraId="4D56DBE9">
      <w:pPr>
        <w:rPr>
          <w:rFonts w:hint="eastAsia"/>
          <w:color w:val="auto"/>
        </w:rPr>
      </w:pPr>
      <w:r>
        <w:rPr>
          <w:rFonts w:hint="eastAsia"/>
          <w:color w:val="auto"/>
        </w:rPr>
        <w:t>根据所需检测、试验项目的要求，正确地选用符合测量所需准确度和精密度要求的实验、测量和试验设备。</w:t>
      </w:r>
    </w:p>
    <w:p w14:paraId="183F4CE5">
      <w:pPr>
        <w:rPr>
          <w:rFonts w:hint="eastAsia"/>
          <w:color w:val="auto"/>
        </w:rPr>
      </w:pPr>
      <w:r>
        <w:rPr>
          <w:rFonts w:hint="eastAsia"/>
          <w:color w:val="auto"/>
        </w:rPr>
        <w:t>所有用于实验、测量和试验的仪器、仪表都应登记上账，给出仪器的编号。</w:t>
      </w:r>
    </w:p>
    <w:p w14:paraId="4F759919">
      <w:pPr>
        <w:rPr>
          <w:rFonts w:hint="eastAsia"/>
          <w:color w:val="auto"/>
        </w:rPr>
      </w:pPr>
      <w:r>
        <w:rPr>
          <w:rFonts w:hint="eastAsia"/>
          <w:color w:val="auto"/>
        </w:rPr>
        <w:t>在外部校准的检测仪器清单上应清楚地反映该检测仪器的名称、仪器编号、准确度、校准机构及校准日期等。</w:t>
      </w:r>
    </w:p>
    <w:p w14:paraId="6D7F3EDA">
      <w:pPr>
        <w:rPr>
          <w:rFonts w:hint="eastAsia"/>
          <w:color w:val="auto"/>
        </w:rPr>
      </w:pPr>
      <w:r>
        <w:rPr>
          <w:rFonts w:hint="eastAsia"/>
          <w:color w:val="auto"/>
        </w:rPr>
        <w:t>检测设备需搬运或封存时，应有可靠的保护措施，确保其准确度和精密度完好。</w:t>
      </w:r>
    </w:p>
    <w:p w14:paraId="459B2B2E">
      <w:pPr>
        <w:rPr>
          <w:rFonts w:hint="eastAsia"/>
          <w:color w:val="auto"/>
        </w:rPr>
      </w:pPr>
      <w:r>
        <w:rPr>
          <w:rFonts w:hint="eastAsia"/>
          <w:color w:val="auto"/>
        </w:rPr>
        <w:t>所有检验、测量和试验设备应确保在适宜的环境下工作，特别是一些精密测试仪器，其测试数据的准确性受环境影响很大，如温度、湿度等，设备使用人员要采取措施确保环境适宜。</w:t>
      </w:r>
    </w:p>
    <w:p w14:paraId="6CD45275">
      <w:pPr>
        <w:rPr>
          <w:rFonts w:hint="eastAsia"/>
          <w:color w:val="auto"/>
        </w:rPr>
      </w:pPr>
      <w:r>
        <w:rPr>
          <w:rFonts w:hint="eastAsia"/>
          <w:color w:val="auto"/>
        </w:rPr>
        <w:t>现场管理人员和作业人员培训计划及持证上岗落实措施</w:t>
      </w:r>
    </w:p>
    <w:p w14:paraId="286C4F09">
      <w:pPr>
        <w:rPr>
          <w:rFonts w:hint="eastAsia"/>
          <w:color w:val="auto"/>
        </w:rPr>
      </w:pPr>
      <w:r>
        <w:rPr>
          <w:rFonts w:hint="eastAsia"/>
          <w:color w:val="auto"/>
        </w:rPr>
        <w:t>工程项目部所有管理、操作人员应经过业务知识、技能培训，并持证上岗，因无证操作造成工程质量不合格或出现质量事故的，除要追究直接责任外，还要追究分管领导的责任。</w:t>
      </w:r>
    </w:p>
    <w:p w14:paraId="5E20E1E9">
      <w:pPr>
        <w:rPr>
          <w:rFonts w:hint="eastAsia"/>
          <w:color w:val="auto"/>
        </w:rPr>
      </w:pPr>
      <w:r>
        <w:rPr>
          <w:rFonts w:hint="eastAsia"/>
          <w:color w:val="auto"/>
        </w:rPr>
        <w:t>培训采取企业内部组织培训、部分岗位外出培训及与有关单位联合办班相结合的形式。</w:t>
      </w:r>
    </w:p>
    <w:p w14:paraId="2E879916">
      <w:pPr>
        <w:rPr>
          <w:rFonts w:hint="eastAsia"/>
          <w:color w:val="auto"/>
        </w:rPr>
      </w:pPr>
      <w:bookmarkStart w:id="347" w:name="OLE_LINK6"/>
      <w:r>
        <w:rPr>
          <w:rFonts w:hint="eastAsia"/>
          <w:color w:val="auto"/>
        </w:rPr>
        <w:t>员工岗前常规培训由公司人力资源部负责实施，其他人员岗位任职培训与考核由国家考核部门负责实施。</w:t>
      </w:r>
    </w:p>
    <w:p w14:paraId="2308BAFC">
      <w:pPr>
        <w:rPr>
          <w:rFonts w:hint="eastAsia"/>
          <w:color w:val="auto"/>
        </w:rPr>
      </w:pPr>
      <w:r>
        <w:rPr>
          <w:rFonts w:hint="eastAsia"/>
          <w:color w:val="auto"/>
        </w:rPr>
        <w:t>岗位资格培训的形式采取理论与实践相结合的方法；考核形式采用口试、笔试与操作考核相结合的方法。</w:t>
      </w:r>
    </w:p>
    <w:p w14:paraId="20FA0ECB">
      <w:pPr>
        <w:rPr>
          <w:rFonts w:hint="eastAsia"/>
          <w:color w:val="auto"/>
        </w:rPr>
      </w:pPr>
      <w:r>
        <w:rPr>
          <w:rFonts w:hint="eastAsia"/>
          <w:color w:val="auto"/>
        </w:rPr>
        <w:t>质量档案记录的真实有效性、系统完整性、可控性和可塑性的保障措施</w:t>
      </w:r>
    </w:p>
    <w:p w14:paraId="341652E5">
      <w:pPr>
        <w:rPr>
          <w:rFonts w:hint="eastAsia"/>
          <w:color w:val="auto"/>
        </w:rPr>
      </w:pPr>
      <w:r>
        <w:rPr>
          <w:rFonts w:hint="eastAsia"/>
          <w:color w:val="auto"/>
        </w:rPr>
        <w:t>当天的资料当天完成，以保证资料的真实有效，各职能部门负责将形成的档案材料，对其分类、组卷，在规定时间内向资料员移交。资料管理员负责各部门材料的接收、归档、记录与管理。</w:t>
      </w:r>
    </w:p>
    <w:p w14:paraId="5776EA2A">
      <w:pPr>
        <w:rPr>
          <w:rFonts w:hint="eastAsia"/>
          <w:color w:val="auto"/>
        </w:rPr>
      </w:pPr>
      <w:r>
        <w:rPr>
          <w:rFonts w:hint="eastAsia"/>
          <w:color w:val="auto"/>
        </w:rPr>
        <w:t>移交档案材料按要求分类、组卷</w:t>
      </w:r>
      <w:bookmarkEnd w:id="347"/>
      <w:r>
        <w:rPr>
          <w:rFonts w:hint="eastAsia"/>
          <w:color w:val="auto"/>
        </w:rPr>
        <w:t>、编目、编号、归档。归档材料应严格按照要求整理，装订成册，编号入档，分类存放。</w:t>
      </w:r>
    </w:p>
    <w:p w14:paraId="2AE876FA">
      <w:pPr>
        <w:pStyle w:val="5"/>
        <w:rPr>
          <w:color w:val="auto"/>
        </w:rPr>
      </w:pPr>
      <w:bookmarkStart w:id="348" w:name="_Toc6887"/>
      <w:r>
        <w:rPr>
          <w:rFonts w:hint="eastAsia"/>
          <w:color w:val="auto"/>
        </w:rPr>
        <w:t>材料、成品、半成品的检验、计量、试验控制</w:t>
      </w:r>
      <w:bookmarkEnd w:id="348"/>
    </w:p>
    <w:p w14:paraId="33291A81">
      <w:pPr>
        <w:rPr>
          <w:color w:val="auto"/>
        </w:rPr>
      </w:pPr>
      <w:r>
        <w:rPr>
          <w:rFonts w:hint="eastAsia"/>
          <w:color w:val="auto"/>
        </w:rPr>
        <w:t>现场材料组织将根据施工进度计划及材料总体进场时间计划及时制定月、周、天材料需用计划，然后按照招标文件及合同条款约定、设计要求和标准规范要求进行采购，从质量上严格把关，必要时通过业主及有关部门审批。</w:t>
      </w:r>
    </w:p>
    <w:p w14:paraId="4AEA9DDB">
      <w:pPr>
        <w:rPr>
          <w:color w:val="auto"/>
        </w:rPr>
      </w:pPr>
      <w:r>
        <w:rPr>
          <w:rFonts w:hint="eastAsia"/>
          <w:color w:val="auto"/>
        </w:rPr>
        <w:t>原材料质量是工程总体质量目标实现的前提，大宗材料在采购前需先进行考察，选择信誉好、质量高、货源充足的厂家，然后向业主、监理单位申报并经审核程序确认。使用前须经业主、监理单位工地代表签字认可，进场的材料均需提供材料的质量保证书，并在现场进行见证取样送检测中心，试验合格后才能用于工程施工，不合格品将立即退货。</w:t>
      </w:r>
    </w:p>
    <w:p w14:paraId="25B6AFFB">
      <w:pPr>
        <w:rPr>
          <w:color w:val="auto"/>
        </w:rPr>
      </w:pPr>
      <w:r>
        <w:rPr>
          <w:rFonts w:hint="eastAsia"/>
          <w:color w:val="auto"/>
        </w:rPr>
        <w:t>（1）检验检测工作的原则</w:t>
      </w:r>
    </w:p>
    <w:p w14:paraId="6C89E65B">
      <w:pPr>
        <w:pStyle w:val="54"/>
        <w:rPr>
          <w:color w:val="auto"/>
        </w:rPr>
      </w:pPr>
      <w:r>
        <w:rPr>
          <w:rFonts w:hint="eastAsia"/>
          <w:color w:val="auto"/>
        </w:rPr>
        <w:t>检验检测工作的原则</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200"/>
        <w:gridCol w:w="7123"/>
      </w:tblGrid>
      <w:tr w14:paraId="244B5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07" w:type="pct"/>
          </w:tcPr>
          <w:p w14:paraId="0157176A">
            <w:pPr>
              <w:pStyle w:val="74"/>
              <w:rPr>
                <w:color w:val="auto"/>
              </w:rPr>
            </w:pPr>
            <w:r>
              <w:rPr>
                <w:rFonts w:hint="eastAsia"/>
                <w:color w:val="auto"/>
              </w:rPr>
              <w:t>序号</w:t>
            </w:r>
          </w:p>
        </w:tc>
        <w:tc>
          <w:tcPr>
            <w:tcW w:w="662" w:type="pct"/>
          </w:tcPr>
          <w:p w14:paraId="0529F5C8">
            <w:pPr>
              <w:pStyle w:val="74"/>
              <w:rPr>
                <w:color w:val="auto"/>
              </w:rPr>
            </w:pPr>
            <w:r>
              <w:rPr>
                <w:rFonts w:hint="eastAsia"/>
                <w:color w:val="auto"/>
              </w:rPr>
              <w:t>原则</w:t>
            </w:r>
          </w:p>
        </w:tc>
        <w:tc>
          <w:tcPr>
            <w:tcW w:w="3931" w:type="pct"/>
          </w:tcPr>
          <w:p w14:paraId="35C6BCF2">
            <w:pPr>
              <w:pStyle w:val="74"/>
              <w:rPr>
                <w:color w:val="auto"/>
              </w:rPr>
            </w:pPr>
            <w:r>
              <w:rPr>
                <w:rFonts w:hint="eastAsia"/>
                <w:color w:val="auto"/>
              </w:rPr>
              <w:t>内容</w:t>
            </w:r>
          </w:p>
        </w:tc>
      </w:tr>
      <w:tr w14:paraId="5AE6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7" w:type="pct"/>
            <w:vMerge w:val="restart"/>
            <w:vAlign w:val="center"/>
          </w:tcPr>
          <w:p w14:paraId="78C4EBAD">
            <w:pPr>
              <w:pStyle w:val="74"/>
              <w:rPr>
                <w:color w:val="auto"/>
              </w:rPr>
            </w:pPr>
            <w:r>
              <w:rPr>
                <w:rFonts w:hint="eastAsia"/>
                <w:color w:val="auto"/>
              </w:rPr>
              <w:t>1</w:t>
            </w:r>
          </w:p>
        </w:tc>
        <w:tc>
          <w:tcPr>
            <w:tcW w:w="662" w:type="pct"/>
            <w:vMerge w:val="restart"/>
            <w:vAlign w:val="center"/>
          </w:tcPr>
          <w:p w14:paraId="3592459B">
            <w:pPr>
              <w:pStyle w:val="74"/>
              <w:rPr>
                <w:color w:val="auto"/>
              </w:rPr>
            </w:pPr>
            <w:r>
              <w:rPr>
                <w:rFonts w:hint="eastAsia"/>
                <w:color w:val="auto"/>
              </w:rPr>
              <w:t>各负其职的原则</w:t>
            </w:r>
          </w:p>
        </w:tc>
        <w:tc>
          <w:tcPr>
            <w:tcW w:w="3931" w:type="pct"/>
          </w:tcPr>
          <w:p w14:paraId="47852B97">
            <w:pPr>
              <w:pStyle w:val="74"/>
              <w:rPr>
                <w:color w:val="auto"/>
              </w:rPr>
            </w:pPr>
            <w:r>
              <w:rPr>
                <w:rFonts w:hint="eastAsia"/>
                <w:color w:val="auto"/>
              </w:rPr>
              <w:t>技术总监负责对试验工作总体安排，明确各部门主要人员职责，并严格按职责奖惩。各专业建造总监在人力物力上支持试验工作。</w:t>
            </w:r>
          </w:p>
        </w:tc>
      </w:tr>
      <w:tr w14:paraId="1315B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07" w:type="pct"/>
            <w:vMerge w:val="continue"/>
            <w:vAlign w:val="center"/>
          </w:tcPr>
          <w:p w14:paraId="4ACD584E">
            <w:pPr>
              <w:pStyle w:val="74"/>
              <w:rPr>
                <w:color w:val="auto"/>
              </w:rPr>
            </w:pPr>
          </w:p>
        </w:tc>
        <w:tc>
          <w:tcPr>
            <w:tcW w:w="662" w:type="pct"/>
            <w:vMerge w:val="continue"/>
            <w:vAlign w:val="center"/>
          </w:tcPr>
          <w:p w14:paraId="42C196C8">
            <w:pPr>
              <w:pStyle w:val="74"/>
              <w:rPr>
                <w:color w:val="auto"/>
              </w:rPr>
            </w:pPr>
          </w:p>
        </w:tc>
        <w:tc>
          <w:tcPr>
            <w:tcW w:w="3931" w:type="pct"/>
          </w:tcPr>
          <w:p w14:paraId="17C24675">
            <w:pPr>
              <w:pStyle w:val="74"/>
              <w:rPr>
                <w:color w:val="auto"/>
              </w:rPr>
            </w:pPr>
            <w:r>
              <w:rPr>
                <w:rFonts w:hint="eastAsia"/>
                <w:color w:val="auto"/>
              </w:rPr>
              <w:t>物资部对供应物资的质量负责。</w:t>
            </w:r>
          </w:p>
        </w:tc>
      </w:tr>
      <w:tr w14:paraId="1F28B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7" w:type="pct"/>
            <w:vMerge w:val="continue"/>
            <w:vAlign w:val="center"/>
          </w:tcPr>
          <w:p w14:paraId="43B9163D">
            <w:pPr>
              <w:pStyle w:val="74"/>
              <w:rPr>
                <w:color w:val="auto"/>
              </w:rPr>
            </w:pPr>
          </w:p>
        </w:tc>
        <w:tc>
          <w:tcPr>
            <w:tcW w:w="662" w:type="pct"/>
            <w:vMerge w:val="continue"/>
            <w:vAlign w:val="center"/>
          </w:tcPr>
          <w:p w14:paraId="2E970AE9">
            <w:pPr>
              <w:pStyle w:val="74"/>
              <w:rPr>
                <w:color w:val="auto"/>
              </w:rPr>
            </w:pPr>
          </w:p>
        </w:tc>
        <w:tc>
          <w:tcPr>
            <w:tcW w:w="3931" w:type="pct"/>
          </w:tcPr>
          <w:p w14:paraId="738A63EF">
            <w:pPr>
              <w:pStyle w:val="74"/>
              <w:rPr>
                <w:color w:val="auto"/>
              </w:rPr>
            </w:pPr>
            <w:r>
              <w:rPr>
                <w:rFonts w:hint="eastAsia"/>
                <w:color w:val="auto"/>
              </w:rPr>
              <w:t>各专业施工部要对各自负责的专业施工质量负直接责任。</w:t>
            </w:r>
          </w:p>
        </w:tc>
      </w:tr>
      <w:tr w14:paraId="7E78C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7" w:type="pct"/>
            <w:vMerge w:val="restart"/>
            <w:vAlign w:val="center"/>
          </w:tcPr>
          <w:p w14:paraId="78527FF3">
            <w:pPr>
              <w:pStyle w:val="74"/>
              <w:rPr>
                <w:color w:val="auto"/>
              </w:rPr>
            </w:pPr>
            <w:r>
              <w:rPr>
                <w:rFonts w:hint="eastAsia"/>
                <w:color w:val="auto"/>
              </w:rPr>
              <w:t>2</w:t>
            </w:r>
          </w:p>
        </w:tc>
        <w:tc>
          <w:tcPr>
            <w:tcW w:w="662" w:type="pct"/>
            <w:vMerge w:val="restart"/>
            <w:vAlign w:val="center"/>
          </w:tcPr>
          <w:p w14:paraId="10037522">
            <w:pPr>
              <w:pStyle w:val="74"/>
              <w:rPr>
                <w:color w:val="auto"/>
              </w:rPr>
            </w:pPr>
            <w:r>
              <w:rPr>
                <w:rFonts w:hint="eastAsia"/>
                <w:color w:val="auto"/>
              </w:rPr>
              <w:t>委托试验原则</w:t>
            </w:r>
          </w:p>
        </w:tc>
        <w:tc>
          <w:tcPr>
            <w:tcW w:w="3931" w:type="pct"/>
          </w:tcPr>
          <w:p w14:paraId="6FB14389">
            <w:pPr>
              <w:pStyle w:val="74"/>
              <w:rPr>
                <w:color w:val="auto"/>
              </w:rPr>
            </w:pPr>
            <w:r>
              <w:rPr>
                <w:rFonts w:hint="eastAsia"/>
                <w:color w:val="auto"/>
              </w:rPr>
              <w:t>工程需要进行的试验项委托有资质能力的试验室进行试验。</w:t>
            </w:r>
          </w:p>
        </w:tc>
      </w:tr>
      <w:tr w14:paraId="685D4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7" w:type="pct"/>
            <w:vMerge w:val="continue"/>
          </w:tcPr>
          <w:p w14:paraId="79D31908">
            <w:pPr>
              <w:pStyle w:val="74"/>
              <w:rPr>
                <w:color w:val="auto"/>
              </w:rPr>
            </w:pPr>
          </w:p>
        </w:tc>
        <w:tc>
          <w:tcPr>
            <w:tcW w:w="662" w:type="pct"/>
            <w:vMerge w:val="continue"/>
          </w:tcPr>
          <w:p w14:paraId="3274426A">
            <w:pPr>
              <w:pStyle w:val="74"/>
              <w:rPr>
                <w:color w:val="auto"/>
              </w:rPr>
            </w:pPr>
          </w:p>
        </w:tc>
        <w:tc>
          <w:tcPr>
            <w:tcW w:w="3931" w:type="pct"/>
          </w:tcPr>
          <w:p w14:paraId="3124B5C0">
            <w:pPr>
              <w:pStyle w:val="74"/>
              <w:rPr>
                <w:color w:val="auto"/>
              </w:rPr>
            </w:pPr>
            <w:r>
              <w:rPr>
                <w:rFonts w:hint="eastAsia"/>
                <w:color w:val="auto"/>
              </w:rPr>
              <w:t>凡规定必须经复验的原材料，必须先委托试验，合格后才能使用的原则。</w:t>
            </w:r>
          </w:p>
        </w:tc>
      </w:tr>
    </w:tbl>
    <w:p w14:paraId="5D7B1EA0">
      <w:pPr>
        <w:rPr>
          <w:color w:val="auto"/>
        </w:rPr>
      </w:pPr>
      <w:r>
        <w:rPr>
          <w:rFonts w:hint="eastAsia"/>
          <w:color w:val="auto"/>
        </w:rPr>
        <w:t>（2）检验检测管理及内容</w:t>
      </w:r>
    </w:p>
    <w:p w14:paraId="5752D1B7">
      <w:pPr>
        <w:rPr>
          <w:color w:val="auto"/>
        </w:rPr>
      </w:pPr>
      <w:r>
        <w:rPr>
          <w:rFonts w:hint="eastAsia"/>
          <w:color w:val="auto"/>
        </w:rPr>
        <w:t>1）试验工作的管理</w:t>
      </w:r>
    </w:p>
    <w:p w14:paraId="1F444169">
      <w:pPr>
        <w:rPr>
          <w:color w:val="auto"/>
        </w:rPr>
      </w:pPr>
      <w:r>
        <w:rPr>
          <w:rFonts w:hint="eastAsia"/>
          <w:color w:val="auto"/>
        </w:rPr>
        <w:t>所有施工试验及进场原材料的复试必须在监理的监督下，见证试验，要求试验取样、制样必须有监理单位的见证人、试验人员或物资部及分包商试验人员共同参加。依照现行规范或招标人、监理的要求进行施工试验和进场原材料复试。非见证的复试试验，也严格按取样规定操作。</w:t>
      </w:r>
    </w:p>
    <w:p w14:paraId="188E0A26">
      <w:pPr>
        <w:rPr>
          <w:color w:val="auto"/>
        </w:rPr>
      </w:pPr>
      <w:r>
        <w:rPr>
          <w:rFonts w:hint="eastAsia"/>
          <w:color w:val="auto"/>
        </w:rPr>
        <w:t>2）试验工作的主要内容</w:t>
      </w:r>
    </w:p>
    <w:p w14:paraId="1C2825B4">
      <w:pPr>
        <w:rPr>
          <w:color w:val="auto"/>
        </w:rPr>
      </w:pPr>
      <w:r>
        <w:rPr>
          <w:rFonts w:hint="eastAsia"/>
          <w:color w:val="auto"/>
        </w:rPr>
        <w:t>根据本工程的实际情况，应有以下试验须作见证试验，主要试验内容如下。</w:t>
      </w:r>
    </w:p>
    <w:p w14:paraId="4B3B3252">
      <w:pPr>
        <w:pStyle w:val="54"/>
        <w:rPr>
          <w:color w:val="auto"/>
        </w:rPr>
      </w:pPr>
      <w:r>
        <w:rPr>
          <w:rFonts w:hint="eastAsia"/>
          <w:color w:val="auto"/>
        </w:rPr>
        <w:t>试验工作的主要内容</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1566"/>
        <w:gridCol w:w="6578"/>
      </w:tblGrid>
      <w:tr w14:paraId="60E1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06" w:type="pct"/>
            <w:vAlign w:val="center"/>
          </w:tcPr>
          <w:p w14:paraId="39065C04">
            <w:pPr>
              <w:pStyle w:val="74"/>
              <w:rPr>
                <w:color w:val="auto"/>
              </w:rPr>
            </w:pPr>
            <w:r>
              <w:rPr>
                <w:rFonts w:hint="eastAsia"/>
                <w:color w:val="auto"/>
              </w:rPr>
              <w:t>序号</w:t>
            </w:r>
          </w:p>
        </w:tc>
        <w:tc>
          <w:tcPr>
            <w:tcW w:w="864" w:type="pct"/>
            <w:vAlign w:val="center"/>
          </w:tcPr>
          <w:p w14:paraId="4404D254">
            <w:pPr>
              <w:pStyle w:val="74"/>
              <w:rPr>
                <w:color w:val="auto"/>
              </w:rPr>
            </w:pPr>
            <w:r>
              <w:rPr>
                <w:rFonts w:hint="eastAsia"/>
                <w:color w:val="auto"/>
              </w:rPr>
              <w:t>分类</w:t>
            </w:r>
          </w:p>
        </w:tc>
        <w:tc>
          <w:tcPr>
            <w:tcW w:w="3630" w:type="pct"/>
            <w:vAlign w:val="center"/>
          </w:tcPr>
          <w:p w14:paraId="0805C84C">
            <w:pPr>
              <w:pStyle w:val="74"/>
              <w:rPr>
                <w:color w:val="auto"/>
              </w:rPr>
            </w:pPr>
            <w:r>
              <w:rPr>
                <w:rFonts w:hint="eastAsia"/>
                <w:color w:val="auto"/>
              </w:rPr>
              <w:t>试验内容</w:t>
            </w:r>
          </w:p>
        </w:tc>
      </w:tr>
      <w:tr w14:paraId="5EAAE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4CF6FCFC">
            <w:pPr>
              <w:pStyle w:val="74"/>
              <w:rPr>
                <w:color w:val="auto"/>
              </w:rPr>
            </w:pPr>
            <w:r>
              <w:rPr>
                <w:rFonts w:hint="eastAsia"/>
                <w:color w:val="auto"/>
              </w:rPr>
              <w:t>1</w:t>
            </w:r>
          </w:p>
        </w:tc>
        <w:tc>
          <w:tcPr>
            <w:tcW w:w="864" w:type="pct"/>
            <w:vMerge w:val="restart"/>
            <w:vAlign w:val="center"/>
          </w:tcPr>
          <w:p w14:paraId="3A543D18">
            <w:pPr>
              <w:pStyle w:val="74"/>
              <w:rPr>
                <w:color w:val="auto"/>
              </w:rPr>
            </w:pPr>
            <w:r>
              <w:rPr>
                <w:rFonts w:hint="eastAsia"/>
                <w:color w:val="auto"/>
              </w:rPr>
              <w:t>钢筋工程</w:t>
            </w:r>
          </w:p>
        </w:tc>
        <w:tc>
          <w:tcPr>
            <w:tcW w:w="3630" w:type="pct"/>
            <w:vAlign w:val="center"/>
          </w:tcPr>
          <w:p w14:paraId="4CB88AA0">
            <w:pPr>
              <w:pStyle w:val="74"/>
              <w:rPr>
                <w:color w:val="auto"/>
              </w:rPr>
            </w:pPr>
            <w:r>
              <w:rPr>
                <w:rFonts w:hint="eastAsia"/>
                <w:color w:val="auto"/>
              </w:rPr>
              <w:t>钢筋原材料进场复试取样、送检</w:t>
            </w:r>
          </w:p>
        </w:tc>
      </w:tr>
      <w:tr w14:paraId="166BE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5E26C7DC">
            <w:pPr>
              <w:pStyle w:val="74"/>
              <w:rPr>
                <w:color w:val="auto"/>
              </w:rPr>
            </w:pPr>
            <w:r>
              <w:rPr>
                <w:rFonts w:hint="eastAsia"/>
                <w:color w:val="auto"/>
              </w:rPr>
              <w:t>2</w:t>
            </w:r>
          </w:p>
        </w:tc>
        <w:tc>
          <w:tcPr>
            <w:tcW w:w="864" w:type="pct"/>
            <w:vMerge w:val="continue"/>
            <w:vAlign w:val="center"/>
          </w:tcPr>
          <w:p w14:paraId="10CE2F92">
            <w:pPr>
              <w:pStyle w:val="74"/>
              <w:rPr>
                <w:color w:val="auto"/>
              </w:rPr>
            </w:pPr>
          </w:p>
        </w:tc>
        <w:tc>
          <w:tcPr>
            <w:tcW w:w="3630" w:type="pct"/>
            <w:vAlign w:val="center"/>
          </w:tcPr>
          <w:p w14:paraId="5103B60D">
            <w:pPr>
              <w:pStyle w:val="74"/>
              <w:rPr>
                <w:color w:val="auto"/>
              </w:rPr>
            </w:pPr>
            <w:r>
              <w:rPr>
                <w:rFonts w:hint="eastAsia"/>
                <w:color w:val="auto"/>
              </w:rPr>
              <w:t>钢筋直螺纹连接取样、送检</w:t>
            </w:r>
          </w:p>
        </w:tc>
      </w:tr>
      <w:tr w14:paraId="49F9A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4537C64E">
            <w:pPr>
              <w:pStyle w:val="74"/>
              <w:rPr>
                <w:color w:val="auto"/>
              </w:rPr>
            </w:pPr>
            <w:r>
              <w:rPr>
                <w:rFonts w:hint="eastAsia"/>
                <w:color w:val="auto"/>
              </w:rPr>
              <w:t>3</w:t>
            </w:r>
          </w:p>
        </w:tc>
        <w:tc>
          <w:tcPr>
            <w:tcW w:w="864" w:type="pct"/>
            <w:vMerge w:val="continue"/>
            <w:vAlign w:val="center"/>
          </w:tcPr>
          <w:p w14:paraId="07BF6885">
            <w:pPr>
              <w:pStyle w:val="74"/>
              <w:rPr>
                <w:color w:val="auto"/>
              </w:rPr>
            </w:pPr>
          </w:p>
        </w:tc>
        <w:tc>
          <w:tcPr>
            <w:tcW w:w="3630" w:type="pct"/>
            <w:vAlign w:val="center"/>
          </w:tcPr>
          <w:p w14:paraId="5519630C">
            <w:pPr>
              <w:pStyle w:val="74"/>
              <w:rPr>
                <w:color w:val="auto"/>
              </w:rPr>
            </w:pPr>
            <w:r>
              <w:rPr>
                <w:rFonts w:hint="eastAsia"/>
                <w:color w:val="auto"/>
              </w:rPr>
              <w:t>钢筋焊接接头取样、送检</w:t>
            </w:r>
          </w:p>
        </w:tc>
      </w:tr>
      <w:tr w14:paraId="4E9A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0A97421B">
            <w:pPr>
              <w:pStyle w:val="74"/>
              <w:rPr>
                <w:color w:val="auto"/>
              </w:rPr>
            </w:pPr>
            <w:r>
              <w:rPr>
                <w:rFonts w:hint="eastAsia"/>
                <w:color w:val="auto"/>
              </w:rPr>
              <w:t>4</w:t>
            </w:r>
          </w:p>
        </w:tc>
        <w:tc>
          <w:tcPr>
            <w:tcW w:w="864" w:type="pct"/>
            <w:vMerge w:val="restart"/>
            <w:vAlign w:val="center"/>
          </w:tcPr>
          <w:p w14:paraId="67CFB250">
            <w:pPr>
              <w:pStyle w:val="74"/>
              <w:rPr>
                <w:color w:val="auto"/>
              </w:rPr>
            </w:pPr>
            <w:r>
              <w:rPr>
                <w:rFonts w:hint="eastAsia"/>
                <w:color w:val="auto"/>
              </w:rPr>
              <w:t>混凝土工程</w:t>
            </w:r>
          </w:p>
        </w:tc>
        <w:tc>
          <w:tcPr>
            <w:tcW w:w="3630" w:type="pct"/>
            <w:vAlign w:val="center"/>
          </w:tcPr>
          <w:p w14:paraId="25F8A338">
            <w:pPr>
              <w:pStyle w:val="74"/>
              <w:rPr>
                <w:color w:val="auto"/>
              </w:rPr>
            </w:pPr>
            <w:r>
              <w:rPr>
                <w:rFonts w:hint="eastAsia"/>
                <w:color w:val="auto"/>
              </w:rPr>
              <w:t>混凝土坍落度测试</w:t>
            </w:r>
          </w:p>
        </w:tc>
      </w:tr>
      <w:tr w14:paraId="4E0A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166EBF2C">
            <w:pPr>
              <w:pStyle w:val="74"/>
              <w:rPr>
                <w:color w:val="auto"/>
              </w:rPr>
            </w:pPr>
            <w:r>
              <w:rPr>
                <w:rFonts w:hint="eastAsia"/>
                <w:color w:val="auto"/>
              </w:rPr>
              <w:t>5</w:t>
            </w:r>
          </w:p>
        </w:tc>
        <w:tc>
          <w:tcPr>
            <w:tcW w:w="864" w:type="pct"/>
            <w:vMerge w:val="continue"/>
            <w:vAlign w:val="center"/>
          </w:tcPr>
          <w:p w14:paraId="31A8B4FB">
            <w:pPr>
              <w:pStyle w:val="74"/>
              <w:rPr>
                <w:color w:val="auto"/>
              </w:rPr>
            </w:pPr>
          </w:p>
        </w:tc>
        <w:tc>
          <w:tcPr>
            <w:tcW w:w="3630" w:type="pct"/>
            <w:vAlign w:val="center"/>
          </w:tcPr>
          <w:p w14:paraId="3033CB4A">
            <w:pPr>
              <w:pStyle w:val="74"/>
              <w:rPr>
                <w:color w:val="auto"/>
              </w:rPr>
            </w:pPr>
            <w:r>
              <w:rPr>
                <w:rFonts w:hint="eastAsia"/>
                <w:color w:val="auto"/>
              </w:rPr>
              <w:t>混凝土抗压试块制取、成型、养护、送检</w:t>
            </w:r>
          </w:p>
        </w:tc>
      </w:tr>
      <w:tr w14:paraId="12673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08F6158D">
            <w:pPr>
              <w:pStyle w:val="74"/>
              <w:rPr>
                <w:color w:val="auto"/>
              </w:rPr>
            </w:pPr>
            <w:r>
              <w:rPr>
                <w:rFonts w:hint="eastAsia"/>
                <w:color w:val="auto"/>
              </w:rPr>
              <w:t>6</w:t>
            </w:r>
          </w:p>
        </w:tc>
        <w:tc>
          <w:tcPr>
            <w:tcW w:w="864" w:type="pct"/>
            <w:vMerge w:val="continue"/>
            <w:vAlign w:val="center"/>
          </w:tcPr>
          <w:p w14:paraId="63A56822">
            <w:pPr>
              <w:pStyle w:val="74"/>
              <w:rPr>
                <w:color w:val="auto"/>
              </w:rPr>
            </w:pPr>
          </w:p>
        </w:tc>
        <w:tc>
          <w:tcPr>
            <w:tcW w:w="3630" w:type="pct"/>
            <w:vAlign w:val="center"/>
          </w:tcPr>
          <w:p w14:paraId="5B98DD1B">
            <w:pPr>
              <w:pStyle w:val="74"/>
              <w:rPr>
                <w:color w:val="auto"/>
              </w:rPr>
            </w:pPr>
            <w:r>
              <w:rPr>
                <w:rFonts w:hint="eastAsia"/>
                <w:color w:val="auto"/>
              </w:rPr>
              <w:t>混凝土抗渗试块制取、成型、养护、送检</w:t>
            </w:r>
          </w:p>
        </w:tc>
      </w:tr>
      <w:tr w14:paraId="1AF0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1DF0AB66">
            <w:pPr>
              <w:pStyle w:val="74"/>
              <w:rPr>
                <w:color w:val="auto"/>
              </w:rPr>
            </w:pPr>
            <w:r>
              <w:rPr>
                <w:color w:val="auto"/>
              </w:rPr>
              <w:t>7</w:t>
            </w:r>
          </w:p>
        </w:tc>
        <w:tc>
          <w:tcPr>
            <w:tcW w:w="864" w:type="pct"/>
            <w:vMerge w:val="restart"/>
            <w:vAlign w:val="center"/>
          </w:tcPr>
          <w:p w14:paraId="34EC250C">
            <w:pPr>
              <w:pStyle w:val="74"/>
              <w:rPr>
                <w:color w:val="auto"/>
              </w:rPr>
            </w:pPr>
            <w:r>
              <w:rPr>
                <w:rFonts w:hint="eastAsia"/>
                <w:color w:val="auto"/>
              </w:rPr>
              <w:t>机电工程</w:t>
            </w:r>
          </w:p>
        </w:tc>
        <w:tc>
          <w:tcPr>
            <w:tcW w:w="3630" w:type="pct"/>
            <w:vAlign w:val="center"/>
          </w:tcPr>
          <w:p w14:paraId="625611A7">
            <w:pPr>
              <w:pStyle w:val="74"/>
              <w:rPr>
                <w:color w:val="auto"/>
              </w:rPr>
            </w:pPr>
            <w:r>
              <w:rPr>
                <w:rFonts w:hint="eastAsia"/>
                <w:color w:val="auto"/>
              </w:rPr>
              <w:t>管道取样、送检</w:t>
            </w:r>
          </w:p>
        </w:tc>
      </w:tr>
      <w:tr w14:paraId="6A33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083FCF03">
            <w:pPr>
              <w:pStyle w:val="74"/>
              <w:rPr>
                <w:color w:val="auto"/>
              </w:rPr>
            </w:pPr>
            <w:r>
              <w:rPr>
                <w:color w:val="auto"/>
              </w:rPr>
              <w:t>8</w:t>
            </w:r>
          </w:p>
        </w:tc>
        <w:tc>
          <w:tcPr>
            <w:tcW w:w="864" w:type="pct"/>
            <w:vMerge w:val="continue"/>
            <w:vAlign w:val="center"/>
          </w:tcPr>
          <w:p w14:paraId="12F55898">
            <w:pPr>
              <w:pStyle w:val="74"/>
              <w:rPr>
                <w:color w:val="auto"/>
              </w:rPr>
            </w:pPr>
          </w:p>
        </w:tc>
        <w:tc>
          <w:tcPr>
            <w:tcW w:w="3630" w:type="pct"/>
            <w:vAlign w:val="center"/>
          </w:tcPr>
          <w:p w14:paraId="69548307">
            <w:pPr>
              <w:pStyle w:val="74"/>
              <w:rPr>
                <w:color w:val="auto"/>
              </w:rPr>
            </w:pPr>
            <w:r>
              <w:rPr>
                <w:rFonts w:hint="eastAsia"/>
                <w:color w:val="auto"/>
              </w:rPr>
              <w:t>阀门取样、送检</w:t>
            </w:r>
          </w:p>
        </w:tc>
      </w:tr>
      <w:tr w14:paraId="32D5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569430CC">
            <w:pPr>
              <w:pStyle w:val="74"/>
              <w:rPr>
                <w:color w:val="auto"/>
              </w:rPr>
            </w:pPr>
            <w:r>
              <w:rPr>
                <w:color w:val="auto"/>
              </w:rPr>
              <w:t>9</w:t>
            </w:r>
          </w:p>
        </w:tc>
        <w:tc>
          <w:tcPr>
            <w:tcW w:w="864" w:type="pct"/>
            <w:vMerge w:val="continue"/>
            <w:vAlign w:val="center"/>
          </w:tcPr>
          <w:p w14:paraId="0E20D548">
            <w:pPr>
              <w:pStyle w:val="74"/>
              <w:rPr>
                <w:color w:val="auto"/>
              </w:rPr>
            </w:pPr>
          </w:p>
        </w:tc>
        <w:tc>
          <w:tcPr>
            <w:tcW w:w="3630" w:type="pct"/>
            <w:vAlign w:val="center"/>
          </w:tcPr>
          <w:p w14:paraId="1CA2F676">
            <w:pPr>
              <w:pStyle w:val="74"/>
              <w:rPr>
                <w:color w:val="auto"/>
              </w:rPr>
            </w:pPr>
            <w:r>
              <w:rPr>
                <w:rFonts w:hint="eastAsia"/>
                <w:color w:val="auto"/>
              </w:rPr>
              <w:t>电线取样、送检</w:t>
            </w:r>
          </w:p>
        </w:tc>
      </w:tr>
      <w:tr w14:paraId="5EC62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50687D4D">
            <w:pPr>
              <w:pStyle w:val="74"/>
              <w:rPr>
                <w:color w:val="auto"/>
              </w:rPr>
            </w:pPr>
            <w:r>
              <w:rPr>
                <w:color w:val="auto"/>
              </w:rPr>
              <w:t>10</w:t>
            </w:r>
          </w:p>
        </w:tc>
        <w:tc>
          <w:tcPr>
            <w:tcW w:w="864" w:type="pct"/>
            <w:vMerge w:val="restart"/>
            <w:vAlign w:val="center"/>
          </w:tcPr>
          <w:p w14:paraId="539BC53E">
            <w:pPr>
              <w:pStyle w:val="74"/>
              <w:rPr>
                <w:color w:val="auto"/>
              </w:rPr>
            </w:pPr>
            <w:r>
              <w:rPr>
                <w:rFonts w:hint="eastAsia"/>
                <w:color w:val="auto"/>
              </w:rPr>
              <w:t>其它工程</w:t>
            </w:r>
          </w:p>
        </w:tc>
        <w:tc>
          <w:tcPr>
            <w:tcW w:w="3630" w:type="pct"/>
            <w:vAlign w:val="center"/>
          </w:tcPr>
          <w:p w14:paraId="19EAC64D">
            <w:pPr>
              <w:pStyle w:val="74"/>
              <w:rPr>
                <w:color w:val="auto"/>
              </w:rPr>
            </w:pPr>
            <w:r>
              <w:rPr>
                <w:rFonts w:hint="eastAsia"/>
                <w:color w:val="auto"/>
              </w:rPr>
              <w:t>回填土干密度取样、试验</w:t>
            </w:r>
          </w:p>
        </w:tc>
      </w:tr>
      <w:tr w14:paraId="0558F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728F172E">
            <w:pPr>
              <w:pStyle w:val="74"/>
              <w:rPr>
                <w:color w:val="auto"/>
              </w:rPr>
            </w:pPr>
            <w:r>
              <w:rPr>
                <w:color w:val="auto"/>
              </w:rPr>
              <w:t>11</w:t>
            </w:r>
          </w:p>
        </w:tc>
        <w:tc>
          <w:tcPr>
            <w:tcW w:w="864" w:type="pct"/>
            <w:vMerge w:val="continue"/>
            <w:vAlign w:val="center"/>
          </w:tcPr>
          <w:p w14:paraId="76793C3D">
            <w:pPr>
              <w:pStyle w:val="74"/>
              <w:rPr>
                <w:color w:val="auto"/>
              </w:rPr>
            </w:pPr>
          </w:p>
        </w:tc>
        <w:tc>
          <w:tcPr>
            <w:tcW w:w="3630" w:type="pct"/>
            <w:vAlign w:val="center"/>
          </w:tcPr>
          <w:p w14:paraId="2408EC2B">
            <w:pPr>
              <w:pStyle w:val="74"/>
              <w:rPr>
                <w:color w:val="auto"/>
              </w:rPr>
            </w:pPr>
            <w:r>
              <w:rPr>
                <w:rFonts w:hint="eastAsia"/>
                <w:color w:val="auto"/>
              </w:rPr>
              <w:t>土壤击实试验取样、送检</w:t>
            </w:r>
          </w:p>
        </w:tc>
      </w:tr>
      <w:tr w14:paraId="769E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414CA4E3">
            <w:pPr>
              <w:pStyle w:val="74"/>
              <w:rPr>
                <w:color w:val="auto"/>
              </w:rPr>
            </w:pPr>
            <w:r>
              <w:rPr>
                <w:color w:val="auto"/>
              </w:rPr>
              <w:t>12</w:t>
            </w:r>
          </w:p>
        </w:tc>
        <w:tc>
          <w:tcPr>
            <w:tcW w:w="864" w:type="pct"/>
            <w:vMerge w:val="continue"/>
            <w:vAlign w:val="center"/>
          </w:tcPr>
          <w:p w14:paraId="345E73F4">
            <w:pPr>
              <w:pStyle w:val="74"/>
              <w:rPr>
                <w:color w:val="auto"/>
              </w:rPr>
            </w:pPr>
          </w:p>
        </w:tc>
        <w:tc>
          <w:tcPr>
            <w:tcW w:w="3630" w:type="pct"/>
            <w:vAlign w:val="center"/>
          </w:tcPr>
          <w:p w14:paraId="2693292A">
            <w:pPr>
              <w:pStyle w:val="74"/>
              <w:rPr>
                <w:color w:val="auto"/>
              </w:rPr>
            </w:pPr>
            <w:r>
              <w:rPr>
                <w:rFonts w:hint="eastAsia"/>
                <w:color w:val="auto"/>
              </w:rPr>
              <w:t>砌筑砂浆试块制取、成型、养护、送检</w:t>
            </w:r>
          </w:p>
        </w:tc>
      </w:tr>
      <w:tr w14:paraId="00C6E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4C2B4B96">
            <w:pPr>
              <w:pStyle w:val="74"/>
              <w:rPr>
                <w:color w:val="auto"/>
              </w:rPr>
            </w:pPr>
            <w:r>
              <w:rPr>
                <w:color w:val="auto"/>
              </w:rPr>
              <w:t>13</w:t>
            </w:r>
          </w:p>
        </w:tc>
        <w:tc>
          <w:tcPr>
            <w:tcW w:w="864" w:type="pct"/>
            <w:vMerge w:val="continue"/>
            <w:vAlign w:val="center"/>
          </w:tcPr>
          <w:p w14:paraId="33FF84A5">
            <w:pPr>
              <w:pStyle w:val="74"/>
              <w:rPr>
                <w:color w:val="auto"/>
              </w:rPr>
            </w:pPr>
          </w:p>
        </w:tc>
        <w:tc>
          <w:tcPr>
            <w:tcW w:w="3630" w:type="pct"/>
            <w:vAlign w:val="center"/>
          </w:tcPr>
          <w:p w14:paraId="6C908EE5">
            <w:pPr>
              <w:pStyle w:val="74"/>
              <w:rPr>
                <w:color w:val="auto"/>
              </w:rPr>
            </w:pPr>
            <w:r>
              <w:rPr>
                <w:rFonts w:hint="eastAsia"/>
                <w:color w:val="auto"/>
              </w:rPr>
              <w:t>砌体材料进场复试取样、送检</w:t>
            </w:r>
          </w:p>
        </w:tc>
      </w:tr>
      <w:tr w14:paraId="77C77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69E71C97">
            <w:pPr>
              <w:pStyle w:val="74"/>
              <w:rPr>
                <w:color w:val="auto"/>
              </w:rPr>
            </w:pPr>
            <w:r>
              <w:rPr>
                <w:color w:val="auto"/>
              </w:rPr>
              <w:t>14</w:t>
            </w:r>
          </w:p>
        </w:tc>
        <w:tc>
          <w:tcPr>
            <w:tcW w:w="864" w:type="pct"/>
            <w:vMerge w:val="continue"/>
            <w:vAlign w:val="center"/>
          </w:tcPr>
          <w:p w14:paraId="6240C5A4">
            <w:pPr>
              <w:pStyle w:val="74"/>
              <w:rPr>
                <w:color w:val="auto"/>
              </w:rPr>
            </w:pPr>
          </w:p>
        </w:tc>
        <w:tc>
          <w:tcPr>
            <w:tcW w:w="3630" w:type="pct"/>
            <w:vAlign w:val="center"/>
          </w:tcPr>
          <w:p w14:paraId="69EB0263">
            <w:pPr>
              <w:pStyle w:val="74"/>
              <w:rPr>
                <w:color w:val="auto"/>
              </w:rPr>
            </w:pPr>
            <w:r>
              <w:rPr>
                <w:rFonts w:hint="eastAsia"/>
                <w:color w:val="auto"/>
              </w:rPr>
              <w:t>防水、保温材料进场复试取样、送检</w:t>
            </w:r>
          </w:p>
        </w:tc>
      </w:tr>
      <w:tr w14:paraId="7032B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3A943A17">
            <w:pPr>
              <w:pStyle w:val="74"/>
              <w:rPr>
                <w:color w:val="auto"/>
              </w:rPr>
            </w:pPr>
            <w:r>
              <w:rPr>
                <w:color w:val="auto"/>
              </w:rPr>
              <w:t>15</w:t>
            </w:r>
          </w:p>
        </w:tc>
        <w:tc>
          <w:tcPr>
            <w:tcW w:w="864" w:type="pct"/>
            <w:vMerge w:val="continue"/>
            <w:vAlign w:val="center"/>
          </w:tcPr>
          <w:p w14:paraId="63856696">
            <w:pPr>
              <w:pStyle w:val="74"/>
              <w:rPr>
                <w:color w:val="auto"/>
              </w:rPr>
            </w:pPr>
          </w:p>
        </w:tc>
        <w:tc>
          <w:tcPr>
            <w:tcW w:w="3630" w:type="pct"/>
            <w:vAlign w:val="center"/>
          </w:tcPr>
          <w:p w14:paraId="0FBD675B">
            <w:pPr>
              <w:pStyle w:val="74"/>
              <w:rPr>
                <w:color w:val="auto"/>
              </w:rPr>
            </w:pPr>
            <w:r>
              <w:rPr>
                <w:rFonts w:hint="eastAsia"/>
                <w:color w:val="auto"/>
              </w:rPr>
              <w:t>各类装饰材料试验</w:t>
            </w:r>
          </w:p>
        </w:tc>
      </w:tr>
      <w:tr w14:paraId="616FE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6" w:type="pct"/>
            <w:vAlign w:val="center"/>
          </w:tcPr>
          <w:p w14:paraId="65F83949">
            <w:pPr>
              <w:pStyle w:val="74"/>
              <w:rPr>
                <w:color w:val="auto"/>
              </w:rPr>
            </w:pPr>
            <w:r>
              <w:rPr>
                <w:color w:val="auto"/>
              </w:rPr>
              <w:t>16</w:t>
            </w:r>
          </w:p>
        </w:tc>
        <w:tc>
          <w:tcPr>
            <w:tcW w:w="864" w:type="pct"/>
            <w:vMerge w:val="continue"/>
            <w:vAlign w:val="center"/>
          </w:tcPr>
          <w:p w14:paraId="7EBA8CD8">
            <w:pPr>
              <w:pStyle w:val="74"/>
              <w:rPr>
                <w:color w:val="auto"/>
              </w:rPr>
            </w:pPr>
          </w:p>
        </w:tc>
        <w:tc>
          <w:tcPr>
            <w:tcW w:w="3630" w:type="pct"/>
            <w:vAlign w:val="center"/>
          </w:tcPr>
          <w:p w14:paraId="55BA26D0">
            <w:pPr>
              <w:pStyle w:val="74"/>
              <w:rPr>
                <w:color w:val="auto"/>
              </w:rPr>
            </w:pPr>
            <w:r>
              <w:rPr>
                <w:rFonts w:hint="eastAsia"/>
                <w:color w:val="auto"/>
              </w:rPr>
              <w:t>检测设备的定期送检</w:t>
            </w:r>
          </w:p>
        </w:tc>
      </w:tr>
    </w:tbl>
    <w:p w14:paraId="1DD3BCA4">
      <w:pPr>
        <w:rPr>
          <w:color w:val="auto"/>
        </w:rPr>
      </w:pPr>
      <w:r>
        <w:rPr>
          <w:rFonts w:hint="eastAsia"/>
          <w:color w:val="auto"/>
        </w:rPr>
        <w:t>3）主要试验资料</w:t>
      </w:r>
    </w:p>
    <w:p w14:paraId="5EF88F02">
      <w:pPr>
        <w:rPr>
          <w:color w:val="auto"/>
        </w:rPr>
      </w:pPr>
      <w:r>
        <w:rPr>
          <w:rFonts w:hint="eastAsia"/>
          <w:color w:val="auto"/>
        </w:rPr>
        <w:t>试验委托单、委托登记台帐、试验记录、试验台帐、试验报告、专项试验报告单、不合格材料台帐。</w:t>
      </w:r>
    </w:p>
    <w:p w14:paraId="009318BF">
      <w:pPr>
        <w:pStyle w:val="5"/>
        <w:rPr>
          <w:color w:val="auto"/>
        </w:rPr>
      </w:pPr>
      <w:bookmarkStart w:id="349" w:name="_Toc8891"/>
      <w:r>
        <w:rPr>
          <w:rFonts w:hint="eastAsia"/>
          <w:color w:val="auto"/>
        </w:rPr>
        <w:t>采购要素的控制</w:t>
      </w:r>
      <w:bookmarkEnd w:id="349"/>
    </w:p>
    <w:p w14:paraId="262902C6">
      <w:pPr>
        <w:pStyle w:val="6"/>
        <w:ind w:firstLine="480"/>
        <w:rPr>
          <w:color w:val="auto"/>
        </w:rPr>
      </w:pPr>
      <w:r>
        <w:rPr>
          <w:rFonts w:hint="eastAsia"/>
          <w:color w:val="auto"/>
        </w:rPr>
        <w:t>施工材料供应计划</w:t>
      </w:r>
    </w:p>
    <w:p w14:paraId="0E5C1FEE">
      <w:pPr>
        <w:rPr>
          <w:color w:val="auto"/>
        </w:rPr>
      </w:pPr>
      <w:r>
        <w:rPr>
          <w:rFonts w:hint="eastAsia"/>
          <w:color w:val="auto"/>
        </w:rPr>
        <w:t>通过编制本工程的施工图预算，对工程施工所用工程材料总量进行汇总，使用部门根据施工进度计划编制材料使用总计划、月计划，并于每月5日前向物资部门提交下月各种材料、设备需用计划，确定现场所需各种材料设备的最迟进场时间。</w:t>
      </w:r>
    </w:p>
    <w:p w14:paraId="7F419CB3">
      <w:pPr>
        <w:rPr>
          <w:color w:val="auto"/>
        </w:rPr>
      </w:pPr>
      <w:r>
        <w:rPr>
          <w:rFonts w:hint="eastAsia"/>
          <w:color w:val="auto"/>
        </w:rPr>
        <w:t>对于采购周期较长的物资，需提前提交需用计划，以便物资部门根据各种需用计划编制采购计划，并做好物资采购前的各项准备工作，包括询价、报批、定货加工等。</w:t>
      </w:r>
    </w:p>
    <w:p w14:paraId="1325802B">
      <w:pPr>
        <w:rPr>
          <w:color w:val="auto"/>
        </w:rPr>
      </w:pPr>
      <w:r>
        <w:rPr>
          <w:rFonts w:hint="eastAsia"/>
          <w:color w:val="auto"/>
        </w:rPr>
        <w:t>我司总部将全方位为项目服务，服务的内容有：项目全面享用总部采购网络平台，向项目派出精通业务的人员协助项目物资部建立物资采购、现场材料管理的标准流程和程序。</w:t>
      </w:r>
    </w:p>
    <w:p w14:paraId="20B2BA87">
      <w:pPr>
        <w:pStyle w:val="6"/>
        <w:ind w:firstLine="480"/>
        <w:rPr>
          <w:color w:val="auto"/>
        </w:rPr>
      </w:pPr>
      <w:r>
        <w:rPr>
          <w:rFonts w:hint="eastAsia"/>
          <w:color w:val="auto"/>
        </w:rPr>
        <w:t>考察、确定合格供货商</w:t>
      </w:r>
    </w:p>
    <w:p w14:paraId="03AA9CC5">
      <w:pPr>
        <w:rPr>
          <w:color w:val="auto"/>
        </w:rPr>
      </w:pPr>
      <w:r>
        <w:rPr>
          <w:rFonts w:hint="eastAsia"/>
          <w:color w:val="auto"/>
        </w:rPr>
        <w:t>我司拥有完善的材料供货商服务网络及大批重合同、守信用、有实力的材料供货商，拥有物资设备资格证书，能保证工程所需物资及时进场。</w:t>
      </w:r>
    </w:p>
    <w:p w14:paraId="434CEF3C">
      <w:pPr>
        <w:rPr>
          <w:color w:val="auto"/>
        </w:rPr>
      </w:pPr>
      <w:r>
        <w:rPr>
          <w:rFonts w:hint="eastAsia"/>
          <w:color w:val="auto"/>
        </w:rPr>
        <w:t>根据材料采购和进场计划，物资部门将对相应材料供货商进行资质审查和实地考察，选定合格供货商。</w:t>
      </w:r>
    </w:p>
    <w:p w14:paraId="79829714">
      <w:pPr>
        <w:rPr>
          <w:color w:val="auto"/>
        </w:rPr>
      </w:pPr>
      <w:r>
        <w:rPr>
          <w:rFonts w:hint="eastAsia"/>
          <w:color w:val="auto"/>
        </w:rPr>
        <w:t>考察的内容包括生产状况、人员状况、原料来源、机械设备产品应用情况，对供应商的质量保证能力审核，对供应商支付能力和提供保险、保函能力的调查。</w:t>
      </w:r>
    </w:p>
    <w:p w14:paraId="21EAC2A5">
      <w:pPr>
        <w:rPr>
          <w:color w:val="auto"/>
        </w:rPr>
      </w:pPr>
      <w:r>
        <w:rPr>
          <w:rFonts w:hint="eastAsia"/>
          <w:color w:val="auto"/>
        </w:rPr>
        <w:t>对供货商的选择，原则上至少邀请4家供货商参加投标或报价，特殊情况下可采取独家议标（但事先应获取项目经理的批准）。供货商选择的全部记录资料由相关部门负责保存。</w:t>
      </w:r>
    </w:p>
    <w:p w14:paraId="4639E877">
      <w:pPr>
        <w:rPr>
          <w:color w:val="auto"/>
        </w:rPr>
      </w:pPr>
      <w:r>
        <w:rPr>
          <w:rFonts w:hint="eastAsia"/>
          <w:color w:val="auto"/>
        </w:rPr>
        <w:t>在订购各种材料前，向业主代表、工程监理呈示有关样本并附上该材料的材质证明书、出厂合格证及生产厂家资质等相关资料，经业主代表、监理审批通过后方与材料供应商签定购货合同。</w:t>
      </w:r>
    </w:p>
    <w:p w14:paraId="369803BC">
      <w:pPr>
        <w:rPr>
          <w:color w:val="auto"/>
        </w:rPr>
      </w:pPr>
      <w:r>
        <w:rPr>
          <w:rFonts w:hint="eastAsia"/>
          <w:color w:val="auto"/>
        </w:rPr>
        <w:t>为了确保本项目所需材料的供货按合同规定时间到达，大宗材料的采购合同均要求供货商（含业主指定供应商）提供预付款保函及履约保函。</w:t>
      </w:r>
    </w:p>
    <w:p w14:paraId="00D4095C">
      <w:pPr>
        <w:pStyle w:val="6"/>
        <w:ind w:firstLine="480"/>
        <w:rPr>
          <w:color w:val="auto"/>
        </w:rPr>
      </w:pPr>
      <w:r>
        <w:rPr>
          <w:rFonts w:hint="eastAsia"/>
          <w:color w:val="auto"/>
        </w:rPr>
        <w:t>材料物资管理</w:t>
      </w:r>
    </w:p>
    <w:p w14:paraId="6177BB87">
      <w:pPr>
        <w:rPr>
          <w:color w:val="auto"/>
        </w:rPr>
      </w:pPr>
      <w:r>
        <w:rPr>
          <w:rFonts w:hint="eastAsia"/>
          <w:color w:val="auto"/>
        </w:rPr>
        <w:t>我司将根据工程需要编制总体物资需要计划，年度物资需要计划，季、月、旬及临时追加物资计划，并根据综合施工网络计划图中各分部分项工程进度计划，分类、分批进场，由项目材料员现场检验，搬运、储存、保管，为了保证材料质量合格，我司将采取如下措施：</w:t>
      </w:r>
    </w:p>
    <w:p w14:paraId="49621138">
      <w:pPr>
        <w:rPr>
          <w:color w:val="auto"/>
        </w:rPr>
      </w:pPr>
      <w:r>
        <w:rPr>
          <w:rFonts w:hint="eastAsia"/>
          <w:color w:val="auto"/>
        </w:rPr>
        <w:t>为保证用于工程材料满足规定要求，所有材料进场都必须经证明质量合格后方可使用。</w:t>
      </w:r>
    </w:p>
    <w:p w14:paraId="523B7B37">
      <w:pPr>
        <w:rPr>
          <w:color w:val="auto"/>
        </w:rPr>
      </w:pPr>
      <w:r>
        <w:rPr>
          <w:rFonts w:hint="eastAsia"/>
          <w:color w:val="auto"/>
        </w:rPr>
        <w:t>物资进场由材料员和试验员负责，并且在监理旁站下进行，材料员负责外观检验，试验员负责材料物理和化学性能检验。</w:t>
      </w:r>
    </w:p>
    <w:p w14:paraId="4EF2E012">
      <w:pPr>
        <w:rPr>
          <w:color w:val="auto"/>
        </w:rPr>
      </w:pPr>
      <w:r>
        <w:rPr>
          <w:rFonts w:hint="eastAsia"/>
          <w:color w:val="auto"/>
        </w:rPr>
        <w:t>当材料质量不符合规定时，材料员当场退货及时通知采购员，并根据程序文件，严格管理，及时进货，以保证本工程高效、优质、高速、安全竣工。</w:t>
      </w:r>
    </w:p>
    <w:p w14:paraId="568AEC61">
      <w:pPr>
        <w:pStyle w:val="6"/>
        <w:ind w:firstLine="480"/>
        <w:rPr>
          <w:color w:val="auto"/>
        </w:rPr>
      </w:pPr>
      <w:r>
        <w:rPr>
          <w:rFonts w:hint="eastAsia"/>
          <w:color w:val="auto"/>
        </w:rPr>
        <w:t>进场物资的检验和试验</w:t>
      </w:r>
    </w:p>
    <w:p w14:paraId="2A9B16E9">
      <w:pPr>
        <w:rPr>
          <w:color w:val="auto"/>
        </w:rPr>
      </w:pPr>
      <w:r>
        <w:rPr>
          <w:rFonts w:hint="eastAsia"/>
          <w:color w:val="auto"/>
        </w:rPr>
        <w:t>进入现场的物资按规定要求进行送样检验和试验并作好记录。</w:t>
      </w:r>
    </w:p>
    <w:p w14:paraId="1ACAC209">
      <w:pPr>
        <w:rPr>
          <w:color w:val="auto"/>
        </w:rPr>
      </w:pPr>
      <w:r>
        <w:rPr>
          <w:rFonts w:hint="eastAsia"/>
          <w:color w:val="auto"/>
        </w:rPr>
        <w:t>项目经理部保证进入现场的物资在未经检验和实验未符合要求的情况下不得投入项目生产。若经检验不符合要求，项目材料员将按专门程序进行处理。验收单准确，有材质证明物资是经检验合格的，保管员方可在验收单上签收。</w:t>
      </w:r>
    </w:p>
    <w:p w14:paraId="6F82A17E">
      <w:pPr>
        <w:pStyle w:val="6"/>
        <w:ind w:firstLine="480"/>
        <w:rPr>
          <w:color w:val="auto"/>
        </w:rPr>
      </w:pPr>
      <w:r>
        <w:rPr>
          <w:rFonts w:hint="eastAsia"/>
          <w:color w:val="auto"/>
        </w:rPr>
        <w:t>现场物资搬运储存、保管</w:t>
      </w:r>
    </w:p>
    <w:p w14:paraId="017A50E5">
      <w:pPr>
        <w:rPr>
          <w:color w:val="auto"/>
        </w:rPr>
      </w:pPr>
      <w:r>
        <w:rPr>
          <w:rFonts w:hint="eastAsia"/>
          <w:color w:val="auto"/>
        </w:rPr>
        <w:t>本工程所需要的大宗材料和零星材料的堆场和仓库布置详见平面布置图。所有材料、半成品和成品均执行相关作业指导书，以保证做到恰当搬运、贮存、保护。项目材料部门将在现场设立贮存地和库房，制定验收贮存、保护、检查和发放管理办法，防止产品交付前损坏和变质。</w:t>
      </w:r>
    </w:p>
    <w:p w14:paraId="4C7E06E1">
      <w:pPr>
        <w:rPr>
          <w:color w:val="auto"/>
        </w:rPr>
      </w:pPr>
      <w:r>
        <w:rPr>
          <w:rFonts w:hint="eastAsia"/>
          <w:color w:val="auto"/>
        </w:rPr>
        <w:t>项目制定施工过程中分项工程半成品，材料保护方案，并指定人员负责实施，防止进入下道工序或交付前损坏变质。现场保管和方法应遵守有关施工组织设计和单位相关文件要求。</w:t>
      </w:r>
    </w:p>
    <w:p w14:paraId="19DACD98">
      <w:pPr>
        <w:pStyle w:val="5"/>
        <w:rPr>
          <w:color w:val="auto"/>
        </w:rPr>
      </w:pPr>
      <w:bookmarkStart w:id="350" w:name="_Toc10551"/>
      <w:r>
        <w:rPr>
          <w:rFonts w:hint="eastAsia"/>
          <w:color w:val="auto"/>
        </w:rPr>
        <w:t>工程质量的过程控制与管理措施</w:t>
      </w:r>
      <w:bookmarkEnd w:id="350"/>
    </w:p>
    <w:p w14:paraId="7A0DF5B7">
      <w:pPr>
        <w:rPr>
          <w:color w:val="auto"/>
        </w:rPr>
      </w:pPr>
      <w:r>
        <w:rPr>
          <w:rFonts w:hint="eastAsia"/>
          <w:color w:val="auto"/>
        </w:rPr>
        <w:t>建立健全的各项质量管理制度，坚持预防为主的原则，强调事前控制，使工程质量全过程、全方位处于严格的受控状态。</w:t>
      </w:r>
    </w:p>
    <w:p w14:paraId="049861D9">
      <w:pPr>
        <w:pStyle w:val="6"/>
        <w:ind w:firstLine="480"/>
        <w:rPr>
          <w:color w:val="auto"/>
        </w:rPr>
      </w:pPr>
      <w:r>
        <w:rPr>
          <w:rFonts w:hint="eastAsia"/>
          <w:color w:val="auto"/>
        </w:rPr>
        <w:t>样板引路制</w:t>
      </w:r>
    </w:p>
    <w:p w14:paraId="64EE78C1">
      <w:pPr>
        <w:rPr>
          <w:color w:val="auto"/>
        </w:rPr>
      </w:pPr>
      <w:r>
        <w:rPr>
          <w:rFonts w:hint="eastAsia"/>
          <w:color w:val="auto"/>
        </w:rPr>
        <w:t>分项工程开工前，由项目部的工程责任工程师，根据专项方案、技术交底及现行的国家规范、标准，组织分包单位进行样板分项（工序样板、分项工程样板、样板墙、样板间、样板段等）施工，样板工程验收合格后才能进行专项工程的施工。同时分包在样板施工中也接受了技术标准、质量标准的培训，做到统一操作程序，统一施工做法，统一质量验收标准。</w:t>
      </w:r>
    </w:p>
    <w:p w14:paraId="2B9B636C">
      <w:pPr>
        <w:pStyle w:val="54"/>
        <w:rPr>
          <w:color w:val="auto"/>
        </w:rPr>
      </w:pPr>
      <w:r>
        <w:rPr>
          <w:rFonts w:hint="eastAsia"/>
          <w:color w:val="auto"/>
        </w:rPr>
        <w:t>样板引路实施计划</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6"/>
        <w:gridCol w:w="4242"/>
        <w:gridCol w:w="3312"/>
      </w:tblGrid>
      <w:tr w14:paraId="3956A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831" w:type="pct"/>
            <w:vAlign w:val="center"/>
          </w:tcPr>
          <w:p w14:paraId="034201E0">
            <w:pPr>
              <w:pStyle w:val="74"/>
              <w:rPr>
                <w:color w:val="auto"/>
              </w:rPr>
            </w:pPr>
            <w:r>
              <w:rPr>
                <w:rFonts w:hint="eastAsia"/>
                <w:color w:val="auto"/>
              </w:rPr>
              <w:t>序号</w:t>
            </w:r>
          </w:p>
        </w:tc>
        <w:tc>
          <w:tcPr>
            <w:tcW w:w="2341" w:type="pct"/>
            <w:vAlign w:val="center"/>
          </w:tcPr>
          <w:p w14:paraId="164EA779">
            <w:pPr>
              <w:pStyle w:val="74"/>
              <w:rPr>
                <w:color w:val="auto"/>
              </w:rPr>
            </w:pPr>
            <w:r>
              <w:rPr>
                <w:rFonts w:hint="eastAsia"/>
                <w:color w:val="auto"/>
              </w:rPr>
              <w:t>样板名称</w:t>
            </w:r>
          </w:p>
        </w:tc>
        <w:tc>
          <w:tcPr>
            <w:tcW w:w="1828" w:type="pct"/>
            <w:vAlign w:val="center"/>
          </w:tcPr>
          <w:p w14:paraId="627B902B">
            <w:pPr>
              <w:pStyle w:val="74"/>
              <w:rPr>
                <w:color w:val="auto"/>
              </w:rPr>
            </w:pPr>
            <w:r>
              <w:rPr>
                <w:rFonts w:hint="eastAsia"/>
                <w:color w:val="auto"/>
              </w:rPr>
              <w:t>完成时间</w:t>
            </w:r>
          </w:p>
        </w:tc>
      </w:tr>
      <w:tr w14:paraId="0D3A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4DA4AC5D">
            <w:pPr>
              <w:pStyle w:val="74"/>
              <w:rPr>
                <w:color w:val="auto"/>
              </w:rPr>
            </w:pPr>
            <w:r>
              <w:rPr>
                <w:rFonts w:hint="eastAsia"/>
                <w:color w:val="auto"/>
              </w:rPr>
              <w:t>1</w:t>
            </w:r>
          </w:p>
        </w:tc>
        <w:tc>
          <w:tcPr>
            <w:tcW w:w="2341" w:type="pct"/>
            <w:vAlign w:val="center"/>
          </w:tcPr>
          <w:p w14:paraId="41753CC8">
            <w:pPr>
              <w:pStyle w:val="74"/>
              <w:rPr>
                <w:color w:val="auto"/>
              </w:rPr>
            </w:pPr>
            <w:r>
              <w:rPr>
                <w:rFonts w:hint="eastAsia"/>
                <w:color w:val="auto"/>
              </w:rPr>
              <w:t>基础钢筋</w:t>
            </w:r>
          </w:p>
        </w:tc>
        <w:tc>
          <w:tcPr>
            <w:tcW w:w="1828" w:type="pct"/>
          </w:tcPr>
          <w:p w14:paraId="49A9AC0F">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4968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198F9FCD">
            <w:pPr>
              <w:pStyle w:val="74"/>
              <w:rPr>
                <w:color w:val="auto"/>
              </w:rPr>
            </w:pPr>
            <w:r>
              <w:rPr>
                <w:rFonts w:hint="eastAsia"/>
                <w:color w:val="auto"/>
              </w:rPr>
              <w:t>2</w:t>
            </w:r>
          </w:p>
        </w:tc>
        <w:tc>
          <w:tcPr>
            <w:tcW w:w="2341" w:type="pct"/>
            <w:vAlign w:val="center"/>
          </w:tcPr>
          <w:p w14:paraId="35F240C8">
            <w:pPr>
              <w:pStyle w:val="74"/>
              <w:rPr>
                <w:color w:val="auto"/>
              </w:rPr>
            </w:pPr>
            <w:r>
              <w:rPr>
                <w:rFonts w:hint="eastAsia"/>
                <w:color w:val="auto"/>
              </w:rPr>
              <w:t>基础模板</w:t>
            </w:r>
          </w:p>
        </w:tc>
        <w:tc>
          <w:tcPr>
            <w:tcW w:w="1828" w:type="pct"/>
          </w:tcPr>
          <w:p w14:paraId="29AC132C">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2C28B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3FD18E9B">
            <w:pPr>
              <w:pStyle w:val="74"/>
              <w:rPr>
                <w:color w:val="auto"/>
              </w:rPr>
            </w:pPr>
            <w:r>
              <w:rPr>
                <w:rFonts w:hint="eastAsia"/>
                <w:color w:val="auto"/>
              </w:rPr>
              <w:t>3</w:t>
            </w:r>
          </w:p>
        </w:tc>
        <w:tc>
          <w:tcPr>
            <w:tcW w:w="2341" w:type="pct"/>
            <w:vAlign w:val="center"/>
          </w:tcPr>
          <w:p w14:paraId="6558A1E7">
            <w:pPr>
              <w:pStyle w:val="74"/>
              <w:rPr>
                <w:color w:val="auto"/>
              </w:rPr>
            </w:pPr>
            <w:r>
              <w:rPr>
                <w:rFonts w:hint="eastAsia"/>
                <w:color w:val="auto"/>
              </w:rPr>
              <w:t>基础混凝土浇筑</w:t>
            </w:r>
          </w:p>
        </w:tc>
        <w:tc>
          <w:tcPr>
            <w:tcW w:w="1828" w:type="pct"/>
          </w:tcPr>
          <w:p w14:paraId="144813B5">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668DF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305DC80A">
            <w:pPr>
              <w:pStyle w:val="74"/>
              <w:rPr>
                <w:color w:val="auto"/>
              </w:rPr>
            </w:pPr>
            <w:r>
              <w:rPr>
                <w:rFonts w:hint="eastAsia"/>
                <w:color w:val="auto"/>
              </w:rPr>
              <w:t>4</w:t>
            </w:r>
          </w:p>
        </w:tc>
        <w:tc>
          <w:tcPr>
            <w:tcW w:w="2341" w:type="pct"/>
            <w:vAlign w:val="center"/>
          </w:tcPr>
          <w:p w14:paraId="18CFF722">
            <w:pPr>
              <w:pStyle w:val="74"/>
              <w:rPr>
                <w:color w:val="auto"/>
              </w:rPr>
            </w:pPr>
            <w:r>
              <w:rPr>
                <w:rFonts w:hint="eastAsia"/>
                <w:color w:val="auto"/>
              </w:rPr>
              <w:t>防水样板</w:t>
            </w:r>
          </w:p>
        </w:tc>
        <w:tc>
          <w:tcPr>
            <w:tcW w:w="1828" w:type="pct"/>
          </w:tcPr>
          <w:p w14:paraId="7D48A279">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7354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6EFB8F0E">
            <w:pPr>
              <w:pStyle w:val="74"/>
              <w:rPr>
                <w:color w:val="auto"/>
              </w:rPr>
            </w:pPr>
            <w:r>
              <w:rPr>
                <w:rFonts w:hint="eastAsia"/>
                <w:color w:val="auto"/>
              </w:rPr>
              <w:t>5</w:t>
            </w:r>
          </w:p>
        </w:tc>
        <w:tc>
          <w:tcPr>
            <w:tcW w:w="2341" w:type="pct"/>
            <w:vAlign w:val="center"/>
          </w:tcPr>
          <w:p w14:paraId="43ABF86F">
            <w:pPr>
              <w:pStyle w:val="74"/>
              <w:rPr>
                <w:color w:val="auto"/>
              </w:rPr>
            </w:pPr>
            <w:r>
              <w:rPr>
                <w:rFonts w:hint="eastAsia"/>
                <w:color w:val="auto"/>
              </w:rPr>
              <w:t>墙、柱钢筋</w:t>
            </w:r>
          </w:p>
        </w:tc>
        <w:tc>
          <w:tcPr>
            <w:tcW w:w="1828" w:type="pct"/>
          </w:tcPr>
          <w:p w14:paraId="376686FA">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02A66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1DAF1719">
            <w:pPr>
              <w:pStyle w:val="74"/>
              <w:rPr>
                <w:color w:val="auto"/>
              </w:rPr>
            </w:pPr>
            <w:r>
              <w:rPr>
                <w:rFonts w:hint="eastAsia"/>
                <w:color w:val="auto"/>
              </w:rPr>
              <w:t>6</w:t>
            </w:r>
          </w:p>
        </w:tc>
        <w:tc>
          <w:tcPr>
            <w:tcW w:w="2341" w:type="pct"/>
            <w:vAlign w:val="center"/>
          </w:tcPr>
          <w:p w14:paraId="6115CCCF">
            <w:pPr>
              <w:pStyle w:val="74"/>
              <w:rPr>
                <w:color w:val="auto"/>
              </w:rPr>
            </w:pPr>
            <w:r>
              <w:rPr>
                <w:rFonts w:hint="eastAsia"/>
                <w:color w:val="auto"/>
              </w:rPr>
              <w:t>墙、柱模板</w:t>
            </w:r>
          </w:p>
        </w:tc>
        <w:tc>
          <w:tcPr>
            <w:tcW w:w="1828" w:type="pct"/>
          </w:tcPr>
          <w:p w14:paraId="1C5EF9EB">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51E6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4413D55E">
            <w:pPr>
              <w:pStyle w:val="74"/>
              <w:rPr>
                <w:color w:val="auto"/>
              </w:rPr>
            </w:pPr>
            <w:r>
              <w:rPr>
                <w:rFonts w:hint="eastAsia"/>
                <w:color w:val="auto"/>
              </w:rPr>
              <w:t>7</w:t>
            </w:r>
          </w:p>
        </w:tc>
        <w:tc>
          <w:tcPr>
            <w:tcW w:w="2341" w:type="pct"/>
            <w:vAlign w:val="center"/>
          </w:tcPr>
          <w:p w14:paraId="47ED3FC2">
            <w:pPr>
              <w:pStyle w:val="74"/>
              <w:rPr>
                <w:color w:val="auto"/>
              </w:rPr>
            </w:pPr>
            <w:r>
              <w:rPr>
                <w:rFonts w:hint="eastAsia"/>
                <w:color w:val="auto"/>
              </w:rPr>
              <w:t>墙、柱混凝土浇筑</w:t>
            </w:r>
          </w:p>
        </w:tc>
        <w:tc>
          <w:tcPr>
            <w:tcW w:w="1828" w:type="pct"/>
          </w:tcPr>
          <w:p w14:paraId="73B3C054">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77D4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097D667E">
            <w:pPr>
              <w:pStyle w:val="74"/>
              <w:rPr>
                <w:color w:val="auto"/>
              </w:rPr>
            </w:pPr>
            <w:r>
              <w:rPr>
                <w:rFonts w:hint="eastAsia"/>
                <w:color w:val="auto"/>
              </w:rPr>
              <w:t>8</w:t>
            </w:r>
          </w:p>
        </w:tc>
        <w:tc>
          <w:tcPr>
            <w:tcW w:w="2341" w:type="pct"/>
            <w:vAlign w:val="center"/>
          </w:tcPr>
          <w:p w14:paraId="2AD1A75F">
            <w:pPr>
              <w:pStyle w:val="74"/>
              <w:rPr>
                <w:color w:val="auto"/>
              </w:rPr>
            </w:pPr>
            <w:r>
              <w:rPr>
                <w:rFonts w:hint="eastAsia"/>
                <w:color w:val="auto"/>
              </w:rPr>
              <w:t>梁板模板</w:t>
            </w:r>
          </w:p>
        </w:tc>
        <w:tc>
          <w:tcPr>
            <w:tcW w:w="1828" w:type="pct"/>
          </w:tcPr>
          <w:p w14:paraId="480EB8CF">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5EEBA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36F4A701">
            <w:pPr>
              <w:pStyle w:val="74"/>
              <w:rPr>
                <w:color w:val="auto"/>
              </w:rPr>
            </w:pPr>
            <w:r>
              <w:rPr>
                <w:rFonts w:hint="eastAsia"/>
                <w:color w:val="auto"/>
              </w:rPr>
              <w:t>9</w:t>
            </w:r>
          </w:p>
        </w:tc>
        <w:tc>
          <w:tcPr>
            <w:tcW w:w="2341" w:type="pct"/>
            <w:vAlign w:val="center"/>
          </w:tcPr>
          <w:p w14:paraId="62B79B51">
            <w:pPr>
              <w:pStyle w:val="74"/>
              <w:rPr>
                <w:color w:val="auto"/>
              </w:rPr>
            </w:pPr>
            <w:r>
              <w:rPr>
                <w:rFonts w:hint="eastAsia"/>
                <w:color w:val="auto"/>
              </w:rPr>
              <w:t>梁板钢筋</w:t>
            </w:r>
          </w:p>
        </w:tc>
        <w:tc>
          <w:tcPr>
            <w:tcW w:w="1828" w:type="pct"/>
          </w:tcPr>
          <w:p w14:paraId="38CE56FB">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7FB1D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122DC8A2">
            <w:pPr>
              <w:pStyle w:val="74"/>
              <w:rPr>
                <w:color w:val="auto"/>
              </w:rPr>
            </w:pPr>
            <w:r>
              <w:rPr>
                <w:rFonts w:hint="eastAsia"/>
                <w:color w:val="auto"/>
              </w:rPr>
              <w:t>10</w:t>
            </w:r>
          </w:p>
        </w:tc>
        <w:tc>
          <w:tcPr>
            <w:tcW w:w="2341" w:type="pct"/>
            <w:vAlign w:val="center"/>
          </w:tcPr>
          <w:p w14:paraId="0176A5EE">
            <w:pPr>
              <w:pStyle w:val="74"/>
              <w:rPr>
                <w:color w:val="auto"/>
              </w:rPr>
            </w:pPr>
            <w:r>
              <w:rPr>
                <w:rFonts w:hint="eastAsia"/>
                <w:color w:val="auto"/>
              </w:rPr>
              <w:t>梁板混凝土浇筑</w:t>
            </w:r>
          </w:p>
        </w:tc>
        <w:tc>
          <w:tcPr>
            <w:tcW w:w="1828" w:type="pct"/>
          </w:tcPr>
          <w:p w14:paraId="3FC83BFB">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74B78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65DB1C70">
            <w:pPr>
              <w:pStyle w:val="74"/>
              <w:rPr>
                <w:color w:val="auto"/>
              </w:rPr>
            </w:pPr>
            <w:r>
              <w:rPr>
                <w:rFonts w:hint="eastAsia"/>
                <w:color w:val="auto"/>
              </w:rPr>
              <w:t>11</w:t>
            </w:r>
          </w:p>
        </w:tc>
        <w:tc>
          <w:tcPr>
            <w:tcW w:w="2341" w:type="pct"/>
            <w:vAlign w:val="center"/>
          </w:tcPr>
          <w:p w14:paraId="21DECF47">
            <w:pPr>
              <w:pStyle w:val="74"/>
              <w:rPr>
                <w:color w:val="auto"/>
              </w:rPr>
            </w:pPr>
            <w:r>
              <w:rPr>
                <w:rFonts w:hint="eastAsia"/>
                <w:color w:val="auto"/>
              </w:rPr>
              <w:t>后浇带施工</w:t>
            </w:r>
          </w:p>
        </w:tc>
        <w:tc>
          <w:tcPr>
            <w:tcW w:w="1828" w:type="pct"/>
          </w:tcPr>
          <w:p w14:paraId="7BC2A16B">
            <w:pPr>
              <w:pStyle w:val="74"/>
              <w:rPr>
                <w:color w:val="auto"/>
              </w:rPr>
            </w:pPr>
            <w:r>
              <w:rPr>
                <w:rFonts w:hint="eastAsia"/>
                <w:color w:val="auto"/>
              </w:rPr>
              <w:t>20</w:t>
            </w:r>
            <w:r>
              <w:rPr>
                <w:color w:val="auto"/>
              </w:rPr>
              <w:t>20</w:t>
            </w:r>
            <w:r>
              <w:rPr>
                <w:rFonts w:hint="eastAsia"/>
                <w:color w:val="auto"/>
              </w:rPr>
              <w:t>年</w:t>
            </w:r>
            <w:r>
              <w:rPr>
                <w:color w:val="auto"/>
              </w:rPr>
              <w:t>9</w:t>
            </w:r>
            <w:r>
              <w:rPr>
                <w:rFonts w:hint="eastAsia"/>
                <w:color w:val="auto"/>
              </w:rPr>
              <w:t>月</w:t>
            </w:r>
          </w:p>
        </w:tc>
      </w:tr>
      <w:tr w14:paraId="22E81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3F20DE57">
            <w:pPr>
              <w:pStyle w:val="74"/>
              <w:rPr>
                <w:color w:val="auto"/>
              </w:rPr>
            </w:pPr>
            <w:r>
              <w:rPr>
                <w:rFonts w:hint="eastAsia"/>
                <w:color w:val="auto"/>
              </w:rPr>
              <w:t>12</w:t>
            </w:r>
          </w:p>
        </w:tc>
        <w:tc>
          <w:tcPr>
            <w:tcW w:w="2341" w:type="pct"/>
            <w:vAlign w:val="center"/>
          </w:tcPr>
          <w:p w14:paraId="6AFE858C">
            <w:pPr>
              <w:pStyle w:val="74"/>
              <w:rPr>
                <w:color w:val="auto"/>
              </w:rPr>
            </w:pPr>
            <w:r>
              <w:rPr>
                <w:rFonts w:hint="eastAsia"/>
                <w:color w:val="auto"/>
              </w:rPr>
              <w:t>墙体砌筑</w:t>
            </w:r>
          </w:p>
        </w:tc>
        <w:tc>
          <w:tcPr>
            <w:tcW w:w="1828" w:type="pct"/>
          </w:tcPr>
          <w:p w14:paraId="415632D0">
            <w:pPr>
              <w:pStyle w:val="74"/>
              <w:rPr>
                <w:color w:val="auto"/>
              </w:rPr>
            </w:pPr>
            <w:r>
              <w:rPr>
                <w:rFonts w:hint="eastAsia"/>
                <w:color w:val="auto"/>
              </w:rPr>
              <w:t>20</w:t>
            </w:r>
            <w:r>
              <w:rPr>
                <w:color w:val="auto"/>
              </w:rPr>
              <w:t>20</w:t>
            </w:r>
            <w:r>
              <w:rPr>
                <w:rFonts w:hint="eastAsia"/>
                <w:color w:val="auto"/>
              </w:rPr>
              <w:t>年</w:t>
            </w:r>
            <w:r>
              <w:rPr>
                <w:color w:val="auto"/>
              </w:rPr>
              <w:t>10</w:t>
            </w:r>
            <w:r>
              <w:rPr>
                <w:rFonts w:hint="eastAsia"/>
                <w:color w:val="auto"/>
              </w:rPr>
              <w:t>月</w:t>
            </w:r>
          </w:p>
        </w:tc>
      </w:tr>
      <w:tr w14:paraId="3B9F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3E027006">
            <w:pPr>
              <w:pStyle w:val="74"/>
              <w:rPr>
                <w:color w:val="auto"/>
              </w:rPr>
            </w:pPr>
            <w:r>
              <w:rPr>
                <w:rFonts w:hint="eastAsia"/>
                <w:color w:val="auto"/>
              </w:rPr>
              <w:t>13</w:t>
            </w:r>
          </w:p>
        </w:tc>
        <w:tc>
          <w:tcPr>
            <w:tcW w:w="2341" w:type="pct"/>
            <w:vAlign w:val="center"/>
          </w:tcPr>
          <w:p w14:paraId="7E90775C">
            <w:pPr>
              <w:pStyle w:val="74"/>
              <w:rPr>
                <w:color w:val="auto"/>
              </w:rPr>
            </w:pPr>
            <w:r>
              <w:rPr>
                <w:rFonts w:hint="eastAsia"/>
                <w:color w:val="auto"/>
              </w:rPr>
              <w:t>抹灰与楼地面</w:t>
            </w:r>
          </w:p>
        </w:tc>
        <w:tc>
          <w:tcPr>
            <w:tcW w:w="1828" w:type="pct"/>
          </w:tcPr>
          <w:p w14:paraId="073FF4D1">
            <w:pPr>
              <w:pStyle w:val="74"/>
              <w:rPr>
                <w:color w:val="auto"/>
              </w:rPr>
            </w:pPr>
            <w:r>
              <w:rPr>
                <w:rFonts w:hint="eastAsia"/>
                <w:color w:val="auto"/>
              </w:rPr>
              <w:t>20</w:t>
            </w:r>
            <w:r>
              <w:rPr>
                <w:color w:val="auto"/>
              </w:rPr>
              <w:t>20</w:t>
            </w:r>
            <w:r>
              <w:rPr>
                <w:rFonts w:hint="eastAsia"/>
                <w:color w:val="auto"/>
              </w:rPr>
              <w:t>年</w:t>
            </w:r>
            <w:r>
              <w:rPr>
                <w:color w:val="auto"/>
              </w:rPr>
              <w:t>10</w:t>
            </w:r>
            <w:r>
              <w:rPr>
                <w:rFonts w:hint="eastAsia"/>
                <w:color w:val="auto"/>
              </w:rPr>
              <w:t>月</w:t>
            </w:r>
          </w:p>
        </w:tc>
      </w:tr>
      <w:tr w14:paraId="2F7F7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79D90791">
            <w:pPr>
              <w:pStyle w:val="74"/>
              <w:rPr>
                <w:color w:val="auto"/>
              </w:rPr>
            </w:pPr>
            <w:r>
              <w:rPr>
                <w:rFonts w:hint="eastAsia"/>
                <w:color w:val="auto"/>
              </w:rPr>
              <w:t>14</w:t>
            </w:r>
          </w:p>
        </w:tc>
        <w:tc>
          <w:tcPr>
            <w:tcW w:w="2341" w:type="pct"/>
            <w:vAlign w:val="center"/>
          </w:tcPr>
          <w:p w14:paraId="160437F2">
            <w:pPr>
              <w:pStyle w:val="74"/>
              <w:rPr>
                <w:color w:val="auto"/>
              </w:rPr>
            </w:pPr>
            <w:r>
              <w:rPr>
                <w:rFonts w:hint="eastAsia"/>
                <w:color w:val="auto"/>
              </w:rPr>
              <w:t>机电吊顶内综合布局</w:t>
            </w:r>
          </w:p>
        </w:tc>
        <w:tc>
          <w:tcPr>
            <w:tcW w:w="1828" w:type="pct"/>
          </w:tcPr>
          <w:p w14:paraId="3AE2F28A">
            <w:pPr>
              <w:pStyle w:val="74"/>
              <w:rPr>
                <w:color w:val="auto"/>
              </w:rPr>
            </w:pPr>
            <w:r>
              <w:rPr>
                <w:rFonts w:hint="eastAsia"/>
                <w:color w:val="auto"/>
              </w:rPr>
              <w:t>20</w:t>
            </w:r>
            <w:r>
              <w:rPr>
                <w:color w:val="auto"/>
              </w:rPr>
              <w:t>20</w:t>
            </w:r>
            <w:r>
              <w:rPr>
                <w:rFonts w:hint="eastAsia"/>
                <w:color w:val="auto"/>
              </w:rPr>
              <w:t>年</w:t>
            </w:r>
            <w:r>
              <w:rPr>
                <w:color w:val="auto"/>
              </w:rPr>
              <w:t>10</w:t>
            </w:r>
            <w:r>
              <w:rPr>
                <w:rFonts w:hint="eastAsia"/>
                <w:color w:val="auto"/>
              </w:rPr>
              <w:t>月</w:t>
            </w:r>
          </w:p>
        </w:tc>
      </w:tr>
      <w:tr w14:paraId="403C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4821852C">
            <w:pPr>
              <w:pStyle w:val="74"/>
              <w:rPr>
                <w:color w:val="auto"/>
              </w:rPr>
            </w:pPr>
            <w:r>
              <w:rPr>
                <w:rFonts w:hint="eastAsia"/>
                <w:color w:val="auto"/>
              </w:rPr>
              <w:t>15</w:t>
            </w:r>
          </w:p>
        </w:tc>
        <w:tc>
          <w:tcPr>
            <w:tcW w:w="2341" w:type="pct"/>
            <w:vAlign w:val="center"/>
          </w:tcPr>
          <w:p w14:paraId="48FEB7F5">
            <w:pPr>
              <w:pStyle w:val="74"/>
              <w:rPr>
                <w:color w:val="auto"/>
              </w:rPr>
            </w:pPr>
            <w:r>
              <w:rPr>
                <w:rFonts w:hint="eastAsia"/>
                <w:color w:val="auto"/>
              </w:rPr>
              <w:t>机电安装样板间</w:t>
            </w:r>
          </w:p>
        </w:tc>
        <w:tc>
          <w:tcPr>
            <w:tcW w:w="1828" w:type="pct"/>
          </w:tcPr>
          <w:p w14:paraId="6EE41D13">
            <w:pPr>
              <w:pStyle w:val="74"/>
              <w:rPr>
                <w:color w:val="auto"/>
              </w:rPr>
            </w:pPr>
            <w:r>
              <w:rPr>
                <w:rFonts w:hint="eastAsia"/>
                <w:color w:val="auto"/>
              </w:rPr>
              <w:t>20</w:t>
            </w:r>
            <w:r>
              <w:rPr>
                <w:color w:val="auto"/>
              </w:rPr>
              <w:t>20</w:t>
            </w:r>
            <w:r>
              <w:rPr>
                <w:rFonts w:hint="eastAsia"/>
                <w:color w:val="auto"/>
              </w:rPr>
              <w:t>年</w:t>
            </w:r>
            <w:r>
              <w:rPr>
                <w:color w:val="auto"/>
              </w:rPr>
              <w:t>10</w:t>
            </w:r>
            <w:r>
              <w:rPr>
                <w:rFonts w:hint="eastAsia"/>
                <w:color w:val="auto"/>
              </w:rPr>
              <w:t>月</w:t>
            </w:r>
          </w:p>
        </w:tc>
      </w:tr>
      <w:tr w14:paraId="6FDDA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31" w:type="pct"/>
            <w:vAlign w:val="center"/>
          </w:tcPr>
          <w:p w14:paraId="650B7451">
            <w:pPr>
              <w:pStyle w:val="74"/>
              <w:rPr>
                <w:color w:val="auto"/>
              </w:rPr>
            </w:pPr>
            <w:r>
              <w:rPr>
                <w:rFonts w:hint="eastAsia"/>
                <w:color w:val="auto"/>
              </w:rPr>
              <w:t>16</w:t>
            </w:r>
          </w:p>
        </w:tc>
        <w:tc>
          <w:tcPr>
            <w:tcW w:w="2341" w:type="pct"/>
            <w:vAlign w:val="center"/>
          </w:tcPr>
          <w:p w14:paraId="037A4576">
            <w:pPr>
              <w:pStyle w:val="74"/>
              <w:rPr>
                <w:color w:val="auto"/>
              </w:rPr>
            </w:pPr>
            <w:r>
              <w:rPr>
                <w:rFonts w:hint="eastAsia"/>
                <w:color w:val="auto"/>
              </w:rPr>
              <w:t>装修样板间</w:t>
            </w:r>
          </w:p>
        </w:tc>
        <w:tc>
          <w:tcPr>
            <w:tcW w:w="1828" w:type="pct"/>
          </w:tcPr>
          <w:p w14:paraId="04C760EA">
            <w:pPr>
              <w:pStyle w:val="74"/>
              <w:rPr>
                <w:color w:val="auto"/>
              </w:rPr>
            </w:pPr>
            <w:r>
              <w:rPr>
                <w:rFonts w:hint="eastAsia"/>
                <w:color w:val="auto"/>
              </w:rPr>
              <w:t>20</w:t>
            </w:r>
            <w:r>
              <w:rPr>
                <w:color w:val="auto"/>
              </w:rPr>
              <w:t>20</w:t>
            </w:r>
            <w:r>
              <w:rPr>
                <w:rFonts w:hint="eastAsia"/>
                <w:color w:val="auto"/>
              </w:rPr>
              <w:t>年</w:t>
            </w:r>
            <w:r>
              <w:rPr>
                <w:color w:val="auto"/>
              </w:rPr>
              <w:t>10</w:t>
            </w:r>
            <w:r>
              <w:rPr>
                <w:rFonts w:hint="eastAsia"/>
                <w:color w:val="auto"/>
              </w:rPr>
              <w:t>月</w:t>
            </w:r>
          </w:p>
        </w:tc>
      </w:tr>
    </w:tbl>
    <w:p w14:paraId="259453DE">
      <w:pPr>
        <w:pStyle w:val="6"/>
        <w:ind w:firstLine="480"/>
        <w:rPr>
          <w:color w:val="auto"/>
        </w:rPr>
      </w:pPr>
      <w:r>
        <w:rPr>
          <w:rFonts w:hint="eastAsia"/>
          <w:color w:val="auto"/>
        </w:rPr>
        <w:t>三检制</w:t>
      </w:r>
    </w:p>
    <w:p w14:paraId="46622A83">
      <w:pPr>
        <w:pStyle w:val="54"/>
        <w:rPr>
          <w:color w:val="auto"/>
        </w:rPr>
      </w:pPr>
      <w:r>
        <w:rPr>
          <w:rFonts w:hint="eastAsia"/>
          <w:color w:val="auto"/>
        </w:rPr>
        <w:t>三检制</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3"/>
        <w:gridCol w:w="1238"/>
        <w:gridCol w:w="6809"/>
      </w:tblGrid>
      <w:tr w14:paraId="7475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559" w:type="pct"/>
            <w:vAlign w:val="center"/>
          </w:tcPr>
          <w:p w14:paraId="3F05CCA4">
            <w:pPr>
              <w:pStyle w:val="74"/>
              <w:rPr>
                <w:color w:val="auto"/>
              </w:rPr>
            </w:pPr>
            <w:r>
              <w:rPr>
                <w:rFonts w:hint="eastAsia"/>
                <w:color w:val="auto"/>
              </w:rPr>
              <w:t>序号</w:t>
            </w:r>
          </w:p>
        </w:tc>
        <w:tc>
          <w:tcPr>
            <w:tcW w:w="683" w:type="pct"/>
            <w:vAlign w:val="center"/>
          </w:tcPr>
          <w:p w14:paraId="5C887C61">
            <w:pPr>
              <w:pStyle w:val="74"/>
              <w:rPr>
                <w:color w:val="auto"/>
              </w:rPr>
            </w:pPr>
            <w:r>
              <w:rPr>
                <w:rFonts w:hint="eastAsia"/>
                <w:color w:val="auto"/>
              </w:rPr>
              <w:t>项目</w:t>
            </w:r>
          </w:p>
        </w:tc>
        <w:tc>
          <w:tcPr>
            <w:tcW w:w="3758" w:type="pct"/>
          </w:tcPr>
          <w:p w14:paraId="7B18760B">
            <w:pPr>
              <w:pStyle w:val="74"/>
              <w:rPr>
                <w:color w:val="auto"/>
              </w:rPr>
            </w:pPr>
            <w:r>
              <w:rPr>
                <w:rFonts w:hint="eastAsia"/>
                <w:color w:val="auto"/>
              </w:rPr>
              <w:t>执行及目的</w:t>
            </w:r>
          </w:p>
        </w:tc>
      </w:tr>
      <w:tr w14:paraId="16DE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14:paraId="5985FF7B">
            <w:pPr>
              <w:pStyle w:val="74"/>
              <w:rPr>
                <w:color w:val="auto"/>
              </w:rPr>
            </w:pPr>
            <w:r>
              <w:rPr>
                <w:rFonts w:hint="eastAsia"/>
                <w:color w:val="auto"/>
              </w:rPr>
              <w:t>1</w:t>
            </w:r>
          </w:p>
        </w:tc>
        <w:tc>
          <w:tcPr>
            <w:tcW w:w="683" w:type="pct"/>
            <w:vAlign w:val="center"/>
          </w:tcPr>
          <w:p w14:paraId="04A709CC">
            <w:pPr>
              <w:pStyle w:val="74"/>
              <w:rPr>
                <w:color w:val="auto"/>
              </w:rPr>
            </w:pPr>
            <w:r>
              <w:rPr>
                <w:rFonts w:hint="eastAsia"/>
                <w:color w:val="auto"/>
              </w:rPr>
              <w:t>自检</w:t>
            </w:r>
          </w:p>
        </w:tc>
        <w:tc>
          <w:tcPr>
            <w:tcW w:w="3758" w:type="pct"/>
          </w:tcPr>
          <w:p w14:paraId="172F911B">
            <w:pPr>
              <w:pStyle w:val="74"/>
              <w:rPr>
                <w:color w:val="auto"/>
              </w:rPr>
            </w:pPr>
            <w:r>
              <w:rPr>
                <w:rFonts w:hint="eastAsia"/>
                <w:color w:val="auto"/>
              </w:rPr>
              <w:t>对于施工质量进行全过程跟踪，在施工完后均需施工班组自检，符合质量验收标准要求，由班组长填写自检记录表，并报送项目质量管理部进行检查。</w:t>
            </w:r>
          </w:p>
        </w:tc>
      </w:tr>
      <w:tr w14:paraId="20DD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14:paraId="71511722">
            <w:pPr>
              <w:pStyle w:val="74"/>
              <w:rPr>
                <w:color w:val="auto"/>
              </w:rPr>
            </w:pPr>
            <w:r>
              <w:rPr>
                <w:rFonts w:hint="eastAsia"/>
                <w:color w:val="auto"/>
              </w:rPr>
              <w:t>2</w:t>
            </w:r>
          </w:p>
        </w:tc>
        <w:tc>
          <w:tcPr>
            <w:tcW w:w="683" w:type="pct"/>
            <w:vAlign w:val="center"/>
          </w:tcPr>
          <w:p w14:paraId="4EF1622C">
            <w:pPr>
              <w:pStyle w:val="74"/>
              <w:rPr>
                <w:color w:val="auto"/>
              </w:rPr>
            </w:pPr>
            <w:r>
              <w:rPr>
                <w:rFonts w:hint="eastAsia"/>
                <w:color w:val="auto"/>
              </w:rPr>
              <w:t>互检</w:t>
            </w:r>
          </w:p>
        </w:tc>
        <w:tc>
          <w:tcPr>
            <w:tcW w:w="3758" w:type="pct"/>
          </w:tcPr>
          <w:p w14:paraId="1D4FFE57">
            <w:pPr>
              <w:pStyle w:val="74"/>
              <w:rPr>
                <w:color w:val="auto"/>
              </w:rPr>
            </w:pPr>
            <w:r>
              <w:rPr>
                <w:rFonts w:hint="eastAsia"/>
                <w:color w:val="auto"/>
              </w:rPr>
              <w:t>经自检合格的分项工程，由质量工程师组织施工班组进行互检，对互检中发现的问题，施工班组应认真及时地予以解决。</w:t>
            </w:r>
          </w:p>
        </w:tc>
      </w:tr>
      <w:tr w14:paraId="7DA8D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59" w:type="pct"/>
            <w:vAlign w:val="center"/>
          </w:tcPr>
          <w:p w14:paraId="5A532839">
            <w:pPr>
              <w:pStyle w:val="74"/>
              <w:rPr>
                <w:color w:val="auto"/>
              </w:rPr>
            </w:pPr>
            <w:r>
              <w:rPr>
                <w:rFonts w:hint="eastAsia"/>
                <w:color w:val="auto"/>
              </w:rPr>
              <w:t>3</w:t>
            </w:r>
          </w:p>
        </w:tc>
        <w:tc>
          <w:tcPr>
            <w:tcW w:w="683" w:type="pct"/>
            <w:vAlign w:val="center"/>
          </w:tcPr>
          <w:p w14:paraId="433AEA39">
            <w:pPr>
              <w:pStyle w:val="74"/>
              <w:rPr>
                <w:color w:val="auto"/>
              </w:rPr>
            </w:pPr>
            <w:r>
              <w:rPr>
                <w:rFonts w:hint="eastAsia"/>
                <w:color w:val="auto"/>
              </w:rPr>
              <w:t>专业检</w:t>
            </w:r>
          </w:p>
        </w:tc>
        <w:tc>
          <w:tcPr>
            <w:tcW w:w="3758" w:type="pct"/>
          </w:tcPr>
          <w:p w14:paraId="46386C8A">
            <w:pPr>
              <w:pStyle w:val="74"/>
              <w:rPr>
                <w:color w:val="auto"/>
              </w:rPr>
            </w:pPr>
            <w:r>
              <w:rPr>
                <w:rFonts w:hint="eastAsia"/>
                <w:color w:val="auto"/>
              </w:rPr>
              <w:t>互检合格后，现场班组负责人向项目质量管理部申请验收，由项目部专业质检员验收，验收合格签字认可后，方可进行下道工序施工。对于验收不合格的分项工程安排班组继续整改。</w:t>
            </w:r>
          </w:p>
        </w:tc>
      </w:tr>
    </w:tbl>
    <w:p w14:paraId="5047840C">
      <w:pPr>
        <w:pStyle w:val="6"/>
        <w:ind w:firstLine="480"/>
        <w:rPr>
          <w:color w:val="auto"/>
        </w:rPr>
      </w:pPr>
      <w:r>
        <w:rPr>
          <w:rFonts w:hint="eastAsia"/>
          <w:color w:val="auto"/>
        </w:rPr>
        <w:t>挂牌管理制</w:t>
      </w:r>
    </w:p>
    <w:p w14:paraId="62A1ACA1">
      <w:pPr>
        <w:pStyle w:val="54"/>
        <w:rPr>
          <w:color w:val="auto"/>
        </w:rPr>
      </w:pPr>
      <w:r>
        <w:rPr>
          <w:rFonts w:hint="eastAsia"/>
          <w:color w:val="auto"/>
        </w:rPr>
        <w:t>挂牌管理制</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671"/>
        <w:gridCol w:w="6650"/>
      </w:tblGrid>
      <w:tr w14:paraId="31BF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jc w:val="center"/>
        </w:trPr>
        <w:tc>
          <w:tcPr>
            <w:tcW w:w="408" w:type="pct"/>
            <w:vAlign w:val="center"/>
          </w:tcPr>
          <w:p w14:paraId="6F688862">
            <w:pPr>
              <w:pStyle w:val="74"/>
              <w:rPr>
                <w:color w:val="auto"/>
              </w:rPr>
            </w:pPr>
            <w:r>
              <w:rPr>
                <w:rFonts w:hint="eastAsia"/>
                <w:color w:val="auto"/>
              </w:rPr>
              <w:t>序号</w:t>
            </w:r>
          </w:p>
        </w:tc>
        <w:tc>
          <w:tcPr>
            <w:tcW w:w="922" w:type="pct"/>
            <w:vAlign w:val="center"/>
          </w:tcPr>
          <w:p w14:paraId="18450706">
            <w:pPr>
              <w:pStyle w:val="74"/>
              <w:rPr>
                <w:color w:val="auto"/>
              </w:rPr>
            </w:pPr>
            <w:r>
              <w:rPr>
                <w:rFonts w:hint="eastAsia"/>
                <w:color w:val="auto"/>
              </w:rPr>
              <w:t>项目</w:t>
            </w:r>
          </w:p>
        </w:tc>
        <w:tc>
          <w:tcPr>
            <w:tcW w:w="3670" w:type="pct"/>
            <w:vAlign w:val="center"/>
          </w:tcPr>
          <w:p w14:paraId="2B2B288E">
            <w:pPr>
              <w:pStyle w:val="74"/>
              <w:rPr>
                <w:color w:val="auto"/>
              </w:rPr>
            </w:pPr>
            <w:r>
              <w:rPr>
                <w:rFonts w:hint="eastAsia"/>
                <w:color w:val="auto"/>
              </w:rPr>
              <w:t>内容</w:t>
            </w:r>
          </w:p>
        </w:tc>
      </w:tr>
      <w:tr w14:paraId="4A2DD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8" w:type="pct"/>
            <w:vAlign w:val="center"/>
          </w:tcPr>
          <w:p w14:paraId="1C69DF19">
            <w:pPr>
              <w:pStyle w:val="74"/>
              <w:rPr>
                <w:color w:val="auto"/>
              </w:rPr>
            </w:pPr>
            <w:r>
              <w:rPr>
                <w:rFonts w:hint="eastAsia"/>
                <w:color w:val="auto"/>
              </w:rPr>
              <w:t>1</w:t>
            </w:r>
          </w:p>
        </w:tc>
        <w:tc>
          <w:tcPr>
            <w:tcW w:w="922" w:type="pct"/>
            <w:vAlign w:val="center"/>
          </w:tcPr>
          <w:p w14:paraId="24A07D6D">
            <w:pPr>
              <w:pStyle w:val="74"/>
              <w:rPr>
                <w:color w:val="auto"/>
              </w:rPr>
            </w:pPr>
            <w:r>
              <w:rPr>
                <w:rFonts w:hint="eastAsia"/>
                <w:color w:val="auto"/>
              </w:rPr>
              <w:t>技术交底挂牌</w:t>
            </w:r>
          </w:p>
        </w:tc>
        <w:tc>
          <w:tcPr>
            <w:tcW w:w="3670" w:type="pct"/>
            <w:vAlign w:val="center"/>
          </w:tcPr>
          <w:p w14:paraId="3BF8930B">
            <w:pPr>
              <w:pStyle w:val="74"/>
              <w:rPr>
                <w:color w:val="auto"/>
              </w:rPr>
            </w:pPr>
            <w:r>
              <w:rPr>
                <w:rFonts w:hint="eastAsia"/>
                <w:color w:val="auto"/>
              </w:rPr>
              <w:t>在工序开始前针对施工中的重点和难点现场挂牌，将施工操作的具体要求，如：基础底板大体积混凝土浇筑、外幕墙等设计要求、规范要求写在牌子上，既有利于管理人员对工人进行现场交底，又便于工人自觉阅读，达到理论与实践的统一。</w:t>
            </w:r>
          </w:p>
        </w:tc>
      </w:tr>
      <w:tr w14:paraId="21D08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8" w:type="pct"/>
            <w:vAlign w:val="center"/>
          </w:tcPr>
          <w:p w14:paraId="5C5124AF">
            <w:pPr>
              <w:pStyle w:val="74"/>
              <w:rPr>
                <w:color w:val="auto"/>
              </w:rPr>
            </w:pPr>
            <w:r>
              <w:rPr>
                <w:rFonts w:hint="eastAsia"/>
                <w:color w:val="auto"/>
              </w:rPr>
              <w:t>2</w:t>
            </w:r>
          </w:p>
        </w:tc>
        <w:tc>
          <w:tcPr>
            <w:tcW w:w="922" w:type="pct"/>
            <w:vAlign w:val="center"/>
          </w:tcPr>
          <w:p w14:paraId="2FF92731">
            <w:pPr>
              <w:pStyle w:val="74"/>
              <w:rPr>
                <w:color w:val="auto"/>
              </w:rPr>
            </w:pPr>
            <w:r>
              <w:rPr>
                <w:rFonts w:hint="eastAsia"/>
                <w:color w:val="auto"/>
              </w:rPr>
              <w:t>施工部位挂牌</w:t>
            </w:r>
          </w:p>
        </w:tc>
        <w:tc>
          <w:tcPr>
            <w:tcW w:w="3670" w:type="pct"/>
            <w:vAlign w:val="center"/>
          </w:tcPr>
          <w:p w14:paraId="04613F92">
            <w:pPr>
              <w:pStyle w:val="74"/>
              <w:rPr>
                <w:color w:val="auto"/>
              </w:rPr>
            </w:pPr>
            <w:r>
              <w:rPr>
                <w:rFonts w:hint="eastAsia"/>
                <w:color w:val="auto"/>
              </w:rPr>
              <w:t>执行施工部位挂牌制度：在现场施工部位挂“施工部位牌”，牌中注明施工部位、工序名称、施工要求、检查标准、检查责任人、操作责任人、处罚条例等，保证出现问题可以追查到底，并且结合质量奖罚制执行奖罚，从而提高相关责任人的责任心。</w:t>
            </w:r>
          </w:p>
        </w:tc>
      </w:tr>
      <w:tr w14:paraId="4C01C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08" w:type="pct"/>
            <w:vAlign w:val="center"/>
          </w:tcPr>
          <w:p w14:paraId="574EE010">
            <w:pPr>
              <w:pStyle w:val="74"/>
              <w:rPr>
                <w:color w:val="auto"/>
              </w:rPr>
            </w:pPr>
            <w:r>
              <w:rPr>
                <w:rFonts w:hint="eastAsia"/>
                <w:color w:val="auto"/>
              </w:rPr>
              <w:t>3</w:t>
            </w:r>
          </w:p>
        </w:tc>
        <w:tc>
          <w:tcPr>
            <w:tcW w:w="922" w:type="pct"/>
            <w:vAlign w:val="center"/>
          </w:tcPr>
          <w:p w14:paraId="07F69C22">
            <w:pPr>
              <w:pStyle w:val="74"/>
              <w:rPr>
                <w:color w:val="auto"/>
              </w:rPr>
            </w:pPr>
            <w:r>
              <w:rPr>
                <w:rFonts w:hint="eastAsia"/>
                <w:color w:val="auto"/>
              </w:rPr>
              <w:t>半成品、成品挂牌</w:t>
            </w:r>
          </w:p>
        </w:tc>
        <w:tc>
          <w:tcPr>
            <w:tcW w:w="3670" w:type="pct"/>
            <w:vAlign w:val="center"/>
          </w:tcPr>
          <w:p w14:paraId="1AD0816C">
            <w:pPr>
              <w:pStyle w:val="74"/>
              <w:rPr>
                <w:color w:val="auto"/>
              </w:rPr>
            </w:pPr>
            <w:r>
              <w:rPr>
                <w:rFonts w:hint="eastAsia"/>
                <w:color w:val="auto"/>
              </w:rPr>
              <w:t>对施工现场使用的钢构件、钢筋原材、钢筋半成品、模板、幕墙龙骨及玻璃等进行挂牌标识，标识须注明使用部位、规格、产地、进场时间等，必要时注明存放要求和保护要求。</w:t>
            </w:r>
          </w:p>
        </w:tc>
      </w:tr>
    </w:tbl>
    <w:p w14:paraId="7A5B1854">
      <w:pPr>
        <w:pStyle w:val="5"/>
        <w:rPr>
          <w:color w:val="auto"/>
        </w:rPr>
      </w:pPr>
      <w:bookmarkStart w:id="351" w:name="_Toc13132"/>
      <w:r>
        <w:rPr>
          <w:rFonts w:hint="eastAsia"/>
          <w:color w:val="auto"/>
        </w:rPr>
        <w:t>成品保护</w:t>
      </w:r>
      <w:r>
        <w:rPr>
          <w:rFonts w:ascii="宋体" w:hAnsi="宋体"/>
          <w:b w:val="0"/>
          <w:bCs w:val="0"/>
          <w:color w:val="auto"/>
        </w:rPr>
        <w:t>措施</w:t>
      </w:r>
      <w:bookmarkEnd w:id="351"/>
    </w:p>
    <w:p w14:paraId="13C14CB3">
      <w:pPr>
        <w:rPr>
          <w:color w:val="auto"/>
        </w:rPr>
      </w:pPr>
      <w:r>
        <w:rPr>
          <w:rFonts w:hint="eastAsia"/>
          <w:color w:val="auto"/>
        </w:rPr>
        <w:t>由于本工程施工单位众多，各专业穿插交错施工，施工现场若不进行有效控制极易对施工成品、半成品造成破坏，造成对工期、质量的损失，成本额外增加。所以在整个施工过程中将专门成立“</w:t>
      </w:r>
      <w:r>
        <w:rPr>
          <w:rFonts w:hint="eastAsia" w:cs="Times New Roman"/>
          <w:color w:val="auto"/>
          <w:szCs w:val="24"/>
        </w:rPr>
        <w:t>三亚崖州湾科技城公共教学区（一期）EPC项目</w:t>
      </w:r>
      <w:r>
        <w:rPr>
          <w:rFonts w:hint="eastAsia"/>
          <w:color w:val="auto"/>
        </w:rPr>
        <w:t>成品保护管理小组”。该小组由招标人、监理、总包方为主体，各分包专业为组员，在招标人的组织领导下总包方具体负责施工过程中的具体管理，建立完整的施工成品保护管理制度，有奖有罚，彻底解决施工过程中不服从管理随意穿插施工造成的成品、半成品破坏问题，为工程的顺利进行提供可靠的保障。</w:t>
      </w:r>
    </w:p>
    <w:p w14:paraId="39D47E67">
      <w:pPr>
        <w:pStyle w:val="104"/>
        <w:numPr>
          <w:ilvl w:val="0"/>
          <w:numId w:val="0"/>
        </w:numPr>
        <w:spacing w:before="24" w:beforeLines="10" w:after="24" w:afterLines="10" w:line="432" w:lineRule="auto"/>
        <w:ind w:left="1120"/>
        <w:jc w:val="center"/>
        <w:rPr>
          <w:color w:val="auto"/>
          <w:sz w:val="24"/>
          <w:szCs w:val="24"/>
        </w:rPr>
      </w:pPr>
      <w:r>
        <w:rPr>
          <w:rFonts w:hint="eastAsia"/>
          <w:color w:val="auto"/>
          <w:sz w:val="24"/>
          <w:szCs w:val="24"/>
        </w:rPr>
        <w:t>插表 成品保护一般方法一览表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1042"/>
        <w:gridCol w:w="7195"/>
      </w:tblGrid>
      <w:tr w14:paraId="7D969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454" w:type="pct"/>
            <w:tcBorders>
              <w:top w:val="single" w:color="auto" w:sz="4" w:space="0"/>
              <w:left w:val="single" w:color="auto" w:sz="4" w:space="0"/>
              <w:bottom w:val="single" w:color="auto" w:sz="4" w:space="0"/>
              <w:right w:val="single" w:color="auto" w:sz="4" w:space="0"/>
            </w:tcBorders>
            <w:noWrap w:val="0"/>
            <w:vAlign w:val="center"/>
          </w:tcPr>
          <w:p w14:paraId="67330BCB">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序号</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02731639">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项目</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1BC2F67E">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内容</w:t>
            </w:r>
          </w:p>
        </w:tc>
      </w:tr>
      <w:tr w14:paraId="1C065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4" w:type="pct"/>
            <w:tcBorders>
              <w:top w:val="single" w:color="auto" w:sz="4" w:space="0"/>
              <w:left w:val="single" w:color="auto" w:sz="4" w:space="0"/>
              <w:bottom w:val="single" w:color="auto" w:sz="4" w:space="0"/>
              <w:right w:val="single" w:color="auto" w:sz="4" w:space="0"/>
            </w:tcBorders>
            <w:noWrap w:val="0"/>
            <w:vAlign w:val="center"/>
          </w:tcPr>
          <w:p w14:paraId="046C0457">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1</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7036D151">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包裹</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19E8FD7A">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1、工程成品包裹保护主要是防止成品被损伤或污染。如浇筑楼板混凝土前，对钢柱脚部以上0.5m范围采用薄膜保护；大理石或高级抛光砖柱子贴好后，用立板包裹捆扎。</w:t>
            </w:r>
          </w:p>
          <w:p w14:paraId="4F1B40A7">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2、采购物资的包装控制主要是防止物资在搬运、贮存至交付过程中受影响而导致质量下降。</w:t>
            </w:r>
          </w:p>
        </w:tc>
      </w:tr>
      <w:tr w14:paraId="4201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4" w:type="pct"/>
            <w:tcBorders>
              <w:top w:val="single" w:color="auto" w:sz="4" w:space="0"/>
              <w:left w:val="single" w:color="auto" w:sz="4" w:space="0"/>
              <w:bottom w:val="single" w:color="auto" w:sz="4" w:space="0"/>
              <w:right w:val="single" w:color="auto" w:sz="4" w:space="0"/>
            </w:tcBorders>
            <w:noWrap w:val="0"/>
            <w:vAlign w:val="center"/>
          </w:tcPr>
          <w:p w14:paraId="2FED10C5">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2</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2A1DEAFA">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覆盖</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65719383">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对楼地面成品、管道口主要采取覆盖措施，以防止成品损伤、堵塞。</w:t>
            </w:r>
          </w:p>
        </w:tc>
      </w:tr>
      <w:tr w14:paraId="252DE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4" w:type="pct"/>
            <w:tcBorders>
              <w:top w:val="single" w:color="auto" w:sz="4" w:space="0"/>
              <w:left w:val="single" w:color="auto" w:sz="4" w:space="0"/>
              <w:bottom w:val="single" w:color="auto" w:sz="4" w:space="0"/>
              <w:right w:val="single" w:color="auto" w:sz="4" w:space="0"/>
            </w:tcBorders>
            <w:noWrap w:val="0"/>
            <w:vAlign w:val="center"/>
          </w:tcPr>
          <w:p w14:paraId="7C493D70">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3</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3F50D4F7">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封闭</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5FACF9EE">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对于楼地面工程，施工后可在周边或楼梯口暂时封闭，待达到上人强度并采取保护措施后再开放；室内墙面、天棚、地面等房间内的装饰工程完成后，均应立即锁门以进行保护。</w:t>
            </w:r>
          </w:p>
        </w:tc>
      </w:tr>
      <w:tr w14:paraId="2A02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4" w:type="pct"/>
            <w:tcBorders>
              <w:top w:val="single" w:color="auto" w:sz="4" w:space="0"/>
              <w:left w:val="single" w:color="auto" w:sz="4" w:space="0"/>
              <w:bottom w:val="single" w:color="auto" w:sz="4" w:space="0"/>
              <w:right w:val="single" w:color="auto" w:sz="4" w:space="0"/>
            </w:tcBorders>
            <w:noWrap w:val="0"/>
            <w:vAlign w:val="center"/>
          </w:tcPr>
          <w:p w14:paraId="3634FD1A">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4</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5ABFC6AF">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巡逻看护</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51B06EF6">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对已完产品实行全天候的巡逻看护，并实行“标色”管理，按重点、危险、已完工、一般等划分为若干区域，规定进入各个区域施工人员必须佩戴统一颁发的贴上不同颜色标记的胸卡，防止无关人员进入重点、危险区域和不法分子偷盗、破坏行为。</w:t>
            </w:r>
          </w:p>
        </w:tc>
      </w:tr>
      <w:tr w14:paraId="49BD9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4" w:type="pct"/>
            <w:tcBorders>
              <w:top w:val="single" w:color="auto" w:sz="4" w:space="0"/>
              <w:left w:val="single" w:color="auto" w:sz="4" w:space="0"/>
              <w:bottom w:val="single" w:color="auto" w:sz="4" w:space="0"/>
              <w:right w:val="single" w:color="auto" w:sz="4" w:space="0"/>
            </w:tcBorders>
            <w:noWrap w:val="0"/>
            <w:vAlign w:val="center"/>
          </w:tcPr>
          <w:p w14:paraId="294C9E7A">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5</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27DD3B98">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搬运</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00EA40C9">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1、物资的采购、使用单位应对其搬运的物资进行保护，保证物资在搬运过程中不被损坏，并正确保护产品的标识。</w:t>
            </w:r>
          </w:p>
          <w:p w14:paraId="7E632C12">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2、对容易损坏、易燃、易爆、易变质和有毒的物资，以及招标人有特殊要求的物资，物资的采购、使用单位负责人应指派人员制定专门的搬运措施，并明确搬运人员的职责。</w:t>
            </w:r>
          </w:p>
        </w:tc>
      </w:tr>
      <w:tr w14:paraId="33569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54" w:type="pct"/>
            <w:tcBorders>
              <w:top w:val="single" w:color="auto" w:sz="4" w:space="0"/>
              <w:left w:val="single" w:color="auto" w:sz="4" w:space="0"/>
              <w:bottom w:val="single" w:color="auto" w:sz="4" w:space="0"/>
              <w:right w:val="single" w:color="auto" w:sz="4" w:space="0"/>
            </w:tcBorders>
            <w:noWrap w:val="0"/>
            <w:vAlign w:val="center"/>
          </w:tcPr>
          <w:p w14:paraId="2A0EA1D9">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6</w:t>
            </w:r>
          </w:p>
        </w:tc>
        <w:tc>
          <w:tcPr>
            <w:tcW w:w="575" w:type="pct"/>
            <w:tcBorders>
              <w:top w:val="single" w:color="auto" w:sz="4" w:space="0"/>
              <w:left w:val="single" w:color="auto" w:sz="4" w:space="0"/>
              <w:bottom w:val="single" w:color="auto" w:sz="4" w:space="0"/>
              <w:right w:val="single" w:color="auto" w:sz="4" w:space="0"/>
            </w:tcBorders>
            <w:noWrap w:val="0"/>
            <w:vAlign w:val="center"/>
          </w:tcPr>
          <w:p w14:paraId="0B2E0B97">
            <w:pPr>
              <w:pStyle w:val="51"/>
              <w:spacing w:before="24" w:beforeLines="10" w:after="24" w:afterLines="10" w:line="240" w:lineRule="auto"/>
              <w:rPr>
                <w:rStyle w:val="93"/>
                <w:rFonts w:ascii="宋体" w:hAnsi="宋体"/>
                <w:color w:val="auto"/>
                <w:sz w:val="21"/>
                <w:szCs w:val="21"/>
              </w:rPr>
            </w:pPr>
            <w:r>
              <w:rPr>
                <w:rStyle w:val="93"/>
                <w:rFonts w:hint="eastAsia" w:ascii="宋体" w:hAnsi="宋体"/>
                <w:color w:val="auto"/>
                <w:sz w:val="21"/>
                <w:szCs w:val="21"/>
              </w:rPr>
              <w:t>贮存</w:t>
            </w:r>
          </w:p>
        </w:tc>
        <w:tc>
          <w:tcPr>
            <w:tcW w:w="3970" w:type="pct"/>
            <w:tcBorders>
              <w:top w:val="single" w:color="auto" w:sz="4" w:space="0"/>
              <w:left w:val="single" w:color="auto" w:sz="4" w:space="0"/>
              <w:bottom w:val="single" w:color="auto" w:sz="4" w:space="0"/>
              <w:right w:val="single" w:color="auto" w:sz="4" w:space="0"/>
            </w:tcBorders>
            <w:noWrap w:val="0"/>
            <w:vAlign w:val="center"/>
          </w:tcPr>
          <w:p w14:paraId="1F08533A">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1、现场内的库房及材料堆场由使用单位负责管理。物资的贮存应按不同物资的性能特点分别对待，符合规范要求。</w:t>
            </w:r>
          </w:p>
          <w:p w14:paraId="0FDB0FFB">
            <w:pPr>
              <w:pStyle w:val="105"/>
              <w:spacing w:before="24" w:beforeLines="10" w:after="24" w:afterLines="10" w:line="240" w:lineRule="auto"/>
              <w:ind w:firstLine="560"/>
              <w:rPr>
                <w:rStyle w:val="93"/>
                <w:rFonts w:ascii="宋体" w:hAnsi="宋体"/>
                <w:color w:val="auto"/>
                <w:sz w:val="21"/>
                <w:szCs w:val="21"/>
              </w:rPr>
            </w:pPr>
            <w:r>
              <w:rPr>
                <w:rStyle w:val="93"/>
                <w:rFonts w:hint="eastAsia" w:ascii="宋体" w:hAnsi="宋体"/>
                <w:color w:val="auto"/>
                <w:sz w:val="21"/>
                <w:szCs w:val="21"/>
              </w:rPr>
              <w:t>2、对入库物资的验收，贮存品的堆放，贮存品的标识，贮存品的帐、物、卡管理和出库控制工作，应按规定要求执行。</w:t>
            </w:r>
          </w:p>
        </w:tc>
      </w:tr>
    </w:tbl>
    <w:p w14:paraId="288891DD">
      <w:pPr>
        <w:rPr>
          <w:color w:val="auto"/>
        </w:rPr>
      </w:pPr>
    </w:p>
    <w:p w14:paraId="353D4D3A">
      <w:pPr>
        <w:pStyle w:val="4"/>
        <w:ind w:firstLine="482"/>
        <w:rPr>
          <w:color w:val="auto"/>
        </w:rPr>
      </w:pPr>
      <w:bookmarkStart w:id="352" w:name="_Toc5662"/>
      <w:r>
        <w:rPr>
          <w:rFonts w:hint="eastAsia"/>
          <w:color w:val="auto"/>
        </w:rPr>
        <w:t>技术保证措施</w:t>
      </w:r>
      <w:bookmarkEnd w:id="352"/>
    </w:p>
    <w:p w14:paraId="0BC88B68">
      <w:pPr>
        <w:pStyle w:val="5"/>
        <w:rPr>
          <w:color w:val="auto"/>
        </w:rPr>
      </w:pPr>
      <w:bookmarkStart w:id="353" w:name="_Toc7528"/>
      <w:r>
        <w:rPr>
          <w:rFonts w:hint="eastAsia"/>
          <w:color w:val="auto"/>
        </w:rPr>
        <w:t>技术投入</w:t>
      </w:r>
      <w:bookmarkEnd w:id="353"/>
    </w:p>
    <w:p w14:paraId="2798C663">
      <w:pPr>
        <w:pStyle w:val="6"/>
        <w:ind w:firstLine="480"/>
        <w:rPr>
          <w:color w:val="auto"/>
        </w:rPr>
      </w:pPr>
      <w:r>
        <w:rPr>
          <w:rFonts w:hint="eastAsia"/>
          <w:color w:val="auto"/>
        </w:rPr>
        <w:t>技术管理流程</w:t>
      </w:r>
    </w:p>
    <w:p w14:paraId="2AFF80E2">
      <w:pPr>
        <w:pStyle w:val="65"/>
        <w:spacing w:before="163" w:after="163"/>
        <w:rPr>
          <w:color w:val="auto"/>
        </w:rPr>
      </w:pPr>
      <w:r>
        <w:rPr>
          <w:color w:val="auto"/>
        </w:rPr>
        <w:drawing>
          <wp:inline distT="0" distB="0" distL="0" distR="0">
            <wp:extent cx="5238750" cy="3781425"/>
            <wp:effectExtent l="0" t="0" r="0" b="952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a:xfrm>
                      <a:off x="0" y="0"/>
                      <a:ext cx="5238750" cy="3781425"/>
                    </a:xfrm>
                    <a:prstGeom prst="rect">
                      <a:avLst/>
                    </a:prstGeom>
                    <a:noFill/>
                    <a:ln>
                      <a:noFill/>
                    </a:ln>
                  </pic:spPr>
                </pic:pic>
              </a:graphicData>
            </a:graphic>
          </wp:inline>
        </w:drawing>
      </w:r>
    </w:p>
    <w:p w14:paraId="27002B6E">
      <w:pPr>
        <w:pStyle w:val="53"/>
        <w:rPr>
          <w:color w:val="auto"/>
        </w:rPr>
      </w:pPr>
      <w:r>
        <w:rPr>
          <w:rFonts w:hint="eastAsia"/>
          <w:color w:val="auto"/>
        </w:rPr>
        <w:t>技术管理流程图</w:t>
      </w:r>
    </w:p>
    <w:p w14:paraId="4C8EDFD2">
      <w:pPr>
        <w:pStyle w:val="6"/>
        <w:ind w:firstLine="480"/>
        <w:rPr>
          <w:color w:val="auto"/>
        </w:rPr>
      </w:pPr>
      <w:r>
        <w:rPr>
          <w:rFonts w:hint="eastAsia"/>
          <w:color w:val="auto"/>
        </w:rPr>
        <w:t>技术管理措施</w:t>
      </w:r>
    </w:p>
    <w:p w14:paraId="202D525C">
      <w:pPr>
        <w:pStyle w:val="54"/>
        <w:rPr>
          <w:color w:val="auto"/>
        </w:rPr>
      </w:pPr>
      <w:r>
        <w:rPr>
          <w:rFonts w:hint="eastAsia"/>
          <w:color w:val="auto"/>
        </w:rPr>
        <w:t>技术管理措施</w:t>
      </w:r>
    </w:p>
    <w:tbl>
      <w:tblPr>
        <w:tblStyle w:val="2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68"/>
        <w:gridCol w:w="1656"/>
        <w:gridCol w:w="6536"/>
      </w:tblGrid>
      <w:tr w14:paraId="79F7F4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479" w:type="pct"/>
            <w:tcBorders>
              <w:top w:val="single" w:color="000000" w:sz="4" w:space="0"/>
              <w:left w:val="single" w:color="000000" w:sz="4" w:space="0"/>
              <w:bottom w:val="single" w:color="000000" w:sz="4" w:space="0"/>
              <w:right w:val="single" w:color="000000" w:sz="4" w:space="0"/>
            </w:tcBorders>
          </w:tcPr>
          <w:p w14:paraId="05BD4973">
            <w:pPr>
              <w:pStyle w:val="74"/>
              <w:rPr>
                <w:color w:val="auto"/>
              </w:rPr>
            </w:pPr>
            <w:r>
              <w:rPr>
                <w:rFonts w:hint="eastAsia"/>
                <w:color w:val="auto"/>
              </w:rPr>
              <w:t>序号</w:t>
            </w:r>
          </w:p>
        </w:tc>
        <w:tc>
          <w:tcPr>
            <w:tcW w:w="914" w:type="pct"/>
            <w:tcBorders>
              <w:top w:val="single" w:color="000000" w:sz="4" w:space="0"/>
              <w:left w:val="single" w:color="000000" w:sz="4" w:space="0"/>
              <w:bottom w:val="single" w:color="000000" w:sz="4" w:space="0"/>
              <w:right w:val="single" w:color="000000" w:sz="4" w:space="0"/>
            </w:tcBorders>
            <w:vAlign w:val="center"/>
          </w:tcPr>
          <w:p w14:paraId="49B772D4">
            <w:pPr>
              <w:pStyle w:val="74"/>
              <w:rPr>
                <w:color w:val="auto"/>
              </w:rPr>
            </w:pPr>
            <w:r>
              <w:rPr>
                <w:rFonts w:hint="eastAsia"/>
                <w:color w:val="auto"/>
              </w:rPr>
              <w:t>分类</w:t>
            </w:r>
          </w:p>
        </w:tc>
        <w:tc>
          <w:tcPr>
            <w:tcW w:w="3607" w:type="pct"/>
            <w:tcBorders>
              <w:top w:val="single" w:color="000000" w:sz="4" w:space="0"/>
              <w:left w:val="single" w:color="000000" w:sz="4" w:space="0"/>
              <w:bottom w:val="single" w:color="000000" w:sz="4" w:space="0"/>
              <w:right w:val="single" w:color="000000" w:sz="4" w:space="0"/>
            </w:tcBorders>
            <w:vAlign w:val="center"/>
          </w:tcPr>
          <w:p w14:paraId="1DBD15BF">
            <w:pPr>
              <w:pStyle w:val="74"/>
              <w:rPr>
                <w:color w:val="auto"/>
              </w:rPr>
            </w:pPr>
            <w:r>
              <w:rPr>
                <w:rFonts w:hint="eastAsia"/>
                <w:color w:val="auto"/>
              </w:rPr>
              <w:t>措施</w:t>
            </w:r>
          </w:p>
        </w:tc>
      </w:tr>
      <w:tr w14:paraId="6AB359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9" w:type="pct"/>
            <w:tcBorders>
              <w:top w:val="single" w:color="000000" w:sz="4" w:space="0"/>
              <w:left w:val="single" w:color="000000" w:sz="4" w:space="0"/>
              <w:bottom w:val="single" w:color="000000" w:sz="4" w:space="0"/>
              <w:right w:val="single" w:color="000000" w:sz="4" w:space="0"/>
            </w:tcBorders>
            <w:vAlign w:val="center"/>
          </w:tcPr>
          <w:p w14:paraId="387E5505">
            <w:pPr>
              <w:pStyle w:val="74"/>
              <w:rPr>
                <w:color w:val="auto"/>
              </w:rPr>
            </w:pPr>
            <w:r>
              <w:rPr>
                <w:rFonts w:hint="eastAsia"/>
                <w:color w:val="auto"/>
              </w:rPr>
              <w:t>1</w:t>
            </w:r>
          </w:p>
        </w:tc>
        <w:tc>
          <w:tcPr>
            <w:tcW w:w="914" w:type="pct"/>
            <w:tcBorders>
              <w:top w:val="single" w:color="000000" w:sz="4" w:space="0"/>
              <w:left w:val="single" w:color="000000" w:sz="4" w:space="0"/>
              <w:bottom w:val="single" w:color="000000" w:sz="4" w:space="0"/>
              <w:right w:val="single" w:color="000000" w:sz="4" w:space="0"/>
            </w:tcBorders>
            <w:vAlign w:val="center"/>
          </w:tcPr>
          <w:p w14:paraId="619062D4">
            <w:pPr>
              <w:pStyle w:val="74"/>
              <w:rPr>
                <w:color w:val="auto"/>
              </w:rPr>
            </w:pPr>
            <w:r>
              <w:rPr>
                <w:rFonts w:hint="eastAsia"/>
                <w:color w:val="auto"/>
              </w:rPr>
              <w:t>编制针对性强的施工组织设计和施工方案</w:t>
            </w:r>
          </w:p>
        </w:tc>
        <w:tc>
          <w:tcPr>
            <w:tcW w:w="3607" w:type="pct"/>
            <w:tcBorders>
              <w:top w:val="single" w:color="000000" w:sz="4" w:space="0"/>
              <w:left w:val="single" w:color="000000" w:sz="4" w:space="0"/>
              <w:bottom w:val="single" w:color="000000" w:sz="4" w:space="0"/>
              <w:right w:val="single" w:color="000000" w:sz="4" w:space="0"/>
            </w:tcBorders>
            <w:vAlign w:val="center"/>
          </w:tcPr>
          <w:p w14:paraId="7B2C39D3">
            <w:pPr>
              <w:pStyle w:val="74"/>
              <w:rPr>
                <w:color w:val="auto"/>
              </w:rPr>
            </w:pPr>
            <w:r>
              <w:rPr>
                <w:rFonts w:hint="eastAsia"/>
                <w:color w:val="auto"/>
              </w:rPr>
              <w:t>本工程将按照计划，制定详细的、有针对性的和可操作性强的施工组织设计和专项施工方案，采用技术先进合理可行的施工方法，实行三级技术交底，对重要部位制作施工样板，从而实现项目管理层和操作层对施工工艺、质量标准的熟悉和掌握，使工程有条不紊的按期保质完成。</w:t>
            </w:r>
          </w:p>
        </w:tc>
      </w:tr>
      <w:tr w14:paraId="4F6AE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9" w:type="pct"/>
            <w:tcBorders>
              <w:top w:val="single" w:color="000000" w:sz="4" w:space="0"/>
              <w:left w:val="single" w:color="000000" w:sz="4" w:space="0"/>
              <w:bottom w:val="single" w:color="000000" w:sz="4" w:space="0"/>
              <w:right w:val="single" w:color="000000" w:sz="4" w:space="0"/>
            </w:tcBorders>
            <w:vAlign w:val="center"/>
          </w:tcPr>
          <w:p w14:paraId="7D7F4079">
            <w:pPr>
              <w:pStyle w:val="74"/>
              <w:rPr>
                <w:color w:val="auto"/>
              </w:rPr>
            </w:pPr>
            <w:r>
              <w:rPr>
                <w:rFonts w:hint="eastAsia"/>
                <w:color w:val="auto"/>
              </w:rPr>
              <w:t>2</w:t>
            </w:r>
          </w:p>
        </w:tc>
        <w:tc>
          <w:tcPr>
            <w:tcW w:w="914" w:type="pct"/>
            <w:tcBorders>
              <w:top w:val="single" w:color="000000" w:sz="4" w:space="0"/>
              <w:left w:val="single" w:color="000000" w:sz="4" w:space="0"/>
              <w:bottom w:val="single" w:color="000000" w:sz="4" w:space="0"/>
              <w:right w:val="single" w:color="000000" w:sz="4" w:space="0"/>
            </w:tcBorders>
            <w:vAlign w:val="center"/>
          </w:tcPr>
          <w:p w14:paraId="15D96263">
            <w:pPr>
              <w:pStyle w:val="74"/>
              <w:rPr>
                <w:color w:val="auto"/>
              </w:rPr>
            </w:pPr>
            <w:r>
              <w:rPr>
                <w:rFonts w:hint="eastAsia"/>
                <w:color w:val="auto"/>
              </w:rPr>
              <w:t>加强计划管理</w:t>
            </w:r>
          </w:p>
        </w:tc>
        <w:tc>
          <w:tcPr>
            <w:tcW w:w="3607" w:type="pct"/>
            <w:tcBorders>
              <w:top w:val="single" w:color="000000" w:sz="4" w:space="0"/>
              <w:left w:val="single" w:color="000000" w:sz="4" w:space="0"/>
              <w:bottom w:val="single" w:color="000000" w:sz="4" w:space="0"/>
              <w:right w:val="single" w:color="000000" w:sz="4" w:space="0"/>
            </w:tcBorders>
            <w:vAlign w:val="center"/>
          </w:tcPr>
          <w:p w14:paraId="4FA03054">
            <w:pPr>
              <w:pStyle w:val="74"/>
              <w:rPr>
                <w:color w:val="auto"/>
              </w:rPr>
            </w:pPr>
            <w:r>
              <w:rPr>
                <w:rFonts w:hint="eastAsia"/>
                <w:color w:val="auto"/>
              </w:rPr>
              <w:t>由于本工程参与建设的各种专业工种较多，针对工程特点，将编制详细进度网络计划，采用长计划与短计划相结合的多级网络计划进行施工进度计划的控制与管理，并利用计算机技术和项目管理软件对网络计划实施动态管理，通过施工网络节点控制目标的实现既而保证各控制点工期目标的实现，从而进一步通过各控制点工期目标的实现来确保工期目标的实现。</w:t>
            </w:r>
          </w:p>
        </w:tc>
      </w:tr>
      <w:tr w14:paraId="1B26B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9" w:type="pct"/>
            <w:tcBorders>
              <w:top w:val="single" w:color="000000" w:sz="4" w:space="0"/>
              <w:left w:val="single" w:color="000000" w:sz="4" w:space="0"/>
              <w:bottom w:val="single" w:color="000000" w:sz="4" w:space="0"/>
              <w:right w:val="single" w:color="000000" w:sz="4" w:space="0"/>
            </w:tcBorders>
            <w:vAlign w:val="center"/>
          </w:tcPr>
          <w:p w14:paraId="5258F2CA">
            <w:pPr>
              <w:pStyle w:val="74"/>
              <w:rPr>
                <w:color w:val="auto"/>
              </w:rPr>
            </w:pPr>
            <w:r>
              <w:rPr>
                <w:rFonts w:hint="eastAsia"/>
                <w:color w:val="auto"/>
              </w:rPr>
              <w:t>3</w:t>
            </w:r>
          </w:p>
        </w:tc>
        <w:tc>
          <w:tcPr>
            <w:tcW w:w="914" w:type="pct"/>
            <w:tcBorders>
              <w:top w:val="single" w:color="000000" w:sz="4" w:space="0"/>
              <w:left w:val="single" w:color="000000" w:sz="4" w:space="0"/>
              <w:bottom w:val="single" w:color="000000" w:sz="4" w:space="0"/>
              <w:right w:val="single" w:color="000000" w:sz="4" w:space="0"/>
            </w:tcBorders>
            <w:vAlign w:val="center"/>
          </w:tcPr>
          <w:p w14:paraId="396717AF">
            <w:pPr>
              <w:pStyle w:val="74"/>
              <w:rPr>
                <w:color w:val="auto"/>
              </w:rPr>
            </w:pPr>
            <w:r>
              <w:rPr>
                <w:rFonts w:hint="eastAsia"/>
                <w:color w:val="auto"/>
              </w:rPr>
              <w:t>工期预警</w:t>
            </w:r>
          </w:p>
        </w:tc>
        <w:tc>
          <w:tcPr>
            <w:tcW w:w="3607" w:type="pct"/>
            <w:tcBorders>
              <w:top w:val="single" w:color="000000" w:sz="4" w:space="0"/>
              <w:left w:val="single" w:color="000000" w:sz="4" w:space="0"/>
              <w:bottom w:val="single" w:color="000000" w:sz="4" w:space="0"/>
              <w:right w:val="single" w:color="000000" w:sz="4" w:space="0"/>
            </w:tcBorders>
            <w:vAlign w:val="center"/>
          </w:tcPr>
          <w:p w14:paraId="4304686B">
            <w:pPr>
              <w:pStyle w:val="74"/>
              <w:rPr>
                <w:color w:val="auto"/>
              </w:rPr>
            </w:pPr>
            <w:r>
              <w:rPr>
                <w:rFonts w:hint="eastAsia"/>
                <w:color w:val="auto"/>
              </w:rPr>
              <w:t>严格执行批准的合同进度计划，对工作量计划和形象进度计划分别控制。实际工程进度曲线应在合同进度管理曲线规定的安全区域之内。实际工程进度曲线处在合同进度管理曲线规定的安全区域的下限之外时应采取措施加快进度。如遇特殊情况确需将工期提前的，参建各方必须采取有效措施。</w:t>
            </w:r>
          </w:p>
        </w:tc>
      </w:tr>
      <w:tr w14:paraId="2F8DE4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9" w:type="pct"/>
            <w:tcBorders>
              <w:top w:val="single" w:color="000000" w:sz="4" w:space="0"/>
              <w:left w:val="single" w:color="000000" w:sz="4" w:space="0"/>
              <w:bottom w:val="single" w:color="000000" w:sz="4" w:space="0"/>
              <w:right w:val="single" w:color="000000" w:sz="4" w:space="0"/>
            </w:tcBorders>
            <w:vAlign w:val="center"/>
          </w:tcPr>
          <w:p w14:paraId="36E868D9">
            <w:pPr>
              <w:pStyle w:val="74"/>
              <w:rPr>
                <w:color w:val="auto"/>
              </w:rPr>
            </w:pPr>
            <w:r>
              <w:rPr>
                <w:rFonts w:hint="eastAsia"/>
                <w:color w:val="auto"/>
              </w:rPr>
              <w:t>4</w:t>
            </w:r>
          </w:p>
        </w:tc>
        <w:tc>
          <w:tcPr>
            <w:tcW w:w="914" w:type="pct"/>
            <w:tcBorders>
              <w:top w:val="single" w:color="000000" w:sz="4" w:space="0"/>
              <w:left w:val="single" w:color="000000" w:sz="4" w:space="0"/>
              <w:bottom w:val="single" w:color="000000" w:sz="4" w:space="0"/>
              <w:right w:val="single" w:color="000000" w:sz="4" w:space="0"/>
            </w:tcBorders>
            <w:vAlign w:val="center"/>
          </w:tcPr>
          <w:p w14:paraId="0D0B2374">
            <w:pPr>
              <w:pStyle w:val="74"/>
              <w:rPr>
                <w:color w:val="auto"/>
              </w:rPr>
            </w:pPr>
            <w:r>
              <w:rPr>
                <w:rFonts w:hint="eastAsia"/>
                <w:color w:val="auto"/>
              </w:rPr>
              <w:t>加强深化设计</w:t>
            </w:r>
          </w:p>
        </w:tc>
        <w:tc>
          <w:tcPr>
            <w:tcW w:w="3607" w:type="pct"/>
            <w:tcBorders>
              <w:top w:val="single" w:color="000000" w:sz="4" w:space="0"/>
              <w:left w:val="single" w:color="000000" w:sz="4" w:space="0"/>
              <w:bottom w:val="single" w:color="000000" w:sz="4" w:space="0"/>
              <w:right w:val="single" w:color="000000" w:sz="4" w:space="0"/>
            </w:tcBorders>
            <w:vAlign w:val="center"/>
          </w:tcPr>
          <w:p w14:paraId="7F5BCBB7">
            <w:pPr>
              <w:pStyle w:val="74"/>
              <w:rPr>
                <w:color w:val="auto"/>
              </w:rPr>
            </w:pPr>
            <w:r>
              <w:rPr>
                <w:rFonts w:hint="eastAsia"/>
                <w:color w:val="auto"/>
              </w:rPr>
              <w:t>项目设置深化设计部，采用先进的钢结构、机电、装饰深化设计软件，由专职注册工程师对自行施工范围内的工程深化设计，对各专业进行深化设计总体协调，及时汇总并绘制综合机电施工图、综合机电配合图，合理安排各专业的施工次序和施工时间，加快施工进度。</w:t>
            </w:r>
          </w:p>
          <w:p w14:paraId="7FA31C9E">
            <w:pPr>
              <w:pStyle w:val="74"/>
              <w:rPr>
                <w:color w:val="auto"/>
              </w:rPr>
            </w:pPr>
            <w:r>
              <w:rPr>
                <w:rFonts w:hint="eastAsia"/>
                <w:color w:val="auto"/>
              </w:rPr>
              <w:t>在查阅合同文件或在本工程实施过程中，发现有关的工程设计、技术规范、图纸或其他资料中的任何差错、遗漏或缺陷后，应及时通知监理。监理接到该通知后，应立即就此做出决定，并及时通知承包人和建设单位。</w:t>
            </w:r>
          </w:p>
        </w:tc>
      </w:tr>
      <w:tr w14:paraId="33BB2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9" w:type="pct"/>
            <w:tcBorders>
              <w:top w:val="single" w:color="000000" w:sz="4" w:space="0"/>
              <w:left w:val="single" w:color="000000" w:sz="4" w:space="0"/>
              <w:bottom w:val="single" w:color="000000" w:sz="4" w:space="0"/>
              <w:right w:val="single" w:color="000000" w:sz="4" w:space="0"/>
            </w:tcBorders>
            <w:vAlign w:val="center"/>
          </w:tcPr>
          <w:p w14:paraId="717FA811">
            <w:pPr>
              <w:pStyle w:val="74"/>
              <w:rPr>
                <w:color w:val="auto"/>
              </w:rPr>
            </w:pPr>
            <w:r>
              <w:rPr>
                <w:rFonts w:hint="eastAsia"/>
                <w:color w:val="auto"/>
              </w:rPr>
              <w:t>5</w:t>
            </w:r>
          </w:p>
        </w:tc>
        <w:tc>
          <w:tcPr>
            <w:tcW w:w="914" w:type="pct"/>
            <w:tcBorders>
              <w:top w:val="single" w:color="000000" w:sz="4" w:space="0"/>
              <w:left w:val="single" w:color="000000" w:sz="4" w:space="0"/>
              <w:bottom w:val="single" w:color="000000" w:sz="4" w:space="0"/>
              <w:right w:val="single" w:color="000000" w:sz="4" w:space="0"/>
            </w:tcBorders>
            <w:vAlign w:val="center"/>
          </w:tcPr>
          <w:p w14:paraId="495F88EA">
            <w:pPr>
              <w:pStyle w:val="74"/>
              <w:rPr>
                <w:color w:val="auto"/>
              </w:rPr>
            </w:pPr>
            <w:r>
              <w:rPr>
                <w:rFonts w:hint="eastAsia"/>
                <w:color w:val="auto"/>
              </w:rPr>
              <w:t>广泛采用建筑业新技术</w:t>
            </w:r>
          </w:p>
        </w:tc>
        <w:tc>
          <w:tcPr>
            <w:tcW w:w="3607" w:type="pct"/>
            <w:tcBorders>
              <w:top w:val="single" w:color="000000" w:sz="4" w:space="0"/>
              <w:left w:val="single" w:color="000000" w:sz="4" w:space="0"/>
              <w:bottom w:val="single" w:color="000000" w:sz="4" w:space="0"/>
              <w:right w:val="single" w:color="000000" w:sz="4" w:space="0"/>
            </w:tcBorders>
            <w:vAlign w:val="center"/>
          </w:tcPr>
          <w:p w14:paraId="711452D8">
            <w:pPr>
              <w:pStyle w:val="74"/>
              <w:rPr>
                <w:color w:val="auto"/>
              </w:rPr>
            </w:pPr>
            <w:r>
              <w:rPr>
                <w:rFonts w:hint="eastAsia"/>
                <w:color w:val="auto"/>
              </w:rPr>
              <w:t>在施工期间，对工程技术难点组织攻关，包括钢管混凝土施工技术、结构变形控制技术、钢结构测量技术、钢结构焊接技术等。同时，广泛应用建筑业十项新技术，为加快施工进度提供技术保证。</w:t>
            </w:r>
          </w:p>
        </w:tc>
      </w:tr>
      <w:tr w14:paraId="691AA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9" w:type="pct"/>
            <w:tcBorders>
              <w:top w:val="single" w:color="000000" w:sz="4" w:space="0"/>
              <w:left w:val="single" w:color="000000" w:sz="4" w:space="0"/>
              <w:bottom w:val="single" w:color="000000" w:sz="4" w:space="0"/>
              <w:right w:val="single" w:color="000000" w:sz="4" w:space="0"/>
            </w:tcBorders>
            <w:vAlign w:val="center"/>
          </w:tcPr>
          <w:p w14:paraId="2CDACE67">
            <w:pPr>
              <w:pStyle w:val="74"/>
              <w:rPr>
                <w:color w:val="auto"/>
              </w:rPr>
            </w:pPr>
            <w:r>
              <w:rPr>
                <w:rFonts w:hint="eastAsia"/>
                <w:color w:val="auto"/>
              </w:rPr>
              <w:t>6</w:t>
            </w:r>
          </w:p>
        </w:tc>
        <w:tc>
          <w:tcPr>
            <w:tcW w:w="914" w:type="pct"/>
            <w:tcBorders>
              <w:top w:val="single" w:color="000000" w:sz="4" w:space="0"/>
              <w:left w:val="single" w:color="000000" w:sz="4" w:space="0"/>
              <w:bottom w:val="single" w:color="000000" w:sz="4" w:space="0"/>
              <w:right w:val="single" w:color="000000" w:sz="4" w:space="0"/>
            </w:tcBorders>
            <w:vAlign w:val="center"/>
          </w:tcPr>
          <w:p w14:paraId="612D2194">
            <w:pPr>
              <w:pStyle w:val="74"/>
              <w:rPr>
                <w:color w:val="auto"/>
              </w:rPr>
            </w:pPr>
            <w:r>
              <w:rPr>
                <w:rFonts w:hint="eastAsia"/>
                <w:color w:val="auto"/>
              </w:rPr>
              <w:t>采用项目管理系统，实现资源共享</w:t>
            </w:r>
          </w:p>
        </w:tc>
        <w:tc>
          <w:tcPr>
            <w:tcW w:w="3607" w:type="pct"/>
            <w:tcBorders>
              <w:top w:val="single" w:color="000000" w:sz="4" w:space="0"/>
              <w:left w:val="single" w:color="000000" w:sz="4" w:space="0"/>
              <w:bottom w:val="single" w:color="000000" w:sz="4" w:space="0"/>
              <w:right w:val="single" w:color="000000" w:sz="4" w:space="0"/>
            </w:tcBorders>
            <w:vAlign w:val="center"/>
          </w:tcPr>
          <w:p w14:paraId="1B6E14A4">
            <w:pPr>
              <w:pStyle w:val="74"/>
              <w:rPr>
                <w:color w:val="auto"/>
              </w:rPr>
            </w:pPr>
            <w:r>
              <w:rPr>
                <w:rFonts w:hint="eastAsia"/>
                <w:color w:val="auto"/>
              </w:rPr>
              <w:t>我司将在此项目上全面采用《建筑工程施工项目管理信息系统》，以项目局域网计算机网络为基础，建立项目管理网络，通过此系统，实现高效、迅速并且条理清楚的信息沟通和传递，为项目管理者提供丰富的决策依据。系统中的《计划管理》、《过程管理》、《技术资料管理》等一系列功能模块，实现过程的可控制性、质量的可追塑性，从而进一步理顺管理思路、协调专业职责关系，能及时向建设单位报告工程进度、质量动态，提高工作效率，加快工作过程。</w:t>
            </w:r>
          </w:p>
        </w:tc>
      </w:tr>
    </w:tbl>
    <w:p w14:paraId="3E1E1E2D">
      <w:pPr>
        <w:pStyle w:val="5"/>
        <w:rPr>
          <w:color w:val="auto"/>
        </w:rPr>
      </w:pPr>
      <w:bookmarkStart w:id="354" w:name="_Toc8058"/>
      <w:r>
        <w:rPr>
          <w:rFonts w:hint="eastAsia"/>
          <w:color w:val="auto"/>
        </w:rPr>
        <w:t>技术资料的管理</w:t>
      </w:r>
      <w:bookmarkEnd w:id="354"/>
    </w:p>
    <w:p w14:paraId="24787606">
      <w:pPr>
        <w:rPr>
          <w:color w:val="auto"/>
        </w:rPr>
      </w:pPr>
      <w:r>
        <w:rPr>
          <w:rFonts w:hint="eastAsia"/>
          <w:color w:val="auto"/>
        </w:rPr>
        <w:t>（1）按照规范的要求积累而成的完整、真实、具体的工程技术资料，是工程竣工验收交付的必备条件。</w:t>
      </w:r>
    </w:p>
    <w:p w14:paraId="3C547735">
      <w:pPr>
        <w:rPr>
          <w:color w:val="auto"/>
        </w:rPr>
      </w:pPr>
      <w:r>
        <w:rPr>
          <w:rFonts w:hint="eastAsia"/>
          <w:color w:val="auto"/>
        </w:rPr>
        <w:t>（2）工程技术资料为工程的检查、维护、改造、扩建提供可靠的依据。</w:t>
      </w:r>
    </w:p>
    <w:p w14:paraId="0F6DFA7B">
      <w:pPr>
        <w:rPr>
          <w:color w:val="auto"/>
        </w:rPr>
      </w:pPr>
      <w:r>
        <w:rPr>
          <w:rFonts w:hint="eastAsia"/>
          <w:color w:val="auto"/>
        </w:rPr>
        <w:t>（3）一个质量合格的工程必须要有一份内容齐全、原始技术资料完成、文字记载真实可靠的技术资料。</w:t>
      </w:r>
    </w:p>
    <w:p w14:paraId="092F0C71">
      <w:pPr>
        <w:rPr>
          <w:color w:val="auto"/>
        </w:rPr>
      </w:pPr>
      <w:r>
        <w:rPr>
          <w:rFonts w:hint="eastAsia"/>
          <w:color w:val="auto"/>
        </w:rPr>
        <w:t>（4）对于优良工程的评定，更有赖于技术资料的完整无缺。</w:t>
      </w:r>
    </w:p>
    <w:p w14:paraId="6CFCF0AA">
      <w:pPr>
        <w:rPr>
          <w:color w:val="auto"/>
        </w:rPr>
      </w:pPr>
      <w:r>
        <w:rPr>
          <w:rFonts w:hint="eastAsia"/>
          <w:color w:val="auto"/>
        </w:rPr>
        <w:t>（5）做好建设工程文件和档案资料管理工作也是项目管理的重要内容。</w:t>
      </w:r>
    </w:p>
    <w:p w14:paraId="3EA98AA4">
      <w:pPr>
        <w:rPr>
          <w:color w:val="auto"/>
        </w:rPr>
      </w:pPr>
      <w:r>
        <w:rPr>
          <w:rFonts w:hint="eastAsia"/>
          <w:color w:val="auto"/>
        </w:rPr>
        <w:t>（6）建设工程文件和档案资料是建设单位对建设工程管理的依据。</w:t>
      </w:r>
    </w:p>
    <w:p w14:paraId="09388A2D">
      <w:pPr>
        <w:rPr>
          <w:color w:val="auto"/>
        </w:rPr>
      </w:pPr>
      <w:r>
        <w:rPr>
          <w:rFonts w:hint="eastAsia"/>
          <w:color w:val="auto"/>
        </w:rPr>
        <w:t>在技术资料的组织协调管理工作中，总包单位将严格遵照深圳市建委、监督站的规定以及国标系列工程质量验收标准的要求进行。</w:t>
      </w:r>
    </w:p>
    <w:p w14:paraId="59199698">
      <w:pPr>
        <w:pStyle w:val="4"/>
        <w:ind w:firstLine="482"/>
        <w:rPr>
          <w:color w:val="auto"/>
        </w:rPr>
      </w:pPr>
      <w:bookmarkStart w:id="355" w:name="_Toc7142"/>
      <w:r>
        <w:rPr>
          <w:rFonts w:hint="eastAsia"/>
          <w:color w:val="auto"/>
        </w:rPr>
        <w:t>工期保证措施</w:t>
      </w:r>
      <w:bookmarkEnd w:id="355"/>
    </w:p>
    <w:p w14:paraId="45B3328A">
      <w:pPr>
        <w:pStyle w:val="5"/>
        <w:ind w:firstLine="480"/>
        <w:rPr>
          <w:color w:val="auto"/>
        </w:rPr>
      </w:pPr>
      <w:bookmarkStart w:id="356" w:name="_Toc32624"/>
      <w:r>
        <w:rPr>
          <w:rFonts w:hint="eastAsia"/>
          <w:color w:val="auto"/>
        </w:rPr>
        <w:t>组织措施</w:t>
      </w:r>
      <w:bookmarkEnd w:id="356"/>
    </w:p>
    <w:p w14:paraId="06A6B280">
      <w:pPr>
        <w:rPr>
          <w:color w:val="auto"/>
        </w:rPr>
      </w:pPr>
      <w:r>
        <w:rPr>
          <w:rFonts w:hint="eastAsia"/>
          <w:color w:val="auto"/>
        </w:rPr>
        <w:t>（1）建立强有力的项目经理部，配置高效项目管理层，通过层层签定责任书，形成可靠的项目组织指挥工作层。本工程施工的项目经理、工程技术人员和质检员均由有丰富的施工管理经验的人员担任。</w:t>
      </w:r>
    </w:p>
    <w:p w14:paraId="441A8E39">
      <w:pPr>
        <w:rPr>
          <w:color w:val="auto"/>
        </w:rPr>
      </w:pPr>
      <w:r>
        <w:rPr>
          <w:rFonts w:hint="eastAsia"/>
          <w:color w:val="auto"/>
        </w:rPr>
        <w:t>（2）加强同业主、设计院及现场监理工程师的交流与沟通，对施工过程中出现的问题及时达成共识。</w:t>
      </w:r>
    </w:p>
    <w:p w14:paraId="49CF039D">
      <w:pPr>
        <w:rPr>
          <w:color w:val="auto"/>
        </w:rPr>
      </w:pPr>
      <w:r>
        <w:rPr>
          <w:rFonts w:hint="eastAsia"/>
          <w:color w:val="auto"/>
        </w:rPr>
        <w:t>（3）加大资源配备与资金支持，确保劳动力、施工机械、材料、运输车辆的充足配备和及时进场。保证各种生产资源及时、足量的供给。</w:t>
      </w:r>
    </w:p>
    <w:p w14:paraId="25CA6EE2">
      <w:pPr>
        <w:rPr>
          <w:color w:val="auto"/>
        </w:rPr>
      </w:pPr>
      <w:r>
        <w:rPr>
          <w:rFonts w:hint="eastAsia"/>
          <w:color w:val="auto"/>
        </w:rPr>
        <w:t>（4）项目进行全盘策划、高效组织、管理、协调和有效控制，加强同各分包单位的协调与合作，根据工程进展及时通知分包单位进场，并为分包单位的工作创造良好条件。</w:t>
      </w:r>
    </w:p>
    <w:p w14:paraId="620CAD90">
      <w:pPr>
        <w:pStyle w:val="5"/>
        <w:ind w:firstLine="480"/>
        <w:rPr>
          <w:color w:val="auto"/>
        </w:rPr>
      </w:pPr>
      <w:bookmarkStart w:id="357" w:name="_Toc26708"/>
      <w:r>
        <w:rPr>
          <w:rFonts w:hint="eastAsia"/>
          <w:color w:val="auto"/>
        </w:rPr>
        <w:t>管理措施</w:t>
      </w:r>
      <w:bookmarkEnd w:id="357"/>
    </w:p>
    <w:p w14:paraId="1B6B68DF">
      <w:pPr>
        <w:rPr>
          <w:color w:val="auto"/>
        </w:rPr>
      </w:pPr>
      <w:r>
        <w:rPr>
          <w:rFonts w:hint="eastAsia"/>
          <w:color w:val="auto"/>
        </w:rPr>
        <w:t>（1）合理安排混凝土浇筑时间，减少施工扰民，同时也是克服环境因素影响、保证工期的重要措施。</w:t>
      </w:r>
    </w:p>
    <w:p w14:paraId="02A2FAA6">
      <w:pPr>
        <w:rPr>
          <w:color w:val="auto"/>
        </w:rPr>
      </w:pPr>
      <w:r>
        <w:rPr>
          <w:rFonts w:hint="eastAsia"/>
          <w:color w:val="auto"/>
        </w:rPr>
        <w:t>（2）除参加现场监理工程师主持召开的现场例会外，项目每星期召开2～3次工程例会，围绕工程的施工进度、工程质量、生产安全、生产协调等内容检查上一次例会以来的计划执行情况。每日召开各专业碰头会，及时解决生产协调中的问题，不定期召开专题会，及时解决影响进度的有关问题。</w:t>
      </w:r>
    </w:p>
    <w:p w14:paraId="4176584B">
      <w:pPr>
        <w:rPr>
          <w:color w:val="auto"/>
        </w:rPr>
      </w:pPr>
      <w:r>
        <w:rPr>
          <w:rFonts w:hint="eastAsia"/>
          <w:color w:val="auto"/>
        </w:rPr>
        <w:t>（3）作好施工现场与材料加工场、构件堆场的协调、配合，拟定施工准备计划，既保证工程需要，又减少现场堆放量。派专人落实材料运输、工人上下班交通、现场饮食等，确保后勤保障工作的优质高效。</w:t>
      </w:r>
    </w:p>
    <w:p w14:paraId="7426129B">
      <w:pPr>
        <w:rPr>
          <w:color w:val="auto"/>
        </w:rPr>
      </w:pPr>
      <w:r>
        <w:rPr>
          <w:rFonts w:hint="eastAsia"/>
          <w:color w:val="auto"/>
        </w:rPr>
        <w:t>（4）作好作业队管理：协助劳务队伍作好工人培训、取证工作，加强管理。</w:t>
      </w:r>
    </w:p>
    <w:p w14:paraId="73A4C196">
      <w:pPr>
        <w:rPr>
          <w:color w:val="auto"/>
        </w:rPr>
      </w:pPr>
      <w:r>
        <w:rPr>
          <w:rFonts w:hint="eastAsia"/>
          <w:color w:val="auto"/>
        </w:rPr>
        <w:t>（5）加强现场管理，注重过程控制，确保每一工序一次成活，既为下一工序的插入创造条件，又节省其自身的验收时间。</w:t>
      </w:r>
    </w:p>
    <w:p w14:paraId="12A38C4F">
      <w:pPr>
        <w:pStyle w:val="5"/>
        <w:ind w:firstLine="480"/>
        <w:rPr>
          <w:color w:val="auto"/>
        </w:rPr>
      </w:pPr>
      <w:bookmarkStart w:id="358" w:name="_Toc22861"/>
      <w:r>
        <w:rPr>
          <w:rFonts w:hint="eastAsia"/>
          <w:color w:val="auto"/>
        </w:rPr>
        <w:t>技术措施</w:t>
      </w:r>
      <w:bookmarkEnd w:id="358"/>
    </w:p>
    <w:p w14:paraId="274A6D12">
      <w:pPr>
        <w:rPr>
          <w:color w:val="auto"/>
        </w:rPr>
      </w:pPr>
      <w:r>
        <w:rPr>
          <w:rFonts w:hint="eastAsia"/>
          <w:color w:val="auto"/>
        </w:rPr>
        <w:t>（1）项目制定二、三级工期网络和节点控制，并进行动态管理，在此基础上合理、及时插入相关工序，进行流水施工。</w:t>
      </w:r>
    </w:p>
    <w:p w14:paraId="6D47121E">
      <w:pPr>
        <w:rPr>
          <w:color w:val="auto"/>
        </w:rPr>
      </w:pPr>
      <w:r>
        <w:rPr>
          <w:rFonts w:hint="eastAsia"/>
          <w:color w:val="auto"/>
        </w:rPr>
        <w:t>（2）利用计算机技术对网络计划实施动态管理，通过关键线路节点控制目标的实现来保证各控制点工期目标的实现，从而进一步通过各控制点工期目标的实现来确保总工期控制进度计划的实现。</w:t>
      </w:r>
    </w:p>
    <w:p w14:paraId="5A8F0D25">
      <w:pPr>
        <w:rPr>
          <w:color w:val="auto"/>
        </w:rPr>
      </w:pPr>
      <w:r>
        <w:rPr>
          <w:rFonts w:hint="eastAsia"/>
          <w:color w:val="auto"/>
        </w:rPr>
        <w:t>（3）根据总工期进度计划的要求，强化节点控制，明确影响工期的材料、设备、分包单位的考察日期和进场日期，加强对各分包单位的计划管理。建立以时保日、以日保周、以周保旬、以旬保月、以月保季、以季保年、以年保总体的计划管理体系。</w:t>
      </w:r>
    </w:p>
    <w:p w14:paraId="3CF83536">
      <w:pPr>
        <w:rPr>
          <w:color w:val="auto"/>
        </w:rPr>
      </w:pPr>
      <w:r>
        <w:rPr>
          <w:rFonts w:hint="eastAsia"/>
          <w:color w:val="auto"/>
        </w:rPr>
        <w:t>（4）技术部在项目总工程师的领导下，对土建、安装等各个专业进行辅助深化设计，使我们的施工作品更好地体现设计师的意图。在保证工期的基础上建成优质工程。</w:t>
      </w:r>
    </w:p>
    <w:p w14:paraId="191E1A42">
      <w:pPr>
        <w:rPr>
          <w:color w:val="auto"/>
        </w:rPr>
      </w:pPr>
      <w:r>
        <w:rPr>
          <w:rFonts w:hint="eastAsia"/>
          <w:color w:val="auto"/>
        </w:rPr>
        <w:t>（5）精心规划和部署，优化施工方案，科学组织施工，使项目各项生产活动井然有序、有条不紊，后续工序能提前穿插。</w:t>
      </w:r>
    </w:p>
    <w:p w14:paraId="32E20DF3">
      <w:pPr>
        <w:rPr>
          <w:color w:val="auto"/>
        </w:rPr>
      </w:pPr>
      <w:r>
        <w:rPr>
          <w:rFonts w:hint="eastAsia"/>
          <w:color w:val="auto"/>
        </w:rPr>
        <w:t>（6）积极推广应用新技术、新工艺和成熟适用的科技成果。依靠科技提高工效、加快工程进度。</w:t>
      </w:r>
    </w:p>
    <w:p w14:paraId="253DF10E">
      <w:pPr>
        <w:pStyle w:val="5"/>
        <w:ind w:firstLine="480"/>
        <w:rPr>
          <w:color w:val="auto"/>
        </w:rPr>
      </w:pPr>
      <w:bookmarkStart w:id="359" w:name="_Toc4325"/>
      <w:r>
        <w:rPr>
          <w:rFonts w:hint="eastAsia"/>
          <w:color w:val="auto"/>
        </w:rPr>
        <w:t>控制方法</w:t>
      </w:r>
      <w:bookmarkEnd w:id="359"/>
    </w:p>
    <w:p w14:paraId="54556E64">
      <w:pPr>
        <w:rPr>
          <w:color w:val="auto"/>
        </w:rPr>
      </w:pPr>
      <w:r>
        <w:rPr>
          <w:rFonts w:hint="eastAsia"/>
          <w:color w:val="auto"/>
        </w:rPr>
        <w:t>（1）按施工阶段分解，突出控制节点。以关键线路和次关键线路为线索，以网络计划中心起止里程碑为控制点，把土方挖运施工、防水施工、各区段钢筋混凝土施工作为重点控制对象，在施工中要针对不同阶段的重点和施工时的相关条件，制定施工细则，做出更加具体的分析研究和平衡协调，达到保证控制节点的实现。</w:t>
      </w:r>
    </w:p>
    <w:p w14:paraId="6C78D708">
      <w:pPr>
        <w:rPr>
          <w:color w:val="auto"/>
        </w:rPr>
      </w:pPr>
      <w:r>
        <w:rPr>
          <w:rFonts w:hint="eastAsia"/>
          <w:color w:val="auto"/>
        </w:rPr>
        <w:t>（2）按专业工种分解，确定交接日期。在相同专业和同工种的任务之间，进行综合平衡；在不同专业或不同工种和任务之间，要强调相互之间的衔接配合，确定相互间交接日期，强调为下道工序服务，并严格执行。避免因耽误下道工序而造成的下道工序窝工等损失及总工期（关键线路上的）损失。强化工期严肃性，保证工程进度不在本工序造成延误。</w:t>
      </w:r>
    </w:p>
    <w:p w14:paraId="72DE2C8A">
      <w:pPr>
        <w:rPr>
          <w:color w:val="auto"/>
        </w:rPr>
      </w:pPr>
      <w:r>
        <w:rPr>
          <w:rFonts w:hint="eastAsia"/>
          <w:color w:val="auto"/>
        </w:rPr>
        <w:t>（3）同时按总进度计划的时间要求，将施工总进度计划分解成、月计划、周计划及日计划，这样将更有利于计划的控制目标。</w:t>
      </w:r>
    </w:p>
    <w:p w14:paraId="505F93DB">
      <w:pPr>
        <w:rPr>
          <w:color w:val="auto"/>
        </w:rPr>
      </w:pPr>
      <w:r>
        <w:rPr>
          <w:rFonts w:hint="eastAsia"/>
          <w:color w:val="auto"/>
        </w:rPr>
        <w:t>（4）推行进度网络管理技术：采用计算机管理，要使本工程在预定工期内完工，就要抓住施工进度计划中的关键工序和关键线路，它是决定工期的关键。对本工程进行网络管理，一旦关键工序出现工期拖延，即在计算机网络计划中进行调整优化、压缩，采取有效的现场措施，确保本工程在预定工期内完成。</w:t>
      </w:r>
    </w:p>
    <w:p w14:paraId="7DB81DC9">
      <w:pPr>
        <w:rPr>
          <w:color w:val="auto"/>
        </w:rPr>
      </w:pPr>
      <w:r>
        <w:rPr>
          <w:rFonts w:hint="eastAsia"/>
          <w:color w:val="auto"/>
        </w:rPr>
        <w:t>（5）保证资源配置：在材料供应上，按照施工进度计划要求及时进货，做到既满足施工要求，又要使现场无太多的积压，以便有更多的场地安排施工。在人力配备上，以满足关键线路控制点要求为第一层次，以各进度分项目标为第二层次，达到主次分明，步调一致，紧张有序。实行工序、工程段落流水和循环跟进的施工程序；区分轻重缓急，以均衡流水为主，对关键工序、关键环节和必要工作面根据现场环境条件及时组织抢工期及双班作业。</w:t>
      </w:r>
    </w:p>
    <w:p w14:paraId="1B5B9112">
      <w:pPr>
        <w:rPr>
          <w:color w:val="auto"/>
        </w:rPr>
      </w:pPr>
      <w:r>
        <w:rPr>
          <w:rFonts w:hint="eastAsia"/>
          <w:color w:val="auto"/>
        </w:rPr>
        <w:t>（6）机械配置：为保证本工程按期完工，我们将配备足够的中、小型施工机械，不仅保证正常使用，还要采取有效技术措施保证有效备用。</w:t>
      </w:r>
    </w:p>
    <w:p w14:paraId="22D92C7E">
      <w:pPr>
        <w:rPr>
          <w:color w:val="auto"/>
        </w:rPr>
      </w:pPr>
      <w:r>
        <w:rPr>
          <w:rFonts w:hint="eastAsia"/>
          <w:color w:val="auto"/>
        </w:rPr>
        <w:t>配备充足的输送泵负责砼的水平运输，充足的钢筋对焊机、电渣压力焊机、套筒挤压、攻丝机具等钢筋连接机械。为确保本工程在市政电网停电的情况下也能正常施工，我们计划在工地配备一台250KVA的柴油发电机备用，当市政电网停电时，立即启用发电机发电，供应现场施工用电，维持连续施工。</w:t>
      </w:r>
    </w:p>
    <w:p w14:paraId="091F7813">
      <w:pPr>
        <w:pStyle w:val="5"/>
        <w:ind w:firstLine="480"/>
        <w:rPr>
          <w:rFonts w:ascii="宋体" w:hAnsi="宋体" w:eastAsia="宋体"/>
          <w:color w:val="auto"/>
          <w:szCs w:val="28"/>
          <w:highlight w:val="none"/>
        </w:rPr>
      </w:pPr>
      <w:bookmarkStart w:id="360" w:name="_Toc25157"/>
      <w:bookmarkStart w:id="361" w:name="_Toc60089638"/>
      <w:bookmarkStart w:id="362" w:name="_Toc166965320"/>
      <w:bookmarkStart w:id="363" w:name="_Toc71733107"/>
      <w:r>
        <w:rPr>
          <w:rFonts w:hint="eastAsia" w:ascii="宋体" w:hAnsi="宋体"/>
          <w:color w:val="auto"/>
          <w:szCs w:val="28"/>
          <w:highlight w:val="none"/>
          <w:lang w:val="en-US" w:eastAsia="zh-CN"/>
        </w:rPr>
        <w:t>施工进度计划实施与纠偏</w:t>
      </w:r>
      <w:bookmarkEnd w:id="360"/>
    </w:p>
    <w:p w14:paraId="25C61350">
      <w:pPr>
        <w:pStyle w:val="89"/>
        <w:spacing w:before="10" w:after="10" w:line="360" w:lineRule="auto"/>
        <w:ind w:firstLine="560"/>
        <w:rPr>
          <w:rFonts w:hint="eastAsia"/>
          <w:color w:val="auto"/>
          <w:sz w:val="24"/>
          <w:szCs w:val="24"/>
          <w:highlight w:val="none"/>
        </w:rPr>
      </w:pPr>
      <w:r>
        <w:rPr>
          <w:rFonts w:hint="eastAsia"/>
          <w:color w:val="auto"/>
          <w:sz w:val="24"/>
          <w:szCs w:val="24"/>
          <w:highlight w:val="none"/>
          <w:lang w:val="en-US" w:eastAsia="zh-CN"/>
        </w:rPr>
        <w:t>1、</w:t>
      </w:r>
      <w:r>
        <w:rPr>
          <w:rFonts w:hint="eastAsia"/>
          <w:color w:val="auto"/>
          <w:sz w:val="24"/>
          <w:szCs w:val="24"/>
          <w:highlight w:val="none"/>
        </w:rPr>
        <w:t>施工进度计划的实施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2"/>
        <w:gridCol w:w="1056"/>
        <w:gridCol w:w="7082"/>
      </w:tblGrid>
      <w:tr w14:paraId="2D0E9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509" w:type="pct"/>
            <w:noWrap w:val="0"/>
            <w:vAlign w:val="center"/>
          </w:tcPr>
          <w:p w14:paraId="31507C3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583" w:type="pct"/>
            <w:noWrap w:val="0"/>
            <w:vAlign w:val="center"/>
          </w:tcPr>
          <w:p w14:paraId="5825A2F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项目</w:t>
            </w:r>
          </w:p>
        </w:tc>
        <w:tc>
          <w:tcPr>
            <w:tcW w:w="3908" w:type="pct"/>
            <w:noWrap w:val="0"/>
            <w:vAlign w:val="center"/>
          </w:tcPr>
          <w:p w14:paraId="56D51AF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内容</w:t>
            </w:r>
          </w:p>
        </w:tc>
      </w:tr>
      <w:tr w14:paraId="0F440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vAlign w:val="center"/>
          </w:tcPr>
          <w:p w14:paraId="0A35AF4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583" w:type="pct"/>
            <w:noWrap w:val="0"/>
            <w:vAlign w:val="center"/>
          </w:tcPr>
          <w:p w14:paraId="19F8BDA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编制月（旬或周）作业计划</w:t>
            </w:r>
          </w:p>
        </w:tc>
        <w:tc>
          <w:tcPr>
            <w:tcW w:w="3908" w:type="pct"/>
            <w:noWrap w:val="0"/>
            <w:vAlign w:val="center"/>
          </w:tcPr>
          <w:p w14:paraId="2023D46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（1）每月（旬或周）末，项目经理提出下期目标和作业项目，通过工地例会协调后编制。</w:t>
            </w:r>
          </w:p>
          <w:p w14:paraId="600BFED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（2）应根据规定的计划任务，当前施工进度，现场施工环境、劳动力、机械等资源条件编制。</w:t>
            </w:r>
          </w:p>
          <w:p w14:paraId="19108DD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（3）作业计划是施工进度计划的具体化，应具有实施性，使施工任务更加明确具体可行，便于测量、控制、检查。</w:t>
            </w:r>
          </w:p>
          <w:p w14:paraId="34E56E5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（4）对总工期跨越一个年度以上的施工项目，应根据不同年度的施工内容编制年度和季度的控制性施工进度计划，确定并控制项目的施工总进度的重要节点目标。</w:t>
            </w:r>
          </w:p>
          <w:p w14:paraId="3FB975C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（5）项目经理部应将资源供应进度计划和分包工程施工进度计划纳入项目进度控制范畴。</w:t>
            </w:r>
          </w:p>
        </w:tc>
      </w:tr>
      <w:tr w14:paraId="2F7D1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vAlign w:val="center"/>
          </w:tcPr>
          <w:p w14:paraId="443B70F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583" w:type="pct"/>
            <w:noWrap w:val="0"/>
            <w:vAlign w:val="center"/>
          </w:tcPr>
          <w:p w14:paraId="275A8AC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签发施工任务书</w:t>
            </w:r>
          </w:p>
        </w:tc>
        <w:tc>
          <w:tcPr>
            <w:tcW w:w="3908" w:type="pct"/>
            <w:noWrap w:val="0"/>
            <w:vAlign w:val="center"/>
          </w:tcPr>
          <w:p w14:paraId="6EA0213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（1）施工任务书是下达施工任务，实行责任承包，全面管理和原始记录的综合性文件。</w:t>
            </w:r>
          </w:p>
          <w:p w14:paraId="512BF8E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（2）施工任务书包括：施工任务单、限额领料单、考勤表等。</w:t>
            </w:r>
          </w:p>
          <w:p w14:paraId="00082AE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（3）施工任务单包括分项工程施工任务、工程量、劳动量、开工及完工日期、工艺、质量和安全要求。</w:t>
            </w:r>
          </w:p>
          <w:p w14:paraId="4F18E98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（4）限额领料单根据施工任务单编制，是控制班组领用料的依据，其中列明材料名称、规格、型号、单位和数量、领退料记录等。</w:t>
            </w:r>
          </w:p>
          <w:p w14:paraId="30EF56E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（5）工长根据作业计划按班组编制施工任务书，签发后向班组下达并落实施工任务。</w:t>
            </w:r>
          </w:p>
          <w:p w14:paraId="6B436C4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（6）在实施过程中，做好记录，任务完成后回收，作为原始记录和业务核算资料保存。</w:t>
            </w:r>
          </w:p>
        </w:tc>
      </w:tr>
      <w:tr w14:paraId="241C7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vAlign w:val="center"/>
          </w:tcPr>
          <w:p w14:paraId="3964BEB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583" w:type="pct"/>
            <w:noWrap w:val="0"/>
            <w:vAlign w:val="center"/>
          </w:tcPr>
          <w:p w14:paraId="03F4E8E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做好施工进度记录填施工进度统计表</w:t>
            </w:r>
          </w:p>
        </w:tc>
        <w:tc>
          <w:tcPr>
            <w:tcW w:w="3908" w:type="pct"/>
            <w:noWrap w:val="0"/>
            <w:vAlign w:val="center"/>
          </w:tcPr>
          <w:p w14:paraId="520BF5A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（1）各级施工进度计划的执行者做好施工记录，如实记载计划执行情况。</w:t>
            </w:r>
          </w:p>
          <w:p w14:paraId="3E2459D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（2）每项工作的开始和完成时间，每日完成数量。</w:t>
            </w:r>
          </w:p>
          <w:p w14:paraId="5586618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（3）记录现场发生的各种情况、干扰因素的排除情况。</w:t>
            </w:r>
          </w:p>
          <w:p w14:paraId="3EE354A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（4）跟踪做好形象进度、工程量、总产值、耗用的人工、材料、机械台班、能源等数量。</w:t>
            </w:r>
          </w:p>
          <w:p w14:paraId="6DE37B4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（5）及时进行统计分析并填表上报，为施工项目进度检查和控制分析提供反馈信息。</w:t>
            </w:r>
          </w:p>
        </w:tc>
      </w:tr>
      <w:tr w14:paraId="1C07A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vAlign w:val="center"/>
          </w:tcPr>
          <w:p w14:paraId="7F3811E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583" w:type="pct"/>
            <w:noWrap w:val="0"/>
            <w:vAlign w:val="center"/>
          </w:tcPr>
          <w:p w14:paraId="02CB0F4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做好施工调度工作</w:t>
            </w:r>
          </w:p>
        </w:tc>
        <w:tc>
          <w:tcPr>
            <w:tcW w:w="3908" w:type="pct"/>
            <w:noWrap w:val="0"/>
            <w:vAlign w:val="center"/>
          </w:tcPr>
          <w:p w14:paraId="7C5F6B5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施工调度是掌握计划实施情况，组织施工中各阶段、环节、专业和工种的互相配合，协调各方面关系，采取措施，排除各种干扰、矛盾，加强薄弱环节，发挥生产指挥作用，实现连续均衡顺利施工，以保证完成各项作业计划，实现进度目标。其具体工作：</w:t>
            </w:r>
          </w:p>
          <w:p w14:paraId="222D4F3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（2）执行施工合同中对进度、开工及延期开工、暂停施工、工期延误、工程竣工的承诺。</w:t>
            </w:r>
          </w:p>
          <w:p w14:paraId="764AF97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（3）落实控制进度措施应具体到执行人、目标、任务、检查方法和考核办法。</w:t>
            </w:r>
          </w:p>
          <w:p w14:paraId="7844131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（4）监督检查施工准备工作、作业计划的实施、协调各方面的进度关系。</w:t>
            </w:r>
          </w:p>
          <w:p w14:paraId="2BB6895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（5）督促资源供应单位按计划供应劳动力、施工机具、材料构配件、运输车辆等，并对临时出现问题采取解决的调配措施。</w:t>
            </w:r>
          </w:p>
          <w:p w14:paraId="2B106DA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（6）由于工程变更引起资源需求的数量变更和品种变化时，应及时调整供应计划。</w:t>
            </w:r>
          </w:p>
          <w:p w14:paraId="499C129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（7）按施工平面图管理施工现场，遇到问题做必要地调整，保证文明施工。</w:t>
            </w:r>
          </w:p>
          <w:p w14:paraId="5B85BC7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（8）及时了解气候和水、电供应情况，采取相应的防范和调整保证措施。</w:t>
            </w:r>
          </w:p>
          <w:p w14:paraId="49CFFF1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（9）及时发现和处理施工中各种事故和意外事件。</w:t>
            </w:r>
          </w:p>
          <w:p w14:paraId="531AA4D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（10）协助分包人解决项目进度控制中的相关问题。</w:t>
            </w:r>
          </w:p>
          <w:p w14:paraId="1A46832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（11）定期、及时召开现场调度会议，贯彻项目主管人的决策，发布调度令。</w:t>
            </w:r>
          </w:p>
          <w:p w14:paraId="67D9DBB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（12）当发包人提供的资源供应进度发生变化不能满足施工进度要求时，应敦促发包人执行原计划，并对造成的工期延误及经济损失进行索赔。</w:t>
            </w:r>
          </w:p>
        </w:tc>
      </w:tr>
    </w:tbl>
    <w:p w14:paraId="31DD35BD">
      <w:pPr>
        <w:pStyle w:val="89"/>
        <w:spacing w:before="10" w:after="10" w:line="360" w:lineRule="auto"/>
        <w:ind w:firstLine="560"/>
        <w:rPr>
          <w:rFonts w:hint="eastAsia"/>
          <w:color w:val="auto"/>
          <w:sz w:val="24"/>
          <w:szCs w:val="24"/>
          <w:highlight w:val="none"/>
          <w:lang w:val="en-US" w:eastAsia="zh-CN"/>
        </w:rPr>
      </w:pPr>
      <w:r>
        <w:rPr>
          <w:rFonts w:hint="eastAsia"/>
          <w:color w:val="auto"/>
          <w:sz w:val="24"/>
          <w:szCs w:val="24"/>
          <w:highlight w:val="none"/>
          <w:lang w:val="en-US" w:eastAsia="zh-CN"/>
        </w:rPr>
        <w:t>2、施工进度计划的检查</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991"/>
        <w:gridCol w:w="7364"/>
      </w:tblGrid>
      <w:tr w14:paraId="152E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89" w:type="pct"/>
            <w:noWrap w:val="0"/>
            <w:vAlign w:val="center"/>
          </w:tcPr>
          <w:p w14:paraId="7FA243D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547" w:type="pct"/>
            <w:noWrap w:val="0"/>
            <w:vAlign w:val="center"/>
          </w:tcPr>
          <w:p w14:paraId="76DD446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项目</w:t>
            </w:r>
          </w:p>
        </w:tc>
        <w:tc>
          <w:tcPr>
            <w:tcW w:w="4064" w:type="pct"/>
            <w:noWrap w:val="0"/>
            <w:vAlign w:val="center"/>
          </w:tcPr>
          <w:p w14:paraId="5BB15B7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说明</w:t>
            </w:r>
          </w:p>
        </w:tc>
      </w:tr>
      <w:tr w14:paraId="0BAB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76FAF20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547" w:type="pct"/>
            <w:noWrap w:val="0"/>
            <w:vAlign w:val="center"/>
          </w:tcPr>
          <w:p w14:paraId="57830BA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检查依据</w:t>
            </w:r>
          </w:p>
        </w:tc>
        <w:tc>
          <w:tcPr>
            <w:tcW w:w="4064" w:type="pct"/>
            <w:noWrap w:val="0"/>
            <w:vAlign w:val="center"/>
          </w:tcPr>
          <w:p w14:paraId="5470872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施工进度计划、作业计划及施工进度计划实施记录。</w:t>
            </w:r>
          </w:p>
        </w:tc>
      </w:tr>
      <w:tr w14:paraId="5FBD8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068E139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547" w:type="pct"/>
            <w:noWrap w:val="0"/>
            <w:vAlign w:val="center"/>
          </w:tcPr>
          <w:p w14:paraId="712444C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检查目的</w:t>
            </w:r>
          </w:p>
        </w:tc>
        <w:tc>
          <w:tcPr>
            <w:tcW w:w="4064" w:type="pct"/>
            <w:noWrap w:val="0"/>
            <w:vAlign w:val="center"/>
          </w:tcPr>
          <w:p w14:paraId="3931D07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检查实际施工进度，收集整理有关资料，并与计划对比，为进度分析和计划调整提供信息。</w:t>
            </w:r>
          </w:p>
        </w:tc>
      </w:tr>
      <w:tr w14:paraId="51752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2A8B99F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547" w:type="pct"/>
            <w:noWrap w:val="0"/>
            <w:vAlign w:val="center"/>
          </w:tcPr>
          <w:p w14:paraId="017250A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检查时间</w:t>
            </w:r>
          </w:p>
        </w:tc>
        <w:tc>
          <w:tcPr>
            <w:tcW w:w="4064" w:type="pct"/>
            <w:noWrap w:val="0"/>
            <w:vAlign w:val="center"/>
          </w:tcPr>
          <w:p w14:paraId="5D01ABD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（1）根据施工项目的类型，规模、施工条件和对进度执行要求的程度确定检查时间和间隔时间。</w:t>
            </w:r>
          </w:p>
          <w:p w14:paraId="43ECBEE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（2）常规性检查可确定为每月、半月、旬或周进行一次。</w:t>
            </w:r>
          </w:p>
          <w:p w14:paraId="0FE9285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（3）施工中遇到天气、资源供应等不利因素严重影响时，间隔时间临时可缩短，次数应频繁。</w:t>
            </w:r>
          </w:p>
          <w:p w14:paraId="0D31B4B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（4）对施工进度有重大影响的关键施工作业可每日检查或派人驻现场督阵。</w:t>
            </w:r>
          </w:p>
        </w:tc>
      </w:tr>
      <w:tr w14:paraId="388FE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D82F02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547" w:type="pct"/>
            <w:noWrap w:val="0"/>
            <w:vAlign w:val="center"/>
          </w:tcPr>
          <w:p w14:paraId="7981F8A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检查内容</w:t>
            </w:r>
          </w:p>
        </w:tc>
        <w:tc>
          <w:tcPr>
            <w:tcW w:w="4064" w:type="pct"/>
            <w:noWrap w:val="0"/>
            <w:vAlign w:val="center"/>
          </w:tcPr>
          <w:p w14:paraId="325FB5A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（1）对日施工作业效率、周、旬作业进度及月作业进度分别进行检查，对完成情况做出记录。</w:t>
            </w:r>
          </w:p>
          <w:p w14:paraId="0B0045E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（2）检查期内实际完成和累计完成工程量。</w:t>
            </w:r>
          </w:p>
          <w:p w14:paraId="3CC8E77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（3）实际参加施工的人力、机械数量和生产效率。</w:t>
            </w:r>
          </w:p>
          <w:p w14:paraId="018AD2D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（4）窝工人数、窝工机械台班及其原因分析。</w:t>
            </w:r>
          </w:p>
          <w:p w14:paraId="35EE9D0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（5）进度偏差情况。</w:t>
            </w:r>
          </w:p>
          <w:p w14:paraId="2E72AC0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（6）进度管理情况。</w:t>
            </w:r>
          </w:p>
          <w:p w14:paraId="73BD3A6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（7）影响进度的特殊原因及分析。</w:t>
            </w:r>
          </w:p>
        </w:tc>
      </w:tr>
      <w:tr w14:paraId="35DB0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2FF079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547" w:type="pct"/>
            <w:noWrap w:val="0"/>
            <w:vAlign w:val="center"/>
          </w:tcPr>
          <w:p w14:paraId="28BADE6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检查方法</w:t>
            </w:r>
          </w:p>
        </w:tc>
        <w:tc>
          <w:tcPr>
            <w:tcW w:w="4064" w:type="pct"/>
            <w:noWrap w:val="0"/>
            <w:vAlign w:val="center"/>
          </w:tcPr>
          <w:p w14:paraId="5996CD5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（1）建立内部施工进度报表制度。</w:t>
            </w:r>
          </w:p>
          <w:p w14:paraId="668BE75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（2）定期召开进度工作会议，汇报实际进度情况。</w:t>
            </w:r>
          </w:p>
          <w:p w14:paraId="762D649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（3）进度控制、检查人员经常到现场实地察看。</w:t>
            </w:r>
          </w:p>
        </w:tc>
      </w:tr>
      <w:tr w14:paraId="7A843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4E6A3D6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547" w:type="pct"/>
            <w:noWrap w:val="0"/>
            <w:vAlign w:val="center"/>
          </w:tcPr>
          <w:p w14:paraId="7F2640B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数据整理比较分析</w:t>
            </w:r>
          </w:p>
        </w:tc>
        <w:tc>
          <w:tcPr>
            <w:tcW w:w="4064" w:type="pct"/>
            <w:noWrap w:val="0"/>
            <w:vAlign w:val="center"/>
          </w:tcPr>
          <w:p w14:paraId="2AEFA6D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（1）将实际收集的进度数据和资料进行整理加工，使之与相应的进度计划具有可比性。</w:t>
            </w:r>
          </w:p>
          <w:p w14:paraId="2C4412F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（2）一般采用实物工程量、施工产值、劳动消耗量、累计百分比等和形象进度统计。</w:t>
            </w:r>
          </w:p>
          <w:p w14:paraId="09AA1F7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（3）将整理后的实际数据、资料与进度计划比较．通常采用的方法有：横道图法、列表比较法、S形曲线比较法、“香蕉”形曲线比较法、前锋线比较法等。</w:t>
            </w:r>
          </w:p>
          <w:p w14:paraId="4183F8D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（4）得出实际进度与计划进度是否存在偏差的结论：相一致、超前、落后。</w:t>
            </w:r>
          </w:p>
        </w:tc>
      </w:tr>
      <w:tr w14:paraId="42BC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C70A5A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547" w:type="pct"/>
            <w:noWrap w:val="0"/>
            <w:vAlign w:val="center"/>
          </w:tcPr>
          <w:p w14:paraId="46E4526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检查报告</w:t>
            </w:r>
          </w:p>
        </w:tc>
        <w:tc>
          <w:tcPr>
            <w:tcW w:w="4064" w:type="pct"/>
            <w:noWrap w:val="0"/>
            <w:vAlign w:val="center"/>
          </w:tcPr>
          <w:p w14:paraId="6CCABD6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（1）由计划总监或进度管理人员与其他管理人员协作，在检查后即时编写进度控制报告，也可按月、旬、周的间隔时间编写上报。</w:t>
            </w:r>
          </w:p>
          <w:p w14:paraId="1EE424D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（2）向项目经理、企业经理或业务部门以及建设单位上报关于整个施工项目进度执行情况的项目概要级进度报告。</w:t>
            </w:r>
          </w:p>
          <w:p w14:paraId="1A96C70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（3）向项目经理、企业业务部门上报关于单位工程或项目分区进度执行情况的项目概要管理级进度报告。</w:t>
            </w:r>
          </w:p>
          <w:p w14:paraId="4EF7468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（4）就某个重点部位或重点问题的检查结果应编制业务管理级进度报告．为项目管理者及各业务部门提供参考。</w:t>
            </w:r>
          </w:p>
          <w:p w14:paraId="50D98B1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（5）施工项目进度控制报告的基本内容有：</w:t>
            </w:r>
          </w:p>
          <w:p w14:paraId="6886915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①对施工进度执行情况做综合描述：检查期的起止时间、当地气象及晴雨天数统计、计划目标及实际进度、检查期内施工现场主要大事记。</w:t>
            </w:r>
          </w:p>
          <w:p w14:paraId="5070CE3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②项目实施、管理、进度概况的总说明：施工进度、形象进度及简要说明；施工图纸提供进度；材料、物资、构配件供应进度；劳务记录及预测；日历计划；对建设单位和施工者的工程变更指令、价格调整、索赔及工程款收支情况；停水、停电、事故发生及处理情况；实际进度与计划目标相比较的偏差状况及其原因分析；解决间题措施；计划调整意见等。</w:t>
            </w:r>
          </w:p>
        </w:tc>
      </w:tr>
    </w:tbl>
    <w:p w14:paraId="3A2E60C8">
      <w:pPr>
        <w:pStyle w:val="97"/>
        <w:spacing w:before="24" w:beforeLines="10" w:after="24" w:afterLines="10" w:line="432" w:lineRule="auto"/>
        <w:ind w:firstLine="560"/>
        <w:rPr>
          <w:color w:val="auto"/>
          <w:sz w:val="24"/>
          <w:szCs w:val="24"/>
        </w:rPr>
      </w:pPr>
      <w:r>
        <w:rPr>
          <w:rFonts w:hint="eastAsia"/>
          <w:color w:val="auto"/>
          <w:sz w:val="24"/>
          <w:szCs w:val="24"/>
          <w:lang w:val="en-US" w:eastAsia="zh-CN"/>
        </w:rPr>
        <w:t>3、</w:t>
      </w:r>
      <w:r>
        <w:rPr>
          <w:rFonts w:hint="eastAsia"/>
          <w:color w:val="auto"/>
          <w:sz w:val="24"/>
          <w:szCs w:val="24"/>
        </w:rPr>
        <w:t>施工进度偏差的分析</w:t>
      </w:r>
    </w:p>
    <w:p w14:paraId="2BEB7496">
      <w:pPr>
        <w:pStyle w:val="97"/>
        <w:spacing w:before="24" w:beforeLines="10" w:after="24" w:afterLines="10" w:line="432" w:lineRule="auto"/>
        <w:ind w:firstLine="560"/>
        <w:rPr>
          <w:color w:val="auto"/>
          <w:sz w:val="24"/>
          <w:szCs w:val="24"/>
        </w:rPr>
      </w:pPr>
      <w:r>
        <w:rPr>
          <w:rFonts w:hint="eastAsia"/>
          <w:color w:val="auto"/>
          <w:sz w:val="24"/>
          <w:szCs w:val="24"/>
          <w:lang w:eastAsia="zh-CN"/>
        </w:rPr>
        <w:t>（</w:t>
      </w:r>
      <w:r>
        <w:rPr>
          <w:rFonts w:hint="eastAsia"/>
          <w:color w:val="auto"/>
          <w:sz w:val="24"/>
          <w:szCs w:val="24"/>
        </w:rPr>
        <w:t>1</w:t>
      </w:r>
      <w:r>
        <w:rPr>
          <w:rFonts w:hint="eastAsia"/>
          <w:color w:val="auto"/>
          <w:sz w:val="24"/>
          <w:szCs w:val="24"/>
          <w:lang w:eastAsia="zh-CN"/>
        </w:rPr>
        <w:t>）</w:t>
      </w:r>
      <w:r>
        <w:rPr>
          <w:rFonts w:hint="eastAsia"/>
          <w:color w:val="auto"/>
          <w:sz w:val="24"/>
          <w:szCs w:val="24"/>
        </w:rPr>
        <w:t>分析方法</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991"/>
        <w:gridCol w:w="7364"/>
      </w:tblGrid>
      <w:tr w14:paraId="0E023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89" w:type="pct"/>
            <w:noWrap w:val="0"/>
            <w:vAlign w:val="center"/>
          </w:tcPr>
          <w:p w14:paraId="0DCF530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547" w:type="pct"/>
            <w:noWrap w:val="0"/>
            <w:vAlign w:val="center"/>
          </w:tcPr>
          <w:p w14:paraId="20D9257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名称</w:t>
            </w:r>
          </w:p>
        </w:tc>
        <w:tc>
          <w:tcPr>
            <w:tcW w:w="4064" w:type="pct"/>
            <w:noWrap w:val="0"/>
            <w:vAlign w:val="center"/>
          </w:tcPr>
          <w:p w14:paraId="0654E20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内容</w:t>
            </w:r>
          </w:p>
        </w:tc>
      </w:tr>
      <w:tr w14:paraId="05F2C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443048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547" w:type="pct"/>
            <w:noWrap w:val="0"/>
            <w:vAlign w:val="center"/>
          </w:tcPr>
          <w:p w14:paraId="4EBDB94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计算对比法</w:t>
            </w:r>
          </w:p>
        </w:tc>
        <w:tc>
          <w:tcPr>
            <w:tcW w:w="4064" w:type="pct"/>
            <w:noWrap w:val="0"/>
            <w:vAlign w:val="center"/>
          </w:tcPr>
          <w:p w14:paraId="34BC8D9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（1）单一施工过程（一个分项工程）的进度完成情况</w:t>
            </w:r>
          </w:p>
          <w:p w14:paraId="202E152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1）匀速施工情况</w:t>
            </w:r>
          </w:p>
          <w:p w14:paraId="748721E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匀速施工是指每天完成的工程量是相同的。这时施工的时间进度和工程量进度是一致的。检查施工进度计划完成的计算分析公式是：</w:t>
            </w:r>
          </w:p>
          <w:p w14:paraId="716B423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（施工进度计划完成程度％）=</w:t>
            </w:r>
            <w:r>
              <w:rPr>
                <w:rStyle w:val="93"/>
                <w:rFonts w:hint="eastAsia" w:ascii="Times New Roman" w:cs="Times New Roman"/>
                <w:color w:val="auto"/>
                <w:sz w:val="21"/>
                <w:szCs w:val="21"/>
                <w:highlight w:val="none"/>
              </w:rPr>
              <w:tab/>
            </w:r>
            <w:r>
              <w:rPr>
                <w:rStyle w:val="93"/>
                <w:rFonts w:hint="eastAsia" w:ascii="Times New Roman" w:cs="Times New Roman"/>
                <w:color w:val="auto"/>
                <w:sz w:val="21"/>
                <w:szCs w:val="21"/>
                <w:highlight w:val="none"/>
              </w:rPr>
              <w:t>到检查日止实际施工时间（天）/到检查日止计划施工时间（天）=</w:t>
            </w:r>
            <w:r>
              <w:rPr>
                <w:rStyle w:val="93"/>
                <w:rFonts w:hint="eastAsia" w:ascii="Times New Roman" w:cs="Times New Roman"/>
                <w:color w:val="auto"/>
                <w:sz w:val="21"/>
                <w:szCs w:val="21"/>
                <w:highlight w:val="none"/>
              </w:rPr>
              <w:tab/>
            </w:r>
            <w:r>
              <w:rPr>
                <w:rStyle w:val="93"/>
                <w:rFonts w:hint="eastAsia" w:ascii="Times New Roman" w:cs="Times New Roman"/>
                <w:color w:val="auto"/>
                <w:sz w:val="21"/>
                <w:szCs w:val="21"/>
                <w:highlight w:val="none"/>
              </w:rPr>
              <w:t>到检查日止累计实际完成工程量/到检查日止累计计划完成工程量。</w:t>
            </w:r>
          </w:p>
          <w:p w14:paraId="0C9682C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2）变速施工情况</w:t>
            </w:r>
          </w:p>
          <w:p w14:paraId="14EE93D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变速施工是指每天的计划施工速度不同，或者是实际施工速度与计划施工速度不同。这时应检查施工以来累计工程量进度完成情况，其计算公式是：</w:t>
            </w:r>
          </w:p>
          <w:p w14:paraId="3B70931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（累计工程量进度计划完成程度％）=</w:t>
            </w:r>
            <w:r>
              <w:rPr>
                <w:rStyle w:val="93"/>
                <w:rFonts w:hint="eastAsia" w:ascii="Times New Roman" w:cs="Times New Roman"/>
                <w:color w:val="auto"/>
                <w:sz w:val="21"/>
                <w:szCs w:val="21"/>
                <w:highlight w:val="none"/>
              </w:rPr>
              <w:tab/>
            </w:r>
            <w:r>
              <w:rPr>
                <w:rStyle w:val="93"/>
                <w:rFonts w:hint="eastAsia" w:ascii="Times New Roman" w:cs="Times New Roman"/>
                <w:color w:val="auto"/>
                <w:sz w:val="21"/>
                <w:szCs w:val="21"/>
                <w:highlight w:val="none"/>
              </w:rPr>
              <w:t>到检查日止实际累计完成工程量/到检查日止计划累计完成工程量=</w:t>
            </w:r>
            <w:r>
              <w:rPr>
                <w:rStyle w:val="93"/>
                <w:rFonts w:hint="eastAsia" w:ascii="Times New Roman" w:cs="Times New Roman"/>
                <w:color w:val="auto"/>
                <w:sz w:val="21"/>
                <w:szCs w:val="21"/>
                <w:highlight w:val="none"/>
              </w:rPr>
              <w:tab/>
            </w:r>
            <w:r>
              <w:rPr>
                <w:rStyle w:val="93"/>
                <w:rFonts w:hint="eastAsia" w:ascii="Times New Roman" w:cs="Times New Roman"/>
                <w:color w:val="auto"/>
                <w:sz w:val="21"/>
                <w:szCs w:val="21"/>
                <w:highlight w:val="none"/>
              </w:rPr>
              <w:t>到检查日止实际工程量累计完成百分比（％）/到检查日止计划工程量累计完成百分比（％）。</w:t>
            </w:r>
          </w:p>
          <w:p w14:paraId="640069B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（2）多项施工过程（多工种、多分项分部工程）进度计划的综合完成情况</w:t>
            </w:r>
          </w:p>
          <w:p w14:paraId="3C5F3C5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多项施工过程的工程量性质不同，不能相加，可用施工产值或消耗的劳动时间工日进行综合比较后，其计算公式为：</w:t>
            </w:r>
          </w:p>
          <w:p w14:paraId="292BBBF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多项施工过程施工进度（累计产值）计划完成程度（％）=∑（到检查日止各项施工实际完成工程量×预算单价）/∑（到检查日止各项施工计划完成工程量×预算单价）=到检查日止用预算单价计算的实际完成产值/计划完成产值。</w:t>
            </w:r>
          </w:p>
          <w:p w14:paraId="10DC2C5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多项施工过程施工进度（累计工日）计划完成程度（％）=∑（到检查日止各项施工实际完成工程量×工日定额）/∑（到检查日止各项施工计划完成工程量×工日定额）=到检查日止各项施工累计完成的实际定额工日数/计划定额工日数。</w:t>
            </w:r>
          </w:p>
        </w:tc>
      </w:tr>
      <w:tr w14:paraId="7CFC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3FA675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547" w:type="pct"/>
            <w:noWrap w:val="0"/>
            <w:vAlign w:val="center"/>
          </w:tcPr>
          <w:p w14:paraId="11A7650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图形对比法的选择</w:t>
            </w:r>
          </w:p>
        </w:tc>
        <w:tc>
          <w:tcPr>
            <w:tcW w:w="4064" w:type="pct"/>
            <w:noWrap w:val="0"/>
            <w:vAlign w:val="center"/>
          </w:tcPr>
          <w:p w14:paraId="5286713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图形对比法是在表示计划进度的图形上，标注出实际进度，根据两个进度之间的相对位置差距或形态差异，对进度计划的完成情况作出判断和预测的方法。它具有形象直观的优点。</w:t>
            </w:r>
          </w:p>
          <w:p w14:paraId="702D3E6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由于施工过程包含的施工作业工作多样、复杂，因而施工进度的图形表达方式有很多种，主要分为横道图法、垂直进度图法、s形曲线图法、香蕉形曲线图法、网络图法、模型图法、列表检查法等。一般是根据施工的特点和检查要求来选择适当的方法。</w:t>
            </w:r>
          </w:p>
        </w:tc>
      </w:tr>
      <w:tr w14:paraId="70040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07F9649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547" w:type="pct"/>
            <w:noWrap w:val="0"/>
            <w:vAlign w:val="center"/>
          </w:tcPr>
          <w:p w14:paraId="35C16B6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单比例横道图法</w:t>
            </w:r>
          </w:p>
        </w:tc>
        <w:tc>
          <w:tcPr>
            <w:tcW w:w="4064" w:type="pct"/>
            <w:noWrap w:val="0"/>
            <w:vAlign w:val="center"/>
          </w:tcPr>
          <w:p w14:paraId="1682D13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对分项工程检查时，匀速施工条件下，时间进度与完成工程量进度一致，仅按时间进度标注、检查即可。具体做法是：将检查结果得到的实际进度（施工时间）用另一种颜色（或标记）标注在相应的计划进度横道图上。如果实际施工速度与计划速度不同，则应将实际完成施工任务量按计划速度换算为施工时间（天数）标注。将到检查日止的实际进度线与计划进度线的长度进行比较，二者之差为时间进度差△t，△t＝0，为按期完成：△t＞0，为提前时间；△t＜0，为拖期时间。</w:t>
            </w:r>
          </w:p>
          <w:p w14:paraId="08834E7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当进行单位（单项）工程或整个项目的进度计划检查，特别注重的是各组成部分的工期目标（完工或交工时间）是否实现，而不计较具体的施工速度时，也可采用单比例横道图法。</w:t>
            </w:r>
          </w:p>
        </w:tc>
      </w:tr>
      <w:tr w14:paraId="3C17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A7C4AE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547" w:type="pct"/>
            <w:noWrap w:val="0"/>
            <w:vAlign w:val="center"/>
          </w:tcPr>
          <w:p w14:paraId="538D939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垂直进度图法</w:t>
            </w:r>
          </w:p>
        </w:tc>
        <w:tc>
          <w:tcPr>
            <w:tcW w:w="4064" w:type="pct"/>
            <w:noWrap w:val="0"/>
            <w:vAlign w:val="center"/>
          </w:tcPr>
          <w:p w14:paraId="28F4512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垂直进度图法适用于多项匀速施工作业的进度检查。具体做法是：</w:t>
            </w:r>
          </w:p>
          <w:p w14:paraId="565AF37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建立直角坐标系，其横轴t表示进度时间，纵轴Y表示施工任务的数量完成情况。施工数量进度可用实物工程量、施工产值、消耗的劳动时间（工日）等指标表示，但最常用的指标是由前述几个指标计算的完成任务百分比（％），因为它综合性强、便于广泛比较。</w:t>
            </w:r>
          </w:p>
          <w:p w14:paraId="2B5CFD1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（2）在图中绘制出表示每个工程的计划进度时间和相应计划累计完成程度的计划线。计划线与横轴的交点表示计划开始时间，与100水平线的交点是计划完工时间，各计划线的斜率表示每个工程的施工速度。</w:t>
            </w:r>
          </w:p>
          <w:p w14:paraId="5CE0F8E3">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（3）对进度计划执行情况检查，将在检查日已完成的施工任务标注在相应计划线的一侧。然后可按纵横两个坐标方向进行完成数量（进度百分比％）和工期进度的比较分析。</w:t>
            </w:r>
          </w:p>
          <w:p w14:paraId="2298B0A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（4）运用垂直进度图法检查进度，可在纵坐标上直接查到实际的数量进度，不必用时间进度去换算，在实际施工速度与计划施工速度不同时，尤为方便、快捷。</w:t>
            </w:r>
          </w:p>
        </w:tc>
      </w:tr>
      <w:tr w14:paraId="41623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4CD8327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547" w:type="pct"/>
            <w:noWrap w:val="0"/>
            <w:vAlign w:val="center"/>
          </w:tcPr>
          <w:p w14:paraId="62B2933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双比例单侧（双侧）横道图法</w:t>
            </w:r>
          </w:p>
        </w:tc>
        <w:tc>
          <w:tcPr>
            <w:tcW w:w="4064" w:type="pct"/>
            <w:noWrap w:val="0"/>
            <w:vAlign w:val="center"/>
          </w:tcPr>
          <w:p w14:paraId="0375C53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双比例单侧（双侧）横道图法用于检查变速施工进度或多项施工的综合进度。变速施工或多项施工条件下，单位时间完成的施工任务数量不同，且不能简单相加，时间进度与数量进度不一致，因而，应对时间坐标及计划和实际两个进度的累计完成百分比同时标注检查，才能准确地反映施工进度完成情况。具体做法是：</w:t>
            </w:r>
          </w:p>
          <w:p w14:paraId="69BD24A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（1）在计划横道图上方平行绘制出标注有时间及对应的累计计划完成百分比（%）的横坐标。</w:t>
            </w:r>
          </w:p>
          <w:p w14:paraId="0569B1E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（2）检查后，用明显标识将自开工日（或上一检查日）起至检查日止的实际施工时间标注在计划横道图的一侧。</w:t>
            </w:r>
          </w:p>
          <w:p w14:paraId="355B080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（3）在计划横道图下方平行标注出检查结果，即绘制出自开工日起至检查日止的实际累计完成％的横坐标，于是就得到了双比例单侧横道图。</w:t>
            </w:r>
          </w:p>
          <w:p w14:paraId="1E9E85F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（4）如果将每次检查的实际施工时间交替标注在计划横道图的上下两侧，得到的是双比例双侧横道图。双侧标注可以提供各段检查期间的施工进度情况等更多信息。</w:t>
            </w:r>
          </w:p>
          <w:p w14:paraId="0A8D73D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（5）观察同一时间的计划与实际累计完成％的差距，进行进度比较。</w:t>
            </w:r>
          </w:p>
        </w:tc>
      </w:tr>
      <w:tr w14:paraId="3B191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319B4D6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547" w:type="pct"/>
            <w:noWrap w:val="0"/>
            <w:vAlign w:val="center"/>
          </w:tcPr>
          <w:p w14:paraId="724F741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S形曲线比较法</w:t>
            </w:r>
          </w:p>
        </w:tc>
        <w:tc>
          <w:tcPr>
            <w:tcW w:w="4064" w:type="pct"/>
            <w:noWrap w:val="0"/>
            <w:vAlign w:val="center"/>
          </w:tcPr>
          <w:p w14:paraId="3D4C3C5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S形曲线比较法适用于变速施工作业或多项工程的综合进度检查。具体做法是：</w:t>
            </w:r>
          </w:p>
          <w:p w14:paraId="6880364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（1）建立直角坐标系，其横轴t表示进度时间，纵轴Y表示施工任务的累计完成任务百分比。</w:t>
            </w:r>
          </w:p>
          <w:p w14:paraId="1B7920F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在图中绘制出表示计划进度时间和相应计划累计完成程度的计划线。因为是变速施工，所以计划线是曲线形态，若施工速度（单位时间完成工程任务）是先快后慢，计划累计曲线呈抛物线形态；若施工速度是先慢后快，计划累计曲线呈指数曲线形态；若施工速度是快慢相间，曲线呈上升的波浪线；若施工速度是中期快首尾慢，计划累计曲线呈S形曲线形态；其中后者居多，故而得名。计划线上各点切线的斜率表示即时施工速度。</w:t>
            </w:r>
          </w:p>
          <w:p w14:paraId="6D93A83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（3）对进度计划执行情况检查，并在图上标注出每次检查的实际进度点，将各点连接成实际进度线。然后可按纵横两个坐标方向进行完成数量（进度百分比％）和工期进度的比较分析。</w:t>
            </w:r>
          </w:p>
        </w:tc>
      </w:tr>
      <w:tr w14:paraId="6EDF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702E312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547" w:type="pct"/>
            <w:noWrap w:val="0"/>
            <w:vAlign w:val="center"/>
          </w:tcPr>
          <w:p w14:paraId="7631480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香蕉形曲线比较法</w:t>
            </w:r>
          </w:p>
        </w:tc>
        <w:tc>
          <w:tcPr>
            <w:tcW w:w="4064" w:type="pct"/>
            <w:noWrap w:val="0"/>
            <w:vAlign w:val="center"/>
          </w:tcPr>
          <w:p w14:paraId="23FAFD6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（1）香蕉形曲线的特征</w:t>
            </w:r>
          </w:p>
          <w:p w14:paraId="7504F91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香蕉形曲线是两条S形曲线组合成的闭合图形。如前所述，工程项目的计划时间和累计完成任务量之间的关系都可用一条S形曲线表示。在工程项目的网络计划中，各项工作一般可分为最早和最迟开始时间，于是根据各项工作的计划最早开始时间安排进度，就可绘制出一条S形曲线，称为ES曲线，而根据各项工作的计划最迟开始时间安排进度，绘制出的S形曲线，称为LS曲线。这两条曲线都是起始于计划开始时刻，终止于计划完成之时，因而图形是闭合的；一般情况下，在其余时刻，ES曲线上各点均应在LS曲线的左侧，形似香蕉，因而得名。</w:t>
            </w:r>
          </w:p>
          <w:p w14:paraId="4FE531E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因为在项目的进度控制中，除了开始点和结束点之外，香蕉形曲线的ES和LS上的点不会重合，即同一时刻两条曲线所对应的计划完成量形成了一个允许实际进度变动的弹性区间，只要实际进度曲线落在这个弹性区间内，就表示项目进度是控制在合理的范围内。在实践中，每次进度检查后，将实际点标注于图上，并连成实际进度线，便可以对工程实际进度与计划进度进行比较分析，对后续工作进度做出预测和相应安排。</w:t>
            </w:r>
          </w:p>
          <w:p w14:paraId="623A9A1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（2）香蕉形曲线的绘制</w:t>
            </w:r>
          </w:p>
          <w:p w14:paraId="62D37A3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以工程项目的网络计划为基础，确定该工程项目的工作数目n和计划检查次数m，并计算时间参数；</w:t>
            </w:r>
          </w:p>
          <w:p w14:paraId="1D174D3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确定各项工作在不同时间的计划完成任务量，分为两种情况：</w:t>
            </w:r>
          </w:p>
          <w:p w14:paraId="6DA1982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按工程项目的最早时标网络计划，确定各工作在各单位时间的计划完成任务量，即第i项工作按最早开始时间开工，第j时间完成的任务量（1≤i≤n；1≤j≤m）；</w:t>
            </w:r>
          </w:p>
          <w:p w14:paraId="44CA8C1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按工程项目的最迟时标网络计划，确定各工作在各单位时间的计划完成任务量；即第i项工作按最迟开始时间开工，第j时间完成的任务量（1≤i≤n；1≤j≤m）；</w:t>
            </w:r>
          </w:p>
          <w:p w14:paraId="08AE4FD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计算工程项目总任务量Q及到j时刻累计完成的总任务量；</w:t>
            </w:r>
          </w:p>
          <w:p w14:paraId="15C0E49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计算到j时刻累计完成项目总任务量百分比；</w:t>
            </w:r>
          </w:p>
          <w:p w14:paraId="3567B9E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绘制香蕉形曲线。描绘各点，连接各点得ES曲线和LS曲线，由ES曲线和LS曲线组成香蕉形曲线。在项目实施过程中，按同样的方法，将每次检查的各项工作实际完成的任务量，代入相应公式，计算出不同时间实际完成任务量的百分比，并在香蕉形曲线的平面内绘出实际进度曲线，便可以进行实际进度与计划进度的比较。</w:t>
            </w:r>
          </w:p>
        </w:tc>
      </w:tr>
      <w:tr w14:paraId="1CD2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0656AEC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8</w:t>
            </w:r>
          </w:p>
        </w:tc>
        <w:tc>
          <w:tcPr>
            <w:tcW w:w="547" w:type="pct"/>
            <w:noWrap w:val="0"/>
            <w:vAlign w:val="center"/>
          </w:tcPr>
          <w:p w14:paraId="0A5F37F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网络图切割线法</w:t>
            </w:r>
          </w:p>
        </w:tc>
        <w:tc>
          <w:tcPr>
            <w:tcW w:w="4064" w:type="pct"/>
            <w:noWrap w:val="0"/>
            <w:vAlign w:val="center"/>
          </w:tcPr>
          <w:p w14:paraId="1DE6788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在网络图上作切割线（常用点划线表示）表示检查日的实际进度，并在中括号内标注出检查日之后完成各项工作尚需要的施工天数，再与计划相比较。</w:t>
            </w:r>
          </w:p>
        </w:tc>
      </w:tr>
      <w:tr w14:paraId="7A7A4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48C7A43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9</w:t>
            </w:r>
          </w:p>
        </w:tc>
        <w:tc>
          <w:tcPr>
            <w:tcW w:w="547" w:type="pct"/>
            <w:noWrap w:val="0"/>
            <w:vAlign w:val="center"/>
          </w:tcPr>
          <w:p w14:paraId="0B70552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网络图前锋线法</w:t>
            </w:r>
          </w:p>
        </w:tc>
        <w:tc>
          <w:tcPr>
            <w:tcW w:w="4064" w:type="pct"/>
            <w:noWrap w:val="0"/>
            <w:vAlign w:val="center"/>
          </w:tcPr>
          <w:p w14:paraId="1CDB4E5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网络图前锋线法是利用时标网络计划图检查和判定工程进度实施情况的方法。其具体做法是：</w:t>
            </w:r>
          </w:p>
          <w:p w14:paraId="77D0CF0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（1）将一般网络计划图变换为时标网络计划图，并在图的上下方绘制出时间坐标，使各工作箭线长度与所需工作时间一致。</w:t>
            </w:r>
          </w:p>
          <w:p w14:paraId="06756F8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（2）在时标网络计划图上标注出检查日的各工作箭线实际进度点，并将上下方的检查日点与实际进度点依次连接，即得到一条（一般为折线）实际进度前锋线。</w:t>
            </w:r>
          </w:p>
          <w:p w14:paraId="5C526B4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（3）前锋线的左侧为已完施工，右侧为尚需工作时间。</w:t>
            </w:r>
          </w:p>
          <w:p w14:paraId="53BAAA1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其判别关系是：工作箭线的实际进度点与检查日点重合，说明该工作按时完成计划；若实际进度点在检查日点左侧，表示该工作未完成计划，其长度的差距为拖后时间；若实际进度点在检查日点右侧，表示该工作超额完成计划，其长度的差距为提前时间。</w:t>
            </w:r>
          </w:p>
        </w:tc>
      </w:tr>
      <w:tr w14:paraId="0766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00DE34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10</w:t>
            </w:r>
          </w:p>
        </w:tc>
        <w:tc>
          <w:tcPr>
            <w:tcW w:w="547" w:type="pct"/>
            <w:noWrap w:val="0"/>
            <w:vAlign w:val="center"/>
          </w:tcPr>
          <w:p w14:paraId="7D05957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列表比较法</w:t>
            </w:r>
          </w:p>
        </w:tc>
        <w:tc>
          <w:tcPr>
            <w:tcW w:w="4064" w:type="pct"/>
            <w:noWrap w:val="0"/>
            <w:vAlign w:val="center"/>
          </w:tcPr>
          <w:p w14:paraId="203785E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采用无时间坐标网络图计划时，也可以采用列表比较法，比较工程实际进度与计划进度的偏差情况。该方法是记录检查时应该进行的工作名称和已进行的天数，然后列表计算有关时间参数，根据原有总时差和尚有总时差判断实际进度与计划进度的比较方法。</w:t>
            </w:r>
          </w:p>
        </w:tc>
      </w:tr>
    </w:tbl>
    <w:p w14:paraId="06150B70">
      <w:pPr>
        <w:pStyle w:val="97"/>
        <w:spacing w:before="24" w:beforeLines="10" w:after="24" w:afterLines="10" w:line="432" w:lineRule="auto"/>
        <w:ind w:firstLine="560"/>
        <w:rPr>
          <w:color w:val="auto"/>
          <w:sz w:val="24"/>
          <w:szCs w:val="24"/>
        </w:rPr>
      </w:pPr>
      <w:r>
        <w:rPr>
          <w:rFonts w:hint="eastAsia"/>
          <w:color w:val="auto"/>
          <w:sz w:val="24"/>
          <w:szCs w:val="24"/>
          <w:lang w:val="en-US" w:eastAsia="zh-CN"/>
        </w:rPr>
        <w:t>(</w:t>
      </w:r>
      <w:r>
        <w:rPr>
          <w:color w:val="auto"/>
          <w:sz w:val="24"/>
          <w:szCs w:val="24"/>
        </w:rPr>
        <w:t>2</w:t>
      </w:r>
      <w:r>
        <w:rPr>
          <w:rFonts w:hint="eastAsia"/>
          <w:color w:val="auto"/>
          <w:sz w:val="24"/>
          <w:szCs w:val="24"/>
          <w:lang w:val="en-US" w:eastAsia="zh-CN"/>
        </w:rPr>
        <w:t>)</w:t>
      </w:r>
      <w:r>
        <w:rPr>
          <w:rFonts w:hint="eastAsia"/>
          <w:color w:val="auto"/>
          <w:sz w:val="24"/>
          <w:szCs w:val="24"/>
        </w:rPr>
        <w:t>分析要点及内容</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1169"/>
        <w:gridCol w:w="7186"/>
      </w:tblGrid>
      <w:tr w14:paraId="55AD3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89" w:type="pct"/>
            <w:noWrap w:val="0"/>
            <w:vAlign w:val="center"/>
          </w:tcPr>
          <w:p w14:paraId="721171F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645" w:type="pct"/>
            <w:noWrap w:val="0"/>
            <w:vAlign w:val="center"/>
          </w:tcPr>
          <w:p w14:paraId="3EF6777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分析</w:t>
            </w:r>
          </w:p>
          <w:p w14:paraId="5B3E876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要点</w:t>
            </w:r>
          </w:p>
        </w:tc>
        <w:tc>
          <w:tcPr>
            <w:tcW w:w="3965" w:type="pct"/>
            <w:noWrap w:val="0"/>
            <w:vAlign w:val="center"/>
          </w:tcPr>
          <w:p w14:paraId="358958A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分析内容</w:t>
            </w:r>
          </w:p>
        </w:tc>
      </w:tr>
      <w:tr w14:paraId="687A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7CE374E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645" w:type="pct"/>
            <w:noWrap w:val="0"/>
            <w:vAlign w:val="center"/>
          </w:tcPr>
          <w:p w14:paraId="4072BE4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分析进度偏差的工作是否为关键工作</w:t>
            </w:r>
          </w:p>
        </w:tc>
        <w:tc>
          <w:tcPr>
            <w:tcW w:w="3965" w:type="pct"/>
            <w:noWrap w:val="0"/>
            <w:vAlign w:val="center"/>
          </w:tcPr>
          <w:p w14:paraId="12A9FE8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若出现偏差的工作为关键工作，则无论偏差大小，都对后续工作及总工期产生影响，必须采取相应的调整措施，若出现偏差的工作不为关键工作，需要根据偏差值与总时差和自由时差的大小关系，确定对后续工作和总工期的影响程度。</w:t>
            </w:r>
          </w:p>
        </w:tc>
      </w:tr>
      <w:tr w14:paraId="0B36E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AC8EA0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645" w:type="pct"/>
            <w:noWrap w:val="0"/>
            <w:vAlign w:val="center"/>
          </w:tcPr>
          <w:p w14:paraId="32AAF45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分析进度偏差是否大于总时差</w:t>
            </w:r>
          </w:p>
        </w:tc>
        <w:tc>
          <w:tcPr>
            <w:tcW w:w="3965" w:type="pct"/>
            <w:noWrap w:val="0"/>
            <w:vAlign w:val="center"/>
          </w:tcPr>
          <w:p w14:paraId="6F168513">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若工作的进度偏差大于该工作的总时差，说明此偏差必将影响后续工作和总工期，必须采取相应的调整措施；若工作的进度偏差小于或等于该工作的总时差，说明此偏差对总工期无影响，但它对后续工作的影响程度，需要根据比较偏差与自由时差的情况来确定。</w:t>
            </w:r>
          </w:p>
        </w:tc>
      </w:tr>
      <w:tr w14:paraId="3EB14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397991E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645" w:type="pct"/>
            <w:noWrap w:val="0"/>
            <w:vAlign w:val="center"/>
          </w:tcPr>
          <w:p w14:paraId="748DF4A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分析进度偏差是否大于自由时差</w:t>
            </w:r>
          </w:p>
        </w:tc>
        <w:tc>
          <w:tcPr>
            <w:tcW w:w="3965" w:type="pct"/>
            <w:noWrap w:val="0"/>
            <w:vAlign w:val="center"/>
          </w:tcPr>
          <w:p w14:paraId="389D148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若工作的进度偏差大于该工作的自由时差，说明此偏差对后续工作产生影响，应该如何调整，应根据后续工作允许影响的程度而定；若工作的进度偏差小于或等于该工作的自由时差，则说明此偏差对后续工作无影响，因此，原进度计划可以不作调整。</w:t>
            </w:r>
          </w:p>
        </w:tc>
      </w:tr>
      <w:tr w14:paraId="3EC88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F5DF1B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645" w:type="pct"/>
            <w:noWrap w:val="0"/>
            <w:vAlign w:val="center"/>
          </w:tcPr>
          <w:p w14:paraId="5488B31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调整内容</w:t>
            </w:r>
          </w:p>
        </w:tc>
        <w:tc>
          <w:tcPr>
            <w:tcW w:w="3965" w:type="pct"/>
            <w:noWrap w:val="0"/>
            <w:vAlign w:val="center"/>
          </w:tcPr>
          <w:p w14:paraId="22F0366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进度计划调整的最有效方法是利用网络计划。调整的内容包括：关键线路长度的调整、非关键工作时差的调整、增减工作项目、调整逻辑关系、重新估计某些工作的持续时间、对资源的投入作局部调整等。</w:t>
            </w:r>
          </w:p>
        </w:tc>
      </w:tr>
      <w:tr w14:paraId="68D4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214639A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645" w:type="pct"/>
            <w:noWrap w:val="0"/>
            <w:vAlign w:val="center"/>
          </w:tcPr>
          <w:p w14:paraId="004F9A3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关键线路的实际进度比计划进度提前</w:t>
            </w:r>
          </w:p>
        </w:tc>
        <w:tc>
          <w:tcPr>
            <w:tcW w:w="3965" w:type="pct"/>
            <w:noWrap w:val="0"/>
            <w:vAlign w:val="center"/>
          </w:tcPr>
          <w:p w14:paraId="703958A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关键线路的实际进度比计划进度提前时，若不拟缩短工期，选择资源占用量大或直接费用高的后续关键工作，适当延长其持续时间以降低资源强度或费用；若要提前完成计划，则将计划的未完成部分作为一个新计划，重新调整，按新计划实施。</w:t>
            </w:r>
          </w:p>
        </w:tc>
      </w:tr>
      <w:tr w14:paraId="1AC60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76F4AB3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645" w:type="pct"/>
            <w:noWrap w:val="0"/>
            <w:vAlign w:val="center"/>
          </w:tcPr>
          <w:p w14:paraId="54CB5E0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关键线路的实际进度比计划进度落后</w:t>
            </w:r>
          </w:p>
        </w:tc>
        <w:tc>
          <w:tcPr>
            <w:tcW w:w="3965" w:type="pct"/>
            <w:noWrap w:val="0"/>
            <w:vAlign w:val="center"/>
          </w:tcPr>
          <w:p w14:paraId="1855A82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当关键线路的实际计划比计划进度落后时，在未完成路线中选择资源强度小或费用率低的关键工作，缩短其持续时间，并把计划的未完成部分作为一个新计划，按工期优化方法进行调整。</w:t>
            </w:r>
          </w:p>
        </w:tc>
      </w:tr>
      <w:tr w14:paraId="1155F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1DB65AE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645" w:type="pct"/>
            <w:noWrap w:val="0"/>
            <w:vAlign w:val="center"/>
          </w:tcPr>
          <w:p w14:paraId="521A3A2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非关键工作时差的调整</w:t>
            </w:r>
          </w:p>
        </w:tc>
        <w:tc>
          <w:tcPr>
            <w:tcW w:w="3965" w:type="pct"/>
            <w:noWrap w:val="0"/>
            <w:vAlign w:val="center"/>
          </w:tcPr>
          <w:p w14:paraId="1EB9EFE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非关键工作时差的调整，在时差长度范围内进行。途径有三：一是延长工作持续时间以降低资源强度；二是缩短工作持续时间以填充资源低谷；三是移动工作的始末时间以使资源均衡。</w:t>
            </w:r>
          </w:p>
        </w:tc>
      </w:tr>
      <w:tr w14:paraId="02323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4785DEF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8</w:t>
            </w:r>
          </w:p>
        </w:tc>
        <w:tc>
          <w:tcPr>
            <w:tcW w:w="645" w:type="pct"/>
            <w:noWrap w:val="0"/>
            <w:vAlign w:val="center"/>
          </w:tcPr>
          <w:p w14:paraId="5FA68A0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增减工作项目</w:t>
            </w:r>
          </w:p>
        </w:tc>
        <w:tc>
          <w:tcPr>
            <w:tcW w:w="3965" w:type="pct"/>
            <w:noWrap w:val="0"/>
            <w:vAlign w:val="center"/>
          </w:tcPr>
          <w:p w14:paraId="2EE43BE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增减工作项目时不打乱原网络计划的逻辑关系，并重新计算时间参数，分析其对原网络计划的影响。</w:t>
            </w:r>
          </w:p>
        </w:tc>
      </w:tr>
      <w:tr w14:paraId="594F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1E5D243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9</w:t>
            </w:r>
          </w:p>
        </w:tc>
        <w:tc>
          <w:tcPr>
            <w:tcW w:w="645" w:type="pct"/>
            <w:noWrap w:val="0"/>
            <w:vAlign w:val="center"/>
          </w:tcPr>
          <w:p w14:paraId="62F1375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实际施工进度产生的偏差影响了总工期</w:t>
            </w:r>
          </w:p>
        </w:tc>
        <w:tc>
          <w:tcPr>
            <w:tcW w:w="3965" w:type="pct"/>
            <w:noWrap w:val="0"/>
            <w:vAlign w:val="center"/>
          </w:tcPr>
          <w:p w14:paraId="7F754EF3">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若检查的实际施工进度产生的偏差影响了总工期，在工作之间的逻辑关系允许改变的条件下，改变关键线路和超过计划工期的非关键线路上的有关工作之间的逻辑关系，达到缩短工期的目的，只有当实际情况要求改变施工方法或组织方法时，才可进行逻辑关系调整，且不应影响原计划工期。</w:t>
            </w:r>
          </w:p>
        </w:tc>
      </w:tr>
      <w:tr w14:paraId="45722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3B2858F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10</w:t>
            </w:r>
          </w:p>
        </w:tc>
        <w:tc>
          <w:tcPr>
            <w:tcW w:w="645" w:type="pct"/>
            <w:noWrap w:val="0"/>
            <w:vAlign w:val="center"/>
          </w:tcPr>
          <w:p w14:paraId="71F8FB0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原计划持续时间有误或实现条件不充分时</w:t>
            </w:r>
          </w:p>
        </w:tc>
        <w:tc>
          <w:tcPr>
            <w:tcW w:w="3965" w:type="pct"/>
            <w:noWrap w:val="0"/>
            <w:vAlign w:val="center"/>
          </w:tcPr>
          <w:p w14:paraId="3DAECA0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（1）当发现某些工作的原计划持续时间有误或实现条件不充分时，可重新估算持续时间，并计算时间参数。</w:t>
            </w:r>
          </w:p>
          <w:p w14:paraId="0F220B3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（2）这种方法是不改变工作之间的逻辑关系，而是缩短某些工作的持续时间，使施工进度加快，并保证实现计划工期的方法。</w:t>
            </w:r>
          </w:p>
          <w:p w14:paraId="4921010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（3）这些被压缩持续时间的工作是位于由于实际施工进度的拖延而引起总工期增长的关键线路和某些非关键线路上的工作。</w:t>
            </w:r>
          </w:p>
          <w:p w14:paraId="4E922FF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（4）同时，这些工作又是可压缩持续时间的工作。</w:t>
            </w:r>
          </w:p>
        </w:tc>
      </w:tr>
      <w:tr w14:paraId="74B5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24DC574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11</w:t>
            </w:r>
          </w:p>
        </w:tc>
        <w:tc>
          <w:tcPr>
            <w:tcW w:w="645" w:type="pct"/>
            <w:noWrap w:val="0"/>
            <w:vAlign w:val="center"/>
          </w:tcPr>
          <w:p w14:paraId="3591B7E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资源供应发生异常</w:t>
            </w:r>
          </w:p>
        </w:tc>
        <w:tc>
          <w:tcPr>
            <w:tcW w:w="3965" w:type="pct"/>
            <w:noWrap w:val="0"/>
            <w:vAlign w:val="center"/>
          </w:tcPr>
          <w:p w14:paraId="5F8D9C9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当资源供应发生异常时，采用资源优化方法对原计划进行调整或采取应急措施，使其对工期影响最小。</w:t>
            </w:r>
          </w:p>
        </w:tc>
      </w:tr>
      <w:tr w14:paraId="025D4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714556F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12</w:t>
            </w:r>
          </w:p>
        </w:tc>
        <w:tc>
          <w:tcPr>
            <w:tcW w:w="645" w:type="pct"/>
            <w:noWrap w:val="0"/>
            <w:vAlign w:val="center"/>
          </w:tcPr>
          <w:p w14:paraId="15972C2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潜在因素</w:t>
            </w:r>
          </w:p>
        </w:tc>
        <w:tc>
          <w:tcPr>
            <w:tcW w:w="3965" w:type="pct"/>
            <w:noWrap w:val="0"/>
            <w:vAlign w:val="center"/>
          </w:tcPr>
          <w:p w14:paraId="6825F00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如果潜在延误工期的潜在因素，将按照进度目标体系，及时评估延误可能性大小，延误工期长短。同时将协调各相关分包提出延误最小化的施工措施。</w:t>
            </w:r>
          </w:p>
        </w:tc>
      </w:tr>
      <w:tr w14:paraId="4867B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E2B383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13</w:t>
            </w:r>
          </w:p>
        </w:tc>
        <w:tc>
          <w:tcPr>
            <w:tcW w:w="645" w:type="pct"/>
            <w:noWrap w:val="0"/>
            <w:vAlign w:val="center"/>
          </w:tcPr>
          <w:p w14:paraId="5119929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延误预期评估</w:t>
            </w:r>
          </w:p>
        </w:tc>
        <w:tc>
          <w:tcPr>
            <w:tcW w:w="3965" w:type="pct"/>
            <w:noWrap w:val="0"/>
            <w:vAlign w:val="center"/>
          </w:tcPr>
          <w:p w14:paraId="7E9B33E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当产生潜在延误的突发事件发生时，将及时做出延误预期评估，发出延误通知，知会业主、设计单位、监理，同时与业主、监理工程师联络是否要更改施工计划，以便抢回损失之工期。</w:t>
            </w:r>
          </w:p>
        </w:tc>
      </w:tr>
    </w:tbl>
    <w:p w14:paraId="23C752C2">
      <w:pPr>
        <w:pStyle w:val="97"/>
        <w:spacing w:before="24" w:beforeLines="10" w:after="24" w:afterLines="10" w:line="432" w:lineRule="auto"/>
        <w:ind w:firstLine="560"/>
        <w:rPr>
          <w:rFonts w:hint="eastAsia"/>
          <w:color w:val="auto"/>
          <w:sz w:val="24"/>
          <w:szCs w:val="24"/>
        </w:rPr>
      </w:pPr>
      <w:r>
        <w:rPr>
          <w:rFonts w:hint="eastAsia"/>
          <w:color w:val="auto"/>
          <w:sz w:val="24"/>
          <w:szCs w:val="24"/>
          <w:lang w:val="en-US" w:eastAsia="zh-CN"/>
        </w:rPr>
        <w:t>4、</w:t>
      </w:r>
      <w:r>
        <w:rPr>
          <w:rFonts w:hint="eastAsia"/>
          <w:color w:val="auto"/>
          <w:sz w:val="24"/>
          <w:szCs w:val="24"/>
        </w:rPr>
        <w:t>施工进度偏差的调整</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8355"/>
      </w:tblGrid>
      <w:tr w14:paraId="1155E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389" w:type="pct"/>
            <w:noWrap w:val="0"/>
            <w:vAlign w:val="center"/>
          </w:tcPr>
          <w:p w14:paraId="7BF43F7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611" w:type="pct"/>
            <w:noWrap w:val="0"/>
            <w:vAlign w:val="center"/>
          </w:tcPr>
          <w:p w14:paraId="5C859A3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调整内容</w:t>
            </w:r>
          </w:p>
        </w:tc>
      </w:tr>
      <w:tr w14:paraId="08FC5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447E77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611" w:type="pct"/>
            <w:noWrap w:val="0"/>
            <w:vAlign w:val="center"/>
          </w:tcPr>
          <w:p w14:paraId="0A8E782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（1）加大资源投入，如增加劳动力、材料、周转材料和设备的投入量。</w:t>
            </w:r>
          </w:p>
          <w:p w14:paraId="09BEB86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（2）通过配置充足的资源，有效保证施工进度的加快。</w:t>
            </w:r>
          </w:p>
        </w:tc>
      </w:tr>
      <w:tr w14:paraId="3647C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6795E1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611" w:type="pct"/>
            <w:noWrap w:val="0"/>
            <w:vAlign w:val="center"/>
          </w:tcPr>
          <w:p w14:paraId="4B4E0C6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（1）根据进度计划的变化，重新合理的调整和分配资源，将各工种的施工人数实行动态化的监控机制。</w:t>
            </w:r>
          </w:p>
          <w:p w14:paraId="39DCB18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（2）投入风险准备资源，采用加班或多班制工作。</w:t>
            </w:r>
          </w:p>
        </w:tc>
      </w:tr>
      <w:tr w14:paraId="61FD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1F6D87C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611" w:type="pct"/>
            <w:noWrap w:val="0"/>
            <w:vAlign w:val="center"/>
          </w:tcPr>
          <w:p w14:paraId="1D35FDB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优选机械设备租赁厂家，通过改善工具器具的工作效率来提高劳动效率。</w:t>
            </w:r>
          </w:p>
        </w:tc>
      </w:tr>
      <w:tr w14:paraId="267E4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68481FB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611" w:type="pct"/>
            <w:noWrap w:val="0"/>
            <w:vAlign w:val="center"/>
          </w:tcPr>
          <w:p w14:paraId="5DDCB030">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（1）加强作业培训，控制工人级别与工人的技能的协调。</w:t>
            </w:r>
          </w:p>
          <w:p w14:paraId="1453245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（2）加大工作中的激励机制，如设置节点奖金、开展技能竞技和班组比赛。</w:t>
            </w:r>
          </w:p>
          <w:p w14:paraId="1617739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（3）改善工作环境，为施工人员提供防暑降温和保温防冻等各种劳保用品。</w:t>
            </w:r>
          </w:p>
          <w:p w14:paraId="35BF8A7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（4）动态调整各施工工序时间上和空间上合理的组合和搭接。</w:t>
            </w:r>
          </w:p>
          <w:p w14:paraId="3EF7172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（5）组织工作沟通协调会，及时解决施工过程中存在的各种矛盾。</w:t>
            </w:r>
          </w:p>
          <w:p w14:paraId="43BCF88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（6）通过以上的种种措施，进一步提高劳动生产率。</w:t>
            </w:r>
          </w:p>
        </w:tc>
      </w:tr>
      <w:tr w14:paraId="5D04C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756FB8C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4611" w:type="pct"/>
            <w:noWrap w:val="0"/>
            <w:vAlign w:val="center"/>
          </w:tcPr>
          <w:p w14:paraId="519DF58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合理调整网络计划中工程活动的逻辑关系，如将部分前后顺序工作改为平行工作，或采用流水施工的方法。</w:t>
            </w:r>
          </w:p>
        </w:tc>
      </w:tr>
      <w:tr w14:paraId="6B15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265D1B4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4611" w:type="pct"/>
            <w:noWrap w:val="0"/>
            <w:vAlign w:val="center"/>
          </w:tcPr>
          <w:p w14:paraId="5C6B0F6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将一些工作包合并，特别是在关键线路上按先后顺序实施的工作包合并，与劳务队伍共同分析研究，通过局部调整实施过程和人力、物力的分配，达到缩短工期。</w:t>
            </w:r>
          </w:p>
        </w:tc>
      </w:tr>
      <w:tr w14:paraId="258DB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1D27B25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4611" w:type="pct"/>
            <w:noWrap w:val="0"/>
            <w:vAlign w:val="center"/>
          </w:tcPr>
          <w:p w14:paraId="7F9288A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在施工工程中进一步优化施工方案，通过加强科技推广和创新工作来提高施工速度。</w:t>
            </w:r>
          </w:p>
        </w:tc>
      </w:tr>
      <w:tr w14:paraId="09390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225A3A1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8</w:t>
            </w:r>
          </w:p>
        </w:tc>
        <w:tc>
          <w:tcPr>
            <w:tcW w:w="4611" w:type="pct"/>
            <w:noWrap w:val="0"/>
            <w:vAlign w:val="center"/>
          </w:tcPr>
          <w:p w14:paraId="343816A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压缩后续工作持续时间：在原网络计划的基础上，不改变工作间的逻辑关系，而是采取必要的组织措施、技术措施和经济措施，压缩后续工作的持续时间，以弥补前面工作产生的负时差。一般是根据工期—费用优化的原理进行调整。具体作法是：</w:t>
            </w:r>
          </w:p>
          <w:p w14:paraId="14F7A18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（1）研究后续各工作持续时间压缩的可能性，及其极限工作持续时间；</w:t>
            </w:r>
          </w:p>
          <w:p w14:paraId="67599F0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（2）确定由于计划调整，采取必要措施，而引起的各工作的费用变化率；</w:t>
            </w:r>
          </w:p>
          <w:p w14:paraId="3649728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（3）选择直接引起拖期的工作及紧后工作优先压缩，以免拖期影响扩大；</w:t>
            </w:r>
          </w:p>
          <w:p w14:paraId="31E492D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（4）选择费用变化率最小的工作优先压缩，以求花费最小代价，满足既定工期要求；</w:t>
            </w:r>
          </w:p>
          <w:p w14:paraId="31BEB84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（5）综合考虑（3）、（4），确定新的调整计划。</w:t>
            </w:r>
          </w:p>
        </w:tc>
      </w:tr>
      <w:tr w14:paraId="0861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1AE9AF7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9</w:t>
            </w:r>
          </w:p>
        </w:tc>
        <w:tc>
          <w:tcPr>
            <w:tcW w:w="4611" w:type="pct"/>
            <w:noWrap w:val="0"/>
            <w:vAlign w:val="center"/>
          </w:tcPr>
          <w:p w14:paraId="1C43A9F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改变施工活动的逻辑关系及搭接关系：缩短工期的另一个途径是通过改变关键线路上各工作间的逻辑关系、搭接关系和平行流水途径来实现，而施工活动持续时间并不改变。对于大型群体工程项目，单位工程间的相互制约相对较小，可调幅度较大；对于单位工程内部，由于施工顺序和逻辑关系约束较大，可调幅度较小。</w:t>
            </w:r>
          </w:p>
        </w:tc>
      </w:tr>
      <w:tr w14:paraId="2ADC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42DD24F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10</w:t>
            </w:r>
          </w:p>
        </w:tc>
        <w:tc>
          <w:tcPr>
            <w:tcW w:w="4611" w:type="pct"/>
            <w:noWrap w:val="0"/>
            <w:vAlign w:val="center"/>
          </w:tcPr>
          <w:p w14:paraId="3864F9A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资源供应的调整：对于因资源供应发生异常而引起进度计划执行问题，应采用资源优化方法对计划进行调整，或采取应急措施，使其对工期影响最小。</w:t>
            </w:r>
          </w:p>
        </w:tc>
      </w:tr>
      <w:tr w14:paraId="18A63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57D4DD8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11</w:t>
            </w:r>
          </w:p>
        </w:tc>
        <w:tc>
          <w:tcPr>
            <w:tcW w:w="4611" w:type="pct"/>
            <w:noWrap w:val="0"/>
            <w:vAlign w:val="center"/>
          </w:tcPr>
          <w:p w14:paraId="4EDFD82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减施工内容：增减施工内容应做到不打乱原计划的逻辑关系，只对局部逻辑关系进行调整。在增减施工内容以后，应重新计算时间参数，分析对原网络计划的影响。当对工期有影响时，应采取调整措施，保证计划工期不变。</w:t>
            </w:r>
          </w:p>
        </w:tc>
      </w:tr>
      <w:tr w14:paraId="59326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1C19674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12</w:t>
            </w:r>
          </w:p>
        </w:tc>
        <w:tc>
          <w:tcPr>
            <w:tcW w:w="4611" w:type="pct"/>
            <w:noWrap w:val="0"/>
            <w:vAlign w:val="center"/>
          </w:tcPr>
          <w:p w14:paraId="3863915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增减工程量：增减工程量主要是指改变施工方案、施工方法，从而导致工程量的增加或减少。</w:t>
            </w:r>
          </w:p>
        </w:tc>
      </w:tr>
      <w:tr w14:paraId="5E2CE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89" w:type="pct"/>
            <w:noWrap w:val="0"/>
            <w:vAlign w:val="center"/>
          </w:tcPr>
          <w:p w14:paraId="0BE3337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13</w:t>
            </w:r>
          </w:p>
        </w:tc>
        <w:tc>
          <w:tcPr>
            <w:tcW w:w="4611" w:type="pct"/>
            <w:noWrap w:val="0"/>
            <w:vAlign w:val="center"/>
          </w:tcPr>
          <w:p w14:paraId="68B2224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起止时间的改变：起止时间的改变应在相应的工作时差范围内进行：如延长或缩短工作的持续时间，或将工作在最早开始时间和最迟完成时间范围内移动。每次调整必须重新计算时间参数，观察该项调整对整个施工计划的影响。</w:t>
            </w:r>
          </w:p>
        </w:tc>
      </w:tr>
    </w:tbl>
    <w:p w14:paraId="651ABE5B">
      <w:pPr>
        <w:pStyle w:val="97"/>
        <w:spacing w:before="24" w:beforeLines="10" w:after="24" w:afterLines="10" w:line="432" w:lineRule="auto"/>
        <w:ind w:firstLine="560"/>
        <w:rPr>
          <w:rFonts w:hint="eastAsia"/>
          <w:color w:val="auto"/>
          <w:sz w:val="24"/>
          <w:szCs w:val="24"/>
        </w:rPr>
      </w:pPr>
      <w:r>
        <w:rPr>
          <w:rFonts w:hint="eastAsia"/>
          <w:color w:val="auto"/>
          <w:sz w:val="24"/>
          <w:szCs w:val="24"/>
          <w:lang w:val="en-US" w:eastAsia="zh-CN"/>
        </w:rPr>
        <w:t>5、</w:t>
      </w:r>
      <w:r>
        <w:rPr>
          <w:rFonts w:hint="eastAsia"/>
          <w:color w:val="auto"/>
          <w:sz w:val="24"/>
          <w:szCs w:val="24"/>
        </w:rPr>
        <w:t>施工进度计划的主要纠偏措施</w:t>
      </w:r>
    </w:p>
    <w:p w14:paraId="06BEED48">
      <w:pPr>
        <w:pStyle w:val="97"/>
        <w:spacing w:before="24" w:beforeLines="10" w:after="24" w:afterLines="10" w:line="432" w:lineRule="auto"/>
        <w:ind w:firstLine="560"/>
        <w:rPr>
          <w:rFonts w:hint="eastAsia"/>
          <w:color w:val="auto"/>
          <w:sz w:val="24"/>
          <w:szCs w:val="24"/>
        </w:rPr>
      </w:pPr>
      <w:r>
        <w:rPr>
          <w:rFonts w:hint="eastAsia"/>
          <w:color w:val="auto"/>
          <w:sz w:val="24"/>
          <w:szCs w:val="24"/>
        </w:rPr>
        <w:t>根据偏差原因将纠偏措施分为组织措施、技术措施、经济措施、合同措施及其他配合措施。</w:t>
      </w:r>
    </w:p>
    <w:p w14:paraId="41311206">
      <w:pPr>
        <w:pStyle w:val="97"/>
        <w:spacing w:before="24" w:beforeLines="10" w:after="24" w:afterLines="10" w:line="432" w:lineRule="auto"/>
        <w:ind w:firstLine="560"/>
        <w:rPr>
          <w:rFonts w:hint="eastAsia"/>
          <w:color w:val="auto"/>
          <w:sz w:val="24"/>
          <w:szCs w:val="24"/>
        </w:rPr>
      </w:pPr>
      <w:r>
        <w:rPr>
          <w:rFonts w:hint="eastAsia"/>
          <w:color w:val="auto"/>
          <w:sz w:val="24"/>
          <w:szCs w:val="24"/>
          <w:lang w:eastAsia="zh-CN"/>
        </w:rPr>
        <w:t>（</w:t>
      </w:r>
      <w:r>
        <w:rPr>
          <w:rFonts w:hint="eastAsia"/>
          <w:color w:val="auto"/>
          <w:sz w:val="24"/>
          <w:szCs w:val="24"/>
        </w:rPr>
        <w:t>1</w:t>
      </w:r>
      <w:r>
        <w:rPr>
          <w:rFonts w:hint="eastAsia"/>
          <w:color w:val="auto"/>
          <w:sz w:val="24"/>
          <w:szCs w:val="24"/>
          <w:lang w:eastAsia="zh-CN"/>
        </w:rPr>
        <w:t>）</w:t>
      </w:r>
      <w:r>
        <w:rPr>
          <w:rFonts w:hint="eastAsia"/>
          <w:color w:val="auto"/>
          <w:sz w:val="24"/>
          <w:szCs w:val="24"/>
        </w:rPr>
        <w:t>组织措施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8188"/>
      </w:tblGrid>
      <w:tr w14:paraId="7619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81" w:type="pct"/>
            <w:noWrap w:val="0"/>
            <w:vAlign w:val="center"/>
          </w:tcPr>
          <w:p w14:paraId="5759628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19" w:type="pct"/>
            <w:noWrap w:val="0"/>
            <w:vAlign w:val="center"/>
          </w:tcPr>
          <w:p w14:paraId="1FE81A1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措施内容</w:t>
            </w:r>
          </w:p>
        </w:tc>
      </w:tr>
      <w:tr w14:paraId="125FD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AC96EF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19" w:type="pct"/>
            <w:noWrap w:val="0"/>
            <w:vAlign w:val="center"/>
          </w:tcPr>
          <w:p w14:paraId="6637E98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建立包括业主、监理单位、施工单位、供应单位等相关组织联合协调的进度控制体系，明确各方的人员配备、进度控制任务和相互关系。</w:t>
            </w:r>
          </w:p>
        </w:tc>
      </w:tr>
      <w:tr w14:paraId="5F84D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4FA18CE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19" w:type="pct"/>
            <w:noWrap w:val="0"/>
            <w:vAlign w:val="center"/>
          </w:tcPr>
          <w:p w14:paraId="5D466DE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建立进度报告制度和进度信息沟通网络。</w:t>
            </w:r>
          </w:p>
        </w:tc>
      </w:tr>
      <w:tr w14:paraId="76D2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0AF20ED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19" w:type="pct"/>
            <w:noWrap w:val="0"/>
            <w:vAlign w:val="center"/>
          </w:tcPr>
          <w:p w14:paraId="11859EA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建立进度协调会议制度。</w:t>
            </w:r>
          </w:p>
        </w:tc>
      </w:tr>
      <w:tr w14:paraId="6601D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35C4B52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519" w:type="pct"/>
            <w:noWrap w:val="0"/>
            <w:vAlign w:val="center"/>
          </w:tcPr>
          <w:p w14:paraId="5E4CDD2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建立进度计划审核制度。</w:t>
            </w:r>
          </w:p>
        </w:tc>
      </w:tr>
      <w:tr w14:paraId="3B7D0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47052A5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4519" w:type="pct"/>
            <w:noWrap w:val="0"/>
            <w:vAlign w:val="center"/>
          </w:tcPr>
          <w:p w14:paraId="133F741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建立进度控制检查制度并调节落实。</w:t>
            </w:r>
          </w:p>
        </w:tc>
      </w:tr>
      <w:tr w14:paraId="3B1C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3E9437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4519" w:type="pct"/>
            <w:noWrap w:val="0"/>
            <w:vAlign w:val="center"/>
          </w:tcPr>
          <w:p w14:paraId="560C70E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建立进度控制分析制度。</w:t>
            </w:r>
          </w:p>
        </w:tc>
      </w:tr>
      <w:tr w14:paraId="19A4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03DC77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4519" w:type="pct"/>
            <w:noWrap w:val="0"/>
            <w:vAlign w:val="center"/>
          </w:tcPr>
          <w:p w14:paraId="543965B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建立图纸审查及设计变更管理制度，及时办理工程变更和设计变更手续。</w:t>
            </w:r>
          </w:p>
        </w:tc>
      </w:tr>
      <w:tr w14:paraId="07B54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5895D59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8</w:t>
            </w:r>
          </w:p>
        </w:tc>
        <w:tc>
          <w:tcPr>
            <w:tcW w:w="4519" w:type="pct"/>
            <w:noWrap w:val="0"/>
            <w:vAlign w:val="center"/>
          </w:tcPr>
          <w:p w14:paraId="61A7BAB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增加施工工作面，组织更多的施工队伍。</w:t>
            </w:r>
          </w:p>
        </w:tc>
      </w:tr>
      <w:tr w14:paraId="5146A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04D5CED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9</w:t>
            </w:r>
          </w:p>
        </w:tc>
        <w:tc>
          <w:tcPr>
            <w:tcW w:w="4519" w:type="pct"/>
            <w:noWrap w:val="0"/>
            <w:vAlign w:val="center"/>
          </w:tcPr>
          <w:p w14:paraId="44079B8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增加每天的施工工作时间，必要时采用三班制。</w:t>
            </w:r>
          </w:p>
        </w:tc>
      </w:tr>
      <w:tr w14:paraId="64A4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3E7601E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10</w:t>
            </w:r>
          </w:p>
        </w:tc>
        <w:tc>
          <w:tcPr>
            <w:tcW w:w="4519" w:type="pct"/>
            <w:noWrap w:val="0"/>
            <w:vAlign w:val="center"/>
          </w:tcPr>
          <w:p w14:paraId="76C2CB0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增加机械设备、物资的投入。</w:t>
            </w:r>
          </w:p>
        </w:tc>
      </w:tr>
    </w:tbl>
    <w:p w14:paraId="2876BF6D">
      <w:pPr>
        <w:pStyle w:val="97"/>
        <w:spacing w:before="24" w:beforeLines="10" w:after="24" w:afterLines="10" w:line="432" w:lineRule="auto"/>
        <w:ind w:firstLine="560"/>
        <w:rPr>
          <w:rFonts w:hint="eastAsia"/>
          <w:color w:val="auto"/>
          <w:sz w:val="24"/>
          <w:szCs w:val="24"/>
        </w:rPr>
      </w:pPr>
      <w:r>
        <w:rPr>
          <w:rFonts w:hint="eastAsia"/>
          <w:color w:val="auto"/>
          <w:sz w:val="24"/>
          <w:szCs w:val="24"/>
          <w:lang w:eastAsia="zh-CN"/>
        </w:rPr>
        <w:t>（</w:t>
      </w:r>
      <w:r>
        <w:rPr>
          <w:rFonts w:hint="eastAsia"/>
          <w:color w:val="auto"/>
          <w:sz w:val="24"/>
          <w:szCs w:val="24"/>
        </w:rPr>
        <w:t>2</w:t>
      </w:r>
      <w:r>
        <w:rPr>
          <w:rFonts w:hint="eastAsia"/>
          <w:color w:val="auto"/>
          <w:sz w:val="24"/>
          <w:szCs w:val="24"/>
          <w:lang w:eastAsia="zh-CN"/>
        </w:rPr>
        <w:t>）</w:t>
      </w:r>
      <w:r>
        <w:rPr>
          <w:rFonts w:hint="eastAsia"/>
          <w:color w:val="auto"/>
          <w:sz w:val="24"/>
          <w:szCs w:val="24"/>
        </w:rPr>
        <w:t>技术措施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214"/>
      </w:tblGrid>
      <w:tr w14:paraId="2E117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683FF8F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33" w:type="pct"/>
            <w:noWrap w:val="0"/>
            <w:vAlign w:val="center"/>
          </w:tcPr>
          <w:p w14:paraId="081E2F5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措施内容</w:t>
            </w:r>
          </w:p>
        </w:tc>
      </w:tr>
      <w:tr w14:paraId="34869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506DD8A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33" w:type="pct"/>
            <w:noWrap w:val="0"/>
            <w:vAlign w:val="center"/>
          </w:tcPr>
          <w:p w14:paraId="47E2E50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采用多级网络计划控制技术。</w:t>
            </w:r>
          </w:p>
        </w:tc>
      </w:tr>
      <w:tr w14:paraId="139B3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32AA631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33" w:type="pct"/>
            <w:noWrap w:val="0"/>
            <w:vAlign w:val="center"/>
          </w:tcPr>
          <w:p w14:paraId="4452251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根据作业面组织平行流水施工，保证作业连续、均衡、有节奏。</w:t>
            </w:r>
          </w:p>
        </w:tc>
      </w:tr>
      <w:tr w14:paraId="0E4DA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091623D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33" w:type="pct"/>
            <w:noWrap w:val="0"/>
            <w:vAlign w:val="center"/>
          </w:tcPr>
          <w:p w14:paraId="455EA14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减少技术间隔，缩短作业时间。</w:t>
            </w:r>
          </w:p>
        </w:tc>
      </w:tr>
      <w:tr w14:paraId="1493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7A68018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533" w:type="pct"/>
            <w:noWrap w:val="0"/>
            <w:vAlign w:val="center"/>
          </w:tcPr>
          <w:p w14:paraId="41994A2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采用计算机辅助进度管理。</w:t>
            </w:r>
          </w:p>
        </w:tc>
      </w:tr>
      <w:tr w14:paraId="2E618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10D9928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4533" w:type="pct"/>
            <w:noWrap w:val="0"/>
            <w:vAlign w:val="center"/>
          </w:tcPr>
          <w:p w14:paraId="7FAC6E8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采用先进的施工方法、工艺和高效的机械设备。</w:t>
            </w:r>
          </w:p>
        </w:tc>
      </w:tr>
      <w:tr w14:paraId="3FFE7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4F6BE9E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4533" w:type="pct"/>
            <w:noWrap w:val="0"/>
            <w:vAlign w:val="center"/>
          </w:tcPr>
          <w:p w14:paraId="0204714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改进施工工艺和施工技术，缩短工艺技术间隔时间。</w:t>
            </w:r>
          </w:p>
        </w:tc>
      </w:tr>
    </w:tbl>
    <w:p w14:paraId="2EB6DBFD">
      <w:pPr>
        <w:pStyle w:val="97"/>
        <w:spacing w:before="24" w:beforeLines="10" w:after="24" w:afterLines="10" w:line="360" w:lineRule="auto"/>
        <w:ind w:firstLine="560"/>
        <w:rPr>
          <w:rFonts w:hint="eastAsia"/>
          <w:color w:val="auto"/>
          <w:sz w:val="24"/>
          <w:szCs w:val="24"/>
        </w:rPr>
      </w:pPr>
      <w:r>
        <w:rPr>
          <w:rFonts w:hint="eastAsia"/>
          <w:color w:val="auto"/>
          <w:sz w:val="24"/>
          <w:szCs w:val="24"/>
          <w:lang w:eastAsia="zh-CN"/>
        </w:rPr>
        <w:t>（</w:t>
      </w:r>
      <w:r>
        <w:rPr>
          <w:rFonts w:hint="eastAsia"/>
          <w:color w:val="auto"/>
          <w:sz w:val="24"/>
          <w:szCs w:val="24"/>
        </w:rPr>
        <w:t>3</w:t>
      </w:r>
      <w:r>
        <w:rPr>
          <w:rFonts w:hint="eastAsia"/>
          <w:color w:val="auto"/>
          <w:sz w:val="24"/>
          <w:szCs w:val="24"/>
          <w:lang w:eastAsia="zh-CN"/>
        </w:rPr>
        <w:t>）</w:t>
      </w:r>
      <w:r>
        <w:rPr>
          <w:rFonts w:hint="eastAsia"/>
          <w:color w:val="auto"/>
          <w:sz w:val="24"/>
          <w:szCs w:val="24"/>
        </w:rPr>
        <w:t>经济措施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8188"/>
      </w:tblGrid>
      <w:tr w14:paraId="6CF81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81" w:type="pct"/>
            <w:noWrap w:val="0"/>
            <w:vAlign w:val="center"/>
          </w:tcPr>
          <w:p w14:paraId="64CAD69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19" w:type="pct"/>
            <w:noWrap w:val="0"/>
            <w:vAlign w:val="center"/>
          </w:tcPr>
          <w:p w14:paraId="0E01F30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措施内容</w:t>
            </w:r>
          </w:p>
        </w:tc>
      </w:tr>
      <w:tr w14:paraId="28A1F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1159EC6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19" w:type="pct"/>
            <w:noWrap w:val="0"/>
            <w:vAlign w:val="center"/>
          </w:tcPr>
          <w:p w14:paraId="589E40E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合同中明确规定，工期提前给予奖励。</w:t>
            </w:r>
          </w:p>
        </w:tc>
      </w:tr>
      <w:tr w14:paraId="0156D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D2079D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19" w:type="pct"/>
            <w:noWrap w:val="0"/>
            <w:vAlign w:val="center"/>
          </w:tcPr>
          <w:p w14:paraId="29455C3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合同中明确规定，对拖延工期给予罚款，收赔偿金，严重时甚至终止合同等处罚。</w:t>
            </w:r>
          </w:p>
        </w:tc>
      </w:tr>
      <w:tr w14:paraId="511D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0D5EC88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19" w:type="pct"/>
            <w:noWrap w:val="0"/>
            <w:vAlign w:val="center"/>
          </w:tcPr>
          <w:p w14:paraId="3F866BB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提供资金、设备、材料、加工订货等供应保证措施。</w:t>
            </w:r>
          </w:p>
        </w:tc>
      </w:tr>
      <w:tr w14:paraId="4C38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C5B92D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519" w:type="pct"/>
            <w:noWrap w:val="0"/>
            <w:vAlign w:val="center"/>
          </w:tcPr>
          <w:p w14:paraId="72AB42C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及时办理工程预付款和进度款支付手续，保证资金到位。</w:t>
            </w:r>
          </w:p>
        </w:tc>
      </w:tr>
    </w:tbl>
    <w:p w14:paraId="3247559D">
      <w:pPr>
        <w:pStyle w:val="97"/>
        <w:spacing w:before="24" w:beforeLines="10" w:after="24" w:afterLines="10" w:line="360" w:lineRule="auto"/>
        <w:ind w:firstLine="560"/>
        <w:rPr>
          <w:rFonts w:hint="eastAsia"/>
          <w:color w:val="auto"/>
          <w:sz w:val="24"/>
          <w:szCs w:val="24"/>
        </w:rPr>
      </w:pPr>
      <w:r>
        <w:rPr>
          <w:rFonts w:hint="eastAsia"/>
          <w:color w:val="auto"/>
          <w:sz w:val="24"/>
          <w:szCs w:val="24"/>
          <w:lang w:eastAsia="zh-CN"/>
        </w:rPr>
        <w:t>（</w:t>
      </w:r>
      <w:r>
        <w:rPr>
          <w:rFonts w:hint="eastAsia"/>
          <w:color w:val="auto"/>
          <w:sz w:val="24"/>
          <w:szCs w:val="24"/>
        </w:rPr>
        <w:t>4</w:t>
      </w:r>
      <w:r>
        <w:rPr>
          <w:rFonts w:hint="eastAsia"/>
          <w:color w:val="auto"/>
          <w:sz w:val="24"/>
          <w:szCs w:val="24"/>
          <w:lang w:eastAsia="zh-CN"/>
        </w:rPr>
        <w:t>）</w:t>
      </w:r>
      <w:r>
        <w:rPr>
          <w:rFonts w:hint="eastAsia"/>
          <w:color w:val="auto"/>
          <w:sz w:val="24"/>
          <w:szCs w:val="24"/>
        </w:rPr>
        <w:t>合同措施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2"/>
        <w:gridCol w:w="8188"/>
      </w:tblGrid>
      <w:tr w14:paraId="6E6A6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6760A0F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19" w:type="pct"/>
            <w:noWrap w:val="0"/>
            <w:vAlign w:val="center"/>
          </w:tcPr>
          <w:p w14:paraId="7FF2729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措施内容</w:t>
            </w:r>
          </w:p>
        </w:tc>
      </w:tr>
      <w:tr w14:paraId="7FE3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5727CAD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19" w:type="pct"/>
            <w:noWrap w:val="0"/>
            <w:vAlign w:val="center"/>
          </w:tcPr>
          <w:p w14:paraId="3224401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加强合同管理，加强组织、指挥、协调，以保证合同进度目标的实现。</w:t>
            </w:r>
          </w:p>
        </w:tc>
      </w:tr>
      <w:tr w14:paraId="1797F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2A10CA4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19" w:type="pct"/>
            <w:noWrap w:val="0"/>
            <w:vAlign w:val="center"/>
          </w:tcPr>
          <w:p w14:paraId="5E1388D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严格控制合同变更，对各分包方提出的工程变更和设计变更，总承包单位应配合工程师严格审查，而后补进合同当中。</w:t>
            </w:r>
          </w:p>
        </w:tc>
      </w:tr>
      <w:tr w14:paraId="71B8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1" w:type="pct"/>
            <w:noWrap w:val="0"/>
            <w:vAlign w:val="center"/>
          </w:tcPr>
          <w:p w14:paraId="1F7CC6C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19" w:type="pct"/>
            <w:noWrap w:val="0"/>
            <w:vAlign w:val="center"/>
          </w:tcPr>
          <w:p w14:paraId="1E77CC1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加强风险管理，在合同中充分考虑风险因素及其对进度的影响，处理办法等，尽可能采取预控措施，减少风险对进度的影响。</w:t>
            </w:r>
          </w:p>
        </w:tc>
      </w:tr>
    </w:tbl>
    <w:p w14:paraId="405277AA">
      <w:pPr>
        <w:pStyle w:val="97"/>
        <w:spacing w:before="24" w:beforeLines="10" w:after="24" w:afterLines="10" w:line="360" w:lineRule="auto"/>
        <w:ind w:firstLine="560"/>
        <w:rPr>
          <w:rFonts w:hint="eastAsia"/>
          <w:color w:val="auto"/>
          <w:sz w:val="24"/>
          <w:szCs w:val="24"/>
        </w:rPr>
      </w:pPr>
      <w:r>
        <w:rPr>
          <w:rFonts w:hint="eastAsia"/>
          <w:color w:val="auto"/>
          <w:sz w:val="24"/>
          <w:szCs w:val="24"/>
          <w:lang w:eastAsia="zh-CN"/>
        </w:rPr>
        <w:t>（</w:t>
      </w:r>
      <w:r>
        <w:rPr>
          <w:rFonts w:hint="eastAsia"/>
          <w:color w:val="auto"/>
          <w:sz w:val="24"/>
          <w:szCs w:val="24"/>
        </w:rPr>
        <w:t>5</w:t>
      </w:r>
      <w:r>
        <w:rPr>
          <w:rFonts w:hint="eastAsia"/>
          <w:color w:val="auto"/>
          <w:sz w:val="24"/>
          <w:szCs w:val="24"/>
          <w:lang w:eastAsia="zh-CN"/>
        </w:rPr>
        <w:t>）</w:t>
      </w:r>
      <w:r>
        <w:rPr>
          <w:rFonts w:hint="eastAsia"/>
          <w:color w:val="auto"/>
          <w:sz w:val="24"/>
          <w:szCs w:val="24"/>
        </w:rPr>
        <w:t>其它配合措施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8219"/>
      </w:tblGrid>
      <w:tr w14:paraId="1F15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64" w:type="pct"/>
            <w:noWrap w:val="0"/>
            <w:vAlign w:val="center"/>
          </w:tcPr>
          <w:p w14:paraId="4CB1156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36" w:type="pct"/>
            <w:noWrap w:val="0"/>
            <w:vAlign w:val="center"/>
          </w:tcPr>
          <w:p w14:paraId="3F6B69C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措施内容</w:t>
            </w:r>
          </w:p>
        </w:tc>
      </w:tr>
      <w:tr w14:paraId="62F79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72167CF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36" w:type="pct"/>
            <w:noWrap w:val="0"/>
            <w:vAlign w:val="center"/>
          </w:tcPr>
          <w:p w14:paraId="02BA8CE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改善外部配合条件，积极主动跟业主、监理、政府主管部门等有关单位协调。</w:t>
            </w:r>
          </w:p>
        </w:tc>
      </w:tr>
      <w:tr w14:paraId="3C769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759CB30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36" w:type="pct"/>
            <w:noWrap w:val="0"/>
            <w:vAlign w:val="center"/>
          </w:tcPr>
          <w:p w14:paraId="2854743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加强劳动环境和条件改善。</w:t>
            </w:r>
          </w:p>
        </w:tc>
      </w:tr>
      <w:tr w14:paraId="3405F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3A140F4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36" w:type="pct"/>
            <w:noWrap w:val="0"/>
            <w:vAlign w:val="center"/>
          </w:tcPr>
          <w:p w14:paraId="1D36D2D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必要时，使用行政手段，实施强制性的调度。</w:t>
            </w:r>
          </w:p>
        </w:tc>
      </w:tr>
      <w:tr w14:paraId="4A44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6494DA61">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536" w:type="pct"/>
            <w:noWrap w:val="0"/>
            <w:vAlign w:val="center"/>
          </w:tcPr>
          <w:p w14:paraId="5485215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整个工程由总承包负责检查督促分包进度计划实施情况，以便在分包超前或滞后于进度计划时实时采取纠偏措施。</w:t>
            </w:r>
          </w:p>
        </w:tc>
      </w:tr>
      <w:tr w14:paraId="0C35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5D05A24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4536" w:type="pct"/>
            <w:noWrap w:val="0"/>
            <w:vAlign w:val="center"/>
          </w:tcPr>
          <w:p w14:paraId="6F7AA38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根据施工总进度计划，在实施过程中，每月绘制月实际计划完成情况横道图，对照总计划和完成情况，分析出偏差的项目，在下月进度计划安排中进行调整。</w:t>
            </w:r>
          </w:p>
        </w:tc>
      </w:tr>
      <w:tr w14:paraId="229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309729A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4536" w:type="pct"/>
            <w:noWrap w:val="0"/>
            <w:vAlign w:val="center"/>
          </w:tcPr>
          <w:p w14:paraId="74D14997">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每周例会通报工程进度情况，确定薄弱环节，以解决工程施工过程中的相互协调配合问题，部署下周工作安排。</w:t>
            </w:r>
          </w:p>
        </w:tc>
      </w:tr>
      <w:tr w14:paraId="76622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4C83910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4536" w:type="pct"/>
            <w:noWrap w:val="0"/>
            <w:vAlign w:val="center"/>
          </w:tcPr>
          <w:p w14:paraId="62E8BA7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分析原因及影响，追回落后工期：如果出现进度偏差，首先进一步分析此偏差对进度控制目标的影响程度及其产生的原因，要求各分包及各专业工种进行调整，定出追回落后工期的措施和时间表。</w:t>
            </w:r>
          </w:p>
        </w:tc>
      </w:tr>
      <w:tr w14:paraId="10E6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454483A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8</w:t>
            </w:r>
          </w:p>
        </w:tc>
        <w:tc>
          <w:tcPr>
            <w:tcW w:w="4536" w:type="pct"/>
            <w:noWrap w:val="0"/>
            <w:vAlign w:val="center"/>
          </w:tcPr>
          <w:p w14:paraId="2E4046A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（1）关键工序的纠偏措施</w:t>
            </w:r>
          </w:p>
          <w:p w14:paraId="2437749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只有关键工序进度有保证，总工期进度才能有保证。因此当实际进度出现偏差时，首先是从关键工序入手部署纠偏措施，保证关键工序、节点工期与计划进度稳合。关键工序的调整以避免影响原定计划工期和其他工作的顺利进行为原则。</w:t>
            </w:r>
          </w:p>
          <w:p w14:paraId="7BE0499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（2）关键工序超前于计划进度</w:t>
            </w:r>
          </w:p>
          <w:p w14:paraId="6EEDF7D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关键线路的实际进度比计划进度提前时，若不拟缩短工期，则结合工程实际选择资源占用量大或直接费用高的后续关键工作，适当延长其持续时间以降低资源强度或费用；若要提前完成计划，则将计划的未完成部分作为一个新计划，重新进行调整，按新计划执行。</w:t>
            </w:r>
          </w:p>
          <w:p w14:paraId="0D57CD2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（3）关键工序落后于计划进度</w:t>
            </w:r>
          </w:p>
          <w:p w14:paraId="7ECEB72F">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当关键线路的实际进度比计划进度落后时，在未完成关键线路中选择资源强度小或费用率低的关键工作，缩短其持续时间，并把计划的未完部分作为一个新计划，按工期优化方法对它进行调整。</w:t>
            </w:r>
          </w:p>
        </w:tc>
      </w:tr>
      <w:tr w14:paraId="0331D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50CE423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9</w:t>
            </w:r>
          </w:p>
        </w:tc>
        <w:tc>
          <w:tcPr>
            <w:tcW w:w="4536" w:type="pct"/>
            <w:noWrap w:val="0"/>
            <w:vAlign w:val="center"/>
          </w:tcPr>
          <w:p w14:paraId="24FE0FF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非关键工序的纠偏：充分地利用资源、降低成本或满足施工的需要，非关键工作时差的调整，在其最早开始时间与最迟完成时间范围内将工作持续时间进行延长或缩短。</w:t>
            </w:r>
          </w:p>
        </w:tc>
      </w:tr>
      <w:tr w14:paraId="462FA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3DFB228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10</w:t>
            </w:r>
          </w:p>
        </w:tc>
        <w:tc>
          <w:tcPr>
            <w:tcW w:w="4536" w:type="pct"/>
            <w:noWrap w:val="0"/>
            <w:vAlign w:val="center"/>
          </w:tcPr>
          <w:p w14:paraId="6077DD6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资源不足的纠偏措施：</w:t>
            </w:r>
          </w:p>
          <w:p w14:paraId="250E4C75">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（1）由于施工能力或调整不足而产生延误的情况下，采取加大人力投入或加班施工来赶上工期。</w:t>
            </w:r>
          </w:p>
          <w:p w14:paraId="5C298F1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（2）若业主一时资金短缺，经共同协商后，本公司财务部将提供临时资金周转。</w:t>
            </w:r>
          </w:p>
        </w:tc>
      </w:tr>
      <w:tr w14:paraId="6CC01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19A6690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11</w:t>
            </w:r>
          </w:p>
        </w:tc>
        <w:tc>
          <w:tcPr>
            <w:tcW w:w="4536" w:type="pct"/>
            <w:noWrap w:val="0"/>
            <w:vAlign w:val="center"/>
          </w:tcPr>
          <w:p w14:paraId="10FC388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增减工作项目时的纠偏措施：</w:t>
            </w:r>
          </w:p>
          <w:p w14:paraId="78F6260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（1）当增减工作项目时，重新计算时间参数，分析项目的增减对原进度计划的影响。</w:t>
            </w:r>
          </w:p>
          <w:p w14:paraId="4E8DF72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（2）在不打乱原进度计划总的逻辑关系的前提下，通过加大资源投入，对局部逻辑关系进行调整。</w:t>
            </w:r>
          </w:p>
        </w:tc>
      </w:tr>
      <w:tr w14:paraId="5BE7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4" w:type="pct"/>
            <w:noWrap w:val="0"/>
            <w:vAlign w:val="center"/>
          </w:tcPr>
          <w:p w14:paraId="04283BC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12</w:t>
            </w:r>
          </w:p>
        </w:tc>
        <w:tc>
          <w:tcPr>
            <w:tcW w:w="4536" w:type="pct"/>
            <w:noWrap w:val="0"/>
            <w:vAlign w:val="center"/>
          </w:tcPr>
          <w:p w14:paraId="65A54F1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由于业主、设计原因及不可抗力事件导致工期延误的纠偏措施。</w:t>
            </w:r>
          </w:p>
          <w:p w14:paraId="5BCDAC7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由于业主、设计者的原因或者气候、天灾等自然灾害导致的，由总承包与业主和监理工程师协商解决。</w:t>
            </w:r>
          </w:p>
        </w:tc>
      </w:tr>
    </w:tbl>
    <w:p w14:paraId="4F58F2FB">
      <w:pPr>
        <w:pStyle w:val="97"/>
        <w:spacing w:before="24" w:beforeLines="10" w:after="24" w:afterLines="10" w:line="360" w:lineRule="auto"/>
        <w:ind w:firstLine="560"/>
        <w:rPr>
          <w:rFonts w:hint="eastAsia"/>
          <w:color w:val="auto"/>
          <w:sz w:val="24"/>
          <w:szCs w:val="24"/>
        </w:rPr>
      </w:pPr>
      <w:r>
        <w:rPr>
          <w:rFonts w:hint="eastAsia"/>
          <w:color w:val="auto"/>
          <w:sz w:val="24"/>
          <w:szCs w:val="24"/>
          <w:lang w:val="en-US" w:eastAsia="zh-CN"/>
        </w:rPr>
        <w:t>6、</w:t>
      </w:r>
      <w:r>
        <w:rPr>
          <w:rFonts w:hint="eastAsia"/>
          <w:color w:val="auto"/>
          <w:sz w:val="24"/>
          <w:szCs w:val="24"/>
        </w:rPr>
        <w:t>施工进度控制总结</w:t>
      </w:r>
    </w:p>
    <w:p w14:paraId="4E236569">
      <w:pPr>
        <w:pStyle w:val="97"/>
        <w:spacing w:before="24" w:beforeLines="10" w:after="24" w:afterLines="10" w:line="360" w:lineRule="auto"/>
        <w:ind w:firstLine="560"/>
        <w:rPr>
          <w:rFonts w:hint="eastAsia"/>
          <w:color w:val="auto"/>
          <w:sz w:val="24"/>
          <w:szCs w:val="24"/>
        </w:rPr>
      </w:pPr>
      <w:r>
        <w:rPr>
          <w:rFonts w:hint="eastAsia"/>
          <w:color w:val="auto"/>
          <w:sz w:val="24"/>
          <w:szCs w:val="24"/>
        </w:rPr>
        <w:t>项目经理部应在施工进度计划完成后，及时进行施工进度控制总结，为进度控制提供反馈信息。总结依据的资料有：</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214"/>
      </w:tblGrid>
      <w:tr w14:paraId="27AA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5619D57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33" w:type="pct"/>
            <w:noWrap w:val="0"/>
            <w:vAlign w:val="center"/>
          </w:tcPr>
          <w:p w14:paraId="5323470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总结依据</w:t>
            </w:r>
          </w:p>
        </w:tc>
      </w:tr>
      <w:tr w14:paraId="6A38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7E50117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33" w:type="pct"/>
            <w:noWrap w:val="0"/>
            <w:vAlign w:val="center"/>
          </w:tcPr>
          <w:p w14:paraId="636FEE0B">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施工进度计划</w:t>
            </w:r>
          </w:p>
        </w:tc>
      </w:tr>
      <w:tr w14:paraId="34A6F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7AC1683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33" w:type="pct"/>
            <w:noWrap w:val="0"/>
            <w:vAlign w:val="center"/>
          </w:tcPr>
          <w:p w14:paraId="791E52B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施工进度计划执行的实际记录</w:t>
            </w:r>
          </w:p>
        </w:tc>
      </w:tr>
      <w:tr w14:paraId="79DAB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6EE09E3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33" w:type="pct"/>
            <w:noWrap w:val="0"/>
            <w:vAlign w:val="center"/>
          </w:tcPr>
          <w:p w14:paraId="43B876D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施工进度计划检查结果</w:t>
            </w:r>
          </w:p>
        </w:tc>
      </w:tr>
      <w:tr w14:paraId="21889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7B62804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533" w:type="pct"/>
            <w:noWrap w:val="0"/>
            <w:vAlign w:val="center"/>
          </w:tcPr>
          <w:p w14:paraId="26B3CBC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施工进度计划的调整资料</w:t>
            </w:r>
          </w:p>
        </w:tc>
      </w:tr>
    </w:tbl>
    <w:p w14:paraId="74B49381">
      <w:pPr>
        <w:pStyle w:val="97"/>
        <w:spacing w:before="24" w:beforeLines="10" w:after="24" w:afterLines="10" w:line="360" w:lineRule="auto"/>
        <w:ind w:firstLine="560"/>
        <w:rPr>
          <w:rFonts w:hint="eastAsia"/>
          <w:color w:val="auto"/>
          <w:sz w:val="24"/>
          <w:szCs w:val="24"/>
        </w:rPr>
      </w:pPr>
      <w:r>
        <w:rPr>
          <w:rFonts w:hint="eastAsia"/>
          <w:color w:val="auto"/>
          <w:sz w:val="24"/>
          <w:szCs w:val="24"/>
        </w:rPr>
        <w:t>总结的主要内容有：</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8214"/>
      </w:tblGrid>
      <w:tr w14:paraId="5FBA8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2BE85D6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4533" w:type="pct"/>
            <w:noWrap w:val="0"/>
            <w:vAlign w:val="center"/>
          </w:tcPr>
          <w:p w14:paraId="6D4D0BC0">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总结内容</w:t>
            </w:r>
          </w:p>
        </w:tc>
      </w:tr>
      <w:tr w14:paraId="0C9FD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523C328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4533" w:type="pct"/>
            <w:noWrap w:val="0"/>
            <w:vAlign w:val="center"/>
          </w:tcPr>
          <w:p w14:paraId="3EBEE29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合同工期目标和计划工期目标完成情况</w:t>
            </w:r>
          </w:p>
        </w:tc>
      </w:tr>
      <w:tr w14:paraId="478F7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086CDDA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4533" w:type="pct"/>
            <w:noWrap w:val="0"/>
            <w:vAlign w:val="center"/>
          </w:tcPr>
          <w:p w14:paraId="18B27DD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施工进度控制经验</w:t>
            </w:r>
          </w:p>
        </w:tc>
      </w:tr>
      <w:tr w14:paraId="7279B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75A6531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4533" w:type="pct"/>
            <w:noWrap w:val="0"/>
            <w:vAlign w:val="center"/>
          </w:tcPr>
          <w:p w14:paraId="72D2602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施工进度控制中存在的问题</w:t>
            </w:r>
          </w:p>
        </w:tc>
      </w:tr>
      <w:tr w14:paraId="31B42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53ABC3B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4533" w:type="pct"/>
            <w:noWrap w:val="0"/>
            <w:vAlign w:val="center"/>
          </w:tcPr>
          <w:p w14:paraId="00D6CD18">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科学的施工进度计划方法的应用情况</w:t>
            </w:r>
          </w:p>
        </w:tc>
      </w:tr>
      <w:tr w14:paraId="02C3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67" w:type="pct"/>
            <w:noWrap w:val="0"/>
            <w:vAlign w:val="center"/>
          </w:tcPr>
          <w:p w14:paraId="1786200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4533" w:type="pct"/>
            <w:noWrap w:val="0"/>
            <w:vAlign w:val="center"/>
          </w:tcPr>
          <w:p w14:paraId="7BEF5B1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施工进度控制的改进意见</w:t>
            </w:r>
          </w:p>
        </w:tc>
      </w:tr>
      <w:bookmarkEnd w:id="361"/>
      <w:bookmarkEnd w:id="362"/>
      <w:bookmarkEnd w:id="363"/>
    </w:tbl>
    <w:p w14:paraId="5372C9CB">
      <w:pPr>
        <w:pStyle w:val="5"/>
        <w:ind w:firstLine="480"/>
        <w:rPr>
          <w:sz w:val="24"/>
          <w:szCs w:val="24"/>
          <w:lang w:eastAsia="zh-CN"/>
        </w:rPr>
      </w:pPr>
      <w:bookmarkStart w:id="364" w:name="_Toc32410"/>
      <w:bookmarkStart w:id="365" w:name="_Toc202510760"/>
      <w:bookmarkStart w:id="366" w:name="_Toc60089640"/>
      <w:bookmarkStart w:id="367" w:name="_Toc71733109"/>
      <w:bookmarkStart w:id="368" w:name="_Toc12550282"/>
      <w:bookmarkStart w:id="369" w:name="_Toc166965322"/>
      <w:r>
        <w:rPr>
          <w:rFonts w:hint="eastAsia"/>
          <w:sz w:val="24"/>
          <w:szCs w:val="24"/>
          <w:lang w:eastAsia="zh-CN"/>
        </w:rPr>
        <w:t>设备调试进度控制</w:t>
      </w:r>
      <w:bookmarkEnd w:id="364"/>
      <w:bookmarkEnd w:id="365"/>
    </w:p>
    <w:p w14:paraId="75D10E9C">
      <w:pPr>
        <w:pStyle w:val="89"/>
        <w:spacing w:before="10" w:after="10" w:line="360" w:lineRule="auto"/>
        <w:ind w:firstLine="560"/>
        <w:rPr>
          <w:rFonts w:hint="eastAsia"/>
          <w:color w:val="auto"/>
          <w:sz w:val="24"/>
          <w:szCs w:val="24"/>
        </w:rPr>
      </w:pPr>
      <w:r>
        <w:rPr>
          <w:rFonts w:hint="eastAsia"/>
          <w:color w:val="auto"/>
          <w:sz w:val="24"/>
          <w:szCs w:val="24"/>
        </w:rPr>
        <w:t>1、提前落实大型设备，我司将采取自有机械、新购买机械以及租赁机械相结合的方式进行供应。对于我司编制的本项目需要机械设备计划中已经自有机械设备，现在已经做好了机械调度安排计划，已经做好了各方面的检修调试工作，一旦我司中标本工程，可确保按计划进场，并投入使用。</w:t>
      </w:r>
    </w:p>
    <w:p w14:paraId="7C2716FB">
      <w:pPr>
        <w:pStyle w:val="89"/>
        <w:spacing w:before="10" w:after="10" w:line="360" w:lineRule="auto"/>
        <w:ind w:firstLine="560"/>
        <w:rPr>
          <w:rFonts w:hint="eastAsia"/>
          <w:color w:val="auto"/>
          <w:sz w:val="24"/>
          <w:szCs w:val="24"/>
        </w:rPr>
      </w:pPr>
      <w:r>
        <w:rPr>
          <w:rFonts w:hint="eastAsia"/>
          <w:color w:val="auto"/>
          <w:sz w:val="24"/>
          <w:szCs w:val="24"/>
        </w:rPr>
        <w:t>2、对于各种购买机械和租赁机械，我司拟采取主要供应商和备选供应商相结合的供应方式，当出现供货短缺或困难时启用备选供应商，以保证大型机械在供应方面不会出现任何问题，我们已落实相关生产厂家和租赁公司并与其签订合作协议。</w:t>
      </w:r>
    </w:p>
    <w:p w14:paraId="5C6C5470">
      <w:pPr>
        <w:pStyle w:val="89"/>
        <w:spacing w:before="10" w:after="10" w:line="360" w:lineRule="auto"/>
        <w:ind w:firstLine="560"/>
        <w:rPr>
          <w:rFonts w:hint="eastAsia"/>
          <w:color w:val="auto"/>
          <w:sz w:val="24"/>
          <w:szCs w:val="24"/>
        </w:rPr>
      </w:pPr>
      <w:r>
        <w:rPr>
          <w:rFonts w:hint="eastAsia"/>
          <w:color w:val="auto"/>
          <w:sz w:val="24"/>
          <w:szCs w:val="24"/>
        </w:rPr>
        <w:t>3、编制配合分段招标的机械进场计划，对机械设备从招标到退场实行全过程监控，保证机械设备准时进场，施工过程中能够做到及时维修，定期保养，保证施工过程的流畅，在完成施工任务后及时撤出场地。</w:t>
      </w:r>
    </w:p>
    <w:p w14:paraId="7660CF90">
      <w:pPr>
        <w:pStyle w:val="89"/>
        <w:spacing w:before="10" w:after="10" w:line="360" w:lineRule="auto"/>
        <w:ind w:firstLine="560"/>
        <w:rPr>
          <w:rFonts w:hint="eastAsia"/>
          <w:color w:val="auto"/>
          <w:sz w:val="24"/>
          <w:szCs w:val="24"/>
        </w:rPr>
      </w:pPr>
      <w:r>
        <w:rPr>
          <w:rFonts w:hint="eastAsia"/>
          <w:color w:val="auto"/>
          <w:sz w:val="24"/>
          <w:szCs w:val="24"/>
        </w:rPr>
        <w:t>4、在不同阶段、按不同区域成立由不同人员组成的机械管理团队，保证机械的正常运作及出现故障时的及时维修。</w:t>
      </w:r>
    </w:p>
    <w:p w14:paraId="1F7BC132">
      <w:pPr>
        <w:pStyle w:val="89"/>
        <w:spacing w:before="10" w:after="10" w:line="360" w:lineRule="auto"/>
        <w:ind w:firstLine="560"/>
        <w:rPr>
          <w:rFonts w:hint="eastAsia"/>
          <w:color w:val="auto"/>
          <w:sz w:val="24"/>
          <w:szCs w:val="24"/>
        </w:rPr>
      </w:pPr>
      <w:r>
        <w:rPr>
          <w:rFonts w:hint="eastAsia"/>
          <w:color w:val="auto"/>
          <w:sz w:val="24"/>
          <w:szCs w:val="24"/>
        </w:rPr>
        <w:t>5、要求外部分包商编制相应的设备进场计划，并督促其设备及时进场，督促其按照总承包商的要求维护保养设备。</w:t>
      </w:r>
    </w:p>
    <w:p w14:paraId="3CE52F7F">
      <w:pPr>
        <w:pStyle w:val="89"/>
        <w:spacing w:before="10" w:after="10" w:line="360" w:lineRule="auto"/>
        <w:ind w:firstLine="560"/>
        <w:rPr>
          <w:rFonts w:hint="eastAsia"/>
          <w:color w:val="auto"/>
          <w:sz w:val="24"/>
          <w:szCs w:val="24"/>
        </w:rPr>
      </w:pPr>
      <w:r>
        <w:rPr>
          <w:rFonts w:hint="eastAsia"/>
          <w:color w:val="auto"/>
          <w:sz w:val="24"/>
          <w:szCs w:val="24"/>
        </w:rPr>
        <w:t>6、根据项目的机电系统调试需求，重点确保项目机电动力系统提前完成：需要提前完成热交换机房、中心供应、空调机房、配电室、污水泵房、消防泵房的机电管线施工，确保机电系统的调试时间节点，确保调试时间完成。</w:t>
      </w:r>
    </w:p>
    <w:p w14:paraId="11785AED">
      <w:pPr>
        <w:pStyle w:val="89"/>
        <w:spacing w:before="10" w:after="10" w:line="360" w:lineRule="auto"/>
        <w:ind w:firstLine="560"/>
        <w:rPr>
          <w:rFonts w:hint="eastAsia"/>
          <w:color w:val="auto"/>
          <w:sz w:val="24"/>
          <w:szCs w:val="24"/>
        </w:rPr>
      </w:pPr>
      <w:r>
        <w:rPr>
          <w:rFonts w:hint="eastAsia"/>
          <w:color w:val="auto"/>
          <w:sz w:val="24"/>
          <w:szCs w:val="24"/>
        </w:rPr>
        <w:t>7、系统调试：抽调专业技术人员成立联合调试小组，统一组织整个工程的单机调试和联合调试</w:t>
      </w:r>
    </w:p>
    <w:p w14:paraId="41391377">
      <w:pPr>
        <w:pStyle w:val="5"/>
        <w:ind w:firstLine="480"/>
        <w:rPr>
          <w:rFonts w:ascii="宋体" w:hAnsi="宋体" w:eastAsia="宋体"/>
          <w:color w:val="auto"/>
          <w:szCs w:val="28"/>
          <w:highlight w:val="none"/>
        </w:rPr>
      </w:pPr>
      <w:bookmarkStart w:id="370" w:name="_Toc19825"/>
      <w:r>
        <w:rPr>
          <w:rFonts w:hint="eastAsia" w:ascii="宋体" w:hAnsi="宋体"/>
          <w:color w:val="auto"/>
          <w:szCs w:val="28"/>
          <w:highlight w:val="none"/>
          <w:lang w:val="en-US" w:eastAsia="zh-CN"/>
        </w:rPr>
        <w:t>招采阶段工期保证措施</w:t>
      </w:r>
      <w:bookmarkEnd w:id="370"/>
    </w:p>
    <w:p w14:paraId="3578E127">
      <w:pPr>
        <w:pStyle w:val="89"/>
        <w:spacing w:before="10" w:after="10" w:line="360" w:lineRule="auto"/>
        <w:ind w:firstLine="560"/>
        <w:rPr>
          <w:rFonts w:hint="eastAsia"/>
          <w:color w:val="auto"/>
          <w:sz w:val="24"/>
          <w:szCs w:val="24"/>
        </w:rPr>
      </w:pPr>
      <w:r>
        <w:rPr>
          <w:rFonts w:hint="eastAsia"/>
          <w:color w:val="auto"/>
          <w:sz w:val="24"/>
          <w:szCs w:val="24"/>
        </w:rPr>
        <w:t>本工程招标采购分为两大类，一类是分包商的招标采购，另一方面为材料、设备的采购，其中材料、设备采购分为两种方式：一类是由我司自行施工及采购部分，另一类为外部分包商自行采购部分。我司将遵循招标采购程序要求，从定板定样、制度、组织、计划、技术、资金各方面保证分包商、材料、设备的顺利采购。</w:t>
      </w:r>
    </w:p>
    <w:p w14:paraId="0D52AD48">
      <w:pPr>
        <w:pStyle w:val="97"/>
        <w:spacing w:before="24" w:beforeLines="10" w:after="24" w:afterLines="10" w:line="432" w:lineRule="auto"/>
        <w:ind w:firstLine="0" w:firstLineChars="0"/>
        <w:jc w:val="center"/>
        <w:rPr>
          <w:b/>
          <w:bCs/>
          <w:color w:val="auto"/>
          <w:sz w:val="24"/>
          <w:szCs w:val="24"/>
          <w:highlight w:val="none"/>
        </w:rPr>
      </w:pPr>
      <w:r>
        <w:rPr>
          <w:rFonts w:hint="eastAsia"/>
          <w:b/>
          <w:bCs/>
          <w:color w:val="auto"/>
          <w:sz w:val="24"/>
          <w:szCs w:val="24"/>
          <w:highlight w:val="none"/>
        </w:rPr>
        <w:t>插表 招采阶段工期保证措施</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1245"/>
        <w:gridCol w:w="7018"/>
      </w:tblGrid>
      <w:tr w14:paraId="2578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1BB01E57">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序号</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6755480D">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5D5776D9">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具体内容</w:t>
            </w:r>
          </w:p>
        </w:tc>
      </w:tr>
      <w:tr w14:paraId="63460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2F06F09B">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1</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0AFDC80C">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定板定样保障措施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068DF1DA">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严格按照招标文件中《本工程材料设备品牌、质量要求表》及《工程实体样板单元管理制度》实施，一是按照品牌、质量要求和设计样板，提前进行送样、定样，并严格按照封样材料、设备进行招采；对于不便送样的，如大型设备，应在满足功能、工期及相关规定的同时，保证符合业主要求。二是根据业主《项目实体样板单元实施方案》要求，组织完成现场实体样板的施工、验收、维护；对于重要分项工程如幕墙、精装修工程等为明确做法或材料确认需提前完成样板，在业主封样确认后组织招采。</w:t>
            </w:r>
          </w:p>
        </w:tc>
      </w:tr>
      <w:tr w14:paraId="50B37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1061ED6A">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2</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2BF6C10B">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制度保障措施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08FC3163">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为了确保招采进度工作的顺利开展，我司将严格执行总部及区域采购中心招采制度，由合约总监牵头梳理分包商、材料、设备采购所需的人员、资金保障，采购部负责分包商、材料、设备采购清单、计划的收集及汇总，并建立材料、设备采购各类台账，确保招采顺利进行。</w:t>
            </w:r>
          </w:p>
        </w:tc>
      </w:tr>
      <w:tr w14:paraId="51B34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4706FF9B">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3</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7F97F51B">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组织保障措施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72CE8A11">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根据本工程专业种类多的特点，材料及设备采购组织管理难度大。分包商、材料、设备采购由合约总监牵头，商务合约部及采购部负责牵头，工程管理部、技术管理部及勘察设计部等部门密切配合，相互协调，共同完成招采工作。在材料、设备采购计划编制时，明确自行与分包采购材料设备清单，自行采购部分由采购部负责审核，经项目负责人审批完成录入集采平台，由我司区域集采中心集中采购，总承包项目采购部定期观注材料采购进度，确保现场施工需求。分包自行采购部分应在招标文件中明确主要材料及设备的技术参数，限制品牌及进场时间等。</w:t>
            </w:r>
          </w:p>
        </w:tc>
      </w:tr>
      <w:tr w14:paraId="68893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77D540C2">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4</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042D2A07">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计划管理措施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53C248C0">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分包商、材料、设备采购实行严格的计划管理措施。分包商的采购，依据项目总控计划，确定分包商招采起始及定标时间。在施工图设计阶段，编制好物资采供总计划，确定好各类型材料的参数、数量、品牌要求、进场时间等，提前完成物资招标采供工作；在施工阶段，结合施工进度计划编制进场材料计划，分批次有序进场。在编制计划时，要充分了解每种材料设备的生产供货周期，特别是大型设备，考虑运输、调试等时间，与厂家签订供应周期协议，确保材料及设备能够按计划进场。</w:t>
            </w:r>
          </w:p>
        </w:tc>
      </w:tr>
      <w:tr w14:paraId="7D008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64518C5C">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5</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799EA002">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技术保障措施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5631E005">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在图纸设计阶段，设计部会同技术管理部及工程管理部共同探讨方案，根据技术规格书、交房标准及其他技术文件要求，以及相应大型设备厂家和专业厂商等的优化方案，确定最为合理的方案。一方面大型设备可以提前进行招采，确保施工阶段设备的正常供应；另一方面，结构施工过程中根据设备参数要求，精准完成相关预留预埋、设备基础的施工。施工图设计阶段，完成图纸深化工作，确保施工图一次成型，避免过程中出现返工或者变更。这一阶段，常规大宗材料基本确定，从技术层面保证招标采购计划编制的准确性和完善性。</w:t>
            </w:r>
          </w:p>
        </w:tc>
      </w:tr>
      <w:tr w14:paraId="38E1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40" w:type="pct"/>
            <w:tcBorders>
              <w:top w:val="single" w:color="auto" w:sz="4" w:space="0"/>
              <w:left w:val="single" w:color="auto" w:sz="4" w:space="0"/>
              <w:bottom w:val="single" w:color="auto" w:sz="4" w:space="0"/>
              <w:right w:val="single" w:color="auto" w:sz="4" w:space="0"/>
            </w:tcBorders>
            <w:noWrap w:val="0"/>
            <w:vAlign w:val="center"/>
          </w:tcPr>
          <w:p w14:paraId="28066FB4">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6</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6DF4107A">
            <w:pPr>
              <w:pStyle w:val="51"/>
              <w:spacing w:before="10" w:after="10" w:line="240" w:lineRule="auto"/>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资金保障措施</w:t>
            </w:r>
          </w:p>
        </w:tc>
        <w:tc>
          <w:tcPr>
            <w:tcW w:w="3873" w:type="pct"/>
            <w:tcBorders>
              <w:top w:val="single" w:color="auto" w:sz="4" w:space="0"/>
              <w:left w:val="single" w:color="auto" w:sz="4" w:space="0"/>
              <w:bottom w:val="single" w:color="auto" w:sz="4" w:space="0"/>
              <w:right w:val="single" w:color="auto" w:sz="4" w:space="0"/>
            </w:tcBorders>
            <w:noWrap w:val="0"/>
            <w:vAlign w:val="center"/>
          </w:tcPr>
          <w:p w14:paraId="7A56CAB5">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由于材料、设备储备资金在流动资金占相当大的比重，管好材料、设备储备资金是管好用活流动资金的重点。项目采购进度是否按计划实施，资金保障是前提。</w:t>
            </w:r>
          </w:p>
          <w:p w14:paraId="6507F543">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项目部建立材料、设备支付台账，及时调配资金计划，确保各项材料及设备款及时支付，保证供应源头的不间断。</w:t>
            </w:r>
          </w:p>
          <w:p w14:paraId="4BAC64C9">
            <w:pPr>
              <w:pStyle w:val="51"/>
              <w:spacing w:before="10" w:after="10" w:line="240" w:lineRule="auto"/>
              <w:jc w:val="left"/>
              <w:rPr>
                <w:rStyle w:val="93"/>
                <w:rFonts w:hint="eastAsia" w:ascii="宋体" w:hAnsi="宋体" w:cs="Times New Roman"/>
                <w:color w:val="auto"/>
                <w:sz w:val="21"/>
                <w:szCs w:val="21"/>
                <w:highlight w:val="none"/>
              </w:rPr>
            </w:pPr>
            <w:r>
              <w:rPr>
                <w:rStyle w:val="93"/>
                <w:rFonts w:hint="eastAsia" w:ascii="宋体" w:hAnsi="宋体" w:cs="Times New Roman"/>
                <w:color w:val="auto"/>
                <w:sz w:val="21"/>
                <w:szCs w:val="21"/>
                <w:highlight w:val="none"/>
              </w:rPr>
              <w:t>项目在材料、设备采购时，要全面、正确制定采购计划，搞好供需平衡，合理安排采购资金。对生产所需的各种材料、设备，应区分轻、重、缓、急，统筹安排，保证生产关键材料、关键线路上的材料、设备；对超储积压材料，应严禁采购；在材料、设备到货时按合同严格进行验收，对库存材料要认真审核，及时掌握进货情况，把好资金结算关，确保资金的流动性。</w:t>
            </w:r>
          </w:p>
        </w:tc>
      </w:tr>
    </w:tbl>
    <w:p w14:paraId="634E5B43">
      <w:pPr>
        <w:pStyle w:val="5"/>
        <w:ind w:firstLine="480"/>
        <w:rPr>
          <w:rFonts w:hint="default" w:eastAsia="宋体"/>
          <w:color w:val="auto"/>
          <w:lang w:val="en-US" w:eastAsia="zh-CN"/>
        </w:rPr>
      </w:pPr>
      <w:bookmarkStart w:id="371" w:name="_Toc13788"/>
      <w:r>
        <w:rPr>
          <w:rFonts w:hint="eastAsia"/>
          <w:color w:val="auto"/>
          <w:lang w:val="en-US" w:eastAsia="zh-CN"/>
        </w:rPr>
        <w:t>各阶段进度计划保证措施</w:t>
      </w:r>
      <w:bookmarkEnd w:id="371"/>
    </w:p>
    <w:p w14:paraId="1F6293AD">
      <w:pPr>
        <w:pStyle w:val="89"/>
        <w:spacing w:before="10" w:after="10" w:line="360" w:lineRule="auto"/>
        <w:ind w:firstLine="560"/>
        <w:rPr>
          <w:rFonts w:hint="eastAsia"/>
          <w:color w:val="auto"/>
          <w:sz w:val="24"/>
          <w:szCs w:val="24"/>
        </w:rPr>
      </w:pPr>
      <w:r>
        <w:rPr>
          <w:rFonts w:hint="eastAsia"/>
          <w:color w:val="auto"/>
          <w:sz w:val="24"/>
          <w:szCs w:val="24"/>
        </w:rPr>
        <w:t>1、土方开挖阶段工期保证措施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8033"/>
      </w:tblGrid>
      <w:tr w14:paraId="414CF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16" w:type="pct"/>
            <w:noWrap w:val="0"/>
            <w:tcMar>
              <w:top w:w="28" w:type="dxa"/>
              <w:left w:w="57" w:type="dxa"/>
              <w:bottom w:w="28" w:type="dxa"/>
              <w:right w:w="57" w:type="dxa"/>
            </w:tcMar>
            <w:vAlign w:val="center"/>
          </w:tcPr>
          <w:p w14:paraId="1F7790A0">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序号</w:t>
            </w:r>
          </w:p>
        </w:tc>
        <w:tc>
          <w:tcPr>
            <w:tcW w:w="4484" w:type="pct"/>
            <w:noWrap w:val="0"/>
            <w:tcMar>
              <w:top w:w="28" w:type="dxa"/>
              <w:left w:w="57" w:type="dxa"/>
              <w:bottom w:w="28" w:type="dxa"/>
              <w:right w:w="57" w:type="dxa"/>
            </w:tcMar>
            <w:vAlign w:val="center"/>
          </w:tcPr>
          <w:p w14:paraId="70125B5E">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保证措施</w:t>
            </w:r>
          </w:p>
        </w:tc>
      </w:tr>
      <w:tr w14:paraId="3DD7E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08B94A9E">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1</w:t>
            </w:r>
          </w:p>
        </w:tc>
        <w:tc>
          <w:tcPr>
            <w:tcW w:w="4484" w:type="pct"/>
            <w:noWrap w:val="0"/>
            <w:tcMar>
              <w:top w:w="28" w:type="dxa"/>
              <w:left w:w="57" w:type="dxa"/>
              <w:bottom w:w="28" w:type="dxa"/>
              <w:right w:w="57" w:type="dxa"/>
            </w:tcMar>
            <w:vAlign w:val="center"/>
          </w:tcPr>
          <w:p w14:paraId="1A9CA77B">
            <w:pPr>
              <w:spacing w:before="10" w:after="10" w:line="240" w:lineRule="auto"/>
              <w:ind w:firstLine="0" w:firstLineChars="0"/>
              <w:rPr>
                <w:rStyle w:val="93"/>
                <w:color w:val="auto"/>
                <w:sz w:val="21"/>
                <w:szCs w:val="21"/>
              </w:rPr>
            </w:pPr>
            <w:r>
              <w:rPr>
                <w:rStyle w:val="93"/>
                <w:rFonts w:hint="eastAsia"/>
                <w:color w:val="auto"/>
                <w:sz w:val="21"/>
                <w:szCs w:val="21"/>
              </w:rPr>
              <w:t>根据本工程实际情况，我司将在保证施工质量及安全的前提下，通过增大挖掘机、运土车等施工机械、增大劳动力等其它资源投入加快土方开挖施工进度，确保土方开挖尽早完成，为后续工序创造工作面，保证基础工程施工的插入。</w:t>
            </w:r>
          </w:p>
        </w:tc>
      </w:tr>
      <w:tr w14:paraId="7675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78DC216C">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2</w:t>
            </w:r>
          </w:p>
        </w:tc>
        <w:tc>
          <w:tcPr>
            <w:tcW w:w="4484" w:type="pct"/>
            <w:noWrap w:val="0"/>
            <w:tcMar>
              <w:top w:w="28" w:type="dxa"/>
              <w:left w:w="57" w:type="dxa"/>
              <w:bottom w:w="28" w:type="dxa"/>
              <w:right w:w="57" w:type="dxa"/>
            </w:tcMar>
            <w:vAlign w:val="center"/>
          </w:tcPr>
          <w:p w14:paraId="2B0823EE">
            <w:pPr>
              <w:spacing w:before="10" w:after="10" w:line="240" w:lineRule="auto"/>
              <w:ind w:firstLine="0" w:firstLineChars="0"/>
              <w:rPr>
                <w:rStyle w:val="93"/>
                <w:color w:val="auto"/>
                <w:sz w:val="21"/>
                <w:szCs w:val="21"/>
              </w:rPr>
            </w:pPr>
            <w:r>
              <w:rPr>
                <w:rStyle w:val="93"/>
                <w:rFonts w:hint="eastAsia"/>
                <w:color w:val="auto"/>
                <w:sz w:val="21"/>
                <w:szCs w:val="21"/>
              </w:rPr>
              <w:t>合理划分施工段，对总平面布置进行合理规划，科学设置开挖流向及出土路线，现场出土临时施工道路采用环形混凝土道路，保证重型车辆通行顺利。</w:t>
            </w:r>
          </w:p>
        </w:tc>
      </w:tr>
      <w:tr w14:paraId="2DC8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6D67445C">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3</w:t>
            </w:r>
          </w:p>
        </w:tc>
        <w:tc>
          <w:tcPr>
            <w:tcW w:w="4484" w:type="pct"/>
            <w:noWrap w:val="0"/>
            <w:tcMar>
              <w:top w:w="28" w:type="dxa"/>
              <w:left w:w="57" w:type="dxa"/>
              <w:bottom w:w="28" w:type="dxa"/>
              <w:right w:w="57" w:type="dxa"/>
            </w:tcMar>
            <w:vAlign w:val="center"/>
          </w:tcPr>
          <w:p w14:paraId="6279F810">
            <w:pPr>
              <w:spacing w:before="10" w:after="10" w:line="240" w:lineRule="auto"/>
              <w:ind w:firstLine="0" w:firstLineChars="0"/>
              <w:rPr>
                <w:rStyle w:val="93"/>
                <w:color w:val="auto"/>
                <w:sz w:val="21"/>
                <w:szCs w:val="21"/>
                <w:highlight w:val="none"/>
              </w:rPr>
            </w:pPr>
            <w:r>
              <w:rPr>
                <w:rStyle w:val="93"/>
                <w:rFonts w:hint="eastAsia"/>
                <w:color w:val="auto"/>
                <w:sz w:val="21"/>
                <w:szCs w:val="21"/>
                <w:highlight w:val="none"/>
              </w:rPr>
              <w:t>土方开挖前进行充分降水，地下水位满足设计要求后及时开始土方开挖。开挖过程中合理插入支护施工，支护满足相关要求后及时开挖下一层土方。开挖时持续降水，并通过截水沟、排水沟等明排水措施减小雨水对开挖造成的不良影响。</w:t>
            </w:r>
          </w:p>
        </w:tc>
      </w:tr>
    </w:tbl>
    <w:p w14:paraId="7F26DB04">
      <w:pPr>
        <w:pStyle w:val="89"/>
        <w:spacing w:before="10" w:after="10" w:line="360" w:lineRule="auto"/>
        <w:ind w:firstLine="560"/>
        <w:rPr>
          <w:rFonts w:hint="eastAsia"/>
          <w:color w:val="auto"/>
          <w:sz w:val="24"/>
          <w:szCs w:val="24"/>
        </w:rPr>
      </w:pPr>
      <w:r>
        <w:rPr>
          <w:rFonts w:hint="eastAsia"/>
          <w:color w:val="auto"/>
          <w:sz w:val="24"/>
          <w:szCs w:val="24"/>
        </w:rPr>
        <w:t>2、基础底板施工阶段工期保证措施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1879"/>
        <w:gridCol w:w="6154"/>
      </w:tblGrid>
      <w:tr w14:paraId="579E0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4FF3707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1049" w:type="pct"/>
            <w:noWrap w:val="0"/>
            <w:tcMar>
              <w:top w:w="28" w:type="dxa"/>
              <w:left w:w="57" w:type="dxa"/>
              <w:bottom w:w="28" w:type="dxa"/>
              <w:right w:w="57" w:type="dxa"/>
            </w:tcMar>
            <w:vAlign w:val="center"/>
          </w:tcPr>
          <w:p w14:paraId="7ECA7F55">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内容</w:t>
            </w:r>
          </w:p>
        </w:tc>
        <w:tc>
          <w:tcPr>
            <w:tcW w:w="3434" w:type="pct"/>
            <w:noWrap w:val="0"/>
            <w:tcMar>
              <w:top w:w="28" w:type="dxa"/>
              <w:left w:w="57" w:type="dxa"/>
              <w:bottom w:w="28" w:type="dxa"/>
              <w:right w:w="57" w:type="dxa"/>
            </w:tcMar>
            <w:vAlign w:val="center"/>
          </w:tcPr>
          <w:p w14:paraId="77C6458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69DC7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1C24F3F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1049" w:type="pct"/>
            <w:noWrap w:val="0"/>
            <w:tcMar>
              <w:top w:w="28" w:type="dxa"/>
              <w:left w:w="57" w:type="dxa"/>
              <w:bottom w:w="28" w:type="dxa"/>
              <w:right w:w="57" w:type="dxa"/>
            </w:tcMar>
            <w:vAlign w:val="center"/>
          </w:tcPr>
          <w:p w14:paraId="4DFA9A80">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人工、材料、机械的组织</w:t>
            </w:r>
          </w:p>
        </w:tc>
        <w:tc>
          <w:tcPr>
            <w:tcW w:w="3434" w:type="pct"/>
            <w:noWrap w:val="0"/>
            <w:tcMar>
              <w:top w:w="28" w:type="dxa"/>
              <w:left w:w="57" w:type="dxa"/>
              <w:bottom w:w="28" w:type="dxa"/>
              <w:right w:w="57" w:type="dxa"/>
            </w:tcMar>
            <w:vAlign w:val="center"/>
          </w:tcPr>
          <w:p w14:paraId="33E4729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主要工作内容包括垫层浇筑及底板防水施工、底板钢筋绑扎、混凝土浇筑。混凝土结构底板施工计划工期内，底板大体量钢筋绑扎及大体积混凝土浇筑养护将是影响底板施工工期的主要因素，通过合理组织施工确保其顺利完成。</w:t>
            </w:r>
          </w:p>
          <w:p w14:paraId="41FC143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2、由于主楼在基础底板施工阶段工期较为紧张，且大部分工作内容，同时进行，我司将合理组织队伍进行施工，保证模板支设、钢筋绑扎、混凝土浇筑等关键工序如期顺利进行。</w:t>
            </w:r>
          </w:p>
          <w:p w14:paraId="4AC8C539">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3、编制好详细的材料构件进场计划，对于订货时间长的材料设备要预先安排好，加强原材料及半成品的计划供应保证，专人督促落实。</w:t>
            </w:r>
          </w:p>
          <w:p w14:paraId="49B506E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加大工程机械设备的投入，通过塔吊、混凝土输送泵等机械设备的投入，可以大大提高工作效率，缩短必要劳动时间，达到加快施工进度、缩短工期的目的，同时加强对大型机械设备的维修保养和机械设备操作，维修人员素质、业务培训，对于机械易损部件要备好备用件，确保机械设备完好率。</w:t>
            </w:r>
          </w:p>
          <w:p w14:paraId="39025454">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5、在工程附近较小的范围内，选择几家有实力的混凝土搅拌站，在大体积混凝土施工前与其取得联系，保证混凝土搅拌站有充足的人力和物力以供应工程的正常施工。</w:t>
            </w:r>
          </w:p>
        </w:tc>
      </w:tr>
      <w:tr w14:paraId="00D51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5F6614E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2</w:t>
            </w:r>
          </w:p>
        </w:tc>
        <w:tc>
          <w:tcPr>
            <w:tcW w:w="1049" w:type="pct"/>
            <w:noWrap w:val="0"/>
            <w:tcMar>
              <w:top w:w="28" w:type="dxa"/>
              <w:left w:w="57" w:type="dxa"/>
              <w:bottom w:w="28" w:type="dxa"/>
              <w:right w:w="57" w:type="dxa"/>
            </w:tcMar>
            <w:vAlign w:val="center"/>
          </w:tcPr>
          <w:p w14:paraId="64846510">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施工顺序的合理安排</w:t>
            </w:r>
          </w:p>
        </w:tc>
        <w:tc>
          <w:tcPr>
            <w:tcW w:w="3434" w:type="pct"/>
            <w:noWrap w:val="0"/>
            <w:tcMar>
              <w:top w:w="28" w:type="dxa"/>
              <w:left w:w="57" w:type="dxa"/>
              <w:bottom w:w="28" w:type="dxa"/>
              <w:right w:w="57" w:type="dxa"/>
            </w:tcMar>
            <w:vAlign w:val="center"/>
          </w:tcPr>
          <w:p w14:paraId="4B923AF9">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基础底板浇筑顺序结合土方开挖顺序优先考虑为主楼→纯，因主楼的浇筑时间非常紧张，所以我司在中标进场后将有意识的缩短主楼基础底板模板支设和钢筋绑扎的工期，以尽量错开主楼和纯地库基础底板混凝土浇筑的时间，保证后续工程的顺利进行。</w:t>
            </w:r>
          </w:p>
        </w:tc>
      </w:tr>
      <w:tr w14:paraId="41CEC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4DAE74C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3</w:t>
            </w:r>
          </w:p>
        </w:tc>
        <w:tc>
          <w:tcPr>
            <w:tcW w:w="1049" w:type="pct"/>
            <w:noWrap w:val="0"/>
            <w:tcMar>
              <w:top w:w="28" w:type="dxa"/>
              <w:left w:w="57" w:type="dxa"/>
              <w:bottom w:w="28" w:type="dxa"/>
              <w:right w:w="57" w:type="dxa"/>
            </w:tcMar>
            <w:vAlign w:val="center"/>
          </w:tcPr>
          <w:p w14:paraId="3626BF8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周转材料的合理调配</w:t>
            </w:r>
          </w:p>
        </w:tc>
        <w:tc>
          <w:tcPr>
            <w:tcW w:w="3434" w:type="pct"/>
            <w:noWrap w:val="0"/>
            <w:tcMar>
              <w:top w:w="28" w:type="dxa"/>
              <w:left w:w="57" w:type="dxa"/>
              <w:bottom w:w="28" w:type="dxa"/>
              <w:right w:w="57" w:type="dxa"/>
            </w:tcMar>
            <w:vAlign w:val="center"/>
          </w:tcPr>
          <w:p w14:paraId="57C6AF71">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我司在中标后即组织相关人员编制详细的专项施工方案，同时对现场情况进行进一步的了解与核实，然后通过科学的计算方法和合理的组织安排为各个区段配置模板、钢管等周转架料。以期用最合理的经济材料保证最高效的施工工作。</w:t>
            </w:r>
          </w:p>
        </w:tc>
      </w:tr>
      <w:tr w14:paraId="5A34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6" w:type="pct"/>
            <w:noWrap w:val="0"/>
            <w:tcMar>
              <w:top w:w="28" w:type="dxa"/>
              <w:left w:w="57" w:type="dxa"/>
              <w:bottom w:w="28" w:type="dxa"/>
              <w:right w:w="57" w:type="dxa"/>
            </w:tcMar>
            <w:vAlign w:val="center"/>
          </w:tcPr>
          <w:p w14:paraId="3700014A">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4</w:t>
            </w:r>
          </w:p>
        </w:tc>
        <w:tc>
          <w:tcPr>
            <w:tcW w:w="1049" w:type="pct"/>
            <w:noWrap w:val="0"/>
            <w:tcMar>
              <w:top w:w="28" w:type="dxa"/>
              <w:left w:w="57" w:type="dxa"/>
              <w:bottom w:w="28" w:type="dxa"/>
              <w:right w:w="57" w:type="dxa"/>
            </w:tcMar>
            <w:vAlign w:val="center"/>
          </w:tcPr>
          <w:p w14:paraId="1A728B34">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科学的施工方法</w:t>
            </w:r>
          </w:p>
        </w:tc>
        <w:tc>
          <w:tcPr>
            <w:tcW w:w="3434" w:type="pct"/>
            <w:noWrap w:val="0"/>
            <w:tcMar>
              <w:top w:w="28" w:type="dxa"/>
              <w:left w:w="57" w:type="dxa"/>
              <w:bottom w:w="28" w:type="dxa"/>
              <w:right w:w="57" w:type="dxa"/>
            </w:tcMar>
            <w:vAlign w:val="center"/>
          </w:tcPr>
          <w:p w14:paraId="72AFB8E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在大体积混凝土施工时，将采用混凝土汽车泵送、电子测温等一些在行业较为先进的施工方法来保证各区段基础底板施工的顺利进行。</w:t>
            </w:r>
          </w:p>
        </w:tc>
      </w:tr>
    </w:tbl>
    <w:p w14:paraId="643B1B5A">
      <w:pPr>
        <w:pStyle w:val="89"/>
        <w:spacing w:before="10" w:after="10" w:line="360" w:lineRule="auto"/>
        <w:ind w:firstLine="560"/>
        <w:rPr>
          <w:rFonts w:hint="eastAsia"/>
          <w:color w:val="auto"/>
          <w:sz w:val="24"/>
          <w:szCs w:val="24"/>
        </w:rPr>
      </w:pPr>
      <w:r>
        <w:rPr>
          <w:rFonts w:hint="eastAsia"/>
          <w:color w:val="auto"/>
          <w:sz w:val="24"/>
          <w:szCs w:val="24"/>
        </w:rPr>
        <w:t>3、结构施工阶段工期保证措施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8001"/>
      </w:tblGrid>
      <w:tr w14:paraId="5394C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4" w:type="pct"/>
            <w:noWrap w:val="0"/>
            <w:tcMar>
              <w:top w:w="28" w:type="dxa"/>
              <w:left w:w="57" w:type="dxa"/>
              <w:bottom w:w="28" w:type="dxa"/>
              <w:right w:w="57" w:type="dxa"/>
            </w:tcMar>
            <w:vAlign w:val="center"/>
          </w:tcPr>
          <w:p w14:paraId="742012F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4466" w:type="pct"/>
            <w:noWrap w:val="0"/>
            <w:tcMar>
              <w:top w:w="28" w:type="dxa"/>
              <w:left w:w="57" w:type="dxa"/>
              <w:bottom w:w="28" w:type="dxa"/>
              <w:right w:w="57" w:type="dxa"/>
            </w:tcMar>
            <w:vAlign w:val="center"/>
          </w:tcPr>
          <w:p w14:paraId="51F14DA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373C3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34" w:type="pct"/>
            <w:noWrap w:val="0"/>
            <w:tcMar>
              <w:top w:w="28" w:type="dxa"/>
              <w:left w:w="57" w:type="dxa"/>
              <w:bottom w:w="28" w:type="dxa"/>
              <w:right w:w="57" w:type="dxa"/>
            </w:tcMar>
            <w:vAlign w:val="center"/>
          </w:tcPr>
          <w:p w14:paraId="2C88937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4466" w:type="pct"/>
            <w:noWrap w:val="0"/>
            <w:tcMar>
              <w:top w:w="28" w:type="dxa"/>
              <w:left w:w="57" w:type="dxa"/>
              <w:bottom w:w="28" w:type="dxa"/>
              <w:right w:w="57" w:type="dxa"/>
            </w:tcMar>
            <w:vAlign w:val="center"/>
          </w:tcPr>
          <w:p w14:paraId="0D6477E9">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由于结构施工阶段与基础底板的施工衔接较为紧密，所以基础底板施工阶段的顺利与否直接关系到本阶段施工的情况，因此在前阶段施工工序时即要合理调配劳动力、材料、施工机械，并采用科学的施工方法进行施工。</w:t>
            </w:r>
          </w:p>
        </w:tc>
      </w:tr>
    </w:tbl>
    <w:p w14:paraId="0F13BECF">
      <w:pPr>
        <w:pStyle w:val="89"/>
        <w:spacing w:before="10" w:after="10" w:line="360" w:lineRule="auto"/>
        <w:ind w:firstLine="560"/>
        <w:rPr>
          <w:rFonts w:hint="eastAsia"/>
          <w:color w:val="auto"/>
          <w:sz w:val="24"/>
          <w:szCs w:val="24"/>
        </w:rPr>
      </w:pPr>
      <w:r>
        <w:rPr>
          <w:rFonts w:hint="eastAsia"/>
          <w:color w:val="auto"/>
          <w:sz w:val="24"/>
          <w:szCs w:val="24"/>
        </w:rPr>
        <w:t>4、主体及二次结构施工阶段工期保证措施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0"/>
        <w:gridCol w:w="8018"/>
      </w:tblGrid>
      <w:tr w14:paraId="2C7FC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 w:type="pct"/>
            <w:noWrap w:val="0"/>
            <w:tcMar>
              <w:top w:w="28" w:type="dxa"/>
              <w:left w:w="57" w:type="dxa"/>
              <w:bottom w:w="28" w:type="dxa"/>
              <w:right w:w="57" w:type="dxa"/>
            </w:tcMar>
            <w:vAlign w:val="center"/>
          </w:tcPr>
          <w:p w14:paraId="3F34BD0F">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4475" w:type="pct"/>
            <w:noWrap w:val="0"/>
            <w:tcMar>
              <w:top w:w="28" w:type="dxa"/>
              <w:left w:w="57" w:type="dxa"/>
              <w:bottom w:w="28" w:type="dxa"/>
              <w:right w:w="57" w:type="dxa"/>
            </w:tcMar>
            <w:vAlign w:val="center"/>
          </w:tcPr>
          <w:p w14:paraId="708A8BA4">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48AA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 w:type="pct"/>
            <w:noWrap w:val="0"/>
            <w:tcMar>
              <w:top w:w="28" w:type="dxa"/>
              <w:left w:w="57" w:type="dxa"/>
              <w:bottom w:w="28" w:type="dxa"/>
              <w:right w:w="57" w:type="dxa"/>
            </w:tcMar>
            <w:vAlign w:val="center"/>
          </w:tcPr>
          <w:p w14:paraId="79E8EBB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4475" w:type="pct"/>
            <w:noWrap w:val="0"/>
            <w:tcMar>
              <w:top w:w="28" w:type="dxa"/>
              <w:left w:w="57" w:type="dxa"/>
              <w:bottom w:w="28" w:type="dxa"/>
              <w:right w:w="57" w:type="dxa"/>
            </w:tcMar>
            <w:vAlign w:val="center"/>
          </w:tcPr>
          <w:p w14:paraId="1DE38E1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主体结构施工阶段影响工期的因素主要是劳动力、机械等资源投入，我司在投标阶段即与多家优质劳务队伍达成合作意向，选用施工经验丰富的高等级技术工人，保证劳动力数量充足素质优质；提前制定材料及机械需用计划表以及进场表，保证施工不受影响。塔吊等大型机械合理布置，确保满足施工需要。</w:t>
            </w:r>
          </w:p>
        </w:tc>
      </w:tr>
      <w:tr w14:paraId="354EE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 w:type="pct"/>
            <w:noWrap w:val="0"/>
            <w:tcMar>
              <w:top w:w="28" w:type="dxa"/>
              <w:left w:w="57" w:type="dxa"/>
              <w:bottom w:w="28" w:type="dxa"/>
              <w:right w:w="57" w:type="dxa"/>
            </w:tcMar>
            <w:vAlign w:val="center"/>
          </w:tcPr>
          <w:p w14:paraId="5951F237">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2</w:t>
            </w:r>
          </w:p>
        </w:tc>
        <w:tc>
          <w:tcPr>
            <w:tcW w:w="4475" w:type="pct"/>
            <w:noWrap w:val="0"/>
            <w:tcMar>
              <w:top w:w="28" w:type="dxa"/>
              <w:left w:w="57" w:type="dxa"/>
              <w:bottom w:w="28" w:type="dxa"/>
              <w:right w:w="57" w:type="dxa"/>
            </w:tcMar>
            <w:vAlign w:val="center"/>
          </w:tcPr>
          <w:p w14:paraId="467CB42D">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同时合理划分施工段与流水，科学组织二次结构穿插施工。通过制定切实可行的专项方案，做好二次结构施工材料、劳动力、设备等资源保障，确保二次结构施工进度，及早为后续装修装饰及机电安装工程创造作业面，减少后期装饰工程和安装工程工期压力。</w:t>
            </w:r>
          </w:p>
        </w:tc>
      </w:tr>
    </w:tbl>
    <w:p w14:paraId="589893E6">
      <w:pPr>
        <w:pStyle w:val="89"/>
        <w:spacing w:before="10" w:after="10" w:line="360" w:lineRule="auto"/>
        <w:ind w:firstLine="560"/>
        <w:rPr>
          <w:rFonts w:hint="eastAsia"/>
          <w:color w:val="auto"/>
          <w:sz w:val="24"/>
          <w:szCs w:val="24"/>
        </w:rPr>
      </w:pPr>
      <w:r>
        <w:rPr>
          <w:rFonts w:hint="eastAsia"/>
          <w:color w:val="auto"/>
          <w:sz w:val="24"/>
          <w:szCs w:val="24"/>
        </w:rPr>
        <w:t>5、机电安装施工阶段工期保证措施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1497"/>
        <w:gridCol w:w="6539"/>
      </w:tblGrid>
      <w:tr w14:paraId="28DB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5828A24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835" w:type="pct"/>
            <w:noWrap w:val="0"/>
            <w:tcMar>
              <w:top w:w="28" w:type="dxa"/>
              <w:left w:w="57" w:type="dxa"/>
              <w:bottom w:w="28" w:type="dxa"/>
              <w:right w:w="57" w:type="dxa"/>
            </w:tcMar>
            <w:vAlign w:val="center"/>
          </w:tcPr>
          <w:p w14:paraId="161131D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内容</w:t>
            </w:r>
          </w:p>
        </w:tc>
        <w:tc>
          <w:tcPr>
            <w:tcW w:w="3650" w:type="pct"/>
            <w:noWrap w:val="0"/>
            <w:tcMar>
              <w:top w:w="28" w:type="dxa"/>
              <w:left w:w="57" w:type="dxa"/>
              <w:bottom w:w="28" w:type="dxa"/>
              <w:right w:w="57" w:type="dxa"/>
            </w:tcMar>
            <w:vAlign w:val="center"/>
          </w:tcPr>
          <w:p w14:paraId="120540B6">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6D65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135E7914">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835" w:type="pct"/>
            <w:noWrap w:val="0"/>
            <w:tcMar>
              <w:top w:w="28" w:type="dxa"/>
              <w:left w:w="57" w:type="dxa"/>
              <w:bottom w:w="28" w:type="dxa"/>
              <w:right w:w="57" w:type="dxa"/>
            </w:tcMar>
            <w:vAlign w:val="center"/>
          </w:tcPr>
          <w:p w14:paraId="2F9F3298">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人员投入</w:t>
            </w:r>
          </w:p>
        </w:tc>
        <w:tc>
          <w:tcPr>
            <w:tcW w:w="3650" w:type="pct"/>
            <w:noWrap w:val="0"/>
            <w:tcMar>
              <w:top w:w="28" w:type="dxa"/>
              <w:left w:w="57" w:type="dxa"/>
              <w:bottom w:w="28" w:type="dxa"/>
              <w:right w:w="57" w:type="dxa"/>
            </w:tcMar>
            <w:vAlign w:val="center"/>
          </w:tcPr>
          <w:p w14:paraId="3F2372EE">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1、组织公司具有大型项目项目施工的管理团队，参与工程项目的建造过程，结合公司BIM中心，为项目BIM建模及深化设计提供支持。</w:t>
            </w:r>
          </w:p>
          <w:p w14:paraId="2B979E23">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2、从公司优秀的劳务分包单位，选择有同类施工经验的劳务分包单位，选择四家劳务分包单位参与本项目施工，以保证劳动力供应需求，另外选择两家备选劳务队，作为劳动力储备。</w:t>
            </w:r>
          </w:p>
          <w:p w14:paraId="55DD581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3、劳务队伍选择上优选劳务工人区域跨度大的分包单位，减少农忙及节假日对现场工人数量的影响。</w:t>
            </w:r>
          </w:p>
          <w:p w14:paraId="34F51B55">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4、根据总体进度计划编制合理有效的机电安装工程施工进度计划，并根据施工进度计划及工作量的大小，编制合理的劳动力需求计划，并及时调配管理人员、劳务施工人员进场。</w:t>
            </w:r>
          </w:p>
          <w:p w14:paraId="0574B57A">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5、在机电预留预埋期间，详细了解土建专业进度计划以及机电穿插预埋的时间，根据预埋工作量大小，安排充足劳动力，特别是保证电气工种人数。</w:t>
            </w:r>
          </w:p>
        </w:tc>
      </w:tr>
      <w:tr w14:paraId="53C58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62309ABE">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2</w:t>
            </w:r>
          </w:p>
        </w:tc>
        <w:tc>
          <w:tcPr>
            <w:tcW w:w="835" w:type="pct"/>
            <w:noWrap w:val="0"/>
            <w:tcMar>
              <w:top w:w="28" w:type="dxa"/>
              <w:left w:w="57" w:type="dxa"/>
              <w:bottom w:w="28" w:type="dxa"/>
              <w:right w:w="57" w:type="dxa"/>
            </w:tcMar>
            <w:vAlign w:val="center"/>
          </w:tcPr>
          <w:p w14:paraId="32CD4705">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机械投入</w:t>
            </w:r>
          </w:p>
        </w:tc>
        <w:tc>
          <w:tcPr>
            <w:tcW w:w="3650" w:type="pct"/>
            <w:noWrap w:val="0"/>
            <w:tcMar>
              <w:top w:w="28" w:type="dxa"/>
              <w:left w:w="57" w:type="dxa"/>
              <w:bottom w:w="28" w:type="dxa"/>
              <w:right w:w="57" w:type="dxa"/>
            </w:tcMar>
            <w:vAlign w:val="center"/>
          </w:tcPr>
          <w:p w14:paraId="612BA90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1、施工机械尽可能选择生产年份在2年以内的机械设备，降低机械故障率。预制加工场选择全自动风管生产线，提高风管加工效率，使用自动焊接设备、等离子切割等先进设备，提高生产效率。</w:t>
            </w:r>
          </w:p>
          <w:p w14:paraId="1CD18181">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2、制定设备检修制度，定期、定人对施工机械进行检修维护。</w:t>
            </w:r>
          </w:p>
        </w:tc>
      </w:tr>
      <w:tr w14:paraId="22CAF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05F9FBC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3</w:t>
            </w:r>
          </w:p>
        </w:tc>
        <w:tc>
          <w:tcPr>
            <w:tcW w:w="835" w:type="pct"/>
            <w:noWrap w:val="0"/>
            <w:tcMar>
              <w:top w:w="28" w:type="dxa"/>
              <w:left w:w="57" w:type="dxa"/>
              <w:bottom w:w="28" w:type="dxa"/>
              <w:right w:w="57" w:type="dxa"/>
            </w:tcMar>
            <w:vAlign w:val="center"/>
          </w:tcPr>
          <w:p w14:paraId="5628450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材料的组织</w:t>
            </w:r>
          </w:p>
        </w:tc>
        <w:tc>
          <w:tcPr>
            <w:tcW w:w="3650" w:type="pct"/>
            <w:noWrap w:val="0"/>
            <w:tcMar>
              <w:top w:w="28" w:type="dxa"/>
              <w:left w:w="57" w:type="dxa"/>
              <w:bottom w:w="28" w:type="dxa"/>
              <w:right w:w="57" w:type="dxa"/>
            </w:tcMar>
            <w:vAlign w:val="center"/>
          </w:tcPr>
          <w:p w14:paraId="2780C99C">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1、对施工图纸进行深化符合，结合BIM模型对供料提供详细的用料表，将BIM 模型结合进度计划，合理组织材料招标采购及进场。</w:t>
            </w:r>
          </w:p>
          <w:p w14:paraId="3B49E9F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2、提前组织业主、设计、监理对拟定选用材料及品牌报审，得到业主认可后组织材料招标采购。</w:t>
            </w:r>
          </w:p>
          <w:p w14:paraId="4B2AF9AF">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3、对材料及设备的供货周期做详细市场调研，结合进度计划，保证材料采购订货、进场提前工序施工1个月时间。</w:t>
            </w:r>
          </w:p>
        </w:tc>
      </w:tr>
      <w:tr w14:paraId="3265D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7943D2E8">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4</w:t>
            </w:r>
          </w:p>
        </w:tc>
        <w:tc>
          <w:tcPr>
            <w:tcW w:w="835" w:type="pct"/>
            <w:noWrap w:val="0"/>
            <w:tcMar>
              <w:top w:w="28" w:type="dxa"/>
              <w:left w:w="57" w:type="dxa"/>
              <w:bottom w:w="28" w:type="dxa"/>
              <w:right w:w="57" w:type="dxa"/>
            </w:tcMar>
            <w:vAlign w:val="center"/>
          </w:tcPr>
          <w:p w14:paraId="7F7B8F4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图纸深化及方案保证</w:t>
            </w:r>
          </w:p>
        </w:tc>
        <w:tc>
          <w:tcPr>
            <w:tcW w:w="3650" w:type="pct"/>
            <w:noWrap w:val="0"/>
            <w:tcMar>
              <w:top w:w="28" w:type="dxa"/>
              <w:left w:w="57" w:type="dxa"/>
              <w:bottom w:w="28" w:type="dxa"/>
              <w:right w:w="57" w:type="dxa"/>
            </w:tcMar>
            <w:vAlign w:val="center"/>
          </w:tcPr>
          <w:p w14:paraId="6D85740E">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1、项目进场后，组织编制图纸深化计划及方案编制报审计划。</w:t>
            </w:r>
          </w:p>
          <w:p w14:paraId="17C92399">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2、结合公司深化设计中心设计经验，制定该项目深化设计及BIM建模策划方案。</w:t>
            </w:r>
          </w:p>
          <w:p w14:paraId="2974DBCA">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3、公司深化设计中心负责参与组织本项目的深化设计及BIM建模工作，保证图纸深化及BIM建模精度满足现场使用及业主要求。</w:t>
            </w:r>
          </w:p>
          <w:p w14:paraId="480081E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对机电安装阶段的各施工部位、关健点等进行深化设计，确定施工方法、管线设备布置、安装高度及整体部署，并对施工效果进行模拟，确保施工能顺利进行。对于可能出现的机电安装各专业间交叉、与建筑施工、装修施工有交叉的部位应及时提交设计进行修改，避免返工的事情发生。</w:t>
            </w:r>
          </w:p>
          <w:p w14:paraId="5948BC10">
            <w:pPr>
              <w:pStyle w:val="51"/>
              <w:spacing w:before="10" w:after="10" w:line="240" w:lineRule="auto"/>
              <w:jc w:val="left"/>
              <w:rPr>
                <w:rStyle w:val="93"/>
                <w:rFonts w:hint="eastAsia"/>
                <w:color w:val="auto"/>
                <w:sz w:val="28"/>
                <w:szCs w:val="28"/>
              </w:rPr>
            </w:pPr>
            <w:r>
              <w:rPr>
                <w:rStyle w:val="93"/>
                <w:rFonts w:hint="eastAsia" w:ascii="宋体" w:hAnsi="宋体" w:cs="Times New Roman"/>
                <w:color w:val="auto"/>
                <w:sz w:val="21"/>
                <w:szCs w:val="21"/>
              </w:rPr>
              <w:t>5、对需要组织专家论证的施工方案提前策划，组织编制，保证方案可行性和及时性。</w:t>
            </w:r>
          </w:p>
        </w:tc>
      </w:tr>
      <w:tr w14:paraId="1E470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6FB8957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5</w:t>
            </w:r>
          </w:p>
        </w:tc>
        <w:tc>
          <w:tcPr>
            <w:tcW w:w="835" w:type="pct"/>
            <w:noWrap w:val="0"/>
            <w:tcMar>
              <w:top w:w="28" w:type="dxa"/>
              <w:left w:w="57" w:type="dxa"/>
              <w:bottom w:w="28" w:type="dxa"/>
              <w:right w:w="57" w:type="dxa"/>
            </w:tcMar>
            <w:vAlign w:val="center"/>
          </w:tcPr>
          <w:p w14:paraId="772624A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现场交叉配合</w:t>
            </w:r>
          </w:p>
        </w:tc>
        <w:tc>
          <w:tcPr>
            <w:tcW w:w="3650" w:type="pct"/>
            <w:noWrap w:val="0"/>
            <w:tcMar>
              <w:top w:w="28" w:type="dxa"/>
              <w:left w:w="57" w:type="dxa"/>
              <w:bottom w:w="28" w:type="dxa"/>
              <w:right w:w="57" w:type="dxa"/>
            </w:tcMar>
            <w:vAlign w:val="center"/>
          </w:tcPr>
          <w:p w14:paraId="2614863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1、结构施工阶段，合理组织劳动力，根据结构施工情况，有序穿插预留预埋施工作业，保证非关键工序不占用结构施工时间。</w:t>
            </w:r>
          </w:p>
          <w:p w14:paraId="4A55B4E7">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2、管线安装阶段，结合建筑结构施工进度，对不同区域阶段做结构验收，保证机电专业可以尽早介入管线安装。</w:t>
            </w:r>
          </w:p>
          <w:p w14:paraId="6E2D5CEA">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3、粗装及砌体施工阶段，在前期策划施工时，首先完成与其他专业交叉配合区域管线施工，保证其他专业施工连续性。</w:t>
            </w:r>
          </w:p>
          <w:p w14:paraId="52068CAF">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4、设备机房、风管等，采用工厂化预制技术，提前进行场外加工，确保满足管线安装周期。</w:t>
            </w:r>
          </w:p>
          <w:p w14:paraId="4188215E">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5、设备调试阶段，首先完成电力供应调试，提供其他专业调试的条件，统筹安排整个机电专业调试顺序，先单机功能调试，后联动系统调试。</w:t>
            </w:r>
          </w:p>
        </w:tc>
      </w:tr>
      <w:tr w14:paraId="748EF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15" w:type="pct"/>
            <w:noWrap w:val="0"/>
            <w:tcMar>
              <w:top w:w="28" w:type="dxa"/>
              <w:left w:w="57" w:type="dxa"/>
              <w:bottom w:w="28" w:type="dxa"/>
              <w:right w:w="57" w:type="dxa"/>
            </w:tcMar>
            <w:vAlign w:val="center"/>
          </w:tcPr>
          <w:p w14:paraId="3AB5992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6</w:t>
            </w:r>
          </w:p>
        </w:tc>
        <w:tc>
          <w:tcPr>
            <w:tcW w:w="835" w:type="pct"/>
            <w:noWrap w:val="0"/>
            <w:tcMar>
              <w:top w:w="28" w:type="dxa"/>
              <w:left w:w="57" w:type="dxa"/>
              <w:bottom w:w="28" w:type="dxa"/>
              <w:right w:w="57" w:type="dxa"/>
            </w:tcMar>
            <w:vAlign w:val="center"/>
          </w:tcPr>
          <w:p w14:paraId="097B670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其它保证措施和方法</w:t>
            </w:r>
          </w:p>
        </w:tc>
        <w:tc>
          <w:tcPr>
            <w:tcW w:w="3650" w:type="pct"/>
            <w:noWrap w:val="0"/>
            <w:tcMar>
              <w:top w:w="28" w:type="dxa"/>
              <w:left w:w="57" w:type="dxa"/>
              <w:bottom w:w="28" w:type="dxa"/>
              <w:right w:w="57" w:type="dxa"/>
            </w:tcMar>
            <w:vAlign w:val="center"/>
          </w:tcPr>
          <w:p w14:paraId="3FA61C49">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招标文件中给排水工程、暖通工程、电气工程工程量清单以外的为业主专业分包工程，需专业施工单位共同参与项目深化设计，深化设计工作包括各机电系统间、机电系统与土建专业间、机电系统与精装修专业之间的相互配合与协调。保证不会因为管线或专业之间相互制约而影响施工进展。</w:t>
            </w:r>
          </w:p>
          <w:p w14:paraId="6B5ABA76">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土建专业合理安排各工序，为机电工程施工创造工作面，保证机电工程各工序的合理穿插。机电设备机房、管井、配电房等重要部位对工期及安装都有较高的要求，土建专业必须重点保证。走道、吊顶等部位的管道、设备、末端安装与装修专业互相要求、互相影响、互相制约，也必须做好机电与装修的配合协调工作。</w:t>
            </w:r>
          </w:p>
          <w:p w14:paraId="5F5E4EFE">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3、加强质量的自检，对于可能出现的质量通病施工前进行预控，施工过程中实行“三检制”，确保各工序检验一次合格。</w:t>
            </w:r>
          </w:p>
          <w:p w14:paraId="75E168C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4、安装阶段后期编制消项工作计划，确保工程范围内每项施工内容均能够按时施工完成并通过验收。</w:t>
            </w:r>
          </w:p>
        </w:tc>
      </w:tr>
    </w:tbl>
    <w:p w14:paraId="6F97A4C4">
      <w:pPr>
        <w:pStyle w:val="89"/>
        <w:spacing w:before="10" w:after="10" w:line="360" w:lineRule="auto"/>
        <w:ind w:firstLine="560"/>
        <w:rPr>
          <w:rFonts w:hint="eastAsia"/>
          <w:color w:val="auto"/>
          <w:sz w:val="24"/>
          <w:szCs w:val="24"/>
        </w:rPr>
      </w:pPr>
      <w:r>
        <w:rPr>
          <w:rFonts w:hint="eastAsia"/>
          <w:color w:val="auto"/>
          <w:sz w:val="24"/>
          <w:szCs w:val="24"/>
        </w:rPr>
        <w:t>6、装饰装修施工阶段工期保证措施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8050"/>
      </w:tblGrid>
      <w:tr w14:paraId="1EFA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7" w:type="pct"/>
            <w:noWrap w:val="0"/>
            <w:tcMar>
              <w:top w:w="28" w:type="dxa"/>
              <w:left w:w="57" w:type="dxa"/>
              <w:bottom w:w="28" w:type="dxa"/>
              <w:right w:w="57" w:type="dxa"/>
            </w:tcMar>
            <w:vAlign w:val="center"/>
          </w:tcPr>
          <w:p w14:paraId="345BD230">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4493" w:type="pct"/>
            <w:noWrap w:val="0"/>
            <w:tcMar>
              <w:top w:w="28" w:type="dxa"/>
              <w:left w:w="57" w:type="dxa"/>
              <w:bottom w:w="28" w:type="dxa"/>
              <w:right w:w="57" w:type="dxa"/>
            </w:tcMar>
            <w:vAlign w:val="center"/>
          </w:tcPr>
          <w:p w14:paraId="40E57F6F">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57AC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7" w:type="pct"/>
            <w:noWrap w:val="0"/>
            <w:tcMar>
              <w:top w:w="28" w:type="dxa"/>
              <w:left w:w="57" w:type="dxa"/>
              <w:bottom w:w="28" w:type="dxa"/>
              <w:right w:w="57" w:type="dxa"/>
            </w:tcMar>
            <w:vAlign w:val="center"/>
          </w:tcPr>
          <w:p w14:paraId="5D1BB528">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4493" w:type="pct"/>
            <w:noWrap w:val="0"/>
            <w:tcMar>
              <w:top w:w="28" w:type="dxa"/>
              <w:left w:w="57" w:type="dxa"/>
              <w:bottom w:w="28" w:type="dxa"/>
              <w:right w:w="57" w:type="dxa"/>
            </w:tcMar>
            <w:vAlign w:val="center"/>
          </w:tcPr>
          <w:p w14:paraId="51EDD07D">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各楼层作业面具备条件后，精装修即立刻插入，全面展开。</w:t>
            </w:r>
          </w:p>
        </w:tc>
      </w:tr>
      <w:tr w14:paraId="5857E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7" w:type="pct"/>
            <w:noWrap w:val="0"/>
            <w:tcMar>
              <w:top w:w="28" w:type="dxa"/>
              <w:left w:w="57" w:type="dxa"/>
              <w:bottom w:w="28" w:type="dxa"/>
              <w:right w:w="57" w:type="dxa"/>
            </w:tcMar>
            <w:vAlign w:val="center"/>
          </w:tcPr>
          <w:p w14:paraId="2FF7170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2</w:t>
            </w:r>
          </w:p>
        </w:tc>
        <w:tc>
          <w:tcPr>
            <w:tcW w:w="4493" w:type="pct"/>
            <w:noWrap w:val="0"/>
            <w:tcMar>
              <w:top w:w="28" w:type="dxa"/>
              <w:left w:w="57" w:type="dxa"/>
              <w:bottom w:w="28" w:type="dxa"/>
              <w:right w:w="57" w:type="dxa"/>
            </w:tcMar>
            <w:vAlign w:val="center"/>
          </w:tcPr>
          <w:p w14:paraId="3B042F48">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装饰装修材料的选择将是本阶段工期的主要影响因素之一，为及时完成材料的选择，保证施工进度计划，我单位将全力配合业主选材。</w:t>
            </w:r>
          </w:p>
        </w:tc>
      </w:tr>
      <w:tr w14:paraId="3C44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7" w:type="pct"/>
            <w:noWrap w:val="0"/>
            <w:tcMar>
              <w:top w:w="28" w:type="dxa"/>
              <w:left w:w="57" w:type="dxa"/>
              <w:bottom w:w="28" w:type="dxa"/>
              <w:right w:w="57" w:type="dxa"/>
            </w:tcMar>
            <w:vAlign w:val="center"/>
          </w:tcPr>
          <w:p w14:paraId="7946507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3</w:t>
            </w:r>
          </w:p>
        </w:tc>
        <w:tc>
          <w:tcPr>
            <w:tcW w:w="4493" w:type="pct"/>
            <w:noWrap w:val="0"/>
            <w:tcMar>
              <w:top w:w="28" w:type="dxa"/>
              <w:left w:w="57" w:type="dxa"/>
              <w:bottom w:w="28" w:type="dxa"/>
              <w:right w:w="57" w:type="dxa"/>
            </w:tcMar>
            <w:vAlign w:val="center"/>
          </w:tcPr>
          <w:p w14:paraId="5B0D1F33">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装饰装修施工阶段，室内精装修、弱电工程、消防工程、电梯工程、暖通工程等专业交叉较多，为了在保证施工进度，我们将重点做好分包管理工作，编制《分包管理制度》，加强分包计划管理，保证各专业进度的相互协调。</w:t>
            </w:r>
          </w:p>
        </w:tc>
      </w:tr>
    </w:tbl>
    <w:p w14:paraId="357C0423">
      <w:pPr>
        <w:pStyle w:val="89"/>
        <w:spacing w:before="10" w:after="10" w:line="240" w:lineRule="auto"/>
        <w:ind w:firstLine="560"/>
        <w:rPr>
          <w:rFonts w:hint="eastAsia"/>
          <w:color w:val="auto"/>
          <w:sz w:val="24"/>
          <w:szCs w:val="24"/>
        </w:rPr>
      </w:pPr>
      <w:r>
        <w:rPr>
          <w:rFonts w:hint="eastAsia"/>
          <w:color w:val="auto"/>
          <w:sz w:val="24"/>
          <w:szCs w:val="24"/>
        </w:rPr>
        <w:t>7、验收阶段工期保证措施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8050"/>
      </w:tblGrid>
      <w:tr w14:paraId="4059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507" w:type="pct"/>
            <w:noWrap w:val="0"/>
            <w:tcMar>
              <w:top w:w="28" w:type="dxa"/>
              <w:left w:w="57" w:type="dxa"/>
              <w:bottom w:w="28" w:type="dxa"/>
              <w:right w:w="57" w:type="dxa"/>
            </w:tcMar>
            <w:vAlign w:val="center"/>
          </w:tcPr>
          <w:p w14:paraId="79F017DF">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4493" w:type="pct"/>
            <w:noWrap w:val="0"/>
            <w:tcMar>
              <w:top w:w="28" w:type="dxa"/>
              <w:left w:w="57" w:type="dxa"/>
              <w:bottom w:w="28" w:type="dxa"/>
              <w:right w:w="57" w:type="dxa"/>
            </w:tcMar>
            <w:vAlign w:val="center"/>
          </w:tcPr>
          <w:p w14:paraId="4BDD116D">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659F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7" w:type="pct"/>
            <w:noWrap w:val="0"/>
            <w:tcMar>
              <w:top w:w="28" w:type="dxa"/>
              <w:left w:w="57" w:type="dxa"/>
              <w:bottom w:w="28" w:type="dxa"/>
              <w:right w:w="57" w:type="dxa"/>
            </w:tcMar>
            <w:vAlign w:val="center"/>
          </w:tcPr>
          <w:p w14:paraId="3DFB84CA">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4493" w:type="pct"/>
            <w:noWrap w:val="0"/>
            <w:tcMar>
              <w:top w:w="28" w:type="dxa"/>
              <w:left w:w="57" w:type="dxa"/>
              <w:bottom w:w="28" w:type="dxa"/>
              <w:right w:w="57" w:type="dxa"/>
            </w:tcMar>
            <w:vAlign w:val="center"/>
          </w:tcPr>
          <w:p w14:paraId="1D57693D">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合理安排各分部分项工程的验收工作，提前进行验收准备工作，编制报验策划，针对主体验收、电梯验收、验收、节能验收、消防验收、规划验收、竣工验收等制定合理的保证一次通过的措施。确保工程如约交付业主。</w:t>
            </w:r>
          </w:p>
        </w:tc>
      </w:tr>
    </w:tbl>
    <w:p w14:paraId="6E2760FE">
      <w:pPr>
        <w:pStyle w:val="5"/>
        <w:ind w:firstLine="480"/>
        <w:rPr>
          <w:rFonts w:ascii="宋体" w:hAnsi="宋体" w:eastAsia="宋体"/>
          <w:color w:val="auto"/>
          <w:szCs w:val="28"/>
        </w:rPr>
      </w:pPr>
      <w:bookmarkStart w:id="372" w:name="_Toc31865"/>
      <w:r>
        <w:rPr>
          <w:rFonts w:hint="eastAsia" w:ascii="宋体" w:hAnsi="宋体" w:eastAsia="宋体"/>
          <w:color w:val="auto"/>
          <w:szCs w:val="28"/>
        </w:rPr>
        <w:t>施工进度计划保证措施</w:t>
      </w:r>
      <w:bookmarkEnd w:id="372"/>
    </w:p>
    <w:p w14:paraId="66004B26">
      <w:pPr>
        <w:pStyle w:val="89"/>
        <w:spacing w:before="10" w:after="10" w:line="360" w:lineRule="auto"/>
        <w:ind w:firstLine="560"/>
        <w:rPr>
          <w:rFonts w:hint="eastAsia"/>
          <w:color w:val="auto"/>
          <w:sz w:val="24"/>
          <w:szCs w:val="24"/>
        </w:rPr>
      </w:pPr>
      <w:r>
        <w:rPr>
          <w:rFonts w:hint="eastAsia"/>
          <w:color w:val="auto"/>
          <w:sz w:val="24"/>
          <w:szCs w:val="24"/>
        </w:rPr>
        <w:t>1、设计进度保证措施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333"/>
        <w:gridCol w:w="6715"/>
      </w:tblGrid>
      <w:tr w14:paraId="6542C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266D4143">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序号</w:t>
            </w:r>
          </w:p>
        </w:tc>
        <w:tc>
          <w:tcPr>
            <w:tcW w:w="744" w:type="pct"/>
            <w:noWrap w:val="0"/>
            <w:tcMar>
              <w:top w:w="28" w:type="dxa"/>
              <w:left w:w="57" w:type="dxa"/>
              <w:bottom w:w="28" w:type="dxa"/>
              <w:right w:w="57" w:type="dxa"/>
            </w:tcMar>
            <w:vAlign w:val="center"/>
          </w:tcPr>
          <w:p w14:paraId="0381C120">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设计阶段</w:t>
            </w:r>
          </w:p>
        </w:tc>
        <w:tc>
          <w:tcPr>
            <w:tcW w:w="3748" w:type="pct"/>
            <w:noWrap w:val="0"/>
            <w:tcMar>
              <w:top w:w="28" w:type="dxa"/>
              <w:left w:w="57" w:type="dxa"/>
              <w:bottom w:w="28" w:type="dxa"/>
              <w:right w:w="57" w:type="dxa"/>
            </w:tcMar>
            <w:vAlign w:val="center"/>
          </w:tcPr>
          <w:p w14:paraId="46198CB0">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保证措施</w:t>
            </w:r>
          </w:p>
        </w:tc>
      </w:tr>
      <w:tr w14:paraId="3CA45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5E8721D1">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1</w:t>
            </w:r>
          </w:p>
        </w:tc>
        <w:tc>
          <w:tcPr>
            <w:tcW w:w="744" w:type="pct"/>
            <w:noWrap w:val="0"/>
            <w:tcMar>
              <w:top w:w="28" w:type="dxa"/>
              <w:left w:w="57" w:type="dxa"/>
              <w:bottom w:w="28" w:type="dxa"/>
              <w:right w:w="57" w:type="dxa"/>
            </w:tcMar>
            <w:vAlign w:val="center"/>
          </w:tcPr>
          <w:p w14:paraId="1106B364">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施工图设计阶段</w:t>
            </w:r>
          </w:p>
        </w:tc>
        <w:tc>
          <w:tcPr>
            <w:tcW w:w="3748" w:type="pct"/>
            <w:noWrap w:val="0"/>
            <w:tcMar>
              <w:top w:w="28" w:type="dxa"/>
              <w:left w:w="57" w:type="dxa"/>
              <w:bottom w:w="28" w:type="dxa"/>
              <w:right w:w="57" w:type="dxa"/>
            </w:tcMar>
            <w:vAlign w:val="center"/>
          </w:tcPr>
          <w:p w14:paraId="00962EA0">
            <w:pPr>
              <w:spacing w:before="10" w:after="10" w:line="240" w:lineRule="auto"/>
              <w:ind w:firstLine="0" w:firstLineChars="0"/>
              <w:rPr>
                <w:rStyle w:val="93"/>
                <w:color w:val="auto"/>
                <w:sz w:val="21"/>
                <w:szCs w:val="21"/>
              </w:rPr>
            </w:pPr>
            <w:r>
              <w:rPr>
                <w:rStyle w:val="93"/>
                <w:color w:val="auto"/>
                <w:sz w:val="21"/>
                <w:szCs w:val="21"/>
              </w:rPr>
              <w:t>1</w:t>
            </w:r>
            <w:r>
              <w:rPr>
                <w:rStyle w:val="93"/>
                <w:rFonts w:hint="eastAsia"/>
                <w:color w:val="auto"/>
                <w:sz w:val="21"/>
                <w:szCs w:val="21"/>
              </w:rPr>
              <w:t>、在已具备初步设计图纸的前提下，施工图设计之前，应组织施工、采购等技术部门，对与设计有关的技术问题进行充分沟通，为项目施工节约工期，避免设计变更，同时对项目的采购工作带来便利，避免后期采购或施工过程中出现反复，对进度造成延误；</w:t>
            </w:r>
          </w:p>
          <w:p w14:paraId="64584A4F">
            <w:pPr>
              <w:spacing w:before="10" w:after="10" w:line="240" w:lineRule="auto"/>
              <w:ind w:firstLine="0" w:firstLineChars="0"/>
              <w:rPr>
                <w:rStyle w:val="93"/>
                <w:color w:val="auto"/>
                <w:sz w:val="21"/>
                <w:szCs w:val="21"/>
              </w:rPr>
            </w:pPr>
            <w:r>
              <w:rPr>
                <w:rStyle w:val="93"/>
                <w:color w:val="auto"/>
                <w:sz w:val="21"/>
                <w:szCs w:val="21"/>
              </w:rPr>
              <w:t>2</w:t>
            </w:r>
            <w:r>
              <w:rPr>
                <w:rStyle w:val="93"/>
                <w:rFonts w:hint="eastAsia"/>
                <w:color w:val="auto"/>
                <w:sz w:val="21"/>
                <w:szCs w:val="21"/>
              </w:rPr>
              <w:t>、制定施工图设计计划，合理安排项目人员是完成施工图进度计划的关键。各专业技术人员均具备相应的技术职称、执业资格和相当的实际经验。其中，设计总监及各专业总负责人均具备工程建筑、师及以上职称或国家专业注册师资格，同时拥有类似工程项目设计的业绩和经验。施工图设计期间，要组织专业内技术统一交底，各专业之间进行互提资确认、评审，中间过程中参与校审，保证整个设计过程顺畅、顺利；</w:t>
            </w:r>
          </w:p>
          <w:p w14:paraId="12E5A58D">
            <w:pPr>
              <w:spacing w:before="10" w:after="10" w:line="240" w:lineRule="auto"/>
              <w:ind w:firstLine="0" w:firstLineChars="0"/>
              <w:rPr>
                <w:rStyle w:val="93"/>
                <w:color w:val="auto"/>
                <w:sz w:val="21"/>
                <w:szCs w:val="21"/>
              </w:rPr>
            </w:pPr>
            <w:r>
              <w:rPr>
                <w:rStyle w:val="93"/>
                <w:color w:val="auto"/>
                <w:sz w:val="21"/>
                <w:szCs w:val="21"/>
              </w:rPr>
              <w:t>3</w:t>
            </w:r>
            <w:r>
              <w:rPr>
                <w:rStyle w:val="93"/>
                <w:rFonts w:hint="eastAsia"/>
                <w:color w:val="auto"/>
                <w:sz w:val="21"/>
                <w:szCs w:val="21"/>
              </w:rPr>
              <w:t>、全面检查、审核设计文件是否齐全，是否一致；计算书、图纸是否准确；图签是否规范，并作好审核记录。组织项目设计管理部及监理、施工技术人员等进行相关技术交底，交代设计意图，施工重点、难点。交底时参会单位人员须完成《图纸交底单》会签；</w:t>
            </w:r>
          </w:p>
          <w:p w14:paraId="5A6059ED">
            <w:pPr>
              <w:spacing w:before="10" w:after="10" w:line="240" w:lineRule="auto"/>
              <w:ind w:firstLine="0" w:firstLineChars="0"/>
              <w:rPr>
                <w:rStyle w:val="93"/>
                <w:color w:val="auto"/>
                <w:sz w:val="21"/>
                <w:szCs w:val="21"/>
              </w:rPr>
            </w:pPr>
            <w:r>
              <w:rPr>
                <w:rStyle w:val="93"/>
                <w:color w:val="auto"/>
                <w:sz w:val="21"/>
                <w:szCs w:val="21"/>
              </w:rPr>
              <w:t>4</w:t>
            </w:r>
            <w:r>
              <w:rPr>
                <w:rStyle w:val="93"/>
                <w:rFonts w:hint="eastAsia"/>
                <w:color w:val="auto"/>
                <w:sz w:val="21"/>
                <w:szCs w:val="21"/>
              </w:rPr>
              <w:t>、依据合同和相关承诺，按时推进各阶段设计进度计划的完成。进行定期例会与节点例会相结合方式。定期例会包括周例会、月度例会</w:t>
            </w:r>
            <w:r>
              <w:rPr>
                <w:rStyle w:val="93"/>
                <w:color w:val="auto"/>
                <w:sz w:val="21"/>
                <w:szCs w:val="21"/>
              </w:rPr>
              <w:t>;</w:t>
            </w:r>
            <w:r>
              <w:rPr>
                <w:rStyle w:val="93"/>
                <w:rFonts w:hint="eastAsia"/>
                <w:color w:val="auto"/>
                <w:sz w:val="21"/>
                <w:szCs w:val="21"/>
              </w:rPr>
              <w:t>节点例会包括方案评审会、专业技术会、综合评审会、专家论证会等。主要解决设计过程中各专业之间的协调问题。</w:t>
            </w:r>
          </w:p>
        </w:tc>
      </w:tr>
      <w:tr w14:paraId="4720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5C7433A2">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2</w:t>
            </w:r>
          </w:p>
        </w:tc>
        <w:tc>
          <w:tcPr>
            <w:tcW w:w="744" w:type="pct"/>
            <w:noWrap w:val="0"/>
            <w:tcMar>
              <w:top w:w="28" w:type="dxa"/>
              <w:left w:w="57" w:type="dxa"/>
              <w:bottom w:w="28" w:type="dxa"/>
              <w:right w:w="57" w:type="dxa"/>
            </w:tcMar>
            <w:vAlign w:val="center"/>
          </w:tcPr>
          <w:p w14:paraId="00F85B69">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深化设计阶段</w:t>
            </w:r>
          </w:p>
        </w:tc>
        <w:tc>
          <w:tcPr>
            <w:tcW w:w="3748" w:type="pct"/>
            <w:noWrap w:val="0"/>
            <w:tcMar>
              <w:top w:w="28" w:type="dxa"/>
              <w:left w:w="57" w:type="dxa"/>
              <w:bottom w:w="28" w:type="dxa"/>
              <w:right w:w="57" w:type="dxa"/>
            </w:tcMar>
            <w:vAlign w:val="center"/>
          </w:tcPr>
          <w:p w14:paraId="7E2E4B63">
            <w:pPr>
              <w:spacing w:before="10" w:after="10" w:line="240" w:lineRule="auto"/>
              <w:ind w:firstLine="0" w:firstLineChars="0"/>
              <w:rPr>
                <w:rStyle w:val="93"/>
                <w:color w:val="auto"/>
                <w:sz w:val="21"/>
                <w:szCs w:val="21"/>
              </w:rPr>
            </w:pPr>
            <w:r>
              <w:rPr>
                <w:rStyle w:val="93"/>
                <w:color w:val="auto"/>
                <w:sz w:val="21"/>
                <w:szCs w:val="21"/>
              </w:rPr>
              <w:t>1</w:t>
            </w:r>
            <w:r>
              <w:rPr>
                <w:rStyle w:val="93"/>
                <w:rFonts w:hint="eastAsia"/>
                <w:color w:val="auto"/>
                <w:sz w:val="21"/>
                <w:szCs w:val="21"/>
              </w:rPr>
              <w:t>、根据项目的总进度计划，制定出各专业分包深化设计计划表，督促分包在项目施工阶段同时进行深化设计的穿插工作，确保整个项目工期的按时完工；</w:t>
            </w:r>
          </w:p>
          <w:p w14:paraId="512CC4B8">
            <w:pPr>
              <w:spacing w:before="10" w:after="10" w:line="240" w:lineRule="auto"/>
              <w:ind w:firstLine="0" w:firstLineChars="0"/>
              <w:rPr>
                <w:rStyle w:val="93"/>
                <w:color w:val="auto"/>
                <w:sz w:val="21"/>
                <w:szCs w:val="21"/>
              </w:rPr>
            </w:pPr>
            <w:r>
              <w:rPr>
                <w:rStyle w:val="93"/>
                <w:color w:val="auto"/>
                <w:sz w:val="21"/>
                <w:szCs w:val="21"/>
              </w:rPr>
              <w:t>2</w:t>
            </w:r>
            <w:r>
              <w:rPr>
                <w:rStyle w:val="93"/>
                <w:rFonts w:hint="eastAsia"/>
                <w:color w:val="auto"/>
                <w:sz w:val="21"/>
                <w:szCs w:val="21"/>
              </w:rPr>
              <w:t>、在施工图设计未完成时，完成所有分包商的招标与定标并组织进场，让各专业分包商的技术人员纳入深化设计中，确保深化设计一次成型，减少后期修改及返工；</w:t>
            </w:r>
          </w:p>
          <w:p w14:paraId="5F5C1467">
            <w:pPr>
              <w:spacing w:before="10" w:after="10" w:line="240" w:lineRule="auto"/>
              <w:ind w:firstLine="0" w:firstLineChars="0"/>
              <w:rPr>
                <w:rStyle w:val="93"/>
                <w:color w:val="auto"/>
                <w:sz w:val="21"/>
                <w:szCs w:val="21"/>
              </w:rPr>
            </w:pPr>
            <w:r>
              <w:rPr>
                <w:rStyle w:val="93"/>
                <w:color w:val="auto"/>
                <w:sz w:val="21"/>
                <w:szCs w:val="21"/>
              </w:rPr>
              <w:t>3</w:t>
            </w:r>
            <w:r>
              <w:rPr>
                <w:rStyle w:val="93"/>
                <w:rFonts w:hint="eastAsia"/>
                <w:color w:val="auto"/>
                <w:sz w:val="21"/>
                <w:szCs w:val="21"/>
              </w:rPr>
              <w:t>、对分包商的深化设计进度、质量等进行考核，出具考核报告；对严重偏离计划者，发书面通知或处罚。</w:t>
            </w:r>
          </w:p>
        </w:tc>
      </w:tr>
      <w:tr w14:paraId="6B32C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7E029B65">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3</w:t>
            </w:r>
          </w:p>
        </w:tc>
        <w:tc>
          <w:tcPr>
            <w:tcW w:w="744" w:type="pct"/>
            <w:noWrap w:val="0"/>
            <w:tcMar>
              <w:top w:w="28" w:type="dxa"/>
              <w:left w:w="57" w:type="dxa"/>
              <w:bottom w:w="28" w:type="dxa"/>
              <w:right w:w="57" w:type="dxa"/>
            </w:tcMar>
            <w:vAlign w:val="center"/>
          </w:tcPr>
          <w:p w14:paraId="4C0EF51C">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设计验收阶段</w:t>
            </w:r>
          </w:p>
        </w:tc>
        <w:tc>
          <w:tcPr>
            <w:tcW w:w="3748" w:type="pct"/>
            <w:noWrap w:val="0"/>
            <w:tcMar>
              <w:top w:w="28" w:type="dxa"/>
              <w:left w:w="57" w:type="dxa"/>
              <w:bottom w:w="28" w:type="dxa"/>
              <w:right w:w="57" w:type="dxa"/>
            </w:tcMar>
            <w:vAlign w:val="center"/>
          </w:tcPr>
          <w:p w14:paraId="6B5D0CAD">
            <w:pPr>
              <w:spacing w:before="10" w:after="10" w:line="240" w:lineRule="auto"/>
              <w:ind w:firstLine="0" w:firstLineChars="0"/>
              <w:rPr>
                <w:rStyle w:val="93"/>
                <w:color w:val="auto"/>
                <w:sz w:val="21"/>
                <w:szCs w:val="21"/>
              </w:rPr>
            </w:pPr>
            <w:r>
              <w:rPr>
                <w:rStyle w:val="93"/>
                <w:color w:val="auto"/>
                <w:sz w:val="21"/>
                <w:szCs w:val="21"/>
              </w:rPr>
              <w:t>1</w:t>
            </w:r>
            <w:r>
              <w:rPr>
                <w:rStyle w:val="93"/>
                <w:rFonts w:hint="eastAsia"/>
                <w:color w:val="auto"/>
                <w:sz w:val="21"/>
                <w:szCs w:val="21"/>
              </w:rPr>
              <w:t>、由设计总监指定，项目部督导施工单位实施施工样板段，深化设计管理部组织对样板段验收通过后方可大面积施工。验收意见并填在《设计效果验收单》中，并由参与验收人员签字确认</w:t>
            </w:r>
            <w:r>
              <w:rPr>
                <w:rStyle w:val="93"/>
                <w:color w:val="auto"/>
                <w:sz w:val="21"/>
                <w:szCs w:val="21"/>
              </w:rPr>
              <w:t>;</w:t>
            </w:r>
          </w:p>
          <w:p w14:paraId="1D59F029">
            <w:pPr>
              <w:spacing w:before="10" w:after="10" w:line="240" w:lineRule="auto"/>
              <w:ind w:firstLine="0" w:firstLineChars="0"/>
              <w:rPr>
                <w:rStyle w:val="93"/>
                <w:color w:val="auto"/>
                <w:sz w:val="21"/>
                <w:szCs w:val="21"/>
              </w:rPr>
            </w:pPr>
            <w:r>
              <w:rPr>
                <w:rStyle w:val="93"/>
                <w:color w:val="auto"/>
                <w:sz w:val="21"/>
                <w:szCs w:val="21"/>
              </w:rPr>
              <w:t>2</w:t>
            </w:r>
            <w:r>
              <w:rPr>
                <w:rStyle w:val="93"/>
                <w:rFonts w:hint="eastAsia"/>
                <w:color w:val="auto"/>
                <w:sz w:val="21"/>
                <w:szCs w:val="21"/>
              </w:rPr>
              <w:t>、严格按工程进度计划表，项目部组织，深化设计管理部参与中期效果验收、关键工序验收及终期验收。验收意见并填在《设计效果验收单》中，并由参与验收人员签字确认。</w:t>
            </w:r>
          </w:p>
        </w:tc>
      </w:tr>
    </w:tbl>
    <w:p w14:paraId="69B28A84">
      <w:pPr>
        <w:pStyle w:val="89"/>
        <w:spacing w:before="10" w:after="10" w:line="360" w:lineRule="auto"/>
        <w:ind w:firstLine="560"/>
        <w:rPr>
          <w:rFonts w:hint="eastAsia"/>
          <w:color w:val="auto"/>
          <w:sz w:val="24"/>
          <w:szCs w:val="24"/>
        </w:rPr>
      </w:pPr>
      <w:r>
        <w:rPr>
          <w:rFonts w:hint="eastAsia"/>
          <w:color w:val="auto"/>
          <w:sz w:val="24"/>
          <w:szCs w:val="24"/>
        </w:rPr>
        <w:t>2、招采进度保证措施</w:t>
      </w:r>
    </w:p>
    <w:p w14:paraId="57AEF101">
      <w:pPr>
        <w:pStyle w:val="89"/>
        <w:spacing w:before="10" w:after="10" w:line="360" w:lineRule="auto"/>
        <w:ind w:firstLine="560"/>
        <w:rPr>
          <w:rFonts w:hint="eastAsia"/>
          <w:color w:val="auto"/>
          <w:sz w:val="24"/>
          <w:szCs w:val="24"/>
        </w:rPr>
      </w:pPr>
      <w:r>
        <w:rPr>
          <w:rFonts w:hint="eastAsia"/>
          <w:color w:val="auto"/>
          <w:sz w:val="24"/>
          <w:szCs w:val="24"/>
        </w:rPr>
        <w:t>招采阶段工期保证措施主要从分包商和物资设备进场时间、分包商的选用及招采过程的具体保证措施预防工期延误。根据我司以往施工经验，项目专业分包商应尽快进场，提前配合板块深化设计工作，也能更好满足项目的采购需求，保证现场施工需要，我司针对这种情况，已制定好相应的采购计划。</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232"/>
        <w:gridCol w:w="6816"/>
      </w:tblGrid>
      <w:tr w14:paraId="639BD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205B4DF9">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序号</w:t>
            </w:r>
          </w:p>
        </w:tc>
        <w:tc>
          <w:tcPr>
            <w:tcW w:w="687" w:type="pct"/>
            <w:noWrap w:val="0"/>
            <w:tcMar>
              <w:top w:w="28" w:type="dxa"/>
              <w:left w:w="57" w:type="dxa"/>
              <w:bottom w:w="28" w:type="dxa"/>
              <w:right w:w="57" w:type="dxa"/>
            </w:tcMar>
            <w:vAlign w:val="center"/>
          </w:tcPr>
          <w:p w14:paraId="5FCA7674">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名称</w:t>
            </w:r>
          </w:p>
        </w:tc>
        <w:tc>
          <w:tcPr>
            <w:tcW w:w="3804" w:type="pct"/>
            <w:noWrap w:val="0"/>
            <w:tcMar>
              <w:top w:w="28" w:type="dxa"/>
              <w:left w:w="57" w:type="dxa"/>
              <w:bottom w:w="28" w:type="dxa"/>
              <w:right w:w="57" w:type="dxa"/>
            </w:tcMar>
            <w:vAlign w:val="center"/>
          </w:tcPr>
          <w:p w14:paraId="7C2F6E57">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内容</w:t>
            </w:r>
          </w:p>
        </w:tc>
      </w:tr>
      <w:tr w14:paraId="3D032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675C99AD">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1</w:t>
            </w:r>
          </w:p>
        </w:tc>
        <w:tc>
          <w:tcPr>
            <w:tcW w:w="687" w:type="pct"/>
            <w:noWrap w:val="0"/>
            <w:tcMar>
              <w:top w:w="28" w:type="dxa"/>
              <w:left w:w="57" w:type="dxa"/>
              <w:bottom w:w="28" w:type="dxa"/>
              <w:right w:w="57" w:type="dxa"/>
            </w:tcMar>
            <w:vAlign w:val="center"/>
          </w:tcPr>
          <w:p w14:paraId="19E57008">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制度保证措施</w:t>
            </w:r>
          </w:p>
        </w:tc>
        <w:tc>
          <w:tcPr>
            <w:tcW w:w="3804" w:type="pct"/>
            <w:noWrap w:val="0"/>
            <w:tcMar>
              <w:top w:w="28" w:type="dxa"/>
              <w:left w:w="57" w:type="dxa"/>
              <w:bottom w:w="28" w:type="dxa"/>
              <w:right w:w="57" w:type="dxa"/>
            </w:tcMar>
            <w:vAlign w:val="center"/>
          </w:tcPr>
          <w:p w14:paraId="5FB9883E">
            <w:pPr>
              <w:spacing w:before="10" w:after="10" w:line="240" w:lineRule="auto"/>
              <w:ind w:firstLine="0" w:firstLineChars="0"/>
              <w:rPr>
                <w:rStyle w:val="93"/>
                <w:color w:val="auto"/>
                <w:sz w:val="21"/>
                <w:szCs w:val="21"/>
              </w:rPr>
            </w:pPr>
            <w:r>
              <w:rPr>
                <w:rStyle w:val="93"/>
                <w:rFonts w:hint="eastAsia"/>
                <w:color w:val="auto"/>
                <w:sz w:val="21"/>
                <w:szCs w:val="21"/>
              </w:rPr>
              <w:t>为了确保招采进度工作的顺利开展，我司将严格执行总部及区域采购中心招采制度，提高招采效率，由合约总监牵头梳理分包商、材料、设备采购所需的人员、资金保障，招采组负责分包商、材料、设备采购清单、计划的收集及汇总，并建立材料、设备采购各类台账，确保招采顺利进行。</w:t>
            </w:r>
          </w:p>
        </w:tc>
      </w:tr>
      <w:tr w14:paraId="5377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0AAF41E4">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2</w:t>
            </w:r>
          </w:p>
        </w:tc>
        <w:tc>
          <w:tcPr>
            <w:tcW w:w="687" w:type="pct"/>
            <w:noWrap w:val="0"/>
            <w:tcMar>
              <w:top w:w="28" w:type="dxa"/>
              <w:left w:w="57" w:type="dxa"/>
              <w:bottom w:w="28" w:type="dxa"/>
              <w:right w:w="57" w:type="dxa"/>
            </w:tcMar>
            <w:vAlign w:val="center"/>
          </w:tcPr>
          <w:p w14:paraId="124D3D34">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组织保证措施</w:t>
            </w:r>
          </w:p>
        </w:tc>
        <w:tc>
          <w:tcPr>
            <w:tcW w:w="3804" w:type="pct"/>
            <w:noWrap w:val="0"/>
            <w:tcMar>
              <w:top w:w="28" w:type="dxa"/>
              <w:left w:w="57" w:type="dxa"/>
              <w:bottom w:w="28" w:type="dxa"/>
              <w:right w:w="57" w:type="dxa"/>
            </w:tcMar>
            <w:vAlign w:val="center"/>
          </w:tcPr>
          <w:p w14:paraId="5898500C">
            <w:pPr>
              <w:spacing w:before="10" w:after="10" w:line="240" w:lineRule="auto"/>
              <w:ind w:firstLine="0" w:firstLineChars="0"/>
              <w:rPr>
                <w:rStyle w:val="93"/>
                <w:color w:val="auto"/>
                <w:sz w:val="21"/>
                <w:szCs w:val="21"/>
              </w:rPr>
            </w:pPr>
            <w:r>
              <w:rPr>
                <w:rStyle w:val="93"/>
                <w:rFonts w:hint="eastAsia"/>
                <w:color w:val="auto"/>
                <w:sz w:val="21"/>
                <w:szCs w:val="21"/>
              </w:rPr>
              <w:t>根据本工程工期安排。分包商、材料、设备采购由商务负责人组织，采购管理部牵头，施工管理部、设计管理中心等部门密切配合，相互协调，共同完成招采工作。采购部分由招采组负责审核，经项目经理审批完成录入集采平台，由我司区域集采中心集中采购，采购管理部招采组定期观注材料采购进度，确保现场施工需求。</w:t>
            </w:r>
          </w:p>
        </w:tc>
      </w:tr>
      <w:tr w14:paraId="769C9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2F938F9A">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3</w:t>
            </w:r>
          </w:p>
        </w:tc>
        <w:tc>
          <w:tcPr>
            <w:tcW w:w="687" w:type="pct"/>
            <w:noWrap w:val="0"/>
            <w:tcMar>
              <w:top w:w="28" w:type="dxa"/>
              <w:left w:w="57" w:type="dxa"/>
              <w:bottom w:w="28" w:type="dxa"/>
              <w:right w:w="57" w:type="dxa"/>
            </w:tcMar>
            <w:vAlign w:val="center"/>
          </w:tcPr>
          <w:p w14:paraId="0D2C129E">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计划管理措施</w:t>
            </w:r>
          </w:p>
        </w:tc>
        <w:tc>
          <w:tcPr>
            <w:tcW w:w="3804" w:type="pct"/>
            <w:noWrap w:val="0"/>
            <w:tcMar>
              <w:top w:w="28" w:type="dxa"/>
              <w:left w:w="57" w:type="dxa"/>
              <w:bottom w:w="28" w:type="dxa"/>
              <w:right w:w="57" w:type="dxa"/>
            </w:tcMar>
            <w:vAlign w:val="center"/>
          </w:tcPr>
          <w:p w14:paraId="37D6DDCC">
            <w:pPr>
              <w:spacing w:before="10" w:after="10" w:line="240" w:lineRule="auto"/>
              <w:ind w:firstLine="0" w:firstLineChars="0"/>
              <w:rPr>
                <w:rStyle w:val="93"/>
                <w:color w:val="auto"/>
                <w:sz w:val="21"/>
                <w:szCs w:val="21"/>
              </w:rPr>
            </w:pPr>
            <w:r>
              <w:rPr>
                <w:rStyle w:val="93"/>
                <w:rFonts w:hint="eastAsia"/>
                <w:color w:val="auto"/>
                <w:sz w:val="21"/>
                <w:szCs w:val="21"/>
              </w:rPr>
              <w:t>分包商、材料、设备采购实行严格的计划管理措施。分包商的采购，依据项目总控计划，确定分包商招采起始及定标时间。在初步设计图阶段，确定大型设备的参数，编制相应的招标采购计划并进场招采，要求厂家提前排产，避免因其生产周期长等原因影响施工进度。在施工图设计阶段，编制好物资采供总计划，确定好各类型材料的参数、数量、品牌要求、进场时间等，提前完成物资招标采供工作</w:t>
            </w:r>
            <w:r>
              <w:rPr>
                <w:rStyle w:val="93"/>
                <w:color w:val="auto"/>
                <w:sz w:val="21"/>
                <w:szCs w:val="21"/>
              </w:rPr>
              <w:t>;</w:t>
            </w:r>
            <w:r>
              <w:rPr>
                <w:rStyle w:val="93"/>
                <w:rFonts w:hint="eastAsia"/>
                <w:color w:val="auto"/>
                <w:sz w:val="21"/>
                <w:szCs w:val="21"/>
              </w:rPr>
              <w:t>在施工阶段，结合施工进度计划编制进场材料计划，分批次有序进场。在编制计划时，要充分了解每种材料设备的生产供货周期，特别是大型设备，考虑运输、调试等时间，与厂家签订供应周期协议，确保材料及设备能够按计划进场。</w:t>
            </w:r>
          </w:p>
        </w:tc>
      </w:tr>
      <w:tr w14:paraId="1EFEB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54E7D5F7">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4</w:t>
            </w:r>
          </w:p>
        </w:tc>
        <w:tc>
          <w:tcPr>
            <w:tcW w:w="687" w:type="pct"/>
            <w:noWrap w:val="0"/>
            <w:tcMar>
              <w:top w:w="28" w:type="dxa"/>
              <w:left w:w="57" w:type="dxa"/>
              <w:bottom w:w="28" w:type="dxa"/>
              <w:right w:w="57" w:type="dxa"/>
            </w:tcMar>
            <w:vAlign w:val="center"/>
          </w:tcPr>
          <w:p w14:paraId="2128DAFD">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技术保证措施</w:t>
            </w:r>
          </w:p>
        </w:tc>
        <w:tc>
          <w:tcPr>
            <w:tcW w:w="3804" w:type="pct"/>
            <w:noWrap w:val="0"/>
            <w:tcMar>
              <w:top w:w="28" w:type="dxa"/>
              <w:left w:w="57" w:type="dxa"/>
              <w:bottom w:w="28" w:type="dxa"/>
              <w:right w:w="57" w:type="dxa"/>
            </w:tcMar>
            <w:vAlign w:val="center"/>
          </w:tcPr>
          <w:p w14:paraId="37DC2C35">
            <w:pPr>
              <w:spacing w:before="10" w:after="10" w:line="240" w:lineRule="auto"/>
              <w:ind w:firstLine="0" w:firstLineChars="0"/>
              <w:rPr>
                <w:rStyle w:val="93"/>
                <w:color w:val="auto"/>
                <w:sz w:val="21"/>
                <w:szCs w:val="21"/>
              </w:rPr>
            </w:pPr>
            <w:r>
              <w:rPr>
                <w:rStyle w:val="93"/>
                <w:rFonts w:hint="eastAsia"/>
                <w:color w:val="auto"/>
                <w:sz w:val="21"/>
                <w:szCs w:val="21"/>
              </w:rPr>
              <w:t>在图纸初步设计阶段，设计管理部会同技术管理部及工程管理部共同探讨方案，根据技术规格书、交房标准及其他技术文件要求，以及相应大型设备厂家和专业厂商等的优化方案，确定最为合理的方案。这一阶段，大型设备已具备招标采购条件，提前招采，确保施工阶段设备的正常供应。施工图设计阶段，分包商配合完成图纸深化工作，确保施工图一次成型，避免过程中出现返工或者变更。这一阶段，常规大宗材料基本确定，从技术层面保证招标采购计划编制的准确性和完善性。</w:t>
            </w:r>
          </w:p>
        </w:tc>
      </w:tr>
      <w:tr w14:paraId="46867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61F73B8B">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5</w:t>
            </w:r>
          </w:p>
        </w:tc>
        <w:tc>
          <w:tcPr>
            <w:tcW w:w="687" w:type="pct"/>
            <w:noWrap w:val="0"/>
            <w:tcMar>
              <w:top w:w="28" w:type="dxa"/>
              <w:left w:w="57" w:type="dxa"/>
              <w:bottom w:w="28" w:type="dxa"/>
              <w:right w:w="57" w:type="dxa"/>
            </w:tcMar>
            <w:vAlign w:val="center"/>
          </w:tcPr>
          <w:p w14:paraId="43182E34">
            <w:pPr>
              <w:pStyle w:val="51"/>
              <w:spacing w:before="10" w:after="10" w:line="240" w:lineRule="auto"/>
              <w:rPr>
                <w:rStyle w:val="93"/>
                <w:rFonts w:ascii="宋体" w:hAnsi="宋体"/>
                <w:color w:val="auto"/>
                <w:sz w:val="21"/>
                <w:szCs w:val="21"/>
              </w:rPr>
            </w:pPr>
            <w:r>
              <w:rPr>
                <w:rStyle w:val="93"/>
                <w:rFonts w:hint="eastAsia" w:ascii="宋体" w:hAnsi="宋体"/>
                <w:color w:val="auto"/>
                <w:sz w:val="21"/>
                <w:szCs w:val="21"/>
              </w:rPr>
              <w:t>资金保证措施</w:t>
            </w:r>
          </w:p>
        </w:tc>
        <w:tc>
          <w:tcPr>
            <w:tcW w:w="3804" w:type="pct"/>
            <w:noWrap w:val="0"/>
            <w:tcMar>
              <w:top w:w="28" w:type="dxa"/>
              <w:left w:w="57" w:type="dxa"/>
              <w:bottom w:w="28" w:type="dxa"/>
              <w:right w:w="57" w:type="dxa"/>
            </w:tcMar>
            <w:vAlign w:val="center"/>
          </w:tcPr>
          <w:p w14:paraId="5AAF548E">
            <w:pPr>
              <w:spacing w:before="10" w:after="10" w:line="240" w:lineRule="auto"/>
              <w:ind w:firstLine="0" w:firstLineChars="0"/>
              <w:rPr>
                <w:rStyle w:val="93"/>
                <w:color w:val="auto"/>
                <w:sz w:val="21"/>
                <w:szCs w:val="21"/>
              </w:rPr>
            </w:pPr>
            <w:r>
              <w:rPr>
                <w:rStyle w:val="93"/>
                <w:rFonts w:hint="eastAsia"/>
                <w:color w:val="auto"/>
                <w:sz w:val="21"/>
                <w:szCs w:val="21"/>
              </w:rPr>
              <w:t>项目部将建立材料、设备支付台账，及时调配资金计划，确保各项材料及设备款及时支付，保证供应源头的不间断。</w:t>
            </w:r>
          </w:p>
          <w:p w14:paraId="1D2972C9">
            <w:pPr>
              <w:spacing w:before="10" w:after="10" w:line="240" w:lineRule="auto"/>
              <w:ind w:firstLine="0" w:firstLineChars="0"/>
              <w:rPr>
                <w:rStyle w:val="93"/>
                <w:color w:val="auto"/>
                <w:sz w:val="28"/>
                <w:szCs w:val="28"/>
              </w:rPr>
            </w:pPr>
            <w:r>
              <w:rPr>
                <w:rStyle w:val="93"/>
                <w:rFonts w:hint="eastAsia"/>
                <w:color w:val="auto"/>
                <w:sz w:val="21"/>
                <w:szCs w:val="21"/>
              </w:rPr>
              <w:t>项目在材料、设备采购时，要全面、正确制定采购计划，搞好供需平衡，合理安排采购资金。对生产所需的各种材料、设备，应区分轻、重、缓、急，统筹安排，保证生产关键材料、关键线路上的材料、设备</w:t>
            </w:r>
            <w:r>
              <w:rPr>
                <w:rStyle w:val="93"/>
                <w:color w:val="auto"/>
                <w:sz w:val="21"/>
                <w:szCs w:val="21"/>
              </w:rPr>
              <w:t>;</w:t>
            </w:r>
            <w:r>
              <w:rPr>
                <w:rStyle w:val="93"/>
                <w:rFonts w:hint="eastAsia"/>
                <w:color w:val="auto"/>
                <w:sz w:val="21"/>
                <w:szCs w:val="21"/>
              </w:rPr>
              <w:t>对超储积压材料，应严禁采购</w:t>
            </w:r>
            <w:r>
              <w:rPr>
                <w:rStyle w:val="93"/>
                <w:color w:val="auto"/>
                <w:sz w:val="21"/>
                <w:szCs w:val="21"/>
              </w:rPr>
              <w:t>;</w:t>
            </w:r>
            <w:r>
              <w:rPr>
                <w:rStyle w:val="93"/>
                <w:rFonts w:hint="eastAsia"/>
                <w:color w:val="auto"/>
                <w:sz w:val="21"/>
                <w:szCs w:val="21"/>
              </w:rPr>
              <w:t>在材料、设备到货时按合同严格进行验收，对库存材料要认真审核，及时掌握进货情况，把好资金结算关，确保资金的流动性。</w:t>
            </w:r>
          </w:p>
        </w:tc>
      </w:tr>
    </w:tbl>
    <w:p w14:paraId="1588D319">
      <w:pPr>
        <w:pStyle w:val="89"/>
        <w:spacing w:before="10" w:after="10" w:line="360" w:lineRule="auto"/>
        <w:ind w:firstLine="560"/>
        <w:rPr>
          <w:rFonts w:hint="eastAsia"/>
          <w:color w:val="auto"/>
          <w:sz w:val="24"/>
          <w:szCs w:val="24"/>
        </w:rPr>
      </w:pPr>
      <w:r>
        <w:rPr>
          <w:rFonts w:hint="eastAsia"/>
          <w:color w:val="auto"/>
          <w:sz w:val="24"/>
          <w:szCs w:val="24"/>
        </w:rPr>
        <w:t>3、施工进度保证措施</w:t>
      </w:r>
    </w:p>
    <w:p w14:paraId="34A209DA">
      <w:pPr>
        <w:pStyle w:val="89"/>
        <w:spacing w:before="10" w:after="10" w:line="360" w:lineRule="auto"/>
        <w:ind w:firstLine="560"/>
        <w:rPr>
          <w:rFonts w:hint="eastAsia"/>
          <w:color w:val="auto"/>
          <w:sz w:val="24"/>
          <w:szCs w:val="24"/>
        </w:rPr>
      </w:pPr>
      <w:r>
        <w:rPr>
          <w:rFonts w:hint="eastAsia"/>
          <w:color w:val="auto"/>
          <w:sz w:val="24"/>
          <w:szCs w:val="24"/>
        </w:rPr>
        <w:t>（1）确保前置工作</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349"/>
        <w:gridCol w:w="6699"/>
      </w:tblGrid>
      <w:tr w14:paraId="11D4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24BE948F">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753" w:type="pct"/>
            <w:noWrap w:val="0"/>
            <w:tcMar>
              <w:top w:w="28" w:type="dxa"/>
              <w:left w:w="57" w:type="dxa"/>
              <w:bottom w:w="28" w:type="dxa"/>
              <w:right w:w="57" w:type="dxa"/>
            </w:tcMar>
            <w:vAlign w:val="center"/>
          </w:tcPr>
          <w:p w14:paraId="7E67B26C">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内容</w:t>
            </w:r>
          </w:p>
        </w:tc>
        <w:tc>
          <w:tcPr>
            <w:tcW w:w="3739" w:type="pct"/>
            <w:noWrap w:val="0"/>
            <w:tcMar>
              <w:top w:w="28" w:type="dxa"/>
              <w:left w:w="57" w:type="dxa"/>
              <w:bottom w:w="28" w:type="dxa"/>
              <w:right w:w="57" w:type="dxa"/>
            </w:tcMar>
            <w:vAlign w:val="center"/>
          </w:tcPr>
          <w:p w14:paraId="55D4AB38">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2AABD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5FDC5CC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753" w:type="pct"/>
            <w:noWrap w:val="0"/>
            <w:tcMar>
              <w:top w:w="28" w:type="dxa"/>
              <w:left w:w="57" w:type="dxa"/>
              <w:bottom w:w="28" w:type="dxa"/>
              <w:right w:w="57" w:type="dxa"/>
            </w:tcMar>
            <w:vAlign w:val="center"/>
          </w:tcPr>
          <w:p w14:paraId="2916D368">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深化设计前置</w:t>
            </w:r>
          </w:p>
        </w:tc>
        <w:tc>
          <w:tcPr>
            <w:tcW w:w="3739" w:type="pct"/>
            <w:noWrap w:val="0"/>
            <w:tcMar>
              <w:top w:w="28" w:type="dxa"/>
              <w:left w:w="57" w:type="dxa"/>
              <w:bottom w:w="28" w:type="dxa"/>
              <w:right w:w="57" w:type="dxa"/>
            </w:tcMar>
            <w:vAlign w:val="center"/>
          </w:tcPr>
          <w:p w14:paraId="3D4D6AD8">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在前期施工图设计期间，即完成所有专业分包商招采工作并提前进场，配合设计人员进行相关专业的深化设计，同时运用BIM技术开展深化设计工作。确保在正式施工前吃透图纸，形成成熟、完整的意见与建议，降低后期因深化设计不到位而产生的返工。</w:t>
            </w:r>
          </w:p>
        </w:tc>
      </w:tr>
      <w:tr w14:paraId="0959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7D239F84">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2</w:t>
            </w:r>
          </w:p>
        </w:tc>
        <w:tc>
          <w:tcPr>
            <w:tcW w:w="753" w:type="pct"/>
            <w:noWrap w:val="0"/>
            <w:tcMar>
              <w:top w:w="28" w:type="dxa"/>
              <w:left w:w="57" w:type="dxa"/>
              <w:bottom w:w="28" w:type="dxa"/>
              <w:right w:w="57" w:type="dxa"/>
            </w:tcMar>
            <w:vAlign w:val="center"/>
          </w:tcPr>
          <w:p w14:paraId="4436BF0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部分施工提前</w:t>
            </w:r>
          </w:p>
        </w:tc>
        <w:tc>
          <w:tcPr>
            <w:tcW w:w="3739" w:type="pct"/>
            <w:noWrap w:val="0"/>
            <w:tcMar>
              <w:top w:w="28" w:type="dxa"/>
              <w:left w:w="57" w:type="dxa"/>
              <w:bottom w:w="28" w:type="dxa"/>
              <w:right w:w="57" w:type="dxa"/>
            </w:tcMar>
            <w:vAlign w:val="center"/>
          </w:tcPr>
          <w:p w14:paraId="6C4F95E3">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在整个设计工作尚未结束之时，先完成部分施工图设计并通过审查，从而将这一阶段的施工提前到项目尚处于设计阶段即开始，加快施工进度，节约施工工期。</w:t>
            </w:r>
          </w:p>
        </w:tc>
      </w:tr>
      <w:tr w14:paraId="63B3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136506EF">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3</w:t>
            </w:r>
          </w:p>
        </w:tc>
        <w:tc>
          <w:tcPr>
            <w:tcW w:w="753" w:type="pct"/>
            <w:noWrap w:val="0"/>
            <w:tcMar>
              <w:top w:w="28" w:type="dxa"/>
              <w:left w:w="57" w:type="dxa"/>
              <w:bottom w:w="28" w:type="dxa"/>
              <w:right w:w="57" w:type="dxa"/>
            </w:tcMar>
            <w:vAlign w:val="center"/>
          </w:tcPr>
          <w:p w14:paraId="50B93125">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预制生产前置</w:t>
            </w:r>
          </w:p>
        </w:tc>
        <w:tc>
          <w:tcPr>
            <w:tcW w:w="3739" w:type="pct"/>
            <w:noWrap w:val="0"/>
            <w:tcMar>
              <w:top w:w="28" w:type="dxa"/>
              <w:left w:w="57" w:type="dxa"/>
              <w:bottom w:w="28" w:type="dxa"/>
              <w:right w:w="57" w:type="dxa"/>
            </w:tcMar>
            <w:vAlign w:val="center"/>
          </w:tcPr>
          <w:p w14:paraId="3FFFC8C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中标后，我司即刻开始相应预制生产厂家的招采工作，PC构件厂家确定进场后，向厂家规定生产周期及时间节点，让厂家制定及上报详细的模具定制、生产安排等计划，我司严格按照计划进行构件生产的监督工作，保证现场施工能及时供应。</w:t>
            </w:r>
          </w:p>
        </w:tc>
      </w:tr>
      <w:tr w14:paraId="2B184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51C5BFCA">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4</w:t>
            </w:r>
          </w:p>
        </w:tc>
        <w:tc>
          <w:tcPr>
            <w:tcW w:w="753" w:type="pct"/>
            <w:noWrap w:val="0"/>
            <w:tcMar>
              <w:top w:w="28" w:type="dxa"/>
              <w:left w:w="57" w:type="dxa"/>
              <w:bottom w:w="28" w:type="dxa"/>
              <w:right w:w="57" w:type="dxa"/>
            </w:tcMar>
            <w:vAlign w:val="center"/>
          </w:tcPr>
          <w:p w14:paraId="5A97D6A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装饰装修前置</w:t>
            </w:r>
          </w:p>
        </w:tc>
        <w:tc>
          <w:tcPr>
            <w:tcW w:w="3739" w:type="pct"/>
            <w:noWrap w:val="0"/>
            <w:tcMar>
              <w:top w:w="28" w:type="dxa"/>
              <w:left w:w="57" w:type="dxa"/>
              <w:bottom w:w="28" w:type="dxa"/>
              <w:right w:w="57" w:type="dxa"/>
            </w:tcMar>
            <w:vAlign w:val="center"/>
          </w:tcPr>
          <w:p w14:paraId="68058D15">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地上二次结构在主体六层结构完成后插入，粗装修在7层砌体二构完成后插入，户内精装修在7层粗装修完成后即插入施工，合理提前穿插装修施工，有效缩短本工程的整体工期。</w:t>
            </w:r>
          </w:p>
        </w:tc>
      </w:tr>
      <w:tr w14:paraId="23548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18E48D0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5</w:t>
            </w:r>
          </w:p>
        </w:tc>
        <w:tc>
          <w:tcPr>
            <w:tcW w:w="753" w:type="pct"/>
            <w:noWrap w:val="0"/>
            <w:tcMar>
              <w:top w:w="28" w:type="dxa"/>
              <w:left w:w="57" w:type="dxa"/>
              <w:bottom w:w="28" w:type="dxa"/>
              <w:right w:w="57" w:type="dxa"/>
            </w:tcMar>
            <w:vAlign w:val="center"/>
          </w:tcPr>
          <w:p w14:paraId="5675123C">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室外工程前置</w:t>
            </w:r>
          </w:p>
        </w:tc>
        <w:tc>
          <w:tcPr>
            <w:tcW w:w="3739" w:type="pct"/>
            <w:noWrap w:val="0"/>
            <w:tcMar>
              <w:top w:w="28" w:type="dxa"/>
              <w:left w:w="57" w:type="dxa"/>
              <w:bottom w:w="28" w:type="dxa"/>
              <w:right w:w="57" w:type="dxa"/>
            </w:tcMar>
            <w:vAlign w:val="center"/>
          </w:tcPr>
          <w:p w14:paraId="448B00A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提前考虑永临结合，提前插入顶板防水施工以便于插入室外工程，均衡协调劳动力及资源，充分节省工期。</w:t>
            </w:r>
          </w:p>
        </w:tc>
      </w:tr>
      <w:tr w14:paraId="6E1F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633BFAD0">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6</w:t>
            </w:r>
          </w:p>
        </w:tc>
        <w:tc>
          <w:tcPr>
            <w:tcW w:w="753" w:type="pct"/>
            <w:noWrap w:val="0"/>
            <w:tcMar>
              <w:top w:w="28" w:type="dxa"/>
              <w:left w:w="57" w:type="dxa"/>
              <w:bottom w:w="28" w:type="dxa"/>
              <w:right w:w="57" w:type="dxa"/>
            </w:tcMar>
            <w:vAlign w:val="center"/>
          </w:tcPr>
          <w:p w14:paraId="0BCF1951">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招采前置</w:t>
            </w:r>
          </w:p>
        </w:tc>
        <w:tc>
          <w:tcPr>
            <w:tcW w:w="3739" w:type="pct"/>
            <w:noWrap w:val="0"/>
            <w:tcMar>
              <w:top w:w="28" w:type="dxa"/>
              <w:left w:w="57" w:type="dxa"/>
              <w:bottom w:w="28" w:type="dxa"/>
              <w:right w:w="57" w:type="dxa"/>
            </w:tcMar>
            <w:vAlign w:val="center"/>
          </w:tcPr>
          <w:p w14:paraId="349B8EA9">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在前期施工图设计期间，即考虑专业分包商招采工作并提前安排进场，配合后期各相关专业问题，确保各项专业相关事项一次性完成，减少修改与返工。</w:t>
            </w:r>
          </w:p>
        </w:tc>
      </w:tr>
    </w:tbl>
    <w:p w14:paraId="157064DF">
      <w:pPr>
        <w:pStyle w:val="89"/>
        <w:spacing w:before="10" w:after="10" w:line="360" w:lineRule="auto"/>
        <w:ind w:firstLine="560"/>
        <w:rPr>
          <w:rFonts w:hint="eastAsia"/>
          <w:color w:val="auto"/>
          <w:sz w:val="24"/>
          <w:szCs w:val="24"/>
        </w:rPr>
      </w:pPr>
      <w:r>
        <w:rPr>
          <w:rFonts w:hint="eastAsia"/>
          <w:color w:val="auto"/>
          <w:sz w:val="24"/>
          <w:szCs w:val="24"/>
        </w:rPr>
        <w:t>（2）各项保证措施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349"/>
        <w:gridCol w:w="6699"/>
      </w:tblGrid>
      <w:tr w14:paraId="4A56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44C9537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序号</w:t>
            </w:r>
          </w:p>
        </w:tc>
        <w:tc>
          <w:tcPr>
            <w:tcW w:w="753" w:type="pct"/>
            <w:noWrap w:val="0"/>
            <w:tcMar>
              <w:top w:w="28" w:type="dxa"/>
              <w:left w:w="57" w:type="dxa"/>
              <w:bottom w:w="28" w:type="dxa"/>
              <w:right w:w="57" w:type="dxa"/>
            </w:tcMar>
            <w:vAlign w:val="center"/>
          </w:tcPr>
          <w:p w14:paraId="5054011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内容</w:t>
            </w:r>
          </w:p>
        </w:tc>
        <w:tc>
          <w:tcPr>
            <w:tcW w:w="3739" w:type="pct"/>
            <w:noWrap w:val="0"/>
            <w:tcMar>
              <w:top w:w="28" w:type="dxa"/>
              <w:left w:w="57" w:type="dxa"/>
              <w:bottom w:w="28" w:type="dxa"/>
              <w:right w:w="57" w:type="dxa"/>
            </w:tcMar>
            <w:vAlign w:val="center"/>
          </w:tcPr>
          <w:p w14:paraId="6C528E9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保证措施</w:t>
            </w:r>
          </w:p>
        </w:tc>
      </w:tr>
      <w:tr w14:paraId="7B647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477CC1F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1</w:t>
            </w:r>
          </w:p>
        </w:tc>
        <w:tc>
          <w:tcPr>
            <w:tcW w:w="753" w:type="pct"/>
            <w:noWrap w:val="0"/>
            <w:tcMar>
              <w:top w:w="28" w:type="dxa"/>
              <w:left w:w="57" w:type="dxa"/>
              <w:bottom w:w="28" w:type="dxa"/>
              <w:right w:w="57" w:type="dxa"/>
            </w:tcMar>
            <w:vAlign w:val="center"/>
          </w:tcPr>
          <w:p w14:paraId="287BFBD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人员保证</w:t>
            </w:r>
          </w:p>
        </w:tc>
        <w:tc>
          <w:tcPr>
            <w:tcW w:w="3739" w:type="pct"/>
            <w:noWrap w:val="0"/>
            <w:tcMar>
              <w:top w:w="28" w:type="dxa"/>
              <w:left w:w="57" w:type="dxa"/>
              <w:bottom w:w="28" w:type="dxa"/>
              <w:right w:w="57" w:type="dxa"/>
            </w:tcMar>
            <w:vAlign w:val="center"/>
          </w:tcPr>
          <w:p w14:paraId="730E5AF3">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1、选择有类似工程管理经验的骨干组成施工总承包项目部，保证总包管理人员均按业主要求，具有相关经验,确保从项目经理到每一个工程师都能够胜任自己的岗位。</w:t>
            </w:r>
          </w:p>
          <w:p w14:paraId="3AAEF8C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在管理团队组织构架设置方面，响应招标文件要求，并结合工程特点以及管理过程的需要按职能不同设置分职能部门的管理团队，按不同专业分专业职责的管理团队，根据不同阶段的专业工程不同设置专业管理团队，并要考虑根据工程区域划分区段管理团队。</w:t>
            </w:r>
          </w:p>
          <w:p w14:paraId="6DE5F20A">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3、选择与我司长期合作的核心劳务公司，能够保证劳动力数量充足，而且已经达到全国性的规模，在</w:t>
            </w:r>
            <w:r>
              <w:rPr>
                <w:rStyle w:val="93"/>
                <w:rFonts w:hint="eastAsia" w:ascii="宋体" w:hAnsi="宋体" w:cs="Times New Roman"/>
                <w:color w:val="auto"/>
                <w:sz w:val="21"/>
                <w:szCs w:val="21"/>
                <w:lang w:val="en-US" w:eastAsia="zh-CN"/>
              </w:rPr>
              <w:t>海南省</w:t>
            </w:r>
            <w:r>
              <w:rPr>
                <w:rStyle w:val="93"/>
                <w:rFonts w:hint="eastAsia" w:ascii="宋体" w:hAnsi="宋体" w:cs="Times New Roman"/>
                <w:color w:val="auto"/>
                <w:sz w:val="21"/>
                <w:szCs w:val="21"/>
              </w:rPr>
              <w:t>当地劳动力不足时可以全国调动劳动力资源，保证本项目劳动力资源的充足。要求劳务公司具有良好的质量、安全意识、较高的技术等级、有类似工程施工经验。</w:t>
            </w:r>
          </w:p>
          <w:p w14:paraId="3EFC334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4、在专业分包单位进场前，我司将事先考察其劳动力资源状况，确保选定的专业分包单位拥有充足的劳动力资源，保证工程进度，同时对专业分包单位提供的劳动力素质，安全意识，质量意识进行考核。</w:t>
            </w:r>
          </w:p>
        </w:tc>
      </w:tr>
      <w:tr w14:paraId="2E68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15B5859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2</w:t>
            </w:r>
          </w:p>
        </w:tc>
        <w:tc>
          <w:tcPr>
            <w:tcW w:w="753" w:type="pct"/>
            <w:noWrap w:val="0"/>
            <w:tcMar>
              <w:top w:w="28" w:type="dxa"/>
              <w:left w:w="57" w:type="dxa"/>
              <w:bottom w:w="28" w:type="dxa"/>
              <w:right w:w="57" w:type="dxa"/>
            </w:tcMar>
            <w:vAlign w:val="center"/>
          </w:tcPr>
          <w:p w14:paraId="5120897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机械保证</w:t>
            </w:r>
          </w:p>
        </w:tc>
        <w:tc>
          <w:tcPr>
            <w:tcW w:w="3739" w:type="pct"/>
            <w:noWrap w:val="0"/>
            <w:tcMar>
              <w:top w:w="28" w:type="dxa"/>
              <w:left w:w="57" w:type="dxa"/>
              <w:bottom w:w="28" w:type="dxa"/>
              <w:right w:w="57" w:type="dxa"/>
            </w:tcMar>
            <w:vAlign w:val="center"/>
          </w:tcPr>
          <w:p w14:paraId="5C05CD9C">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1、编制分阶段机械进场计划，对机械设备从招标到退场实行全过程监控，保证机械设备准时进场，施工过程中能做到及时维修，定期保养，保证施工过程的流畅，在完成施工任务后及时撤出场地。</w:t>
            </w:r>
          </w:p>
          <w:p w14:paraId="4ED806C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2、在不同阶段、按不同区域成立由不同人员组成的机械管理团队，保证机械的正常运作及出现故障时的及时维修。</w:t>
            </w:r>
          </w:p>
          <w:p w14:paraId="0CB9DFBA">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3、要求专业分包单位根据总进度计划编制相应的设备进场计划，并督促其设备及时进场，督促其按照总包的要求维护保养设备。</w:t>
            </w:r>
          </w:p>
        </w:tc>
      </w:tr>
      <w:tr w14:paraId="7DBD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2587D0EB">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3</w:t>
            </w:r>
          </w:p>
        </w:tc>
        <w:tc>
          <w:tcPr>
            <w:tcW w:w="753" w:type="pct"/>
            <w:noWrap w:val="0"/>
            <w:tcMar>
              <w:top w:w="28" w:type="dxa"/>
              <w:left w:w="57" w:type="dxa"/>
              <w:bottom w:w="28" w:type="dxa"/>
              <w:right w:w="57" w:type="dxa"/>
            </w:tcMar>
            <w:vAlign w:val="center"/>
          </w:tcPr>
          <w:p w14:paraId="7141CDA9">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物资保证</w:t>
            </w:r>
          </w:p>
        </w:tc>
        <w:tc>
          <w:tcPr>
            <w:tcW w:w="3739" w:type="pct"/>
            <w:noWrap w:val="0"/>
            <w:tcMar>
              <w:top w:w="28" w:type="dxa"/>
              <w:left w:w="57" w:type="dxa"/>
              <w:bottom w:w="28" w:type="dxa"/>
              <w:right w:w="57" w:type="dxa"/>
            </w:tcMar>
            <w:vAlign w:val="center"/>
          </w:tcPr>
          <w:p w14:paraId="423EEF8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1、我司在建筑市场拥有集团采购优势，并已经拥有自有周转材料储备，类似于钢管等关键性周转材料，我司完全可满足工程需求。</w:t>
            </w:r>
          </w:p>
          <w:p w14:paraId="55CF8C91">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2、调动我司已有的完善的物资分供网络及大批重合同、守信用、有实力的物资分供商，确保本项目物资材料供应的优先。</w:t>
            </w:r>
          </w:p>
          <w:p w14:paraId="4DDC276C">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3、编制资源需用计划。对使用的物资材料编制详尽总需求计划、月计划、周计划，并及时根据现场情况修正计划，对计划做出合理优化调整，及时准备，保证按时进场，满足施工需要。</w:t>
            </w:r>
          </w:p>
          <w:p w14:paraId="56616D5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4、项目试验员对进场的物资材料及时取样送检，并将检测结果及时呈报监理工程师，确保不因物资材料的质量问题延误施工。</w:t>
            </w:r>
          </w:p>
          <w:p w14:paraId="0B923870">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5、根据总体进度计划，要求专业分包单位编制相应的物资材料进场计划，督促其主要物资材料及时进场。</w:t>
            </w:r>
          </w:p>
        </w:tc>
      </w:tr>
      <w:tr w14:paraId="4010C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7D8A5DC5">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4</w:t>
            </w:r>
          </w:p>
        </w:tc>
        <w:tc>
          <w:tcPr>
            <w:tcW w:w="753" w:type="pct"/>
            <w:noWrap w:val="0"/>
            <w:tcMar>
              <w:top w:w="28" w:type="dxa"/>
              <w:left w:w="57" w:type="dxa"/>
              <w:bottom w:w="28" w:type="dxa"/>
              <w:right w:w="57" w:type="dxa"/>
            </w:tcMar>
            <w:vAlign w:val="center"/>
          </w:tcPr>
          <w:p w14:paraId="7FEBC820">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技术保证</w:t>
            </w:r>
          </w:p>
        </w:tc>
        <w:tc>
          <w:tcPr>
            <w:tcW w:w="3739" w:type="pct"/>
            <w:noWrap w:val="0"/>
            <w:tcMar>
              <w:top w:w="28" w:type="dxa"/>
              <w:left w:w="57" w:type="dxa"/>
              <w:bottom w:w="28" w:type="dxa"/>
              <w:right w:w="57" w:type="dxa"/>
            </w:tcMar>
            <w:vAlign w:val="center"/>
          </w:tcPr>
          <w:p w14:paraId="7D6FD7A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1、秉承“技术先行”的理念。聘请专家组成顾问团对本项目的科技攻关进行策划、立项，解决技术难题，项目施工期间在公司层面成立针对本项目的专家团，为项目提供技术及管理支持。</w:t>
            </w:r>
          </w:p>
          <w:p w14:paraId="2490CA4C">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2、组织科技攻关，开展对结构变形控制、装配式结构等方面的技术研究，为保证工期提供技术支持。</w:t>
            </w:r>
          </w:p>
          <w:p w14:paraId="4D17CEB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3、从中标开始起对本工程提出的特殊要求制订工艺文件并进行工艺评定，确保加工进度和产品质量。</w:t>
            </w:r>
          </w:p>
          <w:p w14:paraId="52F2C14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4、结合构件进场情况，采用汽车吊卸车及转运构件，节约塔吊使用时间。</w:t>
            </w:r>
          </w:p>
          <w:p w14:paraId="3DD5C808">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5、提前做好运输准备，确保构件如期进场。合理安排构件的进场顺序，避免堆积，减少二次倒运，场地外吊装时认真检查构件，确保构件吊装的有序进行。</w:t>
            </w:r>
          </w:p>
          <w:p w14:paraId="2A075A9B">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6、提前做好木模图纸深化工作，确保木模如期进场，保证木模尺寸符合图纸设计要求。</w:t>
            </w:r>
          </w:p>
          <w:p w14:paraId="24905D5C">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7、利用BIM标准模型及BIM标准模型导出的二维白图预留预埋图纸和管线安装节点详图等，指导结构施工的预留预埋工作及机电施工的管线安装等施工工作，保障施工进度。</w:t>
            </w:r>
          </w:p>
        </w:tc>
      </w:tr>
      <w:tr w14:paraId="0AA0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7AE37E73">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5</w:t>
            </w:r>
          </w:p>
        </w:tc>
        <w:tc>
          <w:tcPr>
            <w:tcW w:w="753" w:type="pct"/>
            <w:noWrap w:val="0"/>
            <w:tcMar>
              <w:top w:w="28" w:type="dxa"/>
              <w:left w:w="57" w:type="dxa"/>
              <w:bottom w:w="28" w:type="dxa"/>
              <w:right w:w="57" w:type="dxa"/>
            </w:tcMar>
            <w:vAlign w:val="center"/>
          </w:tcPr>
          <w:p w14:paraId="4B5E5C8A">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资金保证</w:t>
            </w:r>
          </w:p>
        </w:tc>
        <w:tc>
          <w:tcPr>
            <w:tcW w:w="3739" w:type="pct"/>
            <w:noWrap w:val="0"/>
            <w:tcMar>
              <w:top w:w="28" w:type="dxa"/>
              <w:left w:w="57" w:type="dxa"/>
              <w:bottom w:w="28" w:type="dxa"/>
              <w:right w:w="57" w:type="dxa"/>
            </w:tcMar>
            <w:vAlign w:val="center"/>
          </w:tcPr>
          <w:p w14:paraId="66A9B996">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1、我公司具备良好的资信等级，资金状况良好，针对本工程，一旦中标，我司会立即投入启动资金，保证项目顺利启动。</w:t>
            </w:r>
          </w:p>
          <w:p w14:paraId="459D7123">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2、对用于本工程的资金，我们将确保做到专款专用。</w:t>
            </w:r>
          </w:p>
          <w:p w14:paraId="0C2B9565">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3、制定资金使用制度，确保不因资金周转不灵而延误施工进度。</w:t>
            </w:r>
          </w:p>
        </w:tc>
      </w:tr>
      <w:tr w14:paraId="7C52E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465F18DA">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6</w:t>
            </w:r>
          </w:p>
        </w:tc>
        <w:tc>
          <w:tcPr>
            <w:tcW w:w="753" w:type="pct"/>
            <w:noWrap w:val="0"/>
            <w:tcMar>
              <w:top w:w="28" w:type="dxa"/>
              <w:left w:w="57" w:type="dxa"/>
              <w:bottom w:w="28" w:type="dxa"/>
              <w:right w:w="57" w:type="dxa"/>
            </w:tcMar>
            <w:vAlign w:val="center"/>
          </w:tcPr>
          <w:p w14:paraId="5EC669A2">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管理保证</w:t>
            </w:r>
          </w:p>
        </w:tc>
        <w:tc>
          <w:tcPr>
            <w:tcW w:w="3739" w:type="pct"/>
            <w:noWrap w:val="0"/>
            <w:tcMar>
              <w:top w:w="28" w:type="dxa"/>
              <w:left w:w="57" w:type="dxa"/>
              <w:bottom w:w="28" w:type="dxa"/>
              <w:right w:w="57" w:type="dxa"/>
            </w:tcMar>
            <w:vAlign w:val="center"/>
          </w:tcPr>
          <w:p w14:paraId="60D255D8">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1、建立完善的计划保证体系，形成不同阶段的安全文明施工方案，搭建实施性强的质量保证框架，按照 PDCA 循环切实保证工程进度按照计划进行，保证工程质量得到严格有效的控制，保证施工安全。</w:t>
            </w:r>
          </w:p>
          <w:p w14:paraId="2A008EEA">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2、对进度计划、现场工程安全文明施工、质量保证等实施奖罚制度。</w:t>
            </w:r>
          </w:p>
          <w:p w14:paraId="070D415E">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3、建立完善的成品保护制度，同时统一协调分包单位的成品保护工作，避免因为成品保护不当而造成返工，影响工期。</w:t>
            </w:r>
          </w:p>
          <w:p w14:paraId="519DD074">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4、根据施工阶段的不同分别进行现场平面布置设计，保证平面管理秩序井然，避免因为平面管理的失当而导致工效的降低。</w:t>
            </w:r>
          </w:p>
          <w:p w14:paraId="3F10ED6E">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5、制定严格的卫生管理制度，避免出现因管理不当、检查不严引起的卫生事件。生活物资供应及时，最大限度保证工期不受气候影响，准点保质保量为工人提供饮食、茶水，对晚上加班的人员另行安排夜宵，以提高作业工人的工作效率。</w:t>
            </w:r>
          </w:p>
        </w:tc>
      </w:tr>
      <w:tr w14:paraId="5513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8" w:type="pct"/>
            <w:noWrap w:val="0"/>
            <w:tcMar>
              <w:top w:w="28" w:type="dxa"/>
              <w:left w:w="57" w:type="dxa"/>
              <w:bottom w:w="28" w:type="dxa"/>
              <w:right w:w="57" w:type="dxa"/>
            </w:tcMar>
            <w:vAlign w:val="center"/>
          </w:tcPr>
          <w:p w14:paraId="53F890CE">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7</w:t>
            </w:r>
          </w:p>
        </w:tc>
        <w:tc>
          <w:tcPr>
            <w:tcW w:w="753" w:type="pct"/>
            <w:noWrap w:val="0"/>
            <w:tcMar>
              <w:top w:w="28" w:type="dxa"/>
              <w:left w:w="57" w:type="dxa"/>
              <w:bottom w:w="28" w:type="dxa"/>
              <w:right w:w="57" w:type="dxa"/>
            </w:tcMar>
            <w:vAlign w:val="center"/>
          </w:tcPr>
          <w:p w14:paraId="72FCA5AC">
            <w:pPr>
              <w:pStyle w:val="51"/>
              <w:spacing w:before="10" w:after="10" w:line="240" w:lineRule="auto"/>
              <w:rPr>
                <w:rStyle w:val="93"/>
                <w:rFonts w:hint="eastAsia" w:ascii="宋体" w:hAnsi="宋体" w:cs="Times New Roman"/>
                <w:color w:val="auto"/>
                <w:sz w:val="21"/>
                <w:szCs w:val="21"/>
              </w:rPr>
            </w:pPr>
            <w:r>
              <w:rPr>
                <w:rStyle w:val="93"/>
                <w:rFonts w:hint="eastAsia" w:ascii="宋体" w:hAnsi="宋体" w:cs="Times New Roman"/>
                <w:color w:val="auto"/>
                <w:sz w:val="21"/>
                <w:szCs w:val="21"/>
              </w:rPr>
              <w:t>对内对外关系保证</w:t>
            </w:r>
          </w:p>
        </w:tc>
        <w:tc>
          <w:tcPr>
            <w:tcW w:w="3739" w:type="pct"/>
            <w:noWrap w:val="0"/>
            <w:tcMar>
              <w:top w:w="28" w:type="dxa"/>
              <w:left w:w="57" w:type="dxa"/>
              <w:bottom w:w="28" w:type="dxa"/>
              <w:right w:w="57" w:type="dxa"/>
            </w:tcMar>
            <w:vAlign w:val="center"/>
          </w:tcPr>
          <w:p w14:paraId="4DD146A8">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1、加强与业主、设计、监理单位沟通交流，保证工作顺利进行。</w:t>
            </w:r>
          </w:p>
          <w:p w14:paraId="75BC3696">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2、加强与</w:t>
            </w:r>
            <w:r>
              <w:rPr>
                <w:rStyle w:val="93"/>
                <w:rFonts w:hint="eastAsia" w:ascii="宋体" w:hAnsi="宋体" w:cs="Times New Roman"/>
                <w:color w:val="auto"/>
                <w:sz w:val="21"/>
                <w:szCs w:val="21"/>
                <w:lang w:val="en-US" w:eastAsia="zh-CN"/>
              </w:rPr>
              <w:t>三亚</w:t>
            </w:r>
            <w:r>
              <w:rPr>
                <w:rStyle w:val="93"/>
                <w:rFonts w:hint="eastAsia" w:ascii="宋体" w:hAnsi="宋体" w:cs="Times New Roman"/>
                <w:color w:val="auto"/>
                <w:sz w:val="21"/>
                <w:szCs w:val="21"/>
              </w:rPr>
              <w:t>市质监站、安监站等相关机构沟通交流，保证工作的顺利展开。</w:t>
            </w:r>
          </w:p>
          <w:p w14:paraId="26B4FDA2">
            <w:pPr>
              <w:pStyle w:val="51"/>
              <w:spacing w:before="10" w:after="10" w:line="240" w:lineRule="auto"/>
              <w:jc w:val="left"/>
              <w:rPr>
                <w:rStyle w:val="93"/>
                <w:rFonts w:hint="eastAsia" w:ascii="宋体" w:hAnsi="宋体" w:cs="Times New Roman"/>
                <w:color w:val="auto"/>
                <w:sz w:val="21"/>
                <w:szCs w:val="21"/>
              </w:rPr>
            </w:pPr>
            <w:r>
              <w:rPr>
                <w:rStyle w:val="93"/>
                <w:rFonts w:hint="eastAsia" w:ascii="宋体" w:hAnsi="宋体" w:cs="Times New Roman"/>
                <w:color w:val="auto"/>
                <w:sz w:val="21"/>
                <w:szCs w:val="21"/>
              </w:rPr>
              <w:t>3、加强社会公共关系的协调，与</w:t>
            </w:r>
            <w:r>
              <w:rPr>
                <w:rStyle w:val="93"/>
                <w:rFonts w:hint="eastAsia" w:ascii="宋体" w:hAnsi="宋体" w:cs="Times New Roman"/>
                <w:color w:val="auto"/>
                <w:sz w:val="21"/>
                <w:szCs w:val="21"/>
                <w:lang w:val="en-US" w:eastAsia="zh-CN"/>
              </w:rPr>
              <w:t>三亚</w:t>
            </w:r>
            <w:r>
              <w:rPr>
                <w:rStyle w:val="93"/>
                <w:rFonts w:hint="eastAsia" w:ascii="宋体" w:hAnsi="宋体" w:cs="Times New Roman"/>
                <w:color w:val="auto"/>
                <w:sz w:val="21"/>
                <w:szCs w:val="21"/>
              </w:rPr>
              <w:t>当地政府部门、施工所属区城管、地铁单位、周边居民及居委会等协调好关系，为施工的正常进行创造优越的外部环境。</w:t>
            </w:r>
          </w:p>
        </w:tc>
      </w:tr>
    </w:tbl>
    <w:p w14:paraId="67933360">
      <w:pPr>
        <w:pStyle w:val="89"/>
        <w:spacing w:before="10" w:after="10" w:line="360" w:lineRule="auto"/>
        <w:ind w:firstLine="560"/>
        <w:rPr>
          <w:color w:val="auto"/>
          <w:sz w:val="24"/>
          <w:szCs w:val="24"/>
        </w:rPr>
      </w:pPr>
      <w:bookmarkStart w:id="373" w:name="_Toc60089639"/>
      <w:bookmarkStart w:id="374" w:name="_Toc71733108"/>
      <w:bookmarkStart w:id="375" w:name="_Toc166965321"/>
      <w:r>
        <w:rPr>
          <w:rFonts w:hint="eastAsia"/>
          <w:color w:val="auto"/>
          <w:sz w:val="24"/>
          <w:szCs w:val="24"/>
        </w:rPr>
        <w:t>4、各工序间协调进度保证措施</w:t>
      </w:r>
      <w:bookmarkEnd w:id="373"/>
      <w:bookmarkEnd w:id="374"/>
      <w:bookmarkEnd w:id="375"/>
    </w:p>
    <w:p w14:paraId="09A41DF4">
      <w:pPr>
        <w:pStyle w:val="89"/>
        <w:spacing w:before="10" w:after="10" w:line="360" w:lineRule="auto"/>
        <w:ind w:firstLine="560"/>
        <w:rPr>
          <w:color w:val="auto"/>
          <w:sz w:val="24"/>
          <w:szCs w:val="24"/>
        </w:rPr>
      </w:pPr>
      <w:r>
        <w:rPr>
          <w:rFonts w:hint="eastAsia"/>
          <w:color w:val="auto"/>
          <w:sz w:val="24"/>
          <w:szCs w:val="24"/>
        </w:rPr>
        <w:t>项目副经理负责现场优化综合平衡，负责协调各工序间的协调配合，结合项目情况制定协调措施。由项目副经理牵头组织成立协调小组，专门负责工序的协调。总承包方每周组织召开总承包协调会议，针对各分包间的重点工序问题进行沟通组织协调，落实协调会议的各项措施。</w:t>
      </w:r>
    </w:p>
    <w:p w14:paraId="51B56DFC">
      <w:pPr>
        <w:pStyle w:val="89"/>
        <w:spacing w:before="10" w:after="10" w:line="360" w:lineRule="auto"/>
        <w:ind w:firstLine="560"/>
        <w:rPr>
          <w:color w:val="auto"/>
          <w:sz w:val="24"/>
          <w:szCs w:val="24"/>
        </w:rPr>
      </w:pPr>
      <w:r>
        <w:rPr>
          <w:rFonts w:hint="eastAsia"/>
          <w:color w:val="auto"/>
          <w:sz w:val="24"/>
          <w:szCs w:val="24"/>
        </w:rPr>
        <w:t>协调小组随施工进度、施工现场的情况，本着确保重点，兼顾一般的原则，进行工序安排。施工工序安排在保证正常施工的情况下，穿插安排多工序同时施工。协调小组随时检查工程合同的执行情况，掌握和控制施工进度，及时进行人力、物力平衡，调配人力，督促材料、设备物资的供应，保证各工序的顺利进行。协调小组负责及时解决施工现场发现的矛盾，协调各施工协作单位和各部门之间的配合。协调小组监督工程质量和安全施工，检查后续工序的施工准备情况。</w:t>
      </w:r>
    </w:p>
    <w:p w14:paraId="7C85398E">
      <w:pPr>
        <w:pStyle w:val="89"/>
        <w:spacing w:before="10" w:after="10" w:line="360" w:lineRule="auto"/>
        <w:ind w:firstLine="560"/>
        <w:rPr>
          <w:color w:val="auto"/>
          <w:sz w:val="24"/>
          <w:szCs w:val="24"/>
        </w:rPr>
      </w:pPr>
      <w:r>
        <w:rPr>
          <w:rFonts w:hint="eastAsia"/>
          <w:color w:val="auto"/>
          <w:sz w:val="24"/>
          <w:szCs w:val="24"/>
        </w:rPr>
        <w:t>分包单位在施工中遇到的问题可上报协调小组，协调小组负责具体解决相关问题。分包单位在施工过程中必须按照协调小组的要求，积极采取有效措施确保工程进度，必要时按协调小组要求调整施工顺序。工期拖延的单位应积极采取措施，在规定时间内完成相关工序，对确需拖后的工程工期必须报协调小组批准。</w:t>
      </w:r>
    </w:p>
    <w:p w14:paraId="14AD7EA2">
      <w:pPr>
        <w:pStyle w:val="89"/>
        <w:spacing w:before="10" w:after="10" w:line="360" w:lineRule="auto"/>
        <w:ind w:firstLine="560"/>
        <w:rPr>
          <w:color w:val="auto"/>
          <w:sz w:val="24"/>
          <w:szCs w:val="24"/>
        </w:rPr>
      </w:pPr>
      <w:r>
        <w:rPr>
          <w:rFonts w:hint="eastAsia"/>
          <w:color w:val="auto"/>
          <w:sz w:val="24"/>
          <w:szCs w:val="24"/>
        </w:rPr>
        <w:t>现场生产负责人负责协调自有施工工序。项目部每周组织召开项目生产会，合理安排自有范围内的施工工序。</w:t>
      </w:r>
    </w:p>
    <w:p w14:paraId="7AEF04CE">
      <w:pPr>
        <w:pStyle w:val="89"/>
        <w:spacing w:before="10" w:after="10" w:line="360" w:lineRule="auto"/>
        <w:ind w:firstLine="560"/>
        <w:rPr>
          <w:color w:val="auto"/>
          <w:sz w:val="24"/>
          <w:szCs w:val="24"/>
        </w:rPr>
      </w:pPr>
      <w:r>
        <w:rPr>
          <w:rFonts w:hint="eastAsia"/>
          <w:color w:val="auto"/>
          <w:sz w:val="24"/>
          <w:szCs w:val="24"/>
        </w:rPr>
        <w:t>5、交叉施工原则与措施</w:t>
      </w:r>
    </w:p>
    <w:p w14:paraId="39C5C145">
      <w:pPr>
        <w:pStyle w:val="89"/>
        <w:spacing w:before="10" w:after="10" w:line="360" w:lineRule="auto"/>
        <w:ind w:firstLine="560"/>
        <w:rPr>
          <w:color w:val="auto"/>
          <w:sz w:val="24"/>
          <w:szCs w:val="24"/>
        </w:rPr>
      </w:pPr>
      <w:r>
        <w:rPr>
          <w:rFonts w:hint="eastAsia"/>
          <w:color w:val="auto"/>
          <w:sz w:val="24"/>
          <w:szCs w:val="24"/>
        </w:rPr>
        <w:t>（1）结构施工与粗装修的插入交叉施工原则</w:t>
      </w:r>
    </w:p>
    <w:p w14:paraId="380A9DD6">
      <w:pPr>
        <w:pStyle w:val="89"/>
        <w:spacing w:before="10" w:after="10" w:line="360" w:lineRule="auto"/>
        <w:ind w:firstLine="560"/>
        <w:rPr>
          <w:color w:val="auto"/>
          <w:sz w:val="24"/>
          <w:szCs w:val="24"/>
        </w:rPr>
      </w:pPr>
      <w:r>
        <w:rPr>
          <w:rFonts w:hint="eastAsia"/>
          <w:color w:val="auto"/>
          <w:sz w:val="24"/>
          <w:szCs w:val="24"/>
        </w:rPr>
        <w:t>解决总工期紧张的关键在于必须采取粗装提前插入的原则，以保证装饰装修有充裕的时间。要充分体现“结构快，粗装早插入，机电工程要紧张”的原则，在有工作面的情况下组织插入的原则。为遵循上述原则，可采用分段施工的方法，抓紧插入内隔墙安装和部分砌筑工程的施工，及早进行结构验收，以便水电安装和抹灰工作可以插入；采取分段验收的方法，可保证粗装修提前插入，精装修跟上的原则得以实现。结构施工与粗装工程有很多交叉矛盾，施工中要注意解决这些矛盾。</w:t>
      </w:r>
    </w:p>
    <w:p w14:paraId="357BA1EC">
      <w:pPr>
        <w:pStyle w:val="89"/>
        <w:spacing w:before="10" w:after="10" w:line="360" w:lineRule="auto"/>
        <w:ind w:firstLine="560"/>
        <w:rPr>
          <w:color w:val="auto"/>
          <w:sz w:val="24"/>
          <w:szCs w:val="24"/>
          <w:highlight w:val="none"/>
        </w:rPr>
      </w:pPr>
      <w:r>
        <w:rPr>
          <w:rFonts w:hint="eastAsia"/>
          <w:color w:val="auto"/>
          <w:sz w:val="24"/>
          <w:szCs w:val="24"/>
          <w:highlight w:val="none"/>
        </w:rPr>
        <w:t>（2）工作面交叉</w:t>
      </w:r>
    </w:p>
    <w:p w14:paraId="0E20F3F9">
      <w:pPr>
        <w:pStyle w:val="89"/>
        <w:spacing w:before="10" w:after="10" w:line="360" w:lineRule="auto"/>
        <w:ind w:firstLine="560"/>
        <w:rPr>
          <w:color w:val="auto"/>
          <w:sz w:val="24"/>
          <w:szCs w:val="24"/>
          <w:highlight w:val="none"/>
        </w:rPr>
      </w:pPr>
      <w:r>
        <w:rPr>
          <w:rFonts w:hint="eastAsia"/>
          <w:color w:val="auto"/>
          <w:sz w:val="24"/>
          <w:szCs w:val="24"/>
          <w:highlight w:val="none"/>
        </w:rPr>
        <w:t>粗装修插入后要与结构工作面适当隔离，划分区域，有一定的独立性，避免过多的干扰，应以不影响结构施工为原则。</w:t>
      </w:r>
    </w:p>
    <w:p w14:paraId="1C3DED81">
      <w:pPr>
        <w:pStyle w:val="89"/>
        <w:spacing w:before="10" w:after="10" w:line="360" w:lineRule="auto"/>
        <w:ind w:firstLine="560"/>
        <w:rPr>
          <w:color w:val="auto"/>
          <w:sz w:val="24"/>
          <w:szCs w:val="24"/>
          <w:highlight w:val="none"/>
        </w:rPr>
      </w:pPr>
      <w:r>
        <w:rPr>
          <w:rFonts w:hint="eastAsia"/>
          <w:color w:val="auto"/>
          <w:sz w:val="24"/>
          <w:szCs w:val="24"/>
          <w:highlight w:val="none"/>
        </w:rPr>
        <w:t>6、安全防护设施方面的交叉</w:t>
      </w:r>
    </w:p>
    <w:p w14:paraId="2B90C07C">
      <w:pPr>
        <w:pStyle w:val="89"/>
        <w:spacing w:before="10" w:after="10" w:line="360" w:lineRule="auto"/>
        <w:ind w:firstLine="560"/>
        <w:rPr>
          <w:color w:val="auto"/>
          <w:sz w:val="24"/>
          <w:szCs w:val="24"/>
          <w:highlight w:val="none"/>
        </w:rPr>
      </w:pPr>
      <w:r>
        <w:rPr>
          <w:rFonts w:hint="eastAsia"/>
          <w:color w:val="auto"/>
          <w:sz w:val="24"/>
          <w:szCs w:val="24"/>
          <w:highlight w:val="none"/>
        </w:rPr>
        <w:t>在粗装工作面上部分防护设施若有妨碍施工，可申报现场总监请求临时拆除，施工完后再恢复。严禁私自拆除必要的防护设施，以保证结构施工安全为原则。</w:t>
      </w:r>
    </w:p>
    <w:p w14:paraId="13B2626D">
      <w:pPr>
        <w:pStyle w:val="89"/>
        <w:spacing w:before="10" w:after="10" w:line="360" w:lineRule="auto"/>
        <w:ind w:firstLine="560"/>
        <w:rPr>
          <w:color w:val="auto"/>
          <w:sz w:val="24"/>
          <w:szCs w:val="24"/>
          <w:highlight w:val="none"/>
        </w:rPr>
      </w:pPr>
      <w:r>
        <w:rPr>
          <w:rFonts w:hint="eastAsia"/>
          <w:color w:val="auto"/>
          <w:sz w:val="24"/>
          <w:szCs w:val="24"/>
          <w:highlight w:val="none"/>
        </w:rPr>
        <w:t>7、粗装修与水电安装之间的交叉施工</w:t>
      </w:r>
    </w:p>
    <w:p w14:paraId="2AD4B367">
      <w:pPr>
        <w:pStyle w:val="89"/>
        <w:spacing w:before="10" w:after="10" w:line="360" w:lineRule="auto"/>
        <w:ind w:firstLine="560"/>
        <w:rPr>
          <w:color w:val="auto"/>
          <w:sz w:val="24"/>
          <w:szCs w:val="24"/>
          <w:highlight w:val="none"/>
        </w:rPr>
      </w:pPr>
      <w:r>
        <w:rPr>
          <w:rFonts w:hint="eastAsia"/>
          <w:color w:val="auto"/>
          <w:sz w:val="24"/>
          <w:szCs w:val="24"/>
          <w:highlight w:val="none"/>
        </w:rPr>
        <w:t>装修与水电安装之间的交叉施工，向来是工程施工中最尖锐的交叉矛盾，装修工作与水电安装交叉工作面大，内容复杂，如处理不当将出现相互制约，相互破坏的不利局面，土建与水电的交叉问题是一切交叉中的重点，必须重点解决。</w:t>
      </w:r>
    </w:p>
    <w:p w14:paraId="758F1F06">
      <w:pPr>
        <w:pStyle w:val="89"/>
        <w:spacing w:before="10" w:after="10" w:line="360" w:lineRule="auto"/>
        <w:ind w:firstLine="560"/>
        <w:rPr>
          <w:color w:val="auto"/>
          <w:sz w:val="24"/>
          <w:szCs w:val="24"/>
          <w:highlight w:val="none"/>
        </w:rPr>
      </w:pPr>
      <w:r>
        <w:rPr>
          <w:rFonts w:hint="eastAsia"/>
          <w:color w:val="auto"/>
          <w:sz w:val="24"/>
          <w:szCs w:val="24"/>
          <w:highlight w:val="none"/>
        </w:rPr>
        <w:t>解决此矛盾的原则：</w:t>
      </w:r>
    </w:p>
    <w:p w14:paraId="4FBE5132">
      <w:pPr>
        <w:pStyle w:val="89"/>
        <w:spacing w:before="10" w:after="10" w:line="360" w:lineRule="auto"/>
        <w:ind w:firstLine="560"/>
        <w:rPr>
          <w:color w:val="auto"/>
          <w:sz w:val="24"/>
          <w:szCs w:val="24"/>
          <w:highlight w:val="none"/>
        </w:rPr>
      </w:pPr>
      <w:r>
        <w:rPr>
          <w:rFonts w:hint="eastAsia"/>
          <w:color w:val="auto"/>
          <w:sz w:val="24"/>
          <w:szCs w:val="24"/>
          <w:highlight w:val="none"/>
        </w:rPr>
        <w:t>水电安装进度必须服从总包的进度计划，选择合理的穿插时机，要在总包统一协调指挥下施工，使整个工程形成一盘棋。</w:t>
      </w:r>
    </w:p>
    <w:p w14:paraId="6C340971">
      <w:pPr>
        <w:pStyle w:val="89"/>
        <w:spacing w:before="10" w:after="10" w:line="360" w:lineRule="auto"/>
        <w:ind w:firstLine="560"/>
        <w:rPr>
          <w:color w:val="auto"/>
          <w:sz w:val="24"/>
          <w:szCs w:val="24"/>
          <w:highlight w:val="none"/>
        </w:rPr>
      </w:pPr>
      <w:r>
        <w:rPr>
          <w:rFonts w:hint="eastAsia"/>
          <w:color w:val="auto"/>
          <w:sz w:val="24"/>
          <w:szCs w:val="24"/>
          <w:highlight w:val="none"/>
        </w:rPr>
        <w:t>明确责任，正确划分利益关系。</w:t>
      </w:r>
    </w:p>
    <w:p w14:paraId="184B5CBA">
      <w:pPr>
        <w:pStyle w:val="89"/>
        <w:spacing w:before="10" w:after="10" w:line="360" w:lineRule="auto"/>
        <w:ind w:firstLine="560"/>
        <w:rPr>
          <w:color w:val="auto"/>
          <w:sz w:val="24"/>
          <w:szCs w:val="24"/>
          <w:highlight w:val="none"/>
        </w:rPr>
      </w:pPr>
      <w:r>
        <w:rPr>
          <w:rFonts w:hint="eastAsia"/>
          <w:color w:val="auto"/>
          <w:sz w:val="24"/>
          <w:szCs w:val="24"/>
          <w:highlight w:val="none"/>
        </w:rPr>
        <w:t>建立固定的协调制度。</w:t>
      </w:r>
    </w:p>
    <w:p w14:paraId="7C5BE875">
      <w:pPr>
        <w:pStyle w:val="89"/>
        <w:spacing w:before="10" w:after="10" w:line="360" w:lineRule="auto"/>
        <w:ind w:firstLine="560"/>
        <w:rPr>
          <w:color w:val="auto"/>
          <w:sz w:val="24"/>
          <w:szCs w:val="24"/>
          <w:highlight w:val="none"/>
        </w:rPr>
      </w:pPr>
      <w:r>
        <w:rPr>
          <w:rFonts w:hint="eastAsia"/>
          <w:color w:val="auto"/>
          <w:sz w:val="24"/>
          <w:szCs w:val="24"/>
          <w:highlight w:val="none"/>
        </w:rPr>
        <w:t>一切从大局出发互谅互让，土建要为水电安装创造条件，水电安装要注意对土建成品和半成品的保护。</w:t>
      </w:r>
    </w:p>
    <w:p w14:paraId="7B1A8D83">
      <w:pPr>
        <w:pStyle w:val="89"/>
        <w:spacing w:before="10" w:after="10" w:line="360" w:lineRule="auto"/>
        <w:ind w:firstLine="560"/>
        <w:rPr>
          <w:color w:val="auto"/>
          <w:sz w:val="24"/>
          <w:szCs w:val="24"/>
          <w:highlight w:val="none"/>
        </w:rPr>
      </w:pPr>
      <w:r>
        <w:rPr>
          <w:rFonts w:hint="eastAsia"/>
          <w:color w:val="auto"/>
          <w:sz w:val="24"/>
          <w:szCs w:val="24"/>
          <w:highlight w:val="none"/>
        </w:rPr>
        <w:t>8、内外装修的交叉施工</w:t>
      </w:r>
    </w:p>
    <w:p w14:paraId="4C5B5AF0">
      <w:pPr>
        <w:pStyle w:val="89"/>
        <w:spacing w:before="10" w:after="10" w:line="360" w:lineRule="auto"/>
        <w:ind w:firstLine="560"/>
        <w:rPr>
          <w:color w:val="auto"/>
          <w:sz w:val="24"/>
          <w:szCs w:val="24"/>
          <w:highlight w:val="none"/>
        </w:rPr>
      </w:pPr>
      <w:r>
        <w:rPr>
          <w:rFonts w:hint="eastAsia"/>
          <w:color w:val="auto"/>
          <w:sz w:val="24"/>
          <w:szCs w:val="24"/>
          <w:highlight w:val="none"/>
        </w:rPr>
        <w:t>进入装修阶段内外装修亦存在许多交叉点，但总体遵循原则为：先外后内，内装修要为外部装修提供条件和工作面，内装修时，外装修拆架子时要注意不破坏装饰，在室内外工序的安排上要按照施工方案的要求顺序进行，保证室内外装修交叉施工顺利进行。</w:t>
      </w:r>
    </w:p>
    <w:p w14:paraId="2BDC385B">
      <w:pPr>
        <w:pStyle w:val="89"/>
        <w:spacing w:before="10" w:after="10" w:line="360" w:lineRule="auto"/>
        <w:ind w:firstLine="560"/>
        <w:rPr>
          <w:color w:val="auto"/>
          <w:sz w:val="24"/>
          <w:szCs w:val="24"/>
          <w:highlight w:val="none"/>
        </w:rPr>
      </w:pPr>
      <w:r>
        <w:rPr>
          <w:rFonts w:hint="eastAsia"/>
          <w:color w:val="auto"/>
          <w:sz w:val="24"/>
          <w:szCs w:val="24"/>
          <w:highlight w:val="none"/>
        </w:rPr>
        <w:t>9、安装专业施工队与土建之间的交叉协调</w:t>
      </w:r>
    </w:p>
    <w:p w14:paraId="5EDF6F34">
      <w:pPr>
        <w:pStyle w:val="89"/>
        <w:spacing w:before="10" w:after="10" w:line="360" w:lineRule="auto"/>
        <w:ind w:firstLine="560"/>
        <w:rPr>
          <w:color w:val="auto"/>
          <w:sz w:val="24"/>
          <w:szCs w:val="24"/>
          <w:highlight w:val="none"/>
        </w:rPr>
      </w:pPr>
      <w:r>
        <w:rPr>
          <w:rFonts w:hint="eastAsia"/>
          <w:color w:val="auto"/>
          <w:sz w:val="24"/>
          <w:szCs w:val="24"/>
          <w:highlight w:val="none"/>
        </w:rPr>
        <w:t>（1）土建结构浇混凝土之前，机电预埋管线与土建的配合协调。</w:t>
      </w:r>
    </w:p>
    <w:p w14:paraId="57783C99">
      <w:pPr>
        <w:pStyle w:val="89"/>
        <w:spacing w:before="10" w:after="10" w:line="360" w:lineRule="auto"/>
        <w:ind w:firstLine="560"/>
        <w:rPr>
          <w:color w:val="auto"/>
          <w:sz w:val="24"/>
          <w:szCs w:val="24"/>
          <w:highlight w:val="none"/>
        </w:rPr>
      </w:pPr>
      <w:r>
        <w:rPr>
          <w:rFonts w:hint="eastAsia"/>
          <w:color w:val="auto"/>
          <w:sz w:val="24"/>
          <w:szCs w:val="24"/>
          <w:highlight w:val="none"/>
        </w:rPr>
        <w:t>机电预埋线配合土建浇捣混凝土，往往施工期短，安装要求高，因此，安装施工作业队在现场随时保持与土建联系，协调预埋管线安装时间，以使土建工作顺利进行。</w:t>
      </w:r>
    </w:p>
    <w:p w14:paraId="582C0B2D">
      <w:pPr>
        <w:pStyle w:val="89"/>
        <w:spacing w:before="10" w:after="10" w:line="360" w:lineRule="auto"/>
        <w:ind w:firstLine="560"/>
        <w:rPr>
          <w:color w:val="auto"/>
          <w:sz w:val="24"/>
          <w:szCs w:val="24"/>
          <w:highlight w:val="none"/>
        </w:rPr>
      </w:pPr>
      <w:r>
        <w:rPr>
          <w:rFonts w:hint="eastAsia"/>
          <w:color w:val="auto"/>
          <w:sz w:val="24"/>
          <w:szCs w:val="24"/>
          <w:highlight w:val="none"/>
        </w:rPr>
        <w:t>（2）土建结构施工时的协调工作</w:t>
      </w:r>
    </w:p>
    <w:p w14:paraId="14B8324D">
      <w:pPr>
        <w:pStyle w:val="89"/>
        <w:spacing w:before="10" w:after="10" w:line="360" w:lineRule="auto"/>
        <w:ind w:firstLine="560"/>
        <w:rPr>
          <w:color w:val="auto"/>
          <w:sz w:val="24"/>
          <w:szCs w:val="24"/>
          <w:highlight w:val="none"/>
        </w:rPr>
      </w:pPr>
      <w:r>
        <w:rPr>
          <w:rFonts w:hint="eastAsia"/>
          <w:color w:val="auto"/>
          <w:sz w:val="24"/>
          <w:szCs w:val="24"/>
          <w:highlight w:val="none"/>
        </w:rPr>
        <w:t>在结构施工时，机电也要进行穿插预埋管线施工，制定详细的周计划，细化到各工序各小时，为机电安装预留充足时间。</w:t>
      </w:r>
    </w:p>
    <w:p w14:paraId="19D3E326">
      <w:pPr>
        <w:pStyle w:val="89"/>
        <w:spacing w:before="10" w:after="10" w:line="360" w:lineRule="auto"/>
        <w:ind w:firstLine="560"/>
        <w:rPr>
          <w:color w:val="auto"/>
          <w:sz w:val="24"/>
          <w:szCs w:val="24"/>
          <w:highlight w:val="none"/>
        </w:rPr>
      </w:pPr>
      <w:r>
        <w:rPr>
          <w:rFonts w:hint="eastAsia"/>
          <w:color w:val="auto"/>
          <w:sz w:val="24"/>
          <w:szCs w:val="24"/>
          <w:highlight w:val="none"/>
        </w:rPr>
        <w:t>（3）机电安装、敲凿洞、拆搭脚手及修补工作与土建的协调。</w:t>
      </w:r>
    </w:p>
    <w:p w14:paraId="32F6AA7C">
      <w:pPr>
        <w:pStyle w:val="89"/>
        <w:spacing w:before="10" w:after="10" w:line="360" w:lineRule="auto"/>
        <w:ind w:firstLine="560"/>
        <w:rPr>
          <w:color w:val="auto"/>
          <w:sz w:val="24"/>
          <w:szCs w:val="24"/>
          <w:highlight w:val="none"/>
        </w:rPr>
      </w:pPr>
      <w:r>
        <w:rPr>
          <w:rFonts w:hint="eastAsia"/>
          <w:color w:val="auto"/>
          <w:sz w:val="24"/>
          <w:szCs w:val="24"/>
          <w:highlight w:val="none"/>
        </w:rPr>
        <w:t>机电安装施工时，由于业主设计变更，需重新敲、凿及拆搭脚手架，安装完成后土建需做地坪及封洞修补工作。一方面催促土建向安装专业施工队提交机房等施工现场面，另一方面，要求安装专业施工队尽快完成安装返交土建修补，同时督促各安装专业施工队减少返工，以免增加土建修补工作量。</w:t>
      </w:r>
    </w:p>
    <w:p w14:paraId="649DB16B">
      <w:pPr>
        <w:pStyle w:val="89"/>
        <w:spacing w:before="10" w:after="10" w:line="360" w:lineRule="auto"/>
        <w:ind w:firstLine="560"/>
        <w:rPr>
          <w:color w:val="auto"/>
          <w:sz w:val="24"/>
          <w:szCs w:val="24"/>
          <w:highlight w:val="none"/>
        </w:rPr>
      </w:pPr>
      <w:r>
        <w:rPr>
          <w:rFonts w:hint="eastAsia"/>
          <w:color w:val="auto"/>
          <w:sz w:val="24"/>
          <w:szCs w:val="24"/>
          <w:highlight w:val="none"/>
        </w:rPr>
        <w:t>（4）安装专业施工队与精装修间的施工协调</w:t>
      </w:r>
    </w:p>
    <w:p w14:paraId="39B93E08">
      <w:pPr>
        <w:pStyle w:val="89"/>
        <w:spacing w:before="10" w:after="10" w:line="360" w:lineRule="auto"/>
        <w:ind w:firstLine="560"/>
        <w:rPr>
          <w:color w:val="auto"/>
          <w:sz w:val="24"/>
          <w:szCs w:val="24"/>
          <w:highlight w:val="none"/>
        </w:rPr>
      </w:pPr>
      <w:r>
        <w:rPr>
          <w:rFonts w:hint="eastAsia"/>
          <w:color w:val="auto"/>
          <w:sz w:val="24"/>
          <w:szCs w:val="24"/>
          <w:highlight w:val="none"/>
        </w:rPr>
        <w:t>机电安装与精装修在施工时存在工种搭接顺序矛盾，在机电主管、线路安装结束后，将进入精装修阶段。首先，分析审核机电精装修的施工计划，然后现场协调机电安装交精装修的时间，以及精装修返交机电安装洁具等时间，并做好吊平顶封板前的隐蔽工程验收，确保装潢施工。</w:t>
      </w:r>
    </w:p>
    <w:p w14:paraId="4FA8437B">
      <w:pPr>
        <w:pStyle w:val="89"/>
        <w:spacing w:before="10" w:after="10" w:line="360" w:lineRule="auto"/>
        <w:ind w:firstLine="560"/>
        <w:rPr>
          <w:color w:val="auto"/>
          <w:sz w:val="24"/>
          <w:szCs w:val="24"/>
          <w:highlight w:val="none"/>
        </w:rPr>
      </w:pPr>
      <w:r>
        <w:rPr>
          <w:rFonts w:hint="eastAsia"/>
          <w:color w:val="auto"/>
          <w:sz w:val="24"/>
          <w:szCs w:val="24"/>
          <w:highlight w:val="none"/>
        </w:rPr>
        <w:t>10、交叉施工技术管理</w:t>
      </w:r>
    </w:p>
    <w:p w14:paraId="33B85CB4">
      <w:pPr>
        <w:pStyle w:val="89"/>
        <w:spacing w:before="10" w:after="10" w:line="360" w:lineRule="auto"/>
        <w:ind w:firstLine="560"/>
        <w:rPr>
          <w:color w:val="auto"/>
          <w:sz w:val="24"/>
          <w:szCs w:val="24"/>
          <w:highlight w:val="none"/>
        </w:rPr>
      </w:pPr>
      <w:r>
        <w:rPr>
          <w:rFonts w:hint="eastAsia"/>
          <w:color w:val="auto"/>
          <w:sz w:val="24"/>
          <w:szCs w:val="24"/>
          <w:highlight w:val="none"/>
        </w:rPr>
        <w:t>（1）运用专业技术优化设计，为施工交叉管理打好基础</w:t>
      </w:r>
    </w:p>
    <w:p w14:paraId="50D727FB">
      <w:pPr>
        <w:pStyle w:val="89"/>
        <w:spacing w:before="10" w:after="10" w:line="360" w:lineRule="auto"/>
        <w:ind w:firstLine="560"/>
        <w:rPr>
          <w:color w:val="auto"/>
          <w:sz w:val="24"/>
          <w:szCs w:val="24"/>
          <w:highlight w:val="none"/>
        </w:rPr>
      </w:pPr>
      <w:r>
        <w:rPr>
          <w:rFonts w:hint="eastAsia"/>
          <w:color w:val="auto"/>
          <w:sz w:val="24"/>
          <w:szCs w:val="24"/>
          <w:highlight w:val="none"/>
        </w:rPr>
        <w:t>由于各专业设计都有各自的设计原则和处置办法，很少考虑在同一张平面图上叠加其他专业的设计成果，这就导致了不同专业在后续施工中交叉作业，争抢同一工作面，影响后续施工，甚至埋下安全、质量隐患，造成不必要的损失。因此，必需以建筑专业为主，结构、水电、暖通等专业为辅。重视图纸会审，减少由于图纸问题引起现场施工冲突，例如结构图与建筑图不相符，以致现场构筑物尺寸偏差，影响门窗甚至电气管道的安装。其次图纸到现场后需对图纸进行充分的了解，运用BIM技术，对图纸中的错误、不合理的地方及时提出问题并考虑成本和效果的平衡。</w:t>
      </w:r>
    </w:p>
    <w:p w14:paraId="59EFDA09">
      <w:pPr>
        <w:pStyle w:val="89"/>
        <w:spacing w:before="10" w:after="10" w:line="360" w:lineRule="auto"/>
        <w:ind w:firstLine="560"/>
        <w:rPr>
          <w:color w:val="auto"/>
          <w:sz w:val="24"/>
          <w:szCs w:val="24"/>
          <w:highlight w:val="none"/>
        </w:rPr>
      </w:pPr>
      <w:r>
        <w:rPr>
          <w:rFonts w:hint="eastAsia"/>
          <w:color w:val="auto"/>
          <w:sz w:val="24"/>
          <w:szCs w:val="24"/>
          <w:highlight w:val="none"/>
        </w:rPr>
        <w:t>（2）建议建立快速处置机制，为施工交叉管理提供有效手段</w:t>
      </w:r>
    </w:p>
    <w:p w14:paraId="361BCD64">
      <w:pPr>
        <w:pStyle w:val="89"/>
        <w:spacing w:before="10" w:after="10" w:line="360" w:lineRule="auto"/>
        <w:ind w:firstLine="560"/>
        <w:rPr>
          <w:color w:val="auto"/>
          <w:sz w:val="24"/>
          <w:szCs w:val="24"/>
          <w:highlight w:val="none"/>
        </w:rPr>
      </w:pPr>
      <w:r>
        <w:rPr>
          <w:rFonts w:hint="eastAsia"/>
          <w:color w:val="auto"/>
          <w:sz w:val="24"/>
          <w:szCs w:val="24"/>
          <w:highlight w:val="none"/>
        </w:rPr>
        <w:t>实际工作中，各专业、各工种、多工序的交叉冲突难以避免，因此，平时应按规范、规程的要求，不断收集、总结、更新可借鉴的经验，编制《快速处置技术手册》，让管理层到操作层统一意识。当出现相互交叉挤占同一空间等冲突问题时，能快速、妥善得以解决。</w:t>
      </w:r>
    </w:p>
    <w:p w14:paraId="1C4E5A27">
      <w:pPr>
        <w:pStyle w:val="89"/>
        <w:spacing w:before="10" w:after="10" w:line="360" w:lineRule="auto"/>
        <w:ind w:firstLine="560"/>
        <w:rPr>
          <w:color w:val="auto"/>
          <w:sz w:val="24"/>
          <w:szCs w:val="24"/>
          <w:highlight w:val="none"/>
        </w:rPr>
      </w:pPr>
      <w:r>
        <w:rPr>
          <w:rFonts w:hint="eastAsia"/>
          <w:color w:val="auto"/>
          <w:sz w:val="24"/>
          <w:szCs w:val="24"/>
          <w:highlight w:val="none"/>
        </w:rPr>
        <w:t>11、管理实践中较为常用的一般处置机制归纳如下：</w:t>
      </w:r>
    </w:p>
    <w:p w14:paraId="0F4BFC88">
      <w:pPr>
        <w:pStyle w:val="89"/>
        <w:spacing w:before="10" w:after="10" w:line="360" w:lineRule="auto"/>
        <w:ind w:firstLine="560"/>
        <w:rPr>
          <w:color w:val="auto"/>
          <w:sz w:val="24"/>
          <w:szCs w:val="24"/>
          <w:highlight w:val="none"/>
        </w:rPr>
      </w:pPr>
      <w:r>
        <w:rPr>
          <w:rFonts w:hint="eastAsia"/>
          <w:color w:val="auto"/>
          <w:sz w:val="24"/>
          <w:szCs w:val="24"/>
          <w:highlight w:val="none"/>
        </w:rPr>
        <w:t xml:space="preserve"> “操作员对班组负责，班组对专业队伍负责，总承包、监理、设计对业主负责”的机制，实现化整为零，分工明确，避免无序管理。</w:t>
      </w:r>
    </w:p>
    <w:p w14:paraId="1EDD4969">
      <w:pPr>
        <w:pStyle w:val="89"/>
        <w:spacing w:before="10" w:after="10" w:line="360" w:lineRule="auto"/>
        <w:ind w:firstLine="560"/>
        <w:rPr>
          <w:color w:val="auto"/>
          <w:sz w:val="24"/>
          <w:szCs w:val="24"/>
          <w:highlight w:val="none"/>
        </w:rPr>
      </w:pPr>
      <w:r>
        <w:rPr>
          <w:rFonts w:hint="eastAsia"/>
          <w:color w:val="auto"/>
          <w:sz w:val="24"/>
          <w:szCs w:val="24"/>
          <w:highlight w:val="none"/>
        </w:rPr>
        <w:t xml:space="preserve"> “先地下后地上，先土建后设备，先主体后围护，先结构后装修，先主体后附属”的机制，避免工序、流程倒置，管理混乱。</w:t>
      </w:r>
    </w:p>
    <w:p w14:paraId="151D200A">
      <w:pPr>
        <w:pStyle w:val="89"/>
        <w:spacing w:before="10" w:after="10" w:line="360" w:lineRule="auto"/>
        <w:ind w:firstLine="560"/>
        <w:rPr>
          <w:color w:val="auto"/>
          <w:sz w:val="24"/>
          <w:szCs w:val="24"/>
          <w:highlight w:val="none"/>
        </w:rPr>
      </w:pPr>
      <w:r>
        <w:rPr>
          <w:rFonts w:hint="eastAsia"/>
          <w:color w:val="auto"/>
          <w:sz w:val="24"/>
          <w:szCs w:val="24"/>
          <w:highlight w:val="none"/>
        </w:rPr>
        <w:t>先布置管径较大的管线，后布置管径较小的管线，遇管线交叉时，应小管避让大管。因小管所占空间位置较小，造价相对较低且易于安装。</w:t>
      </w:r>
    </w:p>
    <w:p w14:paraId="2D56F35E">
      <w:pPr>
        <w:pStyle w:val="89"/>
        <w:spacing w:before="10" w:after="10" w:line="360" w:lineRule="auto"/>
        <w:ind w:firstLine="560"/>
        <w:rPr>
          <w:color w:val="auto"/>
          <w:sz w:val="24"/>
          <w:szCs w:val="24"/>
          <w:highlight w:val="none"/>
        </w:rPr>
      </w:pPr>
      <w:r>
        <w:rPr>
          <w:rFonts w:hint="eastAsia"/>
          <w:color w:val="auto"/>
          <w:sz w:val="24"/>
          <w:szCs w:val="24"/>
          <w:highlight w:val="none"/>
        </w:rPr>
        <w:t>有压力管道避让无压力管道。管线交叉时，应将无压管道对标高的要求作为首要条件给予满足。</w:t>
      </w:r>
    </w:p>
    <w:p w14:paraId="5C4EC2A7">
      <w:pPr>
        <w:pStyle w:val="89"/>
        <w:spacing w:before="10" w:after="10" w:line="360" w:lineRule="auto"/>
        <w:ind w:firstLine="560"/>
        <w:rPr>
          <w:color w:val="auto"/>
          <w:sz w:val="24"/>
          <w:szCs w:val="24"/>
          <w:highlight w:val="none"/>
        </w:rPr>
      </w:pPr>
      <w:r>
        <w:rPr>
          <w:rFonts w:hint="eastAsia"/>
          <w:color w:val="auto"/>
          <w:sz w:val="24"/>
          <w:szCs w:val="24"/>
          <w:highlight w:val="none"/>
        </w:rPr>
        <w:t>通过建立上述处置机制，实现各专业、各工种、多工序的“和平共处”，使后序施工顺利实施。</w:t>
      </w:r>
    </w:p>
    <w:p w14:paraId="16A27640">
      <w:pPr>
        <w:pStyle w:val="89"/>
        <w:spacing w:before="10" w:after="10" w:line="360" w:lineRule="auto"/>
        <w:ind w:firstLine="560"/>
        <w:rPr>
          <w:color w:val="auto"/>
          <w:sz w:val="24"/>
          <w:szCs w:val="24"/>
          <w:highlight w:val="none"/>
        </w:rPr>
      </w:pPr>
      <w:r>
        <w:rPr>
          <w:rFonts w:hint="eastAsia"/>
          <w:color w:val="auto"/>
          <w:sz w:val="24"/>
          <w:szCs w:val="24"/>
          <w:highlight w:val="none"/>
        </w:rPr>
        <w:t xml:space="preserve">12、应用PDCA管理体系，为施工交叉管理提供有力保障 </w:t>
      </w:r>
    </w:p>
    <w:p w14:paraId="5579EC40">
      <w:pPr>
        <w:pStyle w:val="89"/>
        <w:spacing w:before="10" w:after="10" w:line="360" w:lineRule="auto"/>
        <w:ind w:firstLine="560"/>
        <w:rPr>
          <w:color w:val="auto"/>
          <w:sz w:val="24"/>
          <w:szCs w:val="24"/>
          <w:highlight w:val="none"/>
        </w:rPr>
      </w:pPr>
      <w:r>
        <w:rPr>
          <w:rFonts w:hint="eastAsia"/>
          <w:color w:val="auto"/>
          <w:sz w:val="24"/>
          <w:szCs w:val="24"/>
          <w:highlight w:val="none"/>
        </w:rPr>
        <w:t>施工过程的各专业、各工种、多工序的交叉冲突，存在点多面广，情况复杂的特点。需要有“PDCA管理技术”这样的科学管理方法来解决交叉冲突，优化施工管理。通过计划（PLAN）、实施（DO）、检查（CHECK）、处理（ACTfON） 4个阶段、8个步骤循环完成的一种管理体系。PDCA管理体系中各环节紧密联系，每次循环都有新的目标和内容。每循环一次，就实现一定的质量目标，解决一定的问题，通过不停地转动，使质量水平不断的得以提高。</w:t>
      </w:r>
    </w:p>
    <w:p w14:paraId="6D236AED">
      <w:pPr>
        <w:pStyle w:val="89"/>
        <w:spacing w:before="10" w:after="10" w:line="360" w:lineRule="auto"/>
        <w:ind w:firstLine="560"/>
        <w:rPr>
          <w:color w:val="auto"/>
          <w:sz w:val="24"/>
          <w:szCs w:val="24"/>
          <w:highlight w:val="none"/>
        </w:rPr>
      </w:pPr>
      <w:r>
        <w:rPr>
          <w:rFonts w:hint="eastAsia"/>
          <w:color w:val="auto"/>
          <w:sz w:val="24"/>
          <w:szCs w:val="24"/>
          <w:highlight w:val="none"/>
        </w:rPr>
        <w:t>13、交叉施工安全管理</w:t>
      </w:r>
    </w:p>
    <w:p w14:paraId="42C92E39">
      <w:pPr>
        <w:pStyle w:val="89"/>
        <w:spacing w:before="10" w:after="10" w:line="360" w:lineRule="auto"/>
        <w:ind w:firstLine="560"/>
        <w:rPr>
          <w:color w:val="auto"/>
          <w:sz w:val="24"/>
          <w:szCs w:val="24"/>
          <w:highlight w:val="none"/>
        </w:rPr>
      </w:pPr>
      <w:r>
        <w:rPr>
          <w:rFonts w:hint="eastAsia"/>
          <w:color w:val="auto"/>
          <w:sz w:val="24"/>
          <w:szCs w:val="24"/>
          <w:highlight w:val="none"/>
        </w:rPr>
        <w:t>（1）施工作业</w:t>
      </w:r>
    </w:p>
    <w:p w14:paraId="6F777C11">
      <w:pPr>
        <w:pStyle w:val="89"/>
        <w:spacing w:before="10" w:after="10" w:line="360" w:lineRule="auto"/>
        <w:ind w:firstLine="560"/>
        <w:rPr>
          <w:color w:val="auto"/>
          <w:sz w:val="24"/>
          <w:szCs w:val="24"/>
          <w:highlight w:val="none"/>
        </w:rPr>
      </w:pPr>
      <w:r>
        <w:rPr>
          <w:rFonts w:hint="eastAsia"/>
          <w:color w:val="auto"/>
          <w:sz w:val="24"/>
          <w:szCs w:val="24"/>
          <w:highlight w:val="none"/>
        </w:rPr>
        <w:t>总承包单位根据各分包单位自身实际情况，明确各级管理人员的责任、职责，制定出详细的控制措施，做到“定人、定目标、定措施、定职责”，确保生产安全。</w:t>
      </w:r>
    </w:p>
    <w:p w14:paraId="3A0B5BE3">
      <w:pPr>
        <w:pStyle w:val="89"/>
        <w:spacing w:before="10" w:after="10" w:line="360" w:lineRule="auto"/>
        <w:ind w:firstLine="560"/>
        <w:rPr>
          <w:color w:val="auto"/>
          <w:sz w:val="24"/>
          <w:szCs w:val="24"/>
          <w:highlight w:val="none"/>
        </w:rPr>
      </w:pPr>
      <w:r>
        <w:rPr>
          <w:rFonts w:hint="eastAsia"/>
          <w:color w:val="auto"/>
          <w:sz w:val="24"/>
          <w:szCs w:val="24"/>
          <w:highlight w:val="none"/>
        </w:rPr>
        <w:t>（2）施工作业的一般安全要求</w:t>
      </w:r>
    </w:p>
    <w:p w14:paraId="65EE53E9">
      <w:pPr>
        <w:pStyle w:val="89"/>
        <w:spacing w:before="10" w:after="10" w:line="360" w:lineRule="auto"/>
        <w:ind w:firstLine="560"/>
        <w:rPr>
          <w:color w:val="auto"/>
          <w:sz w:val="24"/>
          <w:szCs w:val="24"/>
          <w:highlight w:val="none"/>
        </w:rPr>
      </w:pPr>
      <w:r>
        <w:rPr>
          <w:rFonts w:hint="eastAsia"/>
          <w:color w:val="auto"/>
          <w:sz w:val="24"/>
          <w:szCs w:val="24"/>
          <w:highlight w:val="none"/>
        </w:rPr>
        <w:t>交叉作业施工中需遵守的一般安全要求主要有以下几点：交叉作业要设安全栏杆、安全网、防护棚和示警围栏；夜间工作要有足够照明；施工人员必须体检合格，作业时须带安全帽，不准穿凉鞋、硬底鞋、塑料鞋及赤脚攀登；作业中不准将工具、材料上、下投掷，要用绳索绑牢后吊运；六级以上大风时不能施工工作。</w:t>
      </w:r>
    </w:p>
    <w:p w14:paraId="60F39C36">
      <w:pPr>
        <w:pStyle w:val="89"/>
        <w:spacing w:before="10" w:after="10" w:line="360" w:lineRule="auto"/>
        <w:ind w:firstLine="560"/>
        <w:rPr>
          <w:color w:val="auto"/>
          <w:sz w:val="24"/>
          <w:szCs w:val="24"/>
          <w:highlight w:val="none"/>
        </w:rPr>
      </w:pPr>
      <w:r>
        <w:rPr>
          <w:rFonts w:hint="eastAsia"/>
          <w:color w:val="auto"/>
          <w:sz w:val="24"/>
          <w:szCs w:val="24"/>
          <w:highlight w:val="none"/>
        </w:rPr>
        <w:t>（3）支模、砌砖、装饰装修交叉操作时</w:t>
      </w:r>
    </w:p>
    <w:p w14:paraId="4727CA80">
      <w:pPr>
        <w:pStyle w:val="89"/>
        <w:spacing w:before="10" w:after="10" w:line="360" w:lineRule="auto"/>
        <w:ind w:firstLine="560"/>
        <w:rPr>
          <w:color w:val="auto"/>
          <w:sz w:val="24"/>
          <w:szCs w:val="24"/>
          <w:highlight w:val="none"/>
        </w:rPr>
      </w:pPr>
      <w:r>
        <w:rPr>
          <w:rFonts w:hint="eastAsia"/>
          <w:color w:val="auto"/>
          <w:sz w:val="24"/>
          <w:szCs w:val="24"/>
          <w:highlight w:val="none"/>
        </w:rPr>
        <w:t>上下不得在同一垂直方向同时操作。下层作业的位置，必须处于依上层高度确定的可能坠落范围半径之外，不符合此条件时，中间必须设置安全防护层（隔离层）。</w:t>
      </w:r>
    </w:p>
    <w:p w14:paraId="11ABB01C">
      <w:pPr>
        <w:pStyle w:val="89"/>
        <w:spacing w:before="10" w:after="10" w:line="360" w:lineRule="auto"/>
        <w:ind w:firstLine="560"/>
        <w:rPr>
          <w:color w:val="auto"/>
          <w:sz w:val="24"/>
          <w:szCs w:val="24"/>
          <w:highlight w:val="none"/>
        </w:rPr>
      </w:pPr>
      <w:r>
        <w:rPr>
          <w:rFonts w:hint="eastAsia"/>
          <w:color w:val="auto"/>
          <w:sz w:val="24"/>
          <w:szCs w:val="24"/>
          <w:highlight w:val="none"/>
        </w:rPr>
        <w:t>（4）拆除脚手架与模板时</w:t>
      </w:r>
    </w:p>
    <w:p w14:paraId="077CAC2D">
      <w:pPr>
        <w:pStyle w:val="89"/>
        <w:spacing w:before="10" w:after="10" w:line="360" w:lineRule="auto"/>
        <w:ind w:firstLine="560"/>
        <w:rPr>
          <w:color w:val="auto"/>
          <w:sz w:val="24"/>
          <w:szCs w:val="24"/>
          <w:highlight w:val="none"/>
        </w:rPr>
      </w:pPr>
      <w:r>
        <w:rPr>
          <w:rFonts w:hint="eastAsia"/>
          <w:color w:val="auto"/>
          <w:sz w:val="24"/>
          <w:szCs w:val="24"/>
          <w:highlight w:val="none"/>
        </w:rPr>
        <w:t>地面应划有安全区域，并派专人进行监护操作人员，下方不得有其他操作人员。拆下的模板、脚手架等部件，临时堆放处离楼层边沿应不小于1m。堆放高度不得超过1m。楼梯边口、通道口、脚手架边缘等处，严禁堆放拆下物件。</w:t>
      </w:r>
    </w:p>
    <w:p w14:paraId="320DED90">
      <w:pPr>
        <w:spacing w:before="10" w:after="10" w:line="360" w:lineRule="auto"/>
        <w:ind w:firstLine="560"/>
        <w:rPr>
          <w:color w:val="auto"/>
          <w:sz w:val="24"/>
          <w:szCs w:val="24"/>
          <w:highlight w:val="none"/>
        </w:rPr>
      </w:pPr>
      <w:r>
        <w:rPr>
          <w:rFonts w:hint="eastAsia"/>
          <w:color w:val="auto"/>
          <w:sz w:val="24"/>
          <w:szCs w:val="24"/>
          <w:highlight w:val="none"/>
        </w:rPr>
        <w:t>14、交叉作业的安全防护设施</w:t>
      </w:r>
    </w:p>
    <w:p w14:paraId="3E86EAC2">
      <w:pPr>
        <w:spacing w:before="10" w:after="10" w:line="360" w:lineRule="auto"/>
        <w:ind w:firstLine="560"/>
        <w:rPr>
          <w:color w:val="auto"/>
          <w:sz w:val="24"/>
          <w:szCs w:val="24"/>
          <w:highlight w:val="none"/>
        </w:rPr>
      </w:pPr>
      <w:r>
        <w:rPr>
          <w:rFonts w:hint="eastAsia"/>
          <w:color w:val="auto"/>
          <w:sz w:val="24"/>
          <w:szCs w:val="24"/>
          <w:highlight w:val="none"/>
        </w:rPr>
        <w:t>结构施工自二层起，凡人员进出的通道口（包括施工用电梯的进出通道口），均应搭设安全防护棚；高层建筑高度超过24m的楼层上的交叉作业，应设双层防护设施；由于上方施工可能坠落物体，以及处于塔吊回转范围之内的通道，在其受影响的范围内，必须搭设顶部能防止穿透的双层防护廊或防护棚。</w:t>
      </w:r>
    </w:p>
    <w:p w14:paraId="439D7C2B">
      <w:pPr>
        <w:pStyle w:val="89"/>
        <w:spacing w:before="10" w:after="10" w:line="360" w:lineRule="auto"/>
        <w:ind w:firstLine="560"/>
        <w:rPr>
          <w:color w:val="auto"/>
          <w:sz w:val="24"/>
          <w:szCs w:val="24"/>
          <w:highlight w:val="none"/>
        </w:rPr>
      </w:pPr>
      <w:r>
        <w:rPr>
          <w:rFonts w:hint="eastAsia"/>
          <w:color w:val="auto"/>
          <w:sz w:val="24"/>
          <w:szCs w:val="24"/>
          <w:highlight w:val="none"/>
        </w:rPr>
        <w:t>15、交叉作业区段的安全管理</w:t>
      </w:r>
    </w:p>
    <w:p w14:paraId="427EED35">
      <w:pPr>
        <w:pStyle w:val="89"/>
        <w:spacing w:before="10" w:after="10" w:line="360" w:lineRule="auto"/>
        <w:ind w:firstLine="560"/>
        <w:rPr>
          <w:color w:val="auto"/>
          <w:sz w:val="24"/>
          <w:szCs w:val="24"/>
          <w:highlight w:val="none"/>
        </w:rPr>
      </w:pPr>
      <w:r>
        <w:rPr>
          <w:rFonts w:hint="eastAsia"/>
          <w:color w:val="auto"/>
          <w:sz w:val="24"/>
          <w:szCs w:val="24"/>
          <w:highlight w:val="none"/>
        </w:rPr>
        <w:t>交叉作业区段，即多种作业交叉和协调进行的区段。在交叉作业区段，若没有明显的居主导地位的单项作业，即其它作业都要服从和配合其施工要求时，在各项同时交叉进行的作业之间需要进行很好的协调安排，以确保有条不乱和安全顺利地进行。</w:t>
      </w:r>
    </w:p>
    <w:p w14:paraId="36826094">
      <w:pPr>
        <w:pStyle w:val="89"/>
        <w:spacing w:before="10" w:after="10" w:line="360" w:lineRule="auto"/>
        <w:ind w:firstLine="560"/>
        <w:rPr>
          <w:color w:val="auto"/>
          <w:sz w:val="24"/>
          <w:szCs w:val="24"/>
          <w:highlight w:val="none"/>
        </w:rPr>
      </w:pPr>
      <w:r>
        <w:rPr>
          <w:rFonts w:hint="eastAsia"/>
          <w:color w:val="auto"/>
          <w:sz w:val="24"/>
          <w:szCs w:val="24"/>
          <w:highlight w:val="none"/>
        </w:rPr>
        <w:t>两个以上分包单位在同一作业区域进行生产经营活动时，必须签订安全生产管理协议，明确各自的安全生产管理职责和应当采取的安全措施，指定专职安全生产管理人员进行监督检查和协调。</w:t>
      </w:r>
    </w:p>
    <w:p w14:paraId="7213D4C2">
      <w:pPr>
        <w:pStyle w:val="89"/>
        <w:spacing w:before="10" w:after="10" w:line="360" w:lineRule="auto"/>
        <w:ind w:firstLine="560"/>
        <w:rPr>
          <w:color w:val="auto"/>
          <w:sz w:val="24"/>
          <w:szCs w:val="24"/>
          <w:highlight w:val="none"/>
        </w:rPr>
      </w:pPr>
      <w:r>
        <w:rPr>
          <w:rFonts w:hint="eastAsia"/>
          <w:color w:val="auto"/>
          <w:sz w:val="24"/>
          <w:szCs w:val="24"/>
          <w:highlight w:val="none"/>
        </w:rPr>
        <w:t>16、交叉作业的特点和危害</w:t>
      </w:r>
    </w:p>
    <w:p w14:paraId="56E44903">
      <w:pPr>
        <w:pStyle w:val="89"/>
        <w:spacing w:before="10" w:after="10" w:line="360" w:lineRule="auto"/>
        <w:ind w:firstLine="560"/>
        <w:rPr>
          <w:color w:val="auto"/>
          <w:sz w:val="24"/>
          <w:szCs w:val="24"/>
          <w:highlight w:val="none"/>
        </w:rPr>
      </w:pPr>
      <w:r>
        <w:rPr>
          <w:rFonts w:hint="eastAsia"/>
          <w:color w:val="auto"/>
          <w:sz w:val="24"/>
          <w:szCs w:val="24"/>
          <w:highlight w:val="none"/>
        </w:rPr>
        <w:t>两个以上作业活动在同一作业区域内进行作业，因作业空间受限制，人员多，工序多，机械设备复杂，联络不畅等；所以作业干扰多，需要配合、协调的作业多，现场的隐患多、造成的后果严重。可能发生高处坠落、物体打击、机械伤害、触电，火灾等。</w:t>
      </w:r>
    </w:p>
    <w:p w14:paraId="013A60A6">
      <w:pPr>
        <w:pStyle w:val="89"/>
        <w:spacing w:before="10" w:after="10" w:line="360" w:lineRule="auto"/>
        <w:ind w:firstLine="560"/>
        <w:rPr>
          <w:color w:val="auto"/>
          <w:sz w:val="24"/>
          <w:szCs w:val="24"/>
          <w:highlight w:val="none"/>
        </w:rPr>
      </w:pPr>
      <w:r>
        <w:rPr>
          <w:rFonts w:hint="eastAsia"/>
          <w:color w:val="auto"/>
          <w:sz w:val="24"/>
          <w:szCs w:val="24"/>
          <w:highlight w:val="none"/>
        </w:rPr>
        <w:t>17、交叉作业的管理要求</w:t>
      </w:r>
    </w:p>
    <w:p w14:paraId="70262021">
      <w:pPr>
        <w:pStyle w:val="89"/>
        <w:spacing w:before="10" w:after="10" w:line="360" w:lineRule="auto"/>
        <w:ind w:firstLine="560"/>
        <w:rPr>
          <w:color w:val="auto"/>
          <w:sz w:val="24"/>
          <w:szCs w:val="24"/>
          <w:highlight w:val="none"/>
        </w:rPr>
      </w:pPr>
      <w:r>
        <w:rPr>
          <w:rFonts w:hint="eastAsia"/>
          <w:color w:val="auto"/>
          <w:sz w:val="24"/>
          <w:szCs w:val="24"/>
          <w:highlight w:val="none"/>
        </w:rPr>
        <w:t>为保证双方或多方的施工安全，避免安全生产事故的发生。根据《安全生产法》第四十条之规定：“两个以上生产经营单位在同一作业区域内进行生产经营活动，可能危及对方生产安全，应当签订安全协议，明确各自的安全生产管理职责和应当采取的安全措施，并指定专门人员进行安全检查与协调”。 通过安全协议互相告知本单位生产的特点、作业场所存在的危险因素、防范措施以及事故应急措施，以使各个单位对该作业区域的安全生产状况有一个整体上的把握。</w:t>
      </w:r>
    </w:p>
    <w:p w14:paraId="4A245BCC">
      <w:pPr>
        <w:pStyle w:val="89"/>
        <w:spacing w:before="10" w:after="10" w:line="360" w:lineRule="auto"/>
        <w:ind w:firstLine="560"/>
        <w:rPr>
          <w:color w:val="auto"/>
          <w:sz w:val="24"/>
          <w:szCs w:val="24"/>
          <w:highlight w:val="none"/>
        </w:rPr>
      </w:pPr>
      <w:r>
        <w:rPr>
          <w:rFonts w:hint="eastAsia"/>
          <w:color w:val="auto"/>
          <w:sz w:val="24"/>
          <w:szCs w:val="24"/>
          <w:highlight w:val="none"/>
        </w:rPr>
        <w:t>18、管理目标及控制措施</w:t>
      </w:r>
    </w:p>
    <w:p w14:paraId="17F99914">
      <w:pPr>
        <w:pStyle w:val="89"/>
        <w:spacing w:before="10" w:after="10" w:line="360" w:lineRule="auto"/>
        <w:ind w:firstLine="560"/>
        <w:rPr>
          <w:color w:val="auto"/>
          <w:sz w:val="24"/>
          <w:szCs w:val="24"/>
          <w:highlight w:val="none"/>
        </w:rPr>
      </w:pPr>
      <w:r>
        <w:rPr>
          <w:rFonts w:hint="eastAsia"/>
          <w:color w:val="auto"/>
          <w:sz w:val="24"/>
          <w:szCs w:val="24"/>
          <w:highlight w:val="none"/>
        </w:rPr>
        <w:t>（1）防物体打击</w:t>
      </w:r>
    </w:p>
    <w:p w14:paraId="44776F28">
      <w:pPr>
        <w:pStyle w:val="89"/>
        <w:spacing w:before="10" w:after="10" w:line="360" w:lineRule="auto"/>
        <w:ind w:firstLine="560"/>
        <w:rPr>
          <w:color w:val="auto"/>
          <w:sz w:val="24"/>
          <w:szCs w:val="24"/>
          <w:highlight w:val="none"/>
        </w:rPr>
      </w:pPr>
      <w:r>
        <w:rPr>
          <w:rFonts w:hint="eastAsia"/>
          <w:color w:val="auto"/>
          <w:sz w:val="24"/>
          <w:szCs w:val="24"/>
          <w:highlight w:val="none"/>
        </w:rPr>
        <w:t>①对作业现场进行勘察，研究作业方法和安全对策，根据项目规模、危险性、周围环境制定作业安全对策。</w:t>
      </w:r>
    </w:p>
    <w:p w14:paraId="79E7F3F1">
      <w:pPr>
        <w:pStyle w:val="89"/>
        <w:spacing w:before="10" w:after="10" w:line="360" w:lineRule="auto"/>
        <w:ind w:firstLine="560"/>
        <w:rPr>
          <w:color w:val="auto"/>
          <w:sz w:val="24"/>
          <w:szCs w:val="24"/>
          <w:highlight w:val="none"/>
        </w:rPr>
      </w:pPr>
      <w:r>
        <w:rPr>
          <w:rFonts w:hint="eastAsia"/>
          <w:color w:val="auto"/>
          <w:sz w:val="24"/>
          <w:szCs w:val="24"/>
          <w:highlight w:val="none"/>
        </w:rPr>
        <w:t>②施工队伍事先进行通气，统一协调好，尽量避免上下交叉作业。</w:t>
      </w:r>
    </w:p>
    <w:p w14:paraId="31786E3B">
      <w:pPr>
        <w:pStyle w:val="89"/>
        <w:spacing w:before="10" w:after="10" w:line="360" w:lineRule="auto"/>
        <w:ind w:firstLine="560"/>
        <w:rPr>
          <w:color w:val="auto"/>
          <w:sz w:val="24"/>
          <w:szCs w:val="24"/>
          <w:highlight w:val="none"/>
        </w:rPr>
      </w:pPr>
      <w:r>
        <w:rPr>
          <w:rFonts w:hint="eastAsia"/>
          <w:color w:val="auto"/>
          <w:sz w:val="24"/>
          <w:szCs w:val="24"/>
          <w:highlight w:val="none"/>
        </w:rPr>
        <w:t>③对参加生产的作业人员进行相应的安全技术交底，向作业者说明该项目的施工特点、存在的危险因素及防范措施等，并安排专门人员协调现场安全。</w:t>
      </w:r>
    </w:p>
    <w:p w14:paraId="3C12404C">
      <w:pPr>
        <w:pStyle w:val="89"/>
        <w:spacing w:before="10" w:after="10" w:line="360" w:lineRule="auto"/>
        <w:ind w:firstLine="560"/>
        <w:rPr>
          <w:color w:val="auto"/>
          <w:sz w:val="24"/>
          <w:szCs w:val="24"/>
          <w:highlight w:val="none"/>
        </w:rPr>
      </w:pPr>
      <w:r>
        <w:rPr>
          <w:rFonts w:hint="eastAsia"/>
          <w:color w:val="auto"/>
          <w:sz w:val="24"/>
          <w:szCs w:val="24"/>
          <w:highlight w:val="none"/>
        </w:rPr>
        <w:t>④现场落实好各项安全措施，高层面作业要在下层面确定危险区域，拉好警示设施，禁止无关人员进入危险区域，同时对使用的工具、物件做好防坠落措施；下一层面的要督促工人避开危险区域的作业。</w:t>
      </w:r>
    </w:p>
    <w:p w14:paraId="491B4989">
      <w:pPr>
        <w:pStyle w:val="89"/>
        <w:spacing w:before="10" w:after="10" w:line="360" w:lineRule="auto"/>
        <w:ind w:firstLine="560"/>
        <w:rPr>
          <w:color w:val="auto"/>
          <w:sz w:val="24"/>
          <w:szCs w:val="24"/>
          <w:highlight w:val="none"/>
        </w:rPr>
      </w:pPr>
      <w:r>
        <w:rPr>
          <w:rFonts w:hint="eastAsia"/>
          <w:color w:val="auto"/>
          <w:sz w:val="24"/>
          <w:szCs w:val="24"/>
          <w:highlight w:val="none"/>
        </w:rPr>
        <w:t>⑤安排作业的人员必须对作业情况进行全程跟踪或安排专人进行现场监护，协调现场安全，切实做到看死盯牢。</w:t>
      </w:r>
    </w:p>
    <w:p w14:paraId="15CCB61F">
      <w:pPr>
        <w:pStyle w:val="89"/>
        <w:spacing w:before="10" w:after="10" w:line="360" w:lineRule="auto"/>
        <w:ind w:firstLine="560"/>
        <w:rPr>
          <w:color w:val="auto"/>
          <w:sz w:val="24"/>
          <w:szCs w:val="24"/>
          <w:highlight w:val="none"/>
        </w:rPr>
      </w:pPr>
      <w:r>
        <w:rPr>
          <w:rFonts w:hint="eastAsia"/>
          <w:color w:val="auto"/>
          <w:sz w:val="24"/>
          <w:szCs w:val="24"/>
          <w:highlight w:val="none"/>
        </w:rPr>
        <w:t>⑥作业人员仔细检查所用工具是否安全可靠，穿戴好防护用品，作业时严格按照操作规程进行作业。</w:t>
      </w:r>
    </w:p>
    <w:p w14:paraId="654A872A">
      <w:pPr>
        <w:pStyle w:val="89"/>
        <w:spacing w:before="10" w:after="10" w:line="360" w:lineRule="auto"/>
        <w:ind w:firstLine="560"/>
        <w:rPr>
          <w:color w:val="auto"/>
          <w:sz w:val="24"/>
          <w:szCs w:val="24"/>
          <w:highlight w:val="none"/>
        </w:rPr>
      </w:pPr>
      <w:r>
        <w:rPr>
          <w:rFonts w:hint="eastAsia"/>
          <w:color w:val="auto"/>
          <w:sz w:val="24"/>
          <w:szCs w:val="24"/>
          <w:highlight w:val="none"/>
        </w:rPr>
        <w:t>（2）临边防护措施</w:t>
      </w:r>
    </w:p>
    <w:p w14:paraId="39FA5CD4">
      <w:pPr>
        <w:pStyle w:val="89"/>
        <w:spacing w:before="10" w:after="10" w:line="360" w:lineRule="auto"/>
        <w:ind w:firstLine="560"/>
        <w:rPr>
          <w:color w:val="auto"/>
          <w:sz w:val="24"/>
          <w:szCs w:val="24"/>
          <w:highlight w:val="none"/>
        </w:rPr>
      </w:pPr>
      <w:r>
        <w:rPr>
          <w:rFonts w:hint="eastAsia"/>
          <w:color w:val="auto"/>
          <w:sz w:val="24"/>
          <w:szCs w:val="24"/>
          <w:highlight w:val="none"/>
        </w:rPr>
        <w:t>在外墙装饰施工中，要求外架在拆除前，必须通知地面作业人员提前撤离外架拆除影响范围内，并在拆除时，设专人负责看护。要求每天上下班前后，必须检查脚手架的防护措施是否到位、完好，要求建筑物外侧洞口必须做好防护，已安装窗框的也要做好防护，严禁楼层作业人员从窗洞口倾倒建筑垃圾、杂物，要求设专人看护、巡逻，并对楼上作业人员进行专项安全技术交底。</w:t>
      </w:r>
    </w:p>
    <w:p w14:paraId="44A81444">
      <w:pPr>
        <w:pStyle w:val="89"/>
        <w:spacing w:before="10" w:after="10" w:line="360" w:lineRule="auto"/>
        <w:ind w:firstLine="560"/>
        <w:rPr>
          <w:color w:val="auto"/>
          <w:sz w:val="24"/>
          <w:szCs w:val="24"/>
          <w:highlight w:val="none"/>
        </w:rPr>
      </w:pPr>
      <w:r>
        <w:rPr>
          <w:rFonts w:hint="eastAsia"/>
          <w:color w:val="auto"/>
          <w:sz w:val="24"/>
          <w:szCs w:val="24"/>
          <w:highlight w:val="none"/>
        </w:rPr>
        <w:t>（3）建筑物出入口防护</w:t>
      </w:r>
    </w:p>
    <w:p w14:paraId="3CD005B1">
      <w:pPr>
        <w:pStyle w:val="89"/>
        <w:spacing w:before="10" w:after="10" w:line="360" w:lineRule="auto"/>
        <w:ind w:firstLine="560"/>
        <w:rPr>
          <w:color w:val="auto"/>
          <w:sz w:val="24"/>
          <w:szCs w:val="24"/>
          <w:highlight w:val="none"/>
        </w:rPr>
      </w:pPr>
      <w:r>
        <w:rPr>
          <w:rFonts w:hint="eastAsia"/>
          <w:color w:val="auto"/>
          <w:sz w:val="24"/>
          <w:szCs w:val="24"/>
          <w:highlight w:val="none"/>
        </w:rPr>
        <w:t>除在施工作业部位搭设安全防护棚外，并在建筑物的出入口搭设3～6m宽于两侧各1m的双层防护棚，棚顶满铺竹笆板，两层间距不少于500mm，非出入口处及通道两侧严密封闭。</w:t>
      </w:r>
    </w:p>
    <w:p w14:paraId="4B4CDC4F">
      <w:pPr>
        <w:pStyle w:val="89"/>
        <w:spacing w:before="10" w:after="10" w:line="360" w:lineRule="auto"/>
        <w:ind w:firstLine="560"/>
        <w:rPr>
          <w:color w:val="auto"/>
          <w:sz w:val="24"/>
          <w:szCs w:val="24"/>
          <w:highlight w:val="none"/>
        </w:rPr>
      </w:pPr>
      <w:r>
        <w:rPr>
          <w:rFonts w:hint="eastAsia"/>
          <w:color w:val="auto"/>
          <w:sz w:val="24"/>
          <w:szCs w:val="24"/>
          <w:highlight w:val="none"/>
        </w:rPr>
        <w:t>（4）防护棚安全防护搭设措施</w:t>
      </w:r>
    </w:p>
    <w:p w14:paraId="260F8EB4">
      <w:pPr>
        <w:pStyle w:val="89"/>
        <w:spacing w:before="10" w:after="10" w:line="360" w:lineRule="auto"/>
        <w:ind w:firstLine="560"/>
        <w:rPr>
          <w:color w:val="auto"/>
          <w:sz w:val="24"/>
          <w:szCs w:val="24"/>
          <w:highlight w:val="none"/>
        </w:rPr>
      </w:pPr>
      <w:r>
        <w:rPr>
          <w:rFonts w:hint="eastAsia"/>
          <w:color w:val="auto"/>
          <w:sz w:val="24"/>
          <w:szCs w:val="24"/>
          <w:highlight w:val="none"/>
        </w:rPr>
        <w:t>①出于安全及文明施工角度考虑，要求在建筑物周边搭设施工通道防护棚。</w:t>
      </w:r>
    </w:p>
    <w:p w14:paraId="1E802183">
      <w:pPr>
        <w:pStyle w:val="89"/>
        <w:spacing w:before="10" w:after="10" w:line="360" w:lineRule="auto"/>
        <w:ind w:firstLine="560"/>
        <w:rPr>
          <w:color w:val="auto"/>
          <w:sz w:val="24"/>
          <w:szCs w:val="24"/>
          <w:highlight w:val="none"/>
        </w:rPr>
      </w:pPr>
      <w:r>
        <w:rPr>
          <w:rFonts w:hint="eastAsia"/>
          <w:color w:val="auto"/>
          <w:sz w:val="24"/>
          <w:szCs w:val="24"/>
          <w:highlight w:val="none"/>
        </w:rPr>
        <w:t>②搭设防护棚采用直径φ48、3×3、6钢管架设，搭设宽度必须满足室外管网施工需要，防护棚搭设高度要求为4、5m，地面至顶棚净高3m，搭设两层防护顶棚。</w:t>
      </w:r>
    </w:p>
    <w:p w14:paraId="2EBF0C71">
      <w:pPr>
        <w:pStyle w:val="89"/>
        <w:spacing w:before="10" w:after="10" w:line="360" w:lineRule="auto"/>
        <w:ind w:firstLine="560"/>
        <w:rPr>
          <w:color w:val="auto"/>
          <w:sz w:val="24"/>
          <w:szCs w:val="24"/>
          <w:highlight w:val="none"/>
        </w:rPr>
      </w:pPr>
      <w:r>
        <w:rPr>
          <w:rFonts w:hint="eastAsia"/>
          <w:color w:val="auto"/>
          <w:sz w:val="24"/>
          <w:szCs w:val="24"/>
          <w:highlight w:val="none"/>
        </w:rPr>
        <w:t>③立杆间距为1、8m，横向水平杆共设置5道，纵向水平杆设置三道，在防护棚两侧设置斜向拉杆，间距同立杆，斜向杆长度2、5m，防护棚采用双层竹笆板加一层绿网防护。两层顶棚上下间隔0、6m。顶棚横杆上面在每间距0、5m架设一根钢管，用于铺设竹笆。两层顶棚中部，再架设一根长约1、5m的小立杆拉接，将两层顶棚连为一个整体，使其防护性能更佳。</w:t>
      </w:r>
    </w:p>
    <w:p w14:paraId="3356C81B">
      <w:pPr>
        <w:pStyle w:val="89"/>
        <w:spacing w:before="10" w:after="10" w:line="360" w:lineRule="auto"/>
        <w:ind w:firstLine="560"/>
        <w:rPr>
          <w:color w:val="auto"/>
          <w:sz w:val="24"/>
          <w:szCs w:val="24"/>
          <w:highlight w:val="none"/>
        </w:rPr>
      </w:pPr>
      <w:r>
        <w:rPr>
          <w:rFonts w:hint="eastAsia"/>
          <w:color w:val="auto"/>
          <w:sz w:val="24"/>
          <w:szCs w:val="24"/>
          <w:highlight w:val="none"/>
        </w:rPr>
        <w:t>④钢管搭设完毕后，在两层顶棚上均铺设密实的竹笆两层加一层绿网防护，要求竹笆与钢管架必须绑扎牢固。</w:t>
      </w:r>
    </w:p>
    <w:p w14:paraId="557F31DF">
      <w:pPr>
        <w:pStyle w:val="89"/>
        <w:spacing w:before="10" w:after="10" w:line="360" w:lineRule="auto"/>
        <w:ind w:firstLine="560"/>
        <w:rPr>
          <w:color w:val="auto"/>
          <w:sz w:val="24"/>
          <w:szCs w:val="24"/>
          <w:highlight w:val="none"/>
        </w:rPr>
      </w:pPr>
      <w:r>
        <w:rPr>
          <w:rFonts w:hint="eastAsia"/>
          <w:color w:val="auto"/>
          <w:sz w:val="24"/>
          <w:szCs w:val="24"/>
          <w:highlight w:val="none"/>
        </w:rPr>
        <w:t>⑤防护棚完工后，在其醒目位置挂设各种警示标志及安全生产的标语牌。</w:t>
      </w:r>
    </w:p>
    <w:p w14:paraId="35781663">
      <w:pPr>
        <w:pStyle w:val="89"/>
        <w:spacing w:before="10" w:after="10" w:line="360" w:lineRule="auto"/>
        <w:ind w:firstLine="560"/>
        <w:rPr>
          <w:color w:val="auto"/>
          <w:sz w:val="24"/>
          <w:szCs w:val="24"/>
          <w:highlight w:val="none"/>
        </w:rPr>
      </w:pPr>
      <w:r>
        <w:rPr>
          <w:rFonts w:hint="eastAsia"/>
          <w:color w:val="auto"/>
          <w:sz w:val="24"/>
          <w:szCs w:val="24"/>
          <w:highlight w:val="none"/>
        </w:rPr>
        <w:t>（5）交叉作业防护</w:t>
      </w:r>
    </w:p>
    <w:p w14:paraId="5EAEFF01">
      <w:pPr>
        <w:pStyle w:val="89"/>
        <w:spacing w:before="10" w:after="10" w:line="360" w:lineRule="auto"/>
        <w:ind w:firstLine="560"/>
        <w:rPr>
          <w:color w:val="auto"/>
          <w:sz w:val="24"/>
          <w:szCs w:val="24"/>
          <w:highlight w:val="none"/>
        </w:rPr>
      </w:pPr>
      <w:r>
        <w:rPr>
          <w:rFonts w:hint="eastAsia"/>
          <w:color w:val="auto"/>
          <w:sz w:val="24"/>
          <w:szCs w:val="24"/>
          <w:highlight w:val="none"/>
        </w:rPr>
        <w:t>①施工通道口及室外管网施工区必须搭防护棚。</w:t>
      </w:r>
    </w:p>
    <w:p w14:paraId="7AA463D9">
      <w:pPr>
        <w:pStyle w:val="89"/>
        <w:spacing w:before="10" w:after="10" w:line="360" w:lineRule="auto"/>
        <w:ind w:firstLine="560"/>
        <w:rPr>
          <w:color w:val="auto"/>
          <w:sz w:val="24"/>
          <w:szCs w:val="24"/>
          <w:highlight w:val="none"/>
        </w:rPr>
      </w:pPr>
      <w:r>
        <w:rPr>
          <w:rFonts w:hint="eastAsia"/>
          <w:color w:val="auto"/>
          <w:sz w:val="24"/>
          <w:szCs w:val="24"/>
          <w:highlight w:val="none"/>
        </w:rPr>
        <w:t>②在临边、洞口附近不准堆放杂物，其临时转运必须有专护。</w:t>
      </w:r>
    </w:p>
    <w:p w14:paraId="080EF20F">
      <w:pPr>
        <w:pStyle w:val="89"/>
        <w:spacing w:before="10" w:after="10" w:line="360" w:lineRule="auto"/>
        <w:ind w:firstLine="560"/>
        <w:rPr>
          <w:color w:val="auto"/>
          <w:sz w:val="24"/>
          <w:szCs w:val="24"/>
          <w:highlight w:val="none"/>
        </w:rPr>
      </w:pPr>
      <w:r>
        <w:rPr>
          <w:rFonts w:hint="eastAsia"/>
          <w:color w:val="auto"/>
          <w:sz w:val="24"/>
          <w:szCs w:val="24"/>
          <w:highlight w:val="none"/>
        </w:rPr>
        <w:t>③在垂直运输坠落物半径内，必须划出人员行走专门路线，做好隔离棚。</w:t>
      </w:r>
    </w:p>
    <w:p w14:paraId="6174490A">
      <w:pPr>
        <w:pStyle w:val="89"/>
        <w:spacing w:before="10" w:after="10" w:line="360" w:lineRule="auto"/>
        <w:ind w:firstLine="560"/>
        <w:rPr>
          <w:color w:val="auto"/>
          <w:sz w:val="24"/>
          <w:szCs w:val="24"/>
          <w:highlight w:val="none"/>
        </w:rPr>
      </w:pPr>
      <w:r>
        <w:rPr>
          <w:rFonts w:hint="eastAsia"/>
          <w:color w:val="auto"/>
          <w:sz w:val="24"/>
          <w:szCs w:val="24"/>
          <w:highlight w:val="none"/>
        </w:rPr>
        <w:t>④无隔离措施时，不得在同一垂直面内上下交叉作业，拆脚手架等难以避免的交叉作业，必须临时划出禁界，由专人监护。</w:t>
      </w:r>
    </w:p>
    <w:p w14:paraId="4D0C4D17">
      <w:pPr>
        <w:pStyle w:val="89"/>
        <w:spacing w:before="10" w:after="10" w:line="360" w:lineRule="auto"/>
        <w:ind w:firstLine="560"/>
        <w:rPr>
          <w:color w:val="auto"/>
          <w:sz w:val="24"/>
          <w:szCs w:val="24"/>
          <w:highlight w:val="none"/>
        </w:rPr>
      </w:pPr>
      <w:r>
        <w:rPr>
          <w:rFonts w:hint="eastAsia"/>
          <w:color w:val="auto"/>
          <w:sz w:val="24"/>
          <w:szCs w:val="24"/>
          <w:highlight w:val="none"/>
        </w:rPr>
        <w:t>19、主体框架结构与水电预埋、预留之间穿插协调</w:t>
      </w:r>
    </w:p>
    <w:p w14:paraId="2FE82B45">
      <w:pPr>
        <w:pStyle w:val="89"/>
        <w:spacing w:before="10" w:after="10" w:line="360" w:lineRule="auto"/>
        <w:ind w:firstLine="560"/>
        <w:rPr>
          <w:color w:val="auto"/>
          <w:sz w:val="24"/>
          <w:szCs w:val="24"/>
          <w:highlight w:val="none"/>
        </w:rPr>
      </w:pPr>
      <w:r>
        <w:rPr>
          <w:rFonts w:hint="eastAsia"/>
          <w:color w:val="auto"/>
          <w:sz w:val="24"/>
          <w:szCs w:val="24"/>
          <w:highlight w:val="none"/>
        </w:rPr>
        <w:t>（1）施工员结合现场施工进度进行预判，结合协调小组提前联系安装单位插入水电预埋、预留工序。当主体结构施工与水电预埋、预留施工间存在相互影响时，施工员与安装单位管理人员立即现场沟通。施工现场按照合理施工工序，及时消除相互影响，确保工期目标顺利实现。</w:t>
      </w:r>
    </w:p>
    <w:p w14:paraId="6764D4C6">
      <w:pPr>
        <w:pStyle w:val="89"/>
        <w:spacing w:before="10" w:after="10" w:line="360" w:lineRule="auto"/>
        <w:ind w:firstLine="560"/>
        <w:rPr>
          <w:color w:val="auto"/>
          <w:sz w:val="24"/>
          <w:szCs w:val="24"/>
          <w:highlight w:val="none"/>
        </w:rPr>
      </w:pPr>
      <w:r>
        <w:rPr>
          <w:rFonts w:hint="eastAsia"/>
          <w:color w:val="auto"/>
          <w:sz w:val="24"/>
          <w:szCs w:val="24"/>
          <w:highlight w:val="none"/>
        </w:rPr>
        <w:t>（2）主体框架结构施工与水电预埋预留之间主要存在的工序穿插为楼板钢筋绑扎与预留预埋管线之间工序协调。水电预留预埋施工插入的时间应在梁板模板支设完成，并且楼板钢筋弹出墨线后插入。</w:t>
      </w:r>
    </w:p>
    <w:p w14:paraId="1696529E">
      <w:pPr>
        <w:pStyle w:val="89"/>
        <w:spacing w:before="10" w:after="10" w:line="360" w:lineRule="auto"/>
        <w:ind w:firstLine="560"/>
        <w:rPr>
          <w:color w:val="auto"/>
          <w:sz w:val="24"/>
          <w:szCs w:val="24"/>
          <w:highlight w:val="none"/>
        </w:rPr>
      </w:pPr>
      <w:r>
        <w:rPr>
          <w:rFonts w:hint="eastAsia"/>
          <w:color w:val="auto"/>
          <w:sz w:val="24"/>
          <w:szCs w:val="24"/>
          <w:highlight w:val="none"/>
        </w:rPr>
        <w:t>（3）梁板模板支设完成并弹出钢筋墨线后，水电预留预埋人员立即进行预留孔洞位置的确定，并用油漆在板模板上标明预留孔洞的准确位置后，钢筋施工人员按照钢筋墨线进行楼板底筋铺设。</w:t>
      </w:r>
    </w:p>
    <w:p w14:paraId="194DF8FA">
      <w:pPr>
        <w:pStyle w:val="89"/>
        <w:spacing w:before="10" w:after="10" w:line="360" w:lineRule="auto"/>
        <w:ind w:firstLine="560"/>
        <w:rPr>
          <w:color w:val="auto"/>
          <w:sz w:val="24"/>
          <w:szCs w:val="24"/>
          <w:highlight w:val="none"/>
        </w:rPr>
      </w:pPr>
      <w:r>
        <w:rPr>
          <w:rFonts w:hint="eastAsia"/>
          <w:color w:val="auto"/>
          <w:sz w:val="24"/>
          <w:szCs w:val="24"/>
          <w:highlight w:val="none"/>
        </w:rPr>
        <w:t>（4）结构楼板钢筋绑扎与水电预埋预留施工划分工作面，一部分楼板底筋铺设完成后，水电施工人员进行已铺设完底筋的楼板预留预埋管线的铺装，并顺延到下一个施工工作面。</w:t>
      </w:r>
    </w:p>
    <w:p w14:paraId="26F2387F">
      <w:pPr>
        <w:pStyle w:val="89"/>
        <w:spacing w:before="10" w:after="10" w:line="360" w:lineRule="auto"/>
        <w:ind w:firstLine="560"/>
        <w:rPr>
          <w:color w:val="auto"/>
          <w:sz w:val="24"/>
          <w:szCs w:val="24"/>
          <w:highlight w:val="none"/>
        </w:rPr>
      </w:pPr>
      <w:r>
        <w:rPr>
          <w:rFonts w:hint="eastAsia"/>
          <w:color w:val="auto"/>
          <w:sz w:val="24"/>
          <w:szCs w:val="24"/>
          <w:highlight w:val="none"/>
        </w:rPr>
        <w:t>（5）当第一个水电预留预埋工作面施工完成并自检合格后，进行楼板盖筋的铺设，同时进行预留管线周围的加强筋的安装，以此类推。</w:t>
      </w:r>
    </w:p>
    <w:p w14:paraId="01947C0F">
      <w:pPr>
        <w:pStyle w:val="89"/>
        <w:spacing w:before="10" w:after="10" w:line="360" w:lineRule="auto"/>
        <w:ind w:firstLine="560"/>
        <w:rPr>
          <w:color w:val="auto"/>
          <w:sz w:val="24"/>
          <w:szCs w:val="24"/>
          <w:highlight w:val="none"/>
        </w:rPr>
      </w:pPr>
      <w:r>
        <w:rPr>
          <w:rFonts w:hint="eastAsia"/>
          <w:color w:val="auto"/>
          <w:sz w:val="24"/>
          <w:szCs w:val="24"/>
          <w:highlight w:val="none"/>
        </w:rPr>
        <w:t>（6）协调程序：主体结构施工员→协调小组→安装单位管理人员→安装施工队伍和主体施工队伍</w:t>
      </w:r>
    </w:p>
    <w:p w14:paraId="04E9D80F">
      <w:pPr>
        <w:pStyle w:val="89"/>
        <w:spacing w:before="10" w:after="10" w:line="360" w:lineRule="auto"/>
        <w:ind w:firstLine="560"/>
        <w:rPr>
          <w:color w:val="auto"/>
          <w:sz w:val="24"/>
          <w:szCs w:val="24"/>
          <w:highlight w:val="none"/>
        </w:rPr>
      </w:pPr>
      <w:r>
        <w:rPr>
          <w:rFonts w:hint="eastAsia"/>
          <w:color w:val="auto"/>
          <w:sz w:val="24"/>
          <w:szCs w:val="24"/>
          <w:highlight w:val="none"/>
        </w:rPr>
        <w:t>20、主体框架结构与主体砌筑工程之间穿插协调</w:t>
      </w:r>
    </w:p>
    <w:p w14:paraId="65AC6ED9">
      <w:pPr>
        <w:pStyle w:val="89"/>
        <w:spacing w:before="10" w:after="10" w:line="360" w:lineRule="auto"/>
        <w:ind w:firstLine="560"/>
        <w:rPr>
          <w:color w:val="auto"/>
          <w:sz w:val="24"/>
          <w:szCs w:val="24"/>
          <w:highlight w:val="none"/>
        </w:rPr>
      </w:pPr>
      <w:r>
        <w:rPr>
          <w:rFonts w:hint="eastAsia"/>
          <w:color w:val="auto"/>
          <w:sz w:val="24"/>
          <w:szCs w:val="24"/>
          <w:highlight w:val="none"/>
        </w:rPr>
        <w:t>（1）项目技术管理部结合施工组织设计和关键里程碑节点确定砌筑工程的插入时间（保证主体框架模板拆除并清理完毕）。</w:t>
      </w:r>
    </w:p>
    <w:p w14:paraId="74ABB18C">
      <w:pPr>
        <w:pStyle w:val="89"/>
        <w:spacing w:before="10" w:after="10" w:line="360" w:lineRule="auto"/>
        <w:ind w:firstLine="560"/>
        <w:rPr>
          <w:color w:val="auto"/>
          <w:sz w:val="24"/>
          <w:szCs w:val="24"/>
          <w:highlight w:val="none"/>
        </w:rPr>
      </w:pPr>
      <w:r>
        <w:rPr>
          <w:rFonts w:hint="eastAsia"/>
          <w:color w:val="auto"/>
          <w:sz w:val="24"/>
          <w:szCs w:val="24"/>
          <w:highlight w:val="none"/>
        </w:rPr>
        <w:t>（2）砌筑施工插入前，首先进行主体结构工作面、高程线、轴线的交接，交接后开始进行砌筑工程施工。</w:t>
      </w:r>
    </w:p>
    <w:p w14:paraId="12FBDEC7">
      <w:pPr>
        <w:pStyle w:val="89"/>
        <w:spacing w:before="10" w:after="10" w:line="360" w:lineRule="auto"/>
        <w:ind w:firstLine="560"/>
        <w:rPr>
          <w:color w:val="auto"/>
          <w:sz w:val="24"/>
          <w:szCs w:val="24"/>
          <w:highlight w:val="none"/>
        </w:rPr>
      </w:pPr>
      <w:r>
        <w:rPr>
          <w:rFonts w:hint="eastAsia"/>
          <w:color w:val="auto"/>
          <w:sz w:val="24"/>
          <w:szCs w:val="24"/>
          <w:highlight w:val="none"/>
        </w:rPr>
        <w:t>（3）协调程序：</w:t>
      </w:r>
    </w:p>
    <w:p w14:paraId="32D96304">
      <w:pPr>
        <w:pStyle w:val="89"/>
        <w:spacing w:before="10" w:after="10" w:line="360" w:lineRule="auto"/>
        <w:ind w:firstLine="560"/>
        <w:rPr>
          <w:color w:val="auto"/>
          <w:sz w:val="24"/>
          <w:szCs w:val="24"/>
          <w:highlight w:val="none"/>
        </w:rPr>
      </w:pPr>
      <w:r>
        <w:rPr>
          <w:rFonts w:hint="eastAsia"/>
          <w:color w:val="auto"/>
          <w:sz w:val="24"/>
          <w:szCs w:val="24"/>
          <w:highlight w:val="none"/>
        </w:rPr>
        <w:t>技术员→施工员→主体施工队伍和砌体施工队伍</w:t>
      </w:r>
    </w:p>
    <w:p w14:paraId="665E57BB">
      <w:pPr>
        <w:pStyle w:val="89"/>
        <w:spacing w:before="10" w:after="10" w:line="360" w:lineRule="auto"/>
        <w:ind w:firstLine="560"/>
        <w:rPr>
          <w:color w:val="auto"/>
          <w:sz w:val="24"/>
          <w:szCs w:val="24"/>
          <w:highlight w:val="none"/>
        </w:rPr>
      </w:pPr>
      <w:r>
        <w:rPr>
          <w:rFonts w:hint="eastAsia"/>
          <w:color w:val="auto"/>
          <w:sz w:val="24"/>
          <w:szCs w:val="24"/>
          <w:highlight w:val="none"/>
        </w:rPr>
        <w:t>21、主体砌筑工程与水电预埋、预留之间穿插协调</w:t>
      </w:r>
    </w:p>
    <w:p w14:paraId="2890DFFA">
      <w:pPr>
        <w:pStyle w:val="89"/>
        <w:spacing w:before="10" w:after="10" w:line="360" w:lineRule="auto"/>
        <w:ind w:firstLine="560"/>
        <w:rPr>
          <w:color w:val="auto"/>
          <w:sz w:val="24"/>
          <w:szCs w:val="24"/>
          <w:highlight w:val="none"/>
        </w:rPr>
      </w:pPr>
      <w:r>
        <w:rPr>
          <w:rFonts w:hint="eastAsia"/>
          <w:color w:val="auto"/>
          <w:sz w:val="24"/>
          <w:szCs w:val="24"/>
          <w:highlight w:val="none"/>
        </w:rPr>
        <w:t>（1）主体砌筑施工结束，施工现场清理完毕后由总承包方协调移交安装单位进行水电预埋、预留施工。安装单位施工结束，施工现场清理完毕后返移交给总承包方进行后续工序施工。</w:t>
      </w:r>
    </w:p>
    <w:p w14:paraId="034865F7">
      <w:pPr>
        <w:pStyle w:val="89"/>
        <w:spacing w:before="10" w:after="10" w:line="360" w:lineRule="auto"/>
        <w:ind w:firstLine="560"/>
        <w:rPr>
          <w:color w:val="auto"/>
          <w:sz w:val="24"/>
          <w:szCs w:val="24"/>
          <w:highlight w:val="none"/>
        </w:rPr>
      </w:pPr>
      <w:r>
        <w:rPr>
          <w:rFonts w:hint="eastAsia"/>
          <w:color w:val="auto"/>
          <w:sz w:val="24"/>
          <w:szCs w:val="24"/>
          <w:highlight w:val="none"/>
        </w:rPr>
        <w:t>（2）主体砌筑施工期间的水电预埋、预留较主体框架期间的预埋预留更为复杂，往往在此期间出现工作矛盾。针对这一问题，总承包方在墙体砌筑之前组织砌筑、电气施工操作人员进行技术交底，熟悉做法，避免由于质量问题引起后期返工。安装施工插入前，首先进行高程线、轴线的交接，交接后开始进行安装工程施工。</w:t>
      </w:r>
    </w:p>
    <w:p w14:paraId="2AE66B1B">
      <w:pPr>
        <w:pStyle w:val="89"/>
        <w:spacing w:before="10" w:after="10" w:line="360" w:lineRule="auto"/>
        <w:ind w:firstLine="560"/>
        <w:rPr>
          <w:color w:val="auto"/>
          <w:sz w:val="24"/>
          <w:szCs w:val="24"/>
          <w:highlight w:val="none"/>
        </w:rPr>
      </w:pPr>
      <w:r>
        <w:rPr>
          <w:rFonts w:hint="eastAsia"/>
          <w:color w:val="auto"/>
          <w:sz w:val="24"/>
          <w:szCs w:val="24"/>
          <w:highlight w:val="none"/>
        </w:rPr>
        <w:t>（3）协调程序：</w:t>
      </w:r>
    </w:p>
    <w:p w14:paraId="600FBD6C">
      <w:pPr>
        <w:pStyle w:val="89"/>
        <w:spacing w:before="10" w:after="10" w:line="360" w:lineRule="auto"/>
        <w:ind w:firstLine="560"/>
        <w:rPr>
          <w:color w:val="auto"/>
          <w:sz w:val="24"/>
          <w:szCs w:val="24"/>
          <w:highlight w:val="none"/>
        </w:rPr>
      </w:pPr>
      <w:r>
        <w:rPr>
          <w:rFonts w:hint="eastAsia"/>
          <w:color w:val="auto"/>
          <w:sz w:val="24"/>
          <w:szCs w:val="24"/>
          <w:highlight w:val="none"/>
        </w:rPr>
        <w:t>施工员→协调小组→安装单位→协调小组→后续施工单位</w:t>
      </w:r>
    </w:p>
    <w:p w14:paraId="5294754C">
      <w:pPr>
        <w:pStyle w:val="89"/>
        <w:spacing w:before="10" w:after="10" w:line="360" w:lineRule="auto"/>
        <w:ind w:firstLine="560"/>
        <w:rPr>
          <w:color w:val="auto"/>
          <w:sz w:val="24"/>
          <w:szCs w:val="24"/>
          <w:highlight w:val="none"/>
        </w:rPr>
      </w:pPr>
      <w:r>
        <w:rPr>
          <w:rFonts w:hint="eastAsia"/>
          <w:color w:val="auto"/>
          <w:sz w:val="24"/>
          <w:szCs w:val="24"/>
          <w:highlight w:val="none"/>
        </w:rPr>
        <w:t>21、有防水房间地面与管道安装之间穿插协调</w:t>
      </w:r>
    </w:p>
    <w:p w14:paraId="0A0CD4A2">
      <w:pPr>
        <w:pStyle w:val="89"/>
        <w:spacing w:before="10" w:after="10" w:line="360" w:lineRule="auto"/>
        <w:ind w:firstLine="560"/>
        <w:rPr>
          <w:color w:val="auto"/>
          <w:sz w:val="24"/>
          <w:szCs w:val="24"/>
          <w:highlight w:val="none"/>
        </w:rPr>
      </w:pPr>
      <w:r>
        <w:rPr>
          <w:rFonts w:hint="eastAsia"/>
          <w:color w:val="auto"/>
          <w:sz w:val="24"/>
          <w:szCs w:val="24"/>
          <w:highlight w:val="none"/>
        </w:rPr>
        <w:t>有防水房间先安排水电专业进行施工，水电专业立管、排水支管和地漏施工完成并打压试水确认无误后，进行地漏吊洞施工。</w:t>
      </w:r>
    </w:p>
    <w:p w14:paraId="3C93334C">
      <w:pPr>
        <w:pStyle w:val="89"/>
        <w:spacing w:before="10" w:after="10" w:line="360" w:lineRule="auto"/>
        <w:ind w:firstLine="560"/>
        <w:rPr>
          <w:color w:val="auto"/>
          <w:sz w:val="24"/>
          <w:szCs w:val="24"/>
          <w:highlight w:val="none"/>
        </w:rPr>
      </w:pPr>
      <w:r>
        <w:rPr>
          <w:rFonts w:hint="eastAsia"/>
          <w:color w:val="auto"/>
          <w:sz w:val="24"/>
          <w:szCs w:val="24"/>
          <w:highlight w:val="none"/>
        </w:rPr>
        <w:t>吊洞施工由土建单位进行，必须确保吊洞混凝土质量。吊洞施工完成后进行地面找坡层及防水层、面层施工。</w:t>
      </w:r>
    </w:p>
    <w:p w14:paraId="275DDE0F">
      <w:pPr>
        <w:pStyle w:val="89"/>
        <w:spacing w:before="10" w:after="10" w:line="360" w:lineRule="auto"/>
        <w:ind w:firstLine="560"/>
        <w:rPr>
          <w:color w:val="auto"/>
          <w:sz w:val="24"/>
          <w:szCs w:val="24"/>
          <w:highlight w:val="none"/>
        </w:rPr>
      </w:pPr>
      <w:r>
        <w:rPr>
          <w:rFonts w:hint="eastAsia"/>
          <w:color w:val="auto"/>
          <w:sz w:val="24"/>
          <w:szCs w:val="24"/>
          <w:highlight w:val="none"/>
        </w:rPr>
        <w:t>后续施工时注意对水电单位的成品保护，地漏采用呢绒带封堵，避免后续施工时灰、浆流入地漏，造成排水不畅。</w:t>
      </w:r>
    </w:p>
    <w:p w14:paraId="2BDF5628">
      <w:pPr>
        <w:pStyle w:val="89"/>
        <w:spacing w:before="10" w:after="10" w:line="360" w:lineRule="auto"/>
        <w:ind w:firstLine="560"/>
        <w:rPr>
          <w:color w:val="auto"/>
          <w:sz w:val="24"/>
          <w:szCs w:val="24"/>
          <w:highlight w:val="none"/>
        </w:rPr>
      </w:pPr>
      <w:r>
        <w:rPr>
          <w:rFonts w:hint="eastAsia"/>
          <w:color w:val="auto"/>
          <w:sz w:val="24"/>
          <w:szCs w:val="24"/>
          <w:highlight w:val="none"/>
        </w:rPr>
        <w:t>协调程序：</w:t>
      </w:r>
    </w:p>
    <w:p w14:paraId="799A569C">
      <w:pPr>
        <w:pStyle w:val="89"/>
        <w:spacing w:before="10" w:after="10" w:line="360" w:lineRule="auto"/>
        <w:ind w:firstLine="560"/>
        <w:rPr>
          <w:color w:val="auto"/>
          <w:sz w:val="24"/>
          <w:szCs w:val="24"/>
          <w:highlight w:val="none"/>
        </w:rPr>
      </w:pPr>
      <w:r>
        <w:rPr>
          <w:rFonts w:hint="eastAsia"/>
          <w:color w:val="auto"/>
          <w:sz w:val="24"/>
          <w:szCs w:val="24"/>
          <w:highlight w:val="none"/>
        </w:rPr>
        <w:t>安装单位→协调小组→施工员→协调小组→后续施工单位</w:t>
      </w:r>
    </w:p>
    <w:p w14:paraId="21105265">
      <w:pPr>
        <w:pStyle w:val="89"/>
        <w:spacing w:before="10" w:after="10" w:line="360" w:lineRule="auto"/>
        <w:ind w:firstLine="560"/>
        <w:rPr>
          <w:color w:val="auto"/>
          <w:sz w:val="24"/>
          <w:szCs w:val="24"/>
          <w:highlight w:val="none"/>
        </w:rPr>
      </w:pPr>
      <w:r>
        <w:rPr>
          <w:rFonts w:hint="eastAsia"/>
          <w:color w:val="auto"/>
          <w:sz w:val="24"/>
          <w:szCs w:val="24"/>
          <w:highlight w:val="none"/>
        </w:rPr>
        <w:t>22、土建与电梯专业安装之间穿插协调</w:t>
      </w:r>
    </w:p>
    <w:p w14:paraId="5675A573">
      <w:pPr>
        <w:pStyle w:val="89"/>
        <w:spacing w:before="10" w:after="10" w:line="360" w:lineRule="auto"/>
        <w:ind w:firstLine="560"/>
        <w:rPr>
          <w:color w:val="auto"/>
          <w:sz w:val="24"/>
          <w:szCs w:val="24"/>
          <w:highlight w:val="none"/>
        </w:rPr>
      </w:pPr>
      <w:r>
        <w:rPr>
          <w:rFonts w:hint="eastAsia"/>
          <w:color w:val="auto"/>
          <w:sz w:val="24"/>
          <w:szCs w:val="24"/>
          <w:highlight w:val="none"/>
        </w:rPr>
        <w:t>与甲方、设计协商，共同确定电梯的生产厂家、规格、型号，并与厂家联系取得该型号电梯的预埋件详图及预留洞详图，在主体框架施工时进行电梯预埋件及预留洞的留置。</w:t>
      </w:r>
    </w:p>
    <w:p w14:paraId="77114DBA">
      <w:pPr>
        <w:pStyle w:val="89"/>
        <w:spacing w:before="10" w:after="10" w:line="360" w:lineRule="auto"/>
        <w:ind w:firstLine="560"/>
        <w:rPr>
          <w:color w:val="auto"/>
          <w:sz w:val="24"/>
          <w:szCs w:val="24"/>
          <w:highlight w:val="none"/>
        </w:rPr>
      </w:pPr>
      <w:r>
        <w:rPr>
          <w:rFonts w:hint="eastAsia"/>
          <w:color w:val="auto"/>
          <w:sz w:val="24"/>
          <w:szCs w:val="24"/>
          <w:highlight w:val="none"/>
        </w:rPr>
        <w:t>电梯安装单位进场的时间初步定在土建装修中期，这样既对精装修成品保护有利，也为电梯安装后电梯厅地面面层施工至电梯位置的节点处理留足充裕的时间。</w:t>
      </w:r>
    </w:p>
    <w:p w14:paraId="795FF3E8">
      <w:pPr>
        <w:pStyle w:val="89"/>
        <w:spacing w:before="10" w:after="10" w:line="360" w:lineRule="auto"/>
        <w:ind w:firstLine="560"/>
        <w:rPr>
          <w:color w:val="auto"/>
          <w:sz w:val="24"/>
          <w:szCs w:val="24"/>
          <w:highlight w:val="none"/>
        </w:rPr>
      </w:pPr>
      <w:r>
        <w:rPr>
          <w:rFonts w:hint="eastAsia"/>
          <w:color w:val="auto"/>
          <w:sz w:val="24"/>
          <w:szCs w:val="24"/>
          <w:highlight w:val="none"/>
        </w:rPr>
        <w:t xml:space="preserve">电梯进场后，在楼内为其设置专门库房，并提供安装期间的操作平台，因为在此期间是现场分包单位最多、施工人员最多的时期，要尽快完成电梯的安装。 </w:t>
      </w:r>
    </w:p>
    <w:p w14:paraId="5F67C6CB">
      <w:pPr>
        <w:pStyle w:val="89"/>
        <w:spacing w:before="10" w:after="10" w:line="360" w:lineRule="auto"/>
        <w:ind w:firstLine="560"/>
        <w:rPr>
          <w:color w:val="auto"/>
          <w:sz w:val="24"/>
          <w:szCs w:val="24"/>
          <w:highlight w:val="none"/>
        </w:rPr>
      </w:pPr>
      <w:r>
        <w:rPr>
          <w:rFonts w:hint="eastAsia"/>
          <w:color w:val="auto"/>
          <w:sz w:val="24"/>
          <w:szCs w:val="24"/>
          <w:highlight w:val="none"/>
        </w:rPr>
        <w:t>主体结构清理完成后移交协调小组，协调小组交付电梯单位进行电梯施工。</w:t>
      </w:r>
    </w:p>
    <w:p w14:paraId="5443F2E1">
      <w:pPr>
        <w:pStyle w:val="89"/>
        <w:spacing w:before="10" w:after="10" w:line="360" w:lineRule="auto"/>
        <w:ind w:firstLine="560"/>
        <w:rPr>
          <w:color w:val="auto"/>
          <w:sz w:val="24"/>
          <w:szCs w:val="24"/>
          <w:highlight w:val="none"/>
        </w:rPr>
      </w:pPr>
      <w:r>
        <w:rPr>
          <w:rFonts w:hint="eastAsia"/>
          <w:color w:val="auto"/>
          <w:sz w:val="24"/>
          <w:szCs w:val="24"/>
          <w:highlight w:val="none"/>
        </w:rPr>
        <w:t>协调程序：</w:t>
      </w:r>
    </w:p>
    <w:p w14:paraId="66FFAE9C">
      <w:pPr>
        <w:pStyle w:val="89"/>
        <w:spacing w:before="10" w:after="10" w:line="360" w:lineRule="auto"/>
        <w:ind w:firstLine="560"/>
        <w:rPr>
          <w:color w:val="auto"/>
          <w:szCs w:val="28"/>
          <w:highlight w:val="none"/>
        </w:rPr>
      </w:pPr>
      <w:r>
        <w:rPr>
          <w:rFonts w:hint="eastAsia"/>
          <w:color w:val="auto"/>
          <w:sz w:val="24"/>
          <w:szCs w:val="24"/>
          <w:highlight w:val="none"/>
        </w:rPr>
        <w:t>土建单位→协调小组→电梯单位</w:t>
      </w:r>
    </w:p>
    <w:p w14:paraId="2669F046">
      <w:pPr>
        <w:pStyle w:val="5"/>
        <w:ind w:firstLine="480"/>
        <w:rPr>
          <w:rFonts w:ascii="宋体" w:hAnsi="宋体" w:eastAsia="宋体"/>
          <w:color w:val="auto"/>
          <w:szCs w:val="28"/>
          <w:highlight w:val="none"/>
        </w:rPr>
      </w:pPr>
      <w:bookmarkStart w:id="376" w:name="_Toc27889"/>
      <w:r>
        <w:rPr>
          <w:rFonts w:hint="eastAsia" w:ascii="宋体" w:hAnsi="宋体" w:eastAsia="宋体"/>
          <w:color w:val="auto"/>
          <w:szCs w:val="28"/>
          <w:highlight w:val="none"/>
        </w:rPr>
        <w:t>夜间、农忙、节假日施工保障措施</w:t>
      </w:r>
      <w:bookmarkEnd w:id="366"/>
      <w:bookmarkEnd w:id="367"/>
      <w:bookmarkEnd w:id="368"/>
      <w:bookmarkEnd w:id="369"/>
      <w:bookmarkEnd w:id="376"/>
    </w:p>
    <w:p w14:paraId="194625CA">
      <w:pPr>
        <w:pStyle w:val="89"/>
        <w:spacing w:before="10" w:after="10" w:line="360" w:lineRule="auto"/>
        <w:ind w:firstLine="560"/>
        <w:rPr>
          <w:rFonts w:hint="eastAsia"/>
          <w:color w:val="auto"/>
          <w:sz w:val="24"/>
          <w:szCs w:val="24"/>
          <w:highlight w:val="none"/>
        </w:rPr>
      </w:pPr>
      <w:r>
        <w:rPr>
          <w:rFonts w:hint="eastAsia"/>
          <w:color w:val="auto"/>
          <w:sz w:val="24"/>
          <w:szCs w:val="24"/>
          <w:highlight w:val="none"/>
        </w:rPr>
        <w:t>1、夜间施工安排</w:t>
      </w:r>
    </w:p>
    <w:p w14:paraId="5663F6D1">
      <w:pPr>
        <w:pStyle w:val="104"/>
        <w:spacing w:before="10" w:after="10" w:line="432" w:lineRule="auto"/>
        <w:ind w:left="560" w:firstLine="560"/>
        <w:rPr>
          <w:color w:val="auto"/>
          <w:sz w:val="24"/>
          <w:szCs w:val="24"/>
        </w:rPr>
      </w:pPr>
      <w:r>
        <w:rPr>
          <w:rFonts w:hint="eastAsia"/>
          <w:color w:val="auto"/>
          <w:sz w:val="24"/>
          <w:szCs w:val="24"/>
        </w:rPr>
        <w:t>夜间施工保障措施一览表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942"/>
        <w:gridCol w:w="7228"/>
      </w:tblGrid>
      <w:tr w14:paraId="62870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2C9C0A7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526" w:type="pct"/>
            <w:noWrap w:val="0"/>
            <w:tcMar>
              <w:top w:w="28" w:type="dxa"/>
              <w:left w:w="57" w:type="dxa"/>
              <w:bottom w:w="28" w:type="dxa"/>
              <w:right w:w="57" w:type="dxa"/>
            </w:tcMar>
            <w:vAlign w:val="center"/>
          </w:tcPr>
          <w:p w14:paraId="654E74C2">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w:t>
            </w:r>
          </w:p>
        </w:tc>
        <w:tc>
          <w:tcPr>
            <w:tcW w:w="4034" w:type="pct"/>
            <w:noWrap w:val="0"/>
            <w:tcMar>
              <w:top w:w="28" w:type="dxa"/>
              <w:left w:w="57" w:type="dxa"/>
              <w:bottom w:w="28" w:type="dxa"/>
              <w:right w:w="57" w:type="dxa"/>
            </w:tcMar>
            <w:vAlign w:val="center"/>
          </w:tcPr>
          <w:p w14:paraId="5B476C1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具体内容</w:t>
            </w:r>
          </w:p>
        </w:tc>
      </w:tr>
      <w:tr w14:paraId="3AF6F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0C3A645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526" w:type="pct"/>
            <w:noWrap w:val="0"/>
            <w:tcMar>
              <w:top w:w="28" w:type="dxa"/>
              <w:left w:w="57" w:type="dxa"/>
              <w:bottom w:w="28" w:type="dxa"/>
              <w:right w:w="57" w:type="dxa"/>
            </w:tcMar>
            <w:vAlign w:val="center"/>
          </w:tcPr>
          <w:p w14:paraId="57F94D4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监督管理</w:t>
            </w:r>
          </w:p>
        </w:tc>
        <w:tc>
          <w:tcPr>
            <w:tcW w:w="4034" w:type="pct"/>
            <w:noWrap w:val="0"/>
            <w:tcMar>
              <w:top w:w="28" w:type="dxa"/>
              <w:left w:w="57" w:type="dxa"/>
              <w:bottom w:w="28" w:type="dxa"/>
              <w:right w:w="57" w:type="dxa"/>
            </w:tcMar>
            <w:vAlign w:val="center"/>
          </w:tcPr>
          <w:p w14:paraId="7BB0B19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现场安排一名项目领导值班，协调处理夜间施工工作；项目经理部设置夜间施工监督员，对夜间施工进行巡视，确保夜间施工的工作效率和作业安全；项目部其他人员保持全天通讯畅通。</w:t>
            </w:r>
          </w:p>
        </w:tc>
      </w:tr>
      <w:tr w14:paraId="6762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16B6FD9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526" w:type="pct"/>
            <w:noWrap w:val="0"/>
            <w:tcMar>
              <w:top w:w="28" w:type="dxa"/>
              <w:left w:w="57" w:type="dxa"/>
              <w:bottom w:w="28" w:type="dxa"/>
              <w:right w:w="57" w:type="dxa"/>
            </w:tcMar>
            <w:vAlign w:val="center"/>
          </w:tcPr>
          <w:p w14:paraId="4948E38F">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扰民安抚</w:t>
            </w:r>
          </w:p>
        </w:tc>
        <w:tc>
          <w:tcPr>
            <w:tcW w:w="4034" w:type="pct"/>
            <w:noWrap w:val="0"/>
            <w:tcMar>
              <w:top w:w="28" w:type="dxa"/>
              <w:left w:w="57" w:type="dxa"/>
              <w:bottom w:w="28" w:type="dxa"/>
              <w:right w:w="57" w:type="dxa"/>
            </w:tcMar>
            <w:vAlign w:val="center"/>
          </w:tcPr>
          <w:p w14:paraId="080C41ED">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提前做好扰民安抚工作，现场围墙、门口、道口等位置贴夜间施工告示。</w:t>
            </w:r>
          </w:p>
        </w:tc>
      </w:tr>
      <w:tr w14:paraId="6399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49E4145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526" w:type="pct"/>
            <w:noWrap w:val="0"/>
            <w:tcMar>
              <w:top w:w="28" w:type="dxa"/>
              <w:left w:w="57" w:type="dxa"/>
              <w:bottom w:w="28" w:type="dxa"/>
              <w:right w:w="57" w:type="dxa"/>
            </w:tcMar>
            <w:vAlign w:val="center"/>
          </w:tcPr>
          <w:p w14:paraId="5E255C8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施工照明</w:t>
            </w:r>
          </w:p>
        </w:tc>
        <w:tc>
          <w:tcPr>
            <w:tcW w:w="4034" w:type="pct"/>
            <w:noWrap w:val="0"/>
            <w:tcMar>
              <w:top w:w="28" w:type="dxa"/>
              <w:left w:w="57" w:type="dxa"/>
              <w:bottom w:w="28" w:type="dxa"/>
              <w:right w:w="57" w:type="dxa"/>
            </w:tcMar>
            <w:vAlign w:val="center"/>
          </w:tcPr>
          <w:p w14:paraId="20A38728">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1、施工照明与施工机械设备用电各自采用一条施工线路，防止大型施工机械因偶尔过载后跳闸导致施工照明不足。</w:t>
            </w:r>
          </w:p>
          <w:p w14:paraId="2D5EBA82">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2、施工准备期间，分别在场地四周搭设大功率镝灯，用于整个施工现场夜间照明。</w:t>
            </w:r>
          </w:p>
          <w:p w14:paraId="44C08DB3">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3、结构施工期间，在每台塔吊支架处加设两台镝灯，用于施工作业层的夜间照明。</w:t>
            </w:r>
          </w:p>
          <w:p w14:paraId="2F7784C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4、同时配备足额LED灯，作为零星照明不足的补充。</w:t>
            </w:r>
          </w:p>
          <w:p w14:paraId="757AD36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5、现场必须有足够的照明能力。满足夜间安全等对照明的需求。</w:t>
            </w:r>
          </w:p>
          <w:p w14:paraId="05B8D3F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6、现场在临边、洞口等事故易发位置，严格按照有关规定设置警戒灯，并由专职安全员负责维护，确保设施的完整性、有效性。</w:t>
            </w:r>
          </w:p>
          <w:p w14:paraId="5A76D78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7、配备足够的电工，及时配合施工对照明的需要，尤其是移动光源。</w:t>
            </w:r>
          </w:p>
        </w:tc>
      </w:tr>
      <w:tr w14:paraId="3C23A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2278C754">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526" w:type="pct"/>
            <w:noWrap w:val="0"/>
            <w:tcMar>
              <w:top w:w="28" w:type="dxa"/>
              <w:left w:w="57" w:type="dxa"/>
              <w:bottom w:w="28" w:type="dxa"/>
              <w:right w:w="57" w:type="dxa"/>
            </w:tcMar>
            <w:vAlign w:val="center"/>
          </w:tcPr>
          <w:p w14:paraId="1FB671D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安全防护</w:t>
            </w:r>
          </w:p>
        </w:tc>
        <w:tc>
          <w:tcPr>
            <w:tcW w:w="4034" w:type="pct"/>
            <w:noWrap w:val="0"/>
            <w:tcMar>
              <w:top w:w="28" w:type="dxa"/>
              <w:left w:w="57" w:type="dxa"/>
              <w:bottom w:w="28" w:type="dxa"/>
              <w:right w:w="57" w:type="dxa"/>
            </w:tcMar>
            <w:vAlign w:val="center"/>
          </w:tcPr>
          <w:p w14:paraId="44AD7ED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夜间施工时，加强进行安全设施管理，重点检查作业层四周安全围护、临边洞口防护等部位，确保夜间施工安全。</w:t>
            </w:r>
          </w:p>
        </w:tc>
      </w:tr>
      <w:tr w14:paraId="67CD2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57B5C0D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526" w:type="pct"/>
            <w:noWrap w:val="0"/>
            <w:tcMar>
              <w:top w:w="28" w:type="dxa"/>
              <w:left w:w="57" w:type="dxa"/>
              <w:bottom w:w="28" w:type="dxa"/>
              <w:right w:w="57" w:type="dxa"/>
            </w:tcMar>
            <w:vAlign w:val="center"/>
          </w:tcPr>
          <w:p w14:paraId="78C8F6C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后勤保障</w:t>
            </w:r>
          </w:p>
        </w:tc>
        <w:tc>
          <w:tcPr>
            <w:tcW w:w="4034" w:type="pct"/>
            <w:noWrap w:val="0"/>
            <w:tcMar>
              <w:top w:w="28" w:type="dxa"/>
              <w:left w:w="57" w:type="dxa"/>
              <w:bottom w:w="28" w:type="dxa"/>
              <w:right w:w="57" w:type="dxa"/>
            </w:tcMar>
            <w:vAlign w:val="center"/>
          </w:tcPr>
          <w:p w14:paraId="2D3165B1">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做好后勤保障工作，尤其食堂等生活配套设施，必须满足夜间施工的要求；生活区建立严格的管理制度，为夜间施工人员创造良好的休息环境，使人员保持持续的夜间施工能力。</w:t>
            </w:r>
          </w:p>
        </w:tc>
      </w:tr>
      <w:tr w14:paraId="6A31B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5F2178A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6</w:t>
            </w:r>
          </w:p>
        </w:tc>
        <w:tc>
          <w:tcPr>
            <w:tcW w:w="526" w:type="pct"/>
            <w:noWrap w:val="0"/>
            <w:tcMar>
              <w:top w:w="28" w:type="dxa"/>
              <w:left w:w="57" w:type="dxa"/>
              <w:bottom w:w="28" w:type="dxa"/>
              <w:right w:w="57" w:type="dxa"/>
            </w:tcMar>
            <w:vAlign w:val="center"/>
          </w:tcPr>
          <w:p w14:paraId="1B28E5A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验收计划</w:t>
            </w:r>
          </w:p>
        </w:tc>
        <w:tc>
          <w:tcPr>
            <w:tcW w:w="4034" w:type="pct"/>
            <w:noWrap w:val="0"/>
            <w:tcMar>
              <w:top w:w="28" w:type="dxa"/>
              <w:left w:w="57" w:type="dxa"/>
              <w:bottom w:w="28" w:type="dxa"/>
              <w:right w:w="57" w:type="dxa"/>
            </w:tcMar>
            <w:vAlign w:val="center"/>
          </w:tcPr>
          <w:p w14:paraId="6444992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针对夜间施工中出现的中间验收，应提前制定验收计划，上报业主、监理单位，以便他们做出相应的工作安排。</w:t>
            </w:r>
          </w:p>
        </w:tc>
      </w:tr>
      <w:tr w14:paraId="6E3CE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159B168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7</w:t>
            </w:r>
          </w:p>
        </w:tc>
        <w:tc>
          <w:tcPr>
            <w:tcW w:w="526" w:type="pct"/>
            <w:noWrap w:val="0"/>
            <w:tcMar>
              <w:top w:w="28" w:type="dxa"/>
              <w:left w:w="57" w:type="dxa"/>
              <w:bottom w:w="28" w:type="dxa"/>
              <w:right w:w="57" w:type="dxa"/>
            </w:tcMar>
            <w:vAlign w:val="center"/>
          </w:tcPr>
          <w:p w14:paraId="7B61AF5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分包管理</w:t>
            </w:r>
          </w:p>
        </w:tc>
        <w:tc>
          <w:tcPr>
            <w:tcW w:w="4034" w:type="pct"/>
            <w:noWrap w:val="0"/>
            <w:tcMar>
              <w:top w:w="28" w:type="dxa"/>
              <w:left w:w="57" w:type="dxa"/>
              <w:bottom w:w="28" w:type="dxa"/>
              <w:right w:w="57" w:type="dxa"/>
            </w:tcMar>
            <w:vAlign w:val="center"/>
          </w:tcPr>
          <w:p w14:paraId="76E65236">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但凡涉及夜间施工的其他相关单位如分包单位、商品混凝土供应商等，我方都要求他们做出相应的协作保证。</w:t>
            </w:r>
          </w:p>
        </w:tc>
      </w:tr>
    </w:tbl>
    <w:p w14:paraId="6A31BDD2">
      <w:pPr>
        <w:pStyle w:val="89"/>
        <w:spacing w:before="10" w:after="10" w:line="360" w:lineRule="auto"/>
        <w:ind w:firstLine="560"/>
        <w:rPr>
          <w:rFonts w:hint="eastAsia"/>
          <w:color w:val="auto"/>
          <w:sz w:val="24"/>
          <w:szCs w:val="24"/>
        </w:rPr>
      </w:pPr>
      <w:r>
        <w:rPr>
          <w:rFonts w:hint="eastAsia"/>
          <w:color w:val="auto"/>
          <w:sz w:val="24"/>
          <w:szCs w:val="24"/>
        </w:rPr>
        <w:t>2、农忙、节假日施工安排</w:t>
      </w:r>
    </w:p>
    <w:p w14:paraId="17BFEF62">
      <w:pPr>
        <w:pStyle w:val="104"/>
        <w:spacing w:before="10" w:after="10" w:line="432" w:lineRule="auto"/>
        <w:ind w:left="560" w:firstLine="560"/>
        <w:rPr>
          <w:color w:val="auto"/>
          <w:sz w:val="24"/>
          <w:szCs w:val="24"/>
        </w:rPr>
      </w:pPr>
      <w:r>
        <w:rPr>
          <w:rFonts w:hint="eastAsia"/>
          <w:color w:val="auto"/>
          <w:sz w:val="24"/>
          <w:szCs w:val="24"/>
        </w:rPr>
        <w:t>农忙、节假日施工保障措施一览表</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231"/>
        <w:gridCol w:w="6938"/>
      </w:tblGrid>
      <w:tr w14:paraId="5145F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07EA0635">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687" w:type="pct"/>
            <w:noWrap w:val="0"/>
            <w:tcMar>
              <w:top w:w="28" w:type="dxa"/>
              <w:left w:w="57" w:type="dxa"/>
              <w:bottom w:w="28" w:type="dxa"/>
              <w:right w:w="57" w:type="dxa"/>
            </w:tcMar>
            <w:vAlign w:val="center"/>
          </w:tcPr>
          <w:p w14:paraId="684747FC">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w:t>
            </w:r>
          </w:p>
        </w:tc>
        <w:tc>
          <w:tcPr>
            <w:tcW w:w="3873" w:type="pct"/>
            <w:noWrap w:val="0"/>
            <w:tcMar>
              <w:top w:w="28" w:type="dxa"/>
              <w:left w:w="57" w:type="dxa"/>
              <w:bottom w:w="28" w:type="dxa"/>
              <w:right w:w="57" w:type="dxa"/>
            </w:tcMar>
            <w:vAlign w:val="center"/>
          </w:tcPr>
          <w:p w14:paraId="183FC14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具体内容</w:t>
            </w:r>
          </w:p>
        </w:tc>
      </w:tr>
      <w:tr w14:paraId="76D8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34875E2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687" w:type="pct"/>
            <w:noWrap w:val="0"/>
            <w:tcMar>
              <w:top w:w="28" w:type="dxa"/>
              <w:left w:w="57" w:type="dxa"/>
              <w:bottom w:w="28" w:type="dxa"/>
              <w:right w:w="57" w:type="dxa"/>
            </w:tcMar>
            <w:vAlign w:val="center"/>
          </w:tcPr>
          <w:p w14:paraId="4B451A5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成建制劳务公司保障</w:t>
            </w:r>
          </w:p>
        </w:tc>
        <w:tc>
          <w:tcPr>
            <w:tcW w:w="3873" w:type="pct"/>
            <w:noWrap w:val="0"/>
            <w:tcMar>
              <w:top w:w="28" w:type="dxa"/>
              <w:left w:w="57" w:type="dxa"/>
              <w:bottom w:w="28" w:type="dxa"/>
              <w:right w:w="57" w:type="dxa"/>
            </w:tcMar>
            <w:vAlign w:val="center"/>
          </w:tcPr>
          <w:p w14:paraId="5C37231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选派与我单位长期合作，综合素质高，能够打硬仗的成建制劳务公司。</w:t>
            </w:r>
          </w:p>
        </w:tc>
      </w:tr>
      <w:tr w14:paraId="77FD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4C7F798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687" w:type="pct"/>
            <w:noWrap w:val="0"/>
            <w:tcMar>
              <w:top w:w="28" w:type="dxa"/>
              <w:left w:w="57" w:type="dxa"/>
              <w:bottom w:w="28" w:type="dxa"/>
              <w:right w:w="57" w:type="dxa"/>
            </w:tcMar>
            <w:vAlign w:val="center"/>
          </w:tcPr>
          <w:p w14:paraId="25503AE3">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后勤保障</w:t>
            </w:r>
          </w:p>
        </w:tc>
        <w:tc>
          <w:tcPr>
            <w:tcW w:w="3873" w:type="pct"/>
            <w:noWrap w:val="0"/>
            <w:tcMar>
              <w:top w:w="28" w:type="dxa"/>
              <w:left w:w="57" w:type="dxa"/>
              <w:bottom w:w="28" w:type="dxa"/>
              <w:right w:w="57" w:type="dxa"/>
            </w:tcMar>
            <w:vAlign w:val="center"/>
          </w:tcPr>
          <w:p w14:paraId="621E64BE">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加强后勤保障工作，改善伙食和精神生活，稳定人心。</w:t>
            </w:r>
          </w:p>
        </w:tc>
      </w:tr>
      <w:tr w14:paraId="2DAF3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3D4CF63E">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687" w:type="pct"/>
            <w:noWrap w:val="0"/>
            <w:tcMar>
              <w:top w:w="28" w:type="dxa"/>
              <w:left w:w="57" w:type="dxa"/>
              <w:bottom w:w="28" w:type="dxa"/>
              <w:right w:w="57" w:type="dxa"/>
            </w:tcMar>
            <w:vAlign w:val="center"/>
          </w:tcPr>
          <w:p w14:paraId="0DFD33D6">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薪酬保障</w:t>
            </w:r>
          </w:p>
        </w:tc>
        <w:tc>
          <w:tcPr>
            <w:tcW w:w="3873" w:type="pct"/>
            <w:noWrap w:val="0"/>
            <w:tcMar>
              <w:top w:w="28" w:type="dxa"/>
              <w:left w:w="57" w:type="dxa"/>
              <w:bottom w:w="28" w:type="dxa"/>
              <w:right w:w="57" w:type="dxa"/>
            </w:tcMar>
            <w:vAlign w:val="center"/>
          </w:tcPr>
          <w:p w14:paraId="28B50E4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提高劳动报酬，实行“双薪或三薪制”确保劳动力。</w:t>
            </w:r>
          </w:p>
        </w:tc>
      </w:tr>
      <w:tr w14:paraId="5585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7A0C50AD">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4</w:t>
            </w:r>
          </w:p>
        </w:tc>
        <w:tc>
          <w:tcPr>
            <w:tcW w:w="687" w:type="pct"/>
            <w:noWrap w:val="0"/>
            <w:tcMar>
              <w:top w:w="28" w:type="dxa"/>
              <w:left w:w="57" w:type="dxa"/>
              <w:bottom w:w="28" w:type="dxa"/>
              <w:right w:w="57" w:type="dxa"/>
            </w:tcMar>
            <w:vAlign w:val="center"/>
          </w:tcPr>
          <w:p w14:paraId="3C6D78C9">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现金保障</w:t>
            </w:r>
          </w:p>
        </w:tc>
        <w:tc>
          <w:tcPr>
            <w:tcW w:w="3873" w:type="pct"/>
            <w:noWrap w:val="0"/>
            <w:tcMar>
              <w:top w:w="28" w:type="dxa"/>
              <w:left w:w="57" w:type="dxa"/>
              <w:bottom w:w="28" w:type="dxa"/>
              <w:right w:w="57" w:type="dxa"/>
            </w:tcMar>
            <w:vAlign w:val="center"/>
          </w:tcPr>
          <w:p w14:paraId="15F4B1E4">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项目拟拨出一定现金，进行现场发放，保证劳动力。</w:t>
            </w:r>
          </w:p>
        </w:tc>
      </w:tr>
      <w:tr w14:paraId="4B2E9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0" w:type="pct"/>
            <w:noWrap w:val="0"/>
            <w:tcMar>
              <w:top w:w="28" w:type="dxa"/>
              <w:left w:w="57" w:type="dxa"/>
              <w:bottom w:w="28" w:type="dxa"/>
              <w:right w:w="57" w:type="dxa"/>
            </w:tcMar>
            <w:vAlign w:val="center"/>
          </w:tcPr>
          <w:p w14:paraId="4F252A6A">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5</w:t>
            </w:r>
          </w:p>
        </w:tc>
        <w:tc>
          <w:tcPr>
            <w:tcW w:w="687" w:type="pct"/>
            <w:noWrap w:val="0"/>
            <w:tcMar>
              <w:top w:w="28" w:type="dxa"/>
              <w:left w:w="57" w:type="dxa"/>
              <w:bottom w:w="28" w:type="dxa"/>
              <w:right w:w="57" w:type="dxa"/>
            </w:tcMar>
            <w:vAlign w:val="center"/>
          </w:tcPr>
          <w:p w14:paraId="750C6AC7">
            <w:pPr>
              <w:pStyle w:val="92"/>
              <w:adjustRightInd/>
              <w:snapToGrid/>
              <w:spacing w:before="10" w:after="10" w:line="240" w:lineRule="auto"/>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人员选配</w:t>
            </w:r>
          </w:p>
        </w:tc>
        <w:tc>
          <w:tcPr>
            <w:tcW w:w="3873" w:type="pct"/>
            <w:noWrap w:val="0"/>
            <w:tcMar>
              <w:top w:w="28" w:type="dxa"/>
              <w:left w:w="57" w:type="dxa"/>
              <w:bottom w:w="28" w:type="dxa"/>
              <w:right w:w="57" w:type="dxa"/>
            </w:tcMar>
            <w:vAlign w:val="center"/>
          </w:tcPr>
          <w:p w14:paraId="7AD43FA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对劳务人员进行精心选配，预先避免农忙因素干扰（如采用远区的施工人员等）。</w:t>
            </w:r>
          </w:p>
        </w:tc>
      </w:tr>
    </w:tbl>
    <w:p w14:paraId="50D52642">
      <w:pPr>
        <w:pStyle w:val="5"/>
        <w:ind w:firstLine="480"/>
        <w:rPr>
          <w:rFonts w:ascii="宋体" w:hAnsi="宋体" w:eastAsia="宋体"/>
          <w:color w:val="auto"/>
          <w:szCs w:val="28"/>
        </w:rPr>
      </w:pPr>
      <w:bookmarkStart w:id="377" w:name="_Toc71733110"/>
      <w:bookmarkStart w:id="378" w:name="_Toc536720819"/>
      <w:bookmarkStart w:id="379" w:name="_Toc12550283"/>
      <w:bookmarkStart w:id="380" w:name="_Toc166965323"/>
      <w:bookmarkStart w:id="381" w:name="_Toc17101"/>
      <w:bookmarkStart w:id="382" w:name="_Toc60089641"/>
      <w:r>
        <w:rPr>
          <w:rFonts w:hint="eastAsia" w:ascii="宋体" w:hAnsi="宋体" w:eastAsia="宋体"/>
          <w:color w:val="auto"/>
          <w:szCs w:val="28"/>
        </w:rPr>
        <w:t>季节性施工保障措施</w:t>
      </w:r>
      <w:bookmarkEnd w:id="377"/>
      <w:bookmarkEnd w:id="378"/>
      <w:bookmarkEnd w:id="379"/>
      <w:bookmarkEnd w:id="380"/>
      <w:bookmarkEnd w:id="381"/>
      <w:bookmarkEnd w:id="382"/>
    </w:p>
    <w:p w14:paraId="1CE86833">
      <w:pPr>
        <w:pStyle w:val="104"/>
        <w:spacing w:before="10" w:after="10" w:line="432" w:lineRule="auto"/>
        <w:ind w:left="560" w:firstLine="560"/>
        <w:rPr>
          <w:color w:val="auto"/>
          <w:sz w:val="24"/>
          <w:szCs w:val="24"/>
        </w:rPr>
      </w:pPr>
      <w:r>
        <w:rPr>
          <w:rFonts w:hint="eastAsia"/>
          <w:color w:val="auto"/>
          <w:sz w:val="24"/>
          <w:szCs w:val="24"/>
        </w:rPr>
        <w:t>季节性施工工期保证措施</w:t>
      </w:r>
    </w:p>
    <w:tbl>
      <w:tblPr>
        <w:tblStyle w:val="29"/>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367"/>
        <w:gridCol w:w="6676"/>
      </w:tblGrid>
      <w:tr w14:paraId="4BD6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tcMar>
              <w:top w:w="28" w:type="dxa"/>
              <w:left w:w="57" w:type="dxa"/>
              <w:bottom w:w="28" w:type="dxa"/>
              <w:right w:w="57" w:type="dxa"/>
            </w:tcMar>
            <w:vAlign w:val="center"/>
          </w:tcPr>
          <w:p w14:paraId="3654B044">
            <w:pPr>
              <w:pStyle w:val="92"/>
              <w:adjustRightInd/>
              <w:snapToGrid/>
              <w:spacing w:before="10" w:after="10" w:line="240" w:lineRule="auto"/>
              <w:textAlignment w:val="auto"/>
              <w:rPr>
                <w:rStyle w:val="93"/>
                <w:color w:val="auto"/>
                <w:sz w:val="21"/>
                <w:szCs w:val="21"/>
              </w:rPr>
            </w:pPr>
            <w:r>
              <w:rPr>
                <w:rStyle w:val="93"/>
                <w:rFonts w:hint="eastAsia"/>
                <w:color w:val="auto"/>
                <w:sz w:val="21"/>
                <w:szCs w:val="21"/>
              </w:rPr>
              <w:t>序号</w:t>
            </w:r>
          </w:p>
        </w:tc>
        <w:tc>
          <w:tcPr>
            <w:tcW w:w="763" w:type="pct"/>
            <w:noWrap w:val="0"/>
            <w:tcMar>
              <w:top w:w="28" w:type="dxa"/>
              <w:left w:w="57" w:type="dxa"/>
              <w:bottom w:w="28" w:type="dxa"/>
              <w:right w:w="57" w:type="dxa"/>
            </w:tcMar>
            <w:vAlign w:val="center"/>
          </w:tcPr>
          <w:p w14:paraId="25A577B7">
            <w:pPr>
              <w:pStyle w:val="92"/>
              <w:adjustRightInd/>
              <w:snapToGrid/>
              <w:spacing w:before="10" w:after="10" w:line="240" w:lineRule="auto"/>
              <w:textAlignment w:val="auto"/>
              <w:rPr>
                <w:rStyle w:val="93"/>
                <w:color w:val="auto"/>
                <w:sz w:val="21"/>
                <w:szCs w:val="21"/>
              </w:rPr>
            </w:pPr>
            <w:r>
              <w:rPr>
                <w:rStyle w:val="93"/>
                <w:rFonts w:hint="eastAsia"/>
                <w:color w:val="auto"/>
                <w:sz w:val="21"/>
                <w:szCs w:val="21"/>
              </w:rPr>
              <w:t>内容</w:t>
            </w:r>
          </w:p>
        </w:tc>
        <w:tc>
          <w:tcPr>
            <w:tcW w:w="3727" w:type="pct"/>
            <w:noWrap w:val="0"/>
            <w:tcMar>
              <w:top w:w="28" w:type="dxa"/>
              <w:left w:w="57" w:type="dxa"/>
              <w:bottom w:w="28" w:type="dxa"/>
              <w:right w:w="57" w:type="dxa"/>
            </w:tcMar>
            <w:vAlign w:val="center"/>
          </w:tcPr>
          <w:p w14:paraId="3C912ED8">
            <w:pPr>
              <w:pStyle w:val="92"/>
              <w:adjustRightInd/>
              <w:snapToGrid/>
              <w:spacing w:before="10" w:after="10" w:line="240" w:lineRule="auto"/>
              <w:textAlignment w:val="auto"/>
              <w:rPr>
                <w:rStyle w:val="93"/>
                <w:color w:val="auto"/>
                <w:sz w:val="21"/>
                <w:szCs w:val="21"/>
              </w:rPr>
            </w:pPr>
            <w:r>
              <w:rPr>
                <w:rStyle w:val="93"/>
                <w:rFonts w:hint="eastAsia"/>
                <w:color w:val="auto"/>
                <w:sz w:val="21"/>
                <w:szCs w:val="21"/>
              </w:rPr>
              <w:t>保证措施</w:t>
            </w:r>
          </w:p>
        </w:tc>
      </w:tr>
      <w:tr w14:paraId="6013E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tcMar>
              <w:top w:w="28" w:type="dxa"/>
              <w:left w:w="57" w:type="dxa"/>
              <w:bottom w:w="28" w:type="dxa"/>
              <w:right w:w="57" w:type="dxa"/>
            </w:tcMar>
            <w:vAlign w:val="center"/>
          </w:tcPr>
          <w:p w14:paraId="62B40BB8">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1</w:t>
            </w:r>
          </w:p>
        </w:tc>
        <w:tc>
          <w:tcPr>
            <w:tcW w:w="763" w:type="pct"/>
            <w:noWrap w:val="0"/>
            <w:tcMar>
              <w:top w:w="28" w:type="dxa"/>
              <w:left w:w="57" w:type="dxa"/>
              <w:bottom w:w="28" w:type="dxa"/>
              <w:right w:w="57" w:type="dxa"/>
            </w:tcMar>
            <w:vAlign w:val="center"/>
          </w:tcPr>
          <w:p w14:paraId="5DE16656">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保证节假日施工生产连续性</w:t>
            </w:r>
          </w:p>
        </w:tc>
        <w:tc>
          <w:tcPr>
            <w:tcW w:w="3727" w:type="pct"/>
            <w:noWrap w:val="0"/>
            <w:tcMar>
              <w:top w:w="28" w:type="dxa"/>
              <w:left w:w="57" w:type="dxa"/>
              <w:bottom w:w="28" w:type="dxa"/>
              <w:right w:w="57" w:type="dxa"/>
            </w:tcMar>
            <w:vAlign w:val="center"/>
          </w:tcPr>
          <w:p w14:paraId="19D47882">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1</w:t>
            </w:r>
            <w:r>
              <w:rPr>
                <w:rStyle w:val="93"/>
                <w:rFonts w:hint="eastAsia"/>
                <w:color w:val="auto"/>
                <w:sz w:val="21"/>
                <w:szCs w:val="21"/>
                <w:highlight w:val="none"/>
              </w:rPr>
              <w:t>、劳动力：本着自愿原则，组织加班劳动力，加班工资采用现金发放的方式，且工资标准高于本市对于加班工资的地方标准。</w:t>
            </w:r>
          </w:p>
          <w:p w14:paraId="6724109D">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2</w:t>
            </w:r>
            <w:r>
              <w:rPr>
                <w:rStyle w:val="93"/>
                <w:rFonts w:hint="eastAsia"/>
                <w:color w:val="auto"/>
                <w:sz w:val="21"/>
                <w:szCs w:val="21"/>
                <w:highlight w:val="none"/>
              </w:rPr>
              <w:t>、提前与监理工程师预约，以确保隐蔽工程或中间验收工作不间断。</w:t>
            </w:r>
          </w:p>
          <w:p w14:paraId="7E79BD77">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3</w:t>
            </w:r>
            <w:r>
              <w:rPr>
                <w:rStyle w:val="93"/>
                <w:rFonts w:hint="eastAsia"/>
                <w:color w:val="auto"/>
                <w:sz w:val="21"/>
                <w:szCs w:val="21"/>
                <w:highlight w:val="none"/>
              </w:rPr>
              <w:t>、储备足够的料具，提前抓好落实，保证材料、机具及委托加工的半成品、构件在节假日也能够如期进场。</w:t>
            </w:r>
          </w:p>
          <w:p w14:paraId="3E1FCC5D">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4</w:t>
            </w:r>
            <w:r>
              <w:rPr>
                <w:rStyle w:val="93"/>
                <w:rFonts w:hint="eastAsia"/>
                <w:color w:val="auto"/>
                <w:sz w:val="21"/>
                <w:szCs w:val="21"/>
                <w:highlight w:val="none"/>
              </w:rPr>
              <w:t>、节假日应特别加强施工现场的检查与巡视，落实预防措施，杜绝事故隐患，确保不因节假日掉以轻心导致事故的发生而造成工作的停顿，保证节假日施工持续进行。</w:t>
            </w:r>
          </w:p>
        </w:tc>
      </w:tr>
      <w:tr w14:paraId="293B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tcMar>
              <w:top w:w="28" w:type="dxa"/>
              <w:left w:w="57" w:type="dxa"/>
              <w:bottom w:w="28" w:type="dxa"/>
              <w:right w:w="57" w:type="dxa"/>
            </w:tcMar>
            <w:vAlign w:val="center"/>
          </w:tcPr>
          <w:p w14:paraId="220925AF">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2</w:t>
            </w:r>
          </w:p>
        </w:tc>
        <w:tc>
          <w:tcPr>
            <w:tcW w:w="763" w:type="pct"/>
            <w:noWrap w:val="0"/>
            <w:tcMar>
              <w:top w:w="28" w:type="dxa"/>
              <w:left w:w="57" w:type="dxa"/>
              <w:bottom w:w="28" w:type="dxa"/>
              <w:right w:w="57" w:type="dxa"/>
            </w:tcMar>
            <w:vAlign w:val="center"/>
          </w:tcPr>
          <w:p w14:paraId="3E8B09C5">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雨季施工进度保证</w:t>
            </w:r>
          </w:p>
        </w:tc>
        <w:tc>
          <w:tcPr>
            <w:tcW w:w="3727" w:type="pct"/>
            <w:noWrap w:val="0"/>
            <w:tcMar>
              <w:top w:w="28" w:type="dxa"/>
              <w:left w:w="57" w:type="dxa"/>
              <w:bottom w:w="28" w:type="dxa"/>
              <w:right w:w="57" w:type="dxa"/>
            </w:tcMar>
            <w:vAlign w:val="center"/>
          </w:tcPr>
          <w:p w14:paraId="731E043C">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1</w:t>
            </w:r>
            <w:r>
              <w:rPr>
                <w:rStyle w:val="93"/>
                <w:rFonts w:hint="eastAsia"/>
                <w:color w:val="auto"/>
                <w:sz w:val="21"/>
                <w:szCs w:val="21"/>
                <w:highlight w:val="none"/>
              </w:rPr>
              <w:t>、防汛领导小组：成立防汛领导小组，制定防汛计划和紧急措施。雨期施工主要以预防为主，采取防雨措施及加强排水手段，确保雨期施工生产不受季节性条件影响。</w:t>
            </w:r>
          </w:p>
          <w:p w14:paraId="4A8F2506">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2</w:t>
            </w:r>
            <w:r>
              <w:rPr>
                <w:rStyle w:val="93"/>
                <w:rFonts w:hint="eastAsia"/>
                <w:color w:val="auto"/>
                <w:sz w:val="21"/>
                <w:szCs w:val="21"/>
                <w:highlight w:val="none"/>
              </w:rPr>
              <w:t>、值班人员：夜间设专职的值班人员，保证昼夜有人值班并做好值班记录，同时要设置天气预报员，负责收听和发布天气情况，防止暴雨突然袭击，合理安排每日的工作。</w:t>
            </w:r>
          </w:p>
          <w:p w14:paraId="33265819">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3</w:t>
            </w:r>
            <w:r>
              <w:rPr>
                <w:rStyle w:val="93"/>
                <w:rFonts w:hint="eastAsia"/>
                <w:color w:val="auto"/>
                <w:sz w:val="21"/>
                <w:szCs w:val="21"/>
                <w:highlight w:val="none"/>
              </w:rPr>
              <w:t>、排水设施：检查施工现场及生产生活基地的排水设施，疏通各种排水渠道，清理雨水排水口，保证雨天排水通畅。</w:t>
            </w:r>
          </w:p>
          <w:p w14:paraId="1A8F72BB">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4</w:t>
            </w:r>
            <w:r>
              <w:rPr>
                <w:rStyle w:val="93"/>
                <w:rFonts w:hint="eastAsia"/>
                <w:color w:val="auto"/>
                <w:sz w:val="21"/>
                <w:szCs w:val="21"/>
                <w:highlight w:val="none"/>
              </w:rPr>
              <w:t>、洞口：每层楼板特别是屋面板上的预留洞口或施工洞口，要在雨季来临之前封闭，避免雨水通过洞口流入下层。</w:t>
            </w:r>
          </w:p>
          <w:p w14:paraId="1046C1A4">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5</w:t>
            </w:r>
            <w:r>
              <w:rPr>
                <w:rStyle w:val="93"/>
                <w:rFonts w:hint="eastAsia"/>
                <w:color w:val="auto"/>
                <w:sz w:val="21"/>
                <w:szCs w:val="21"/>
                <w:highlight w:val="none"/>
              </w:rPr>
              <w:t>、准备工作：做好施工人员雨期培训工作，组织相关人员定期全面检查施工现场的准备工作，包括临时设施、临电、机械设备防护等项工作。</w:t>
            </w:r>
          </w:p>
        </w:tc>
      </w:tr>
      <w:tr w14:paraId="3F22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tcMar>
              <w:top w:w="28" w:type="dxa"/>
              <w:left w:w="57" w:type="dxa"/>
              <w:bottom w:w="28" w:type="dxa"/>
              <w:right w:w="57" w:type="dxa"/>
            </w:tcMar>
            <w:vAlign w:val="center"/>
          </w:tcPr>
          <w:p w14:paraId="4864EEE7">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3</w:t>
            </w:r>
          </w:p>
        </w:tc>
        <w:tc>
          <w:tcPr>
            <w:tcW w:w="763" w:type="pct"/>
            <w:noWrap w:val="0"/>
            <w:tcMar>
              <w:top w:w="28" w:type="dxa"/>
              <w:left w:w="57" w:type="dxa"/>
              <w:bottom w:w="28" w:type="dxa"/>
              <w:right w:w="57" w:type="dxa"/>
            </w:tcMar>
            <w:vAlign w:val="center"/>
          </w:tcPr>
          <w:p w14:paraId="13DDE96E">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台风施工进度保证</w:t>
            </w:r>
          </w:p>
        </w:tc>
        <w:tc>
          <w:tcPr>
            <w:tcW w:w="3727" w:type="pct"/>
            <w:noWrap w:val="0"/>
            <w:tcMar>
              <w:top w:w="28" w:type="dxa"/>
              <w:left w:w="57" w:type="dxa"/>
              <w:bottom w:w="28" w:type="dxa"/>
              <w:right w:w="57" w:type="dxa"/>
            </w:tcMar>
            <w:vAlign w:val="center"/>
          </w:tcPr>
          <w:p w14:paraId="559996E1">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1</w:t>
            </w:r>
            <w:r>
              <w:rPr>
                <w:rStyle w:val="93"/>
                <w:rFonts w:hint="eastAsia"/>
                <w:color w:val="auto"/>
                <w:sz w:val="21"/>
                <w:szCs w:val="21"/>
                <w:highlight w:val="none"/>
              </w:rPr>
              <w:t>、成立防台风应急工作领导小组，统一指挥项目防台风的应急处置工作，在保证安全的基础上尽快恢复施工。</w:t>
            </w:r>
          </w:p>
          <w:p w14:paraId="3F7FEB3D">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2</w:t>
            </w:r>
            <w:r>
              <w:rPr>
                <w:rStyle w:val="93"/>
                <w:rFonts w:hint="eastAsia"/>
                <w:color w:val="auto"/>
                <w:sz w:val="21"/>
                <w:szCs w:val="21"/>
                <w:highlight w:val="none"/>
              </w:rPr>
              <w:t>、注意收听收看天气预报，加强同气象部门的沟通，及时了解台风信息，密切关注台风动向。</w:t>
            </w:r>
          </w:p>
          <w:p w14:paraId="4884FA14">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3</w:t>
            </w:r>
            <w:r>
              <w:rPr>
                <w:rStyle w:val="93"/>
                <w:rFonts w:hint="eastAsia"/>
                <w:color w:val="auto"/>
                <w:sz w:val="21"/>
                <w:szCs w:val="21"/>
                <w:highlight w:val="none"/>
              </w:rPr>
              <w:t>、提前做好材料转移和保护，以便台风过后立即恢复生产。</w:t>
            </w:r>
          </w:p>
        </w:tc>
      </w:tr>
      <w:tr w14:paraId="67500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9" w:type="pct"/>
            <w:noWrap w:val="0"/>
            <w:tcMar>
              <w:top w:w="28" w:type="dxa"/>
              <w:left w:w="57" w:type="dxa"/>
              <w:bottom w:w="28" w:type="dxa"/>
              <w:right w:w="57" w:type="dxa"/>
            </w:tcMar>
            <w:vAlign w:val="center"/>
          </w:tcPr>
          <w:p w14:paraId="59B6C047">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4</w:t>
            </w:r>
          </w:p>
        </w:tc>
        <w:tc>
          <w:tcPr>
            <w:tcW w:w="763" w:type="pct"/>
            <w:noWrap w:val="0"/>
            <w:tcMar>
              <w:top w:w="28" w:type="dxa"/>
              <w:left w:w="57" w:type="dxa"/>
              <w:bottom w:w="28" w:type="dxa"/>
              <w:right w:w="57" w:type="dxa"/>
            </w:tcMar>
            <w:vAlign w:val="center"/>
          </w:tcPr>
          <w:p w14:paraId="6FDE662A">
            <w:pPr>
              <w:pStyle w:val="92"/>
              <w:adjustRightInd/>
              <w:snapToGrid/>
              <w:spacing w:before="10" w:after="10" w:line="240" w:lineRule="auto"/>
              <w:textAlignment w:val="auto"/>
              <w:rPr>
                <w:rStyle w:val="93"/>
                <w:color w:val="auto"/>
                <w:sz w:val="21"/>
                <w:szCs w:val="21"/>
                <w:highlight w:val="none"/>
              </w:rPr>
            </w:pPr>
            <w:r>
              <w:rPr>
                <w:rStyle w:val="93"/>
                <w:rFonts w:hint="eastAsia"/>
                <w:color w:val="auto"/>
                <w:sz w:val="21"/>
                <w:szCs w:val="21"/>
                <w:highlight w:val="none"/>
              </w:rPr>
              <w:t>夏季高温施工进度保证</w:t>
            </w:r>
          </w:p>
        </w:tc>
        <w:tc>
          <w:tcPr>
            <w:tcW w:w="3727" w:type="pct"/>
            <w:noWrap w:val="0"/>
            <w:tcMar>
              <w:top w:w="28" w:type="dxa"/>
              <w:left w:w="57" w:type="dxa"/>
              <w:bottom w:w="28" w:type="dxa"/>
              <w:right w:w="57" w:type="dxa"/>
            </w:tcMar>
            <w:vAlign w:val="center"/>
          </w:tcPr>
          <w:p w14:paraId="1EB8D51B">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1</w:t>
            </w:r>
            <w:r>
              <w:rPr>
                <w:rStyle w:val="93"/>
                <w:rFonts w:hint="eastAsia"/>
                <w:color w:val="auto"/>
                <w:sz w:val="21"/>
                <w:szCs w:val="21"/>
                <w:highlight w:val="none"/>
              </w:rPr>
              <w:t>、在夏季高温期间，对在特殊环境下（如露天、封闭等环境）施工的人员，采取诸如遮阳、通风等措施或调整工作时间，早晚工作，中午休息，防止职工中暑、窒息、中毒和其他事故的发生。</w:t>
            </w:r>
          </w:p>
          <w:p w14:paraId="73BEBAFA">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2</w:t>
            </w:r>
            <w:r>
              <w:rPr>
                <w:rStyle w:val="93"/>
                <w:rFonts w:hint="eastAsia"/>
                <w:color w:val="auto"/>
                <w:sz w:val="21"/>
                <w:szCs w:val="21"/>
                <w:highlight w:val="none"/>
              </w:rPr>
              <w:t>、炎热时期派医务人员深入工地进行巡回防治观察。</w:t>
            </w:r>
          </w:p>
          <w:p w14:paraId="5AE90DF9">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3</w:t>
            </w:r>
            <w:r>
              <w:rPr>
                <w:rStyle w:val="93"/>
                <w:rFonts w:hint="eastAsia"/>
                <w:color w:val="auto"/>
                <w:sz w:val="21"/>
                <w:szCs w:val="21"/>
                <w:highlight w:val="none"/>
              </w:rPr>
              <w:t>、夏季高温季节是现场用电高峰期，定期对电气设备逐台进行全面检查、保养，保证施工连续性。</w:t>
            </w:r>
          </w:p>
          <w:p w14:paraId="5A55F76C">
            <w:pPr>
              <w:pStyle w:val="92"/>
              <w:adjustRightInd/>
              <w:snapToGrid/>
              <w:spacing w:before="10" w:after="10" w:line="240" w:lineRule="auto"/>
              <w:jc w:val="left"/>
              <w:textAlignment w:val="auto"/>
              <w:rPr>
                <w:rStyle w:val="93"/>
                <w:color w:val="auto"/>
                <w:sz w:val="21"/>
                <w:szCs w:val="21"/>
                <w:highlight w:val="none"/>
              </w:rPr>
            </w:pPr>
            <w:r>
              <w:rPr>
                <w:rStyle w:val="93"/>
                <w:color w:val="auto"/>
                <w:sz w:val="21"/>
                <w:szCs w:val="21"/>
                <w:highlight w:val="none"/>
              </w:rPr>
              <w:t>4</w:t>
            </w:r>
            <w:r>
              <w:rPr>
                <w:rStyle w:val="93"/>
                <w:rFonts w:hint="eastAsia"/>
                <w:color w:val="auto"/>
                <w:sz w:val="21"/>
                <w:szCs w:val="21"/>
                <w:highlight w:val="none"/>
              </w:rPr>
              <w:t>、定期发放防暑降温物品，保证工人在安全的前提下完成进度要求</w:t>
            </w:r>
          </w:p>
        </w:tc>
      </w:tr>
    </w:tbl>
    <w:p w14:paraId="0F364CF7">
      <w:pPr>
        <w:pStyle w:val="94"/>
        <w:snapToGrid/>
        <w:spacing w:before="24" w:beforeLines="10" w:after="24" w:afterLines="10" w:line="432" w:lineRule="auto"/>
        <w:rPr>
          <w:color w:val="auto"/>
          <w:szCs w:val="28"/>
        </w:rPr>
      </w:pPr>
      <w:bookmarkStart w:id="383" w:name="_Toc12002"/>
      <w:r>
        <w:rPr>
          <w:color w:val="auto"/>
          <w:szCs w:val="28"/>
        </w:rPr>
        <w:t>外部环境保障措施</w:t>
      </w:r>
      <w:bookmarkEnd w:id="383"/>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720"/>
        <w:gridCol w:w="1271"/>
        <w:gridCol w:w="6967"/>
      </w:tblGrid>
      <w:tr w14:paraId="56C6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blHeader/>
          <w:jc w:val="center"/>
        </w:trPr>
        <w:tc>
          <w:tcPr>
            <w:tcW w:w="402" w:type="pct"/>
            <w:noWrap w:val="0"/>
            <w:tcMar>
              <w:top w:w="57" w:type="dxa"/>
            </w:tcMar>
            <w:vAlign w:val="center"/>
          </w:tcPr>
          <w:p w14:paraId="77AB5864">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序号</w:t>
            </w:r>
          </w:p>
        </w:tc>
        <w:tc>
          <w:tcPr>
            <w:tcW w:w="709" w:type="pct"/>
            <w:noWrap w:val="0"/>
            <w:tcMar>
              <w:top w:w="57" w:type="dxa"/>
            </w:tcMar>
            <w:vAlign w:val="center"/>
          </w:tcPr>
          <w:p w14:paraId="6597FE7B">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措施</w:t>
            </w:r>
          </w:p>
        </w:tc>
        <w:tc>
          <w:tcPr>
            <w:tcW w:w="3887" w:type="pct"/>
            <w:noWrap w:val="0"/>
            <w:tcMar>
              <w:top w:w="57" w:type="dxa"/>
            </w:tcMar>
            <w:vAlign w:val="center"/>
          </w:tcPr>
          <w:p w14:paraId="7EC702BC">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供应保障措施</w:t>
            </w:r>
          </w:p>
        </w:tc>
      </w:tr>
      <w:tr w14:paraId="5F897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02" w:type="pct"/>
            <w:noWrap w:val="0"/>
            <w:vAlign w:val="center"/>
          </w:tcPr>
          <w:p w14:paraId="013E4A1F">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w:t>
            </w:r>
          </w:p>
        </w:tc>
        <w:tc>
          <w:tcPr>
            <w:tcW w:w="709" w:type="pct"/>
            <w:noWrap w:val="0"/>
            <w:vAlign w:val="center"/>
          </w:tcPr>
          <w:p w14:paraId="4A4FA5C6">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市场动态</w:t>
            </w:r>
          </w:p>
        </w:tc>
        <w:tc>
          <w:tcPr>
            <w:tcW w:w="3887" w:type="pct"/>
            <w:noWrap w:val="0"/>
            <w:tcMar>
              <w:top w:w="57" w:type="dxa"/>
            </w:tcMar>
            <w:vAlign w:val="center"/>
          </w:tcPr>
          <w:p w14:paraId="409ADBEB">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密切关注相关资源的市场动态，尤其是材料市场，预见市场的供应能力，对消耗强度高的材料，除现场有一定的储备外，还必须要求供应商供应保证。</w:t>
            </w:r>
          </w:p>
        </w:tc>
      </w:tr>
      <w:tr w14:paraId="22194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02" w:type="pct"/>
            <w:noWrap w:val="0"/>
            <w:vAlign w:val="center"/>
          </w:tcPr>
          <w:p w14:paraId="563C0F2C">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w:t>
            </w:r>
          </w:p>
        </w:tc>
        <w:tc>
          <w:tcPr>
            <w:tcW w:w="709" w:type="pct"/>
            <w:noWrap w:val="0"/>
            <w:vAlign w:val="center"/>
          </w:tcPr>
          <w:p w14:paraId="7F6E12B4">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信息沟通</w:t>
            </w:r>
          </w:p>
        </w:tc>
        <w:tc>
          <w:tcPr>
            <w:tcW w:w="3887" w:type="pct"/>
            <w:noWrap w:val="0"/>
            <w:tcMar>
              <w:top w:w="57" w:type="dxa"/>
            </w:tcMar>
            <w:vAlign w:val="center"/>
          </w:tcPr>
          <w:p w14:paraId="6852C7EA">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与招标人、监理单位、设计单位以及政府相关部门建立有效的信息沟通渠道，确保各种信息在第一时间进行传输。</w:t>
            </w:r>
          </w:p>
        </w:tc>
      </w:tr>
      <w:tr w14:paraId="0F7DB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jc w:val="center"/>
        </w:trPr>
        <w:tc>
          <w:tcPr>
            <w:tcW w:w="402" w:type="pct"/>
            <w:noWrap w:val="0"/>
            <w:vAlign w:val="center"/>
          </w:tcPr>
          <w:p w14:paraId="0986A4C5">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3</w:t>
            </w:r>
          </w:p>
        </w:tc>
        <w:tc>
          <w:tcPr>
            <w:tcW w:w="709" w:type="pct"/>
            <w:noWrap w:val="0"/>
            <w:vAlign w:val="center"/>
          </w:tcPr>
          <w:p w14:paraId="6587923F">
            <w:pPr>
              <w:pStyle w:val="92"/>
              <w:adjustRightInd/>
              <w:snapToGrid/>
              <w:spacing w:before="10" w:after="10" w:line="240" w:lineRule="auto"/>
              <w:jc w:val="center"/>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周边协调</w:t>
            </w:r>
          </w:p>
        </w:tc>
        <w:tc>
          <w:tcPr>
            <w:tcW w:w="3887" w:type="pct"/>
            <w:noWrap w:val="0"/>
            <w:tcMar>
              <w:top w:w="57" w:type="dxa"/>
            </w:tcMar>
            <w:vAlign w:val="center"/>
          </w:tcPr>
          <w:p w14:paraId="6010B6AC">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（1）设独立的部门，专职负责外联工作，及时解决影响工程的各种事件。</w:t>
            </w:r>
          </w:p>
          <w:p w14:paraId="33820049">
            <w:pPr>
              <w:pStyle w:val="92"/>
              <w:adjustRightInd/>
              <w:snapToGrid/>
              <w:spacing w:before="10" w:after="10" w:line="240" w:lineRule="auto"/>
              <w:jc w:val="left"/>
              <w:textAlignment w:val="auto"/>
              <w:rPr>
                <w:rStyle w:val="93"/>
                <w:rFonts w:hint="eastAsia" w:ascii="Times New Roman" w:cs="Times New Roman"/>
                <w:color w:val="auto"/>
                <w:sz w:val="21"/>
                <w:szCs w:val="21"/>
                <w:highlight w:val="none"/>
              </w:rPr>
            </w:pPr>
            <w:r>
              <w:rPr>
                <w:rStyle w:val="93"/>
                <w:rFonts w:hint="eastAsia" w:ascii="Times New Roman" w:cs="Times New Roman"/>
                <w:color w:val="auto"/>
                <w:sz w:val="21"/>
                <w:szCs w:val="21"/>
                <w:highlight w:val="none"/>
              </w:rPr>
              <w:t>（2）积极主动与当地街道办事处，派出所、交通、环卫等政府主管部门协调联系，与他们交朋友，取得他们的支持理解，并多为施工提供方便条件。</w:t>
            </w:r>
          </w:p>
        </w:tc>
      </w:tr>
    </w:tbl>
    <w:p w14:paraId="7BC7B244">
      <w:pPr>
        <w:pStyle w:val="94"/>
        <w:snapToGrid/>
        <w:spacing w:before="24" w:beforeLines="10" w:after="24" w:afterLines="10" w:line="432" w:lineRule="auto"/>
        <w:rPr>
          <w:rFonts w:hint="eastAsia"/>
          <w:color w:val="auto"/>
          <w:szCs w:val="28"/>
        </w:rPr>
      </w:pPr>
      <w:bookmarkStart w:id="384" w:name="_Toc14166"/>
      <w:r>
        <w:rPr>
          <w:rFonts w:hint="eastAsia"/>
          <w:color w:val="auto"/>
          <w:szCs w:val="28"/>
        </w:rPr>
        <w:t>材料设备进场计划及保证措施</w:t>
      </w:r>
      <w:bookmarkEnd w:id="384"/>
      <w:r>
        <w:rPr>
          <w:rFonts w:hint="eastAsia"/>
          <w:color w:val="auto"/>
          <w:szCs w:val="28"/>
        </w:rPr>
        <w:tab/>
      </w:r>
    </w:p>
    <w:p w14:paraId="5C7C05E8">
      <w:pPr>
        <w:pStyle w:val="5"/>
        <w:ind w:firstLine="480"/>
        <w:rPr>
          <w:color w:val="auto"/>
          <w:sz w:val="24"/>
          <w:szCs w:val="24"/>
          <w:lang w:val="en-US" w:eastAsia="zh-CN"/>
        </w:rPr>
      </w:pPr>
      <w:bookmarkStart w:id="385" w:name="_Toc14035"/>
      <w:bookmarkStart w:id="386" w:name="_Toc202510777"/>
      <w:bookmarkStart w:id="387" w:name="_Toc401965866"/>
      <w:bookmarkStart w:id="388" w:name="_Toc332187016"/>
      <w:bookmarkStart w:id="389" w:name="_Toc332732302"/>
      <w:bookmarkStart w:id="390" w:name="_Toc468603151"/>
      <w:bookmarkStart w:id="391" w:name="_Toc469433213"/>
      <w:r>
        <w:rPr>
          <w:color w:val="auto"/>
          <w:sz w:val="24"/>
          <w:szCs w:val="24"/>
          <w:lang w:val="en-US" w:eastAsia="zh-CN"/>
        </w:rPr>
        <w:t>PC</w:t>
      </w:r>
      <w:r>
        <w:rPr>
          <w:color w:val="auto"/>
          <w:sz w:val="24"/>
          <w:szCs w:val="24"/>
          <w:lang w:eastAsia="zh-CN"/>
        </w:rPr>
        <w:t>构件的应用</w:t>
      </w:r>
      <w:bookmarkEnd w:id="385"/>
      <w:bookmarkEnd w:id="386"/>
    </w:p>
    <w:p w14:paraId="255A67ED">
      <w:pPr>
        <w:pStyle w:val="96"/>
        <w:snapToGrid/>
        <w:spacing w:before="24" w:beforeLines="10" w:after="24" w:afterLines="10" w:line="360" w:lineRule="auto"/>
        <w:ind w:firstLine="560"/>
        <w:rPr>
          <w:rFonts w:hint="eastAsia"/>
          <w:color w:val="auto"/>
          <w:sz w:val="24"/>
          <w:szCs w:val="24"/>
        </w:rPr>
      </w:pPr>
      <w:r>
        <w:rPr>
          <w:color w:val="auto"/>
          <w:sz w:val="24"/>
          <w:szCs w:val="24"/>
          <w:lang w:val="en-US"/>
        </w:rPr>
        <w:t>PC</w:t>
      </w:r>
      <w:r>
        <w:rPr>
          <w:rFonts w:hint="eastAsia"/>
          <w:color w:val="auto"/>
          <w:sz w:val="24"/>
          <w:szCs w:val="24"/>
        </w:rPr>
        <w:t>为混凝土预制构件的英文</w:t>
      </w:r>
      <w:r>
        <w:rPr>
          <w:rFonts w:hint="eastAsia"/>
          <w:color w:val="auto"/>
          <w:sz w:val="24"/>
          <w:szCs w:val="24"/>
          <w:lang w:val="en-US"/>
        </w:rPr>
        <w:t>（P</w:t>
      </w:r>
      <w:r>
        <w:rPr>
          <w:color w:val="auto"/>
          <w:sz w:val="24"/>
          <w:szCs w:val="24"/>
          <w:lang w:val="en-US"/>
        </w:rPr>
        <w:t>recastconcrete</w:t>
      </w:r>
      <w:r>
        <w:rPr>
          <w:rFonts w:hint="eastAsia"/>
          <w:color w:val="auto"/>
          <w:sz w:val="24"/>
          <w:szCs w:val="24"/>
          <w:lang w:val="en-US"/>
        </w:rPr>
        <w:t>）</w:t>
      </w:r>
      <w:r>
        <w:rPr>
          <w:rFonts w:hint="eastAsia"/>
          <w:color w:val="auto"/>
          <w:sz w:val="24"/>
          <w:szCs w:val="24"/>
        </w:rPr>
        <w:t>缩写</w:t>
      </w:r>
      <w:r>
        <w:rPr>
          <w:rFonts w:hint="eastAsia"/>
          <w:color w:val="auto"/>
          <w:sz w:val="24"/>
          <w:szCs w:val="24"/>
          <w:lang w:val="en-US"/>
        </w:rPr>
        <w:t>，</w:t>
      </w:r>
      <w:r>
        <w:rPr>
          <w:rFonts w:hint="eastAsia"/>
          <w:color w:val="auto"/>
          <w:sz w:val="24"/>
          <w:szCs w:val="24"/>
        </w:rPr>
        <w:t>是一种应用于建筑、交通、水利等领域的构件。本工程施工过程中，通过后续施工及设计优化，P</w:t>
      </w:r>
      <w:r>
        <w:rPr>
          <w:color w:val="auto"/>
          <w:sz w:val="24"/>
          <w:szCs w:val="24"/>
        </w:rPr>
        <w:t>C构件</w:t>
      </w:r>
      <w:r>
        <w:rPr>
          <w:rFonts w:hint="eastAsia"/>
          <w:color w:val="auto"/>
          <w:sz w:val="24"/>
          <w:szCs w:val="24"/>
        </w:rPr>
        <w:t>拟用于门窗过梁及楼梯部位,施工过程根据施工实际进度，进行现场制作。</w:t>
      </w:r>
    </w:p>
    <w:bookmarkEnd w:id="387"/>
    <w:bookmarkEnd w:id="388"/>
    <w:bookmarkEnd w:id="389"/>
    <w:bookmarkEnd w:id="390"/>
    <w:bookmarkEnd w:id="391"/>
    <w:p w14:paraId="7D3F0543">
      <w:pPr>
        <w:pStyle w:val="5"/>
        <w:spacing w:line="360" w:lineRule="auto"/>
        <w:ind w:firstLine="480"/>
        <w:rPr>
          <w:color w:val="auto"/>
          <w:sz w:val="24"/>
          <w:szCs w:val="24"/>
          <w:lang w:eastAsia="zh-CN"/>
        </w:rPr>
      </w:pPr>
      <w:bookmarkStart w:id="392" w:name="_Toc468603152"/>
      <w:bookmarkStart w:id="393" w:name="_Toc202510778"/>
      <w:bookmarkStart w:id="394" w:name="_Toc12550"/>
      <w:bookmarkStart w:id="395" w:name="_Toc469433214"/>
      <w:bookmarkStart w:id="396" w:name="_Toc401965867"/>
      <w:r>
        <w:rPr>
          <w:rFonts w:hint="eastAsia"/>
          <w:color w:val="auto"/>
          <w:sz w:val="24"/>
          <w:szCs w:val="24"/>
          <w:lang w:eastAsia="zh-CN"/>
        </w:rPr>
        <w:t>材料供应保障措施</w:t>
      </w:r>
      <w:bookmarkEnd w:id="392"/>
      <w:bookmarkEnd w:id="393"/>
      <w:bookmarkEnd w:id="394"/>
      <w:bookmarkEnd w:id="395"/>
      <w:bookmarkEnd w:id="396"/>
    </w:p>
    <w:p w14:paraId="5380A062">
      <w:pPr>
        <w:pStyle w:val="96"/>
        <w:snapToGrid/>
        <w:spacing w:before="24" w:beforeLines="10" w:after="24" w:afterLines="10" w:line="360" w:lineRule="auto"/>
        <w:ind w:firstLine="560"/>
        <w:rPr>
          <w:color w:val="auto"/>
          <w:sz w:val="24"/>
          <w:szCs w:val="24"/>
        </w:rPr>
      </w:pPr>
      <w:r>
        <w:rPr>
          <w:rFonts w:hint="eastAsia"/>
          <w:color w:val="auto"/>
          <w:sz w:val="24"/>
          <w:szCs w:val="24"/>
        </w:rPr>
        <w:t>本工程材料需求量大，为了保证材料的供应，物资部将从材料的计划、考察、样板甄选、采购、验收、保管、发料领料全过程进行控制管理。根据总施工进度计划，计算出每月主要材料、半成品、设备使用量，并做到原材料及时到场及合理调配，使每区、每施工段的主要材料、半成品、设备供应、存放合理有序。</w:t>
      </w:r>
    </w:p>
    <w:p w14:paraId="3A191B1C">
      <w:pPr>
        <w:pStyle w:val="96"/>
        <w:snapToGrid/>
        <w:spacing w:before="24" w:beforeLines="10" w:after="24" w:afterLines="10" w:line="360" w:lineRule="auto"/>
        <w:ind w:firstLine="560"/>
        <w:rPr>
          <w:rFonts w:hint="eastAsia"/>
          <w:color w:val="auto"/>
          <w:sz w:val="24"/>
          <w:szCs w:val="24"/>
        </w:rPr>
      </w:pPr>
      <w:r>
        <w:rPr>
          <w:rFonts w:hint="eastAsia"/>
          <w:color w:val="auto"/>
          <w:sz w:val="24"/>
          <w:szCs w:val="24"/>
        </w:rPr>
        <w:t>每月的主要材料、半成品、设备供应计划制定完成后，结合施工进度计划、当月天气情况、节假日情况合理完善劳动力资源计划，保证施工质量及工期要求。</w:t>
      </w:r>
    </w:p>
    <w:p w14:paraId="5B1704AD">
      <w:pPr>
        <w:pStyle w:val="91"/>
        <w:snapToGrid/>
        <w:spacing w:before="24" w:beforeLines="10" w:after="24" w:afterLines="10" w:line="432" w:lineRule="auto"/>
        <w:ind w:firstLine="480"/>
        <w:rPr>
          <w:color w:val="auto"/>
          <w:sz w:val="24"/>
          <w:szCs w:val="24"/>
        </w:rPr>
      </w:pPr>
      <w:r>
        <w:rPr>
          <w:rFonts w:hint="eastAsia"/>
          <w:color w:val="auto"/>
          <w:sz w:val="24"/>
          <w:szCs w:val="24"/>
        </w:rPr>
        <w:t>插表 保障措施表</w:t>
      </w:r>
    </w:p>
    <w:tbl>
      <w:tblPr>
        <w:tblStyle w:val="2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6"/>
        <w:gridCol w:w="1196"/>
        <w:gridCol w:w="7128"/>
      </w:tblGrid>
      <w:tr w14:paraId="43E11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6CF96682">
            <w:pPr>
              <w:pStyle w:val="90"/>
              <w:spacing w:before="24" w:beforeLines="10" w:after="24" w:afterLines="10" w:line="240" w:lineRule="auto"/>
              <w:rPr>
                <w:rFonts w:hAnsi="宋体"/>
                <w:color w:val="auto"/>
                <w:sz w:val="21"/>
                <w:szCs w:val="21"/>
              </w:rPr>
            </w:pPr>
            <w:r>
              <w:rPr>
                <w:rFonts w:hint="eastAsia" w:hAnsi="宋体"/>
                <w:color w:val="auto"/>
                <w:sz w:val="21"/>
                <w:szCs w:val="21"/>
              </w:rPr>
              <w:t>序号</w:t>
            </w:r>
          </w:p>
        </w:tc>
        <w:tc>
          <w:tcPr>
            <w:tcW w:w="660" w:type="pct"/>
            <w:noWrap w:val="0"/>
            <w:vAlign w:val="center"/>
          </w:tcPr>
          <w:p w14:paraId="7B8FA9C2">
            <w:pPr>
              <w:pStyle w:val="90"/>
              <w:spacing w:before="24" w:beforeLines="10" w:after="24" w:afterLines="10" w:line="240" w:lineRule="auto"/>
              <w:rPr>
                <w:rFonts w:hAnsi="宋体"/>
                <w:color w:val="auto"/>
                <w:sz w:val="21"/>
                <w:szCs w:val="21"/>
              </w:rPr>
            </w:pPr>
            <w:r>
              <w:rPr>
                <w:rFonts w:hint="eastAsia" w:hAnsi="宋体"/>
                <w:color w:val="auto"/>
                <w:sz w:val="21"/>
                <w:szCs w:val="21"/>
              </w:rPr>
              <w:t>保障措施</w:t>
            </w:r>
          </w:p>
        </w:tc>
        <w:tc>
          <w:tcPr>
            <w:tcW w:w="3933" w:type="pct"/>
            <w:noWrap w:val="0"/>
            <w:vAlign w:val="center"/>
          </w:tcPr>
          <w:p w14:paraId="4CFDD6AD">
            <w:pPr>
              <w:pStyle w:val="90"/>
              <w:spacing w:before="24" w:beforeLines="10" w:after="24" w:afterLines="10" w:line="240" w:lineRule="auto"/>
              <w:rPr>
                <w:rFonts w:hAnsi="宋体"/>
                <w:color w:val="auto"/>
                <w:sz w:val="21"/>
                <w:szCs w:val="21"/>
              </w:rPr>
            </w:pPr>
            <w:r>
              <w:rPr>
                <w:rFonts w:hint="eastAsia" w:hAnsi="宋体"/>
                <w:color w:val="auto"/>
                <w:sz w:val="21"/>
                <w:szCs w:val="21"/>
              </w:rPr>
              <w:t>具体方法</w:t>
            </w:r>
          </w:p>
        </w:tc>
      </w:tr>
      <w:tr w14:paraId="184DE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781D58B6">
            <w:pPr>
              <w:pStyle w:val="90"/>
              <w:spacing w:before="24" w:beforeLines="10" w:after="24" w:afterLines="10" w:line="240" w:lineRule="auto"/>
              <w:rPr>
                <w:rFonts w:hAnsi="宋体"/>
                <w:color w:val="auto"/>
                <w:sz w:val="21"/>
                <w:szCs w:val="21"/>
              </w:rPr>
            </w:pPr>
            <w:r>
              <w:rPr>
                <w:rFonts w:hint="eastAsia" w:hAnsi="宋体"/>
                <w:color w:val="auto"/>
                <w:sz w:val="21"/>
                <w:szCs w:val="21"/>
              </w:rPr>
              <w:t>1</w:t>
            </w:r>
          </w:p>
        </w:tc>
        <w:tc>
          <w:tcPr>
            <w:tcW w:w="660" w:type="pct"/>
            <w:noWrap w:val="0"/>
            <w:vAlign w:val="center"/>
          </w:tcPr>
          <w:p w14:paraId="41034C78">
            <w:pPr>
              <w:pStyle w:val="90"/>
              <w:spacing w:before="24" w:beforeLines="10" w:after="24" w:afterLines="10" w:line="240" w:lineRule="auto"/>
              <w:rPr>
                <w:rFonts w:hAnsi="宋体"/>
                <w:color w:val="auto"/>
                <w:sz w:val="21"/>
                <w:szCs w:val="21"/>
              </w:rPr>
            </w:pPr>
            <w:r>
              <w:rPr>
                <w:rFonts w:hint="eastAsia" w:hAnsi="宋体"/>
                <w:color w:val="auto"/>
                <w:sz w:val="21"/>
                <w:szCs w:val="21"/>
              </w:rPr>
              <w:t>编制主要材料需用计划及采购计划</w:t>
            </w:r>
          </w:p>
        </w:tc>
        <w:tc>
          <w:tcPr>
            <w:tcW w:w="3933" w:type="pct"/>
            <w:noWrap w:val="0"/>
            <w:vAlign w:val="center"/>
          </w:tcPr>
          <w:p w14:paraId="57952EAE">
            <w:pPr>
              <w:pStyle w:val="107"/>
              <w:spacing w:before="24" w:beforeLines="10" w:after="24" w:afterLines="10" w:line="240" w:lineRule="auto"/>
              <w:rPr>
                <w:color w:val="auto"/>
                <w:sz w:val="21"/>
                <w:szCs w:val="21"/>
              </w:rPr>
            </w:pPr>
            <w:r>
              <w:rPr>
                <w:rFonts w:hint="eastAsia"/>
                <w:color w:val="auto"/>
                <w:sz w:val="21"/>
                <w:szCs w:val="21"/>
              </w:rPr>
              <w:t>（1）通过编制本工程的施工图预算，对工程施工所用工程材料、半成品及设备总量进行汇总，使用部门根据施工进度计划编制材料使用总计划、月计划，并于每月5日前向物资部提交下月各种材料、设备需用计划，确定现场所需各种材料设备的最迟进场时间。</w:t>
            </w:r>
          </w:p>
          <w:p w14:paraId="6C43595B">
            <w:pPr>
              <w:pStyle w:val="107"/>
              <w:spacing w:before="24" w:beforeLines="10" w:after="24" w:afterLines="10" w:line="240" w:lineRule="auto"/>
              <w:rPr>
                <w:color w:val="auto"/>
                <w:sz w:val="21"/>
                <w:szCs w:val="21"/>
              </w:rPr>
            </w:pPr>
            <w:r>
              <w:rPr>
                <w:rFonts w:hint="eastAsia"/>
                <w:color w:val="auto"/>
                <w:sz w:val="21"/>
                <w:szCs w:val="21"/>
              </w:rPr>
              <w:t>（2）对于采购周期较长的物资，需提前提交需用计划，以便物资采购部门根据各种需用计划编制采购计划，并做好物资采购前的各项准备工作，包括询价、报批、定货加工等。</w:t>
            </w:r>
          </w:p>
          <w:p w14:paraId="53ED8234">
            <w:pPr>
              <w:pStyle w:val="107"/>
              <w:spacing w:before="24" w:beforeLines="10" w:after="24" w:afterLines="10" w:line="240" w:lineRule="auto"/>
              <w:rPr>
                <w:color w:val="auto"/>
                <w:sz w:val="21"/>
                <w:szCs w:val="21"/>
              </w:rPr>
            </w:pPr>
            <w:r>
              <w:rPr>
                <w:rFonts w:hint="eastAsia"/>
                <w:color w:val="auto"/>
                <w:sz w:val="21"/>
                <w:szCs w:val="21"/>
              </w:rPr>
              <w:t>（3）我司全方位为项目服务，服务的内容有：项目全面享用我司采购网络平台，向项目派出精通业务的人员协助项目物资部建立物资采购、现场材料管理的标准流程和程序。</w:t>
            </w:r>
          </w:p>
          <w:p w14:paraId="208B21C7">
            <w:pPr>
              <w:pStyle w:val="107"/>
              <w:spacing w:before="24" w:beforeLines="10" w:after="24" w:afterLines="10" w:line="240" w:lineRule="auto"/>
              <w:rPr>
                <w:color w:val="auto"/>
                <w:sz w:val="21"/>
                <w:szCs w:val="21"/>
              </w:rPr>
            </w:pPr>
            <w:r>
              <w:rPr>
                <w:rFonts w:hint="eastAsia"/>
                <w:color w:val="auto"/>
                <w:sz w:val="21"/>
                <w:szCs w:val="21"/>
              </w:rPr>
              <w:t>（4）本工程各种材料、设备需多次分批进场，确保在上批材料、设备即将用完前下批材料、设备能及时进场，以免延误现场施工。</w:t>
            </w:r>
          </w:p>
        </w:tc>
      </w:tr>
      <w:tr w14:paraId="71613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3A16CE09">
            <w:pPr>
              <w:pStyle w:val="90"/>
              <w:spacing w:before="24" w:beforeLines="10" w:after="24" w:afterLines="10" w:line="240" w:lineRule="auto"/>
              <w:rPr>
                <w:rFonts w:hAnsi="宋体"/>
                <w:color w:val="auto"/>
                <w:sz w:val="21"/>
                <w:szCs w:val="21"/>
              </w:rPr>
            </w:pPr>
            <w:r>
              <w:rPr>
                <w:rFonts w:hint="eastAsia" w:hAnsi="宋体"/>
                <w:color w:val="auto"/>
                <w:sz w:val="21"/>
                <w:szCs w:val="21"/>
              </w:rPr>
              <w:t>2</w:t>
            </w:r>
          </w:p>
        </w:tc>
        <w:tc>
          <w:tcPr>
            <w:tcW w:w="660" w:type="pct"/>
            <w:noWrap w:val="0"/>
            <w:vAlign w:val="center"/>
          </w:tcPr>
          <w:p w14:paraId="0B3E6D94">
            <w:pPr>
              <w:pStyle w:val="90"/>
              <w:spacing w:before="24" w:beforeLines="10" w:after="24" w:afterLines="10" w:line="240" w:lineRule="auto"/>
              <w:rPr>
                <w:rFonts w:hAnsi="宋体"/>
                <w:color w:val="auto"/>
                <w:sz w:val="21"/>
                <w:szCs w:val="21"/>
              </w:rPr>
            </w:pPr>
            <w:r>
              <w:rPr>
                <w:rFonts w:hint="eastAsia" w:hAnsi="宋体"/>
                <w:color w:val="auto"/>
                <w:sz w:val="21"/>
                <w:szCs w:val="21"/>
              </w:rPr>
              <w:t>考察、确定合格供货商</w:t>
            </w:r>
          </w:p>
        </w:tc>
        <w:tc>
          <w:tcPr>
            <w:tcW w:w="3933" w:type="pct"/>
            <w:noWrap w:val="0"/>
            <w:vAlign w:val="center"/>
          </w:tcPr>
          <w:p w14:paraId="69F6CB2A">
            <w:pPr>
              <w:pStyle w:val="107"/>
              <w:spacing w:before="24" w:beforeLines="10" w:after="24" w:afterLines="10" w:line="240" w:lineRule="auto"/>
              <w:rPr>
                <w:color w:val="auto"/>
                <w:sz w:val="21"/>
                <w:szCs w:val="21"/>
              </w:rPr>
            </w:pPr>
            <w:r>
              <w:rPr>
                <w:rFonts w:hint="eastAsia"/>
                <w:color w:val="auto"/>
                <w:sz w:val="21"/>
                <w:szCs w:val="21"/>
              </w:rPr>
              <w:t>（1）我司拥有完善的材料供货商服务网络及大批重合同、守信用、有实力的材料供货商，能保证工程所需物资及时进场。对于业主指定材料供应商，我司将积极配合业主完成相关材料的采购。</w:t>
            </w:r>
          </w:p>
          <w:p w14:paraId="7C32B92F">
            <w:pPr>
              <w:pStyle w:val="107"/>
              <w:spacing w:before="24" w:beforeLines="10" w:after="24" w:afterLines="10" w:line="240" w:lineRule="auto"/>
              <w:rPr>
                <w:color w:val="auto"/>
                <w:sz w:val="21"/>
                <w:szCs w:val="21"/>
              </w:rPr>
            </w:pPr>
            <w:r>
              <w:rPr>
                <w:rFonts w:hint="eastAsia"/>
                <w:color w:val="auto"/>
                <w:sz w:val="21"/>
                <w:szCs w:val="21"/>
              </w:rPr>
              <w:t>（2）根据材料采购和进场计划，物资部将对相应材料供货商进行资质审查和实地考察，选定合格供货商。</w:t>
            </w:r>
          </w:p>
          <w:p w14:paraId="043C7BEA">
            <w:pPr>
              <w:pStyle w:val="107"/>
              <w:spacing w:before="24" w:beforeLines="10" w:after="24" w:afterLines="10" w:line="240" w:lineRule="auto"/>
              <w:rPr>
                <w:color w:val="auto"/>
                <w:sz w:val="21"/>
                <w:szCs w:val="21"/>
              </w:rPr>
            </w:pPr>
            <w:r>
              <w:rPr>
                <w:rFonts w:hint="eastAsia"/>
                <w:color w:val="auto"/>
                <w:sz w:val="21"/>
                <w:szCs w:val="21"/>
              </w:rPr>
              <w:t>（3）考察的内容为资格预审中不包括的项目，如生产状况、人员状况、原料来源、机械设备产品应用情况，对供应商的质量保证能力审核，对供应商支付能力和提供保险、保函能力的调查等。</w:t>
            </w:r>
          </w:p>
          <w:p w14:paraId="7752FA62">
            <w:pPr>
              <w:pStyle w:val="107"/>
              <w:spacing w:before="24" w:beforeLines="10" w:after="24" w:afterLines="10" w:line="240" w:lineRule="auto"/>
              <w:rPr>
                <w:color w:val="auto"/>
                <w:sz w:val="21"/>
                <w:szCs w:val="21"/>
              </w:rPr>
            </w:pPr>
            <w:r>
              <w:rPr>
                <w:rFonts w:hint="eastAsia"/>
                <w:color w:val="auto"/>
                <w:sz w:val="21"/>
                <w:szCs w:val="21"/>
              </w:rPr>
              <w:t>（4）对供货商的选择，原则上至少邀请3家供货商参加投标或报价，特殊情况下可采取独家议标。</w:t>
            </w:r>
          </w:p>
          <w:p w14:paraId="273E0461">
            <w:pPr>
              <w:pStyle w:val="107"/>
              <w:spacing w:before="24" w:beforeLines="10" w:after="24" w:afterLines="10" w:line="240" w:lineRule="auto"/>
              <w:rPr>
                <w:color w:val="auto"/>
                <w:sz w:val="21"/>
                <w:szCs w:val="21"/>
              </w:rPr>
            </w:pPr>
            <w:r>
              <w:rPr>
                <w:rFonts w:hint="eastAsia"/>
                <w:color w:val="auto"/>
                <w:sz w:val="21"/>
                <w:szCs w:val="21"/>
              </w:rPr>
              <w:t>（5）为了确保本项目所需材料的供货按合同规定时间到达，大宗材料的采购合同均要求供货商提供预付款保函及履约保函。</w:t>
            </w:r>
          </w:p>
        </w:tc>
      </w:tr>
      <w:tr w14:paraId="452D3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38055F75">
            <w:pPr>
              <w:pStyle w:val="90"/>
              <w:spacing w:before="24" w:beforeLines="10" w:after="24" w:afterLines="10" w:line="240" w:lineRule="auto"/>
              <w:rPr>
                <w:rFonts w:hAnsi="宋体"/>
                <w:color w:val="auto"/>
                <w:sz w:val="21"/>
                <w:szCs w:val="21"/>
              </w:rPr>
            </w:pPr>
            <w:r>
              <w:rPr>
                <w:rFonts w:hint="eastAsia" w:hAnsi="宋体"/>
                <w:color w:val="auto"/>
                <w:sz w:val="21"/>
                <w:szCs w:val="21"/>
              </w:rPr>
              <w:t>3</w:t>
            </w:r>
          </w:p>
        </w:tc>
        <w:tc>
          <w:tcPr>
            <w:tcW w:w="660" w:type="pct"/>
            <w:noWrap w:val="0"/>
            <w:vAlign w:val="center"/>
          </w:tcPr>
          <w:p w14:paraId="243C83B2">
            <w:pPr>
              <w:pStyle w:val="90"/>
              <w:spacing w:before="24" w:beforeLines="10" w:after="24" w:afterLines="10" w:line="240" w:lineRule="auto"/>
              <w:rPr>
                <w:rFonts w:hAnsi="宋体"/>
                <w:color w:val="auto"/>
                <w:sz w:val="21"/>
                <w:szCs w:val="21"/>
              </w:rPr>
            </w:pPr>
            <w:r>
              <w:rPr>
                <w:rFonts w:hint="eastAsia" w:hAnsi="宋体"/>
                <w:color w:val="auto"/>
                <w:sz w:val="21"/>
                <w:szCs w:val="21"/>
              </w:rPr>
              <w:t>资金保证</w:t>
            </w:r>
          </w:p>
        </w:tc>
        <w:tc>
          <w:tcPr>
            <w:tcW w:w="3933" w:type="pct"/>
            <w:noWrap w:val="0"/>
            <w:vAlign w:val="center"/>
          </w:tcPr>
          <w:p w14:paraId="31C6AB68">
            <w:pPr>
              <w:pStyle w:val="107"/>
              <w:spacing w:before="24" w:beforeLines="10" w:after="24" w:afterLines="10" w:line="240" w:lineRule="auto"/>
              <w:rPr>
                <w:color w:val="auto"/>
                <w:sz w:val="21"/>
                <w:szCs w:val="21"/>
              </w:rPr>
            </w:pPr>
            <w:r>
              <w:rPr>
                <w:rFonts w:hint="eastAsia"/>
                <w:color w:val="auto"/>
                <w:sz w:val="21"/>
                <w:szCs w:val="21"/>
              </w:rPr>
              <w:t>（1）本工程的工程款将严格执行专款专用，实行最高级别的保障措施，制定严格的资金使用制度，特别是材料设备款，严禁挪作他用。</w:t>
            </w:r>
          </w:p>
          <w:p w14:paraId="54322D93">
            <w:pPr>
              <w:pStyle w:val="107"/>
              <w:spacing w:before="24" w:beforeLines="10" w:after="24" w:afterLines="10" w:line="240" w:lineRule="auto"/>
              <w:rPr>
                <w:color w:val="auto"/>
                <w:sz w:val="21"/>
                <w:szCs w:val="21"/>
              </w:rPr>
            </w:pPr>
            <w:r>
              <w:rPr>
                <w:rFonts w:hint="eastAsia"/>
                <w:color w:val="auto"/>
                <w:sz w:val="21"/>
                <w:szCs w:val="21"/>
              </w:rPr>
              <w:t>（2）每月月底物资部门根据下月物资采购计划制定下月资金需用计划，经项目经理审批后提交，按资金需用计划监督资金的使用情况，确保各种材料设备款的按时支付，绝不发生拖欠现象，以保证各种材料如期进场。</w:t>
            </w:r>
          </w:p>
        </w:tc>
      </w:tr>
      <w:tr w14:paraId="2B12D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1CD70377">
            <w:pPr>
              <w:pStyle w:val="90"/>
              <w:spacing w:before="24" w:beforeLines="10" w:after="24" w:afterLines="10" w:line="240" w:lineRule="auto"/>
              <w:rPr>
                <w:rFonts w:hAnsi="宋体"/>
                <w:color w:val="auto"/>
                <w:sz w:val="21"/>
                <w:szCs w:val="21"/>
              </w:rPr>
            </w:pPr>
            <w:r>
              <w:rPr>
                <w:rFonts w:hint="eastAsia" w:hAnsi="宋体"/>
                <w:color w:val="auto"/>
                <w:sz w:val="21"/>
                <w:szCs w:val="21"/>
              </w:rPr>
              <w:t>4</w:t>
            </w:r>
          </w:p>
        </w:tc>
        <w:tc>
          <w:tcPr>
            <w:tcW w:w="660" w:type="pct"/>
            <w:noWrap w:val="0"/>
            <w:vAlign w:val="center"/>
          </w:tcPr>
          <w:p w14:paraId="3F804BC2">
            <w:pPr>
              <w:pStyle w:val="90"/>
              <w:spacing w:before="24" w:beforeLines="10" w:after="24" w:afterLines="10" w:line="240" w:lineRule="auto"/>
              <w:rPr>
                <w:rFonts w:hAnsi="宋体"/>
                <w:color w:val="auto"/>
                <w:sz w:val="21"/>
                <w:szCs w:val="21"/>
              </w:rPr>
            </w:pPr>
            <w:r>
              <w:rPr>
                <w:rFonts w:hint="eastAsia" w:hAnsi="宋体"/>
                <w:color w:val="auto"/>
                <w:sz w:val="21"/>
                <w:szCs w:val="21"/>
              </w:rPr>
              <w:t>过程监管</w:t>
            </w:r>
          </w:p>
        </w:tc>
        <w:tc>
          <w:tcPr>
            <w:tcW w:w="3933" w:type="pct"/>
            <w:noWrap w:val="0"/>
            <w:vAlign w:val="center"/>
          </w:tcPr>
          <w:p w14:paraId="23AC1F4E">
            <w:pPr>
              <w:pStyle w:val="107"/>
              <w:spacing w:before="24" w:beforeLines="10" w:after="24" w:afterLines="10" w:line="240" w:lineRule="auto"/>
              <w:rPr>
                <w:color w:val="auto"/>
                <w:sz w:val="21"/>
                <w:szCs w:val="21"/>
              </w:rPr>
            </w:pPr>
            <w:r>
              <w:rPr>
                <w:rFonts w:hint="eastAsia"/>
                <w:color w:val="auto"/>
                <w:sz w:val="21"/>
                <w:szCs w:val="21"/>
              </w:rPr>
              <w:t>（1）对于一些半成品材料，我们首先将对合作单位进行严格考察，详细交底，将其生产资质、生产技术力量报送业主、监理单位。</w:t>
            </w:r>
          </w:p>
          <w:p w14:paraId="268144B6">
            <w:pPr>
              <w:pStyle w:val="107"/>
              <w:spacing w:before="24" w:beforeLines="10" w:after="24" w:afterLines="10" w:line="240" w:lineRule="auto"/>
              <w:rPr>
                <w:color w:val="auto"/>
                <w:sz w:val="21"/>
                <w:szCs w:val="21"/>
              </w:rPr>
            </w:pPr>
            <w:r>
              <w:rPr>
                <w:rFonts w:hint="eastAsia"/>
                <w:color w:val="auto"/>
                <w:sz w:val="21"/>
                <w:szCs w:val="21"/>
              </w:rPr>
              <w:t>（2）其次生产过程项目部将派质量工程师驻现场进行过程质量、进度监控，并要求随时进行汇报，形成生产日报、周报。</w:t>
            </w:r>
          </w:p>
          <w:p w14:paraId="06D0AB67">
            <w:pPr>
              <w:pStyle w:val="107"/>
              <w:spacing w:before="24" w:beforeLines="10" w:after="24" w:afterLines="10" w:line="240" w:lineRule="auto"/>
              <w:rPr>
                <w:color w:val="auto"/>
                <w:sz w:val="21"/>
                <w:szCs w:val="21"/>
              </w:rPr>
            </w:pPr>
            <w:r>
              <w:rPr>
                <w:rFonts w:hint="eastAsia"/>
                <w:color w:val="auto"/>
                <w:sz w:val="21"/>
                <w:szCs w:val="21"/>
              </w:rPr>
              <w:t>（3）项目部还将实施月度、年度考核，对其生产商进行信用评价，不仅作为督促生产的手段，也作为我方以后选择合作单位的依据。</w:t>
            </w:r>
          </w:p>
        </w:tc>
      </w:tr>
      <w:tr w14:paraId="5C47E3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79DC96A8">
            <w:pPr>
              <w:pStyle w:val="90"/>
              <w:spacing w:before="24" w:beforeLines="10" w:after="24" w:afterLines="10" w:line="240" w:lineRule="auto"/>
              <w:rPr>
                <w:rFonts w:hAnsi="宋体"/>
                <w:color w:val="auto"/>
                <w:sz w:val="21"/>
                <w:szCs w:val="21"/>
              </w:rPr>
            </w:pPr>
            <w:r>
              <w:rPr>
                <w:rFonts w:hint="eastAsia" w:hAnsi="宋体"/>
                <w:color w:val="auto"/>
                <w:sz w:val="21"/>
                <w:szCs w:val="21"/>
              </w:rPr>
              <w:t>5</w:t>
            </w:r>
          </w:p>
        </w:tc>
        <w:tc>
          <w:tcPr>
            <w:tcW w:w="660" w:type="pct"/>
            <w:noWrap w:val="0"/>
            <w:vAlign w:val="center"/>
          </w:tcPr>
          <w:p w14:paraId="14C320A4">
            <w:pPr>
              <w:pStyle w:val="90"/>
              <w:spacing w:before="24" w:beforeLines="10" w:after="24" w:afterLines="10" w:line="240" w:lineRule="auto"/>
              <w:rPr>
                <w:rFonts w:hAnsi="宋体"/>
                <w:color w:val="auto"/>
                <w:sz w:val="21"/>
                <w:szCs w:val="21"/>
              </w:rPr>
            </w:pPr>
            <w:r>
              <w:rPr>
                <w:rFonts w:hint="eastAsia" w:hAnsi="宋体"/>
                <w:color w:val="auto"/>
                <w:sz w:val="21"/>
                <w:szCs w:val="21"/>
              </w:rPr>
              <w:t>合理安排运输</w:t>
            </w:r>
          </w:p>
        </w:tc>
        <w:tc>
          <w:tcPr>
            <w:tcW w:w="3933" w:type="pct"/>
            <w:noWrap w:val="0"/>
            <w:vAlign w:val="center"/>
          </w:tcPr>
          <w:p w14:paraId="661D693B">
            <w:pPr>
              <w:pStyle w:val="107"/>
              <w:spacing w:before="24" w:beforeLines="10" w:after="24" w:afterLines="10" w:line="240" w:lineRule="auto"/>
              <w:rPr>
                <w:color w:val="auto"/>
                <w:sz w:val="21"/>
                <w:szCs w:val="21"/>
              </w:rPr>
            </w:pPr>
            <w:r>
              <w:rPr>
                <w:rFonts w:hint="eastAsia"/>
                <w:color w:val="auto"/>
                <w:sz w:val="21"/>
                <w:szCs w:val="21"/>
              </w:rPr>
              <w:t>（1）本工程主要材料用量大，因此材料运输前必须制定运输计划，合理安排运输时间，确定运输路线和方式，确保材料运输的及时和通畅。</w:t>
            </w:r>
          </w:p>
          <w:p w14:paraId="2C51FE5B">
            <w:pPr>
              <w:pStyle w:val="107"/>
              <w:spacing w:before="24" w:beforeLines="10" w:after="24" w:afterLines="10" w:line="240" w:lineRule="auto"/>
              <w:rPr>
                <w:color w:val="auto"/>
                <w:sz w:val="21"/>
                <w:szCs w:val="21"/>
              </w:rPr>
            </w:pPr>
            <w:r>
              <w:rPr>
                <w:rFonts w:hint="eastAsia"/>
                <w:color w:val="auto"/>
                <w:sz w:val="21"/>
                <w:szCs w:val="21"/>
              </w:rPr>
              <w:t>（2）对委托加工的半成品、构件提前与加工厂商联系，以确保半成品、构件能按照原定计划组织进场。</w:t>
            </w:r>
          </w:p>
        </w:tc>
      </w:tr>
      <w:tr w14:paraId="72643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406" w:type="pct"/>
            <w:noWrap w:val="0"/>
            <w:vAlign w:val="center"/>
          </w:tcPr>
          <w:p w14:paraId="47D5C80D">
            <w:pPr>
              <w:pStyle w:val="90"/>
              <w:spacing w:before="24" w:beforeLines="10" w:after="24" w:afterLines="10" w:line="240" w:lineRule="auto"/>
              <w:rPr>
                <w:rFonts w:hAnsi="宋体"/>
                <w:color w:val="auto"/>
                <w:sz w:val="21"/>
                <w:szCs w:val="21"/>
              </w:rPr>
            </w:pPr>
            <w:r>
              <w:rPr>
                <w:rFonts w:hint="eastAsia" w:hAnsi="宋体"/>
                <w:color w:val="auto"/>
                <w:sz w:val="21"/>
                <w:szCs w:val="21"/>
              </w:rPr>
              <w:t>6</w:t>
            </w:r>
          </w:p>
        </w:tc>
        <w:tc>
          <w:tcPr>
            <w:tcW w:w="660" w:type="pct"/>
            <w:noWrap w:val="0"/>
            <w:vAlign w:val="center"/>
          </w:tcPr>
          <w:p w14:paraId="301055D9">
            <w:pPr>
              <w:pStyle w:val="90"/>
              <w:spacing w:before="24" w:beforeLines="10" w:after="24" w:afterLines="10" w:line="240" w:lineRule="auto"/>
              <w:rPr>
                <w:rFonts w:hAnsi="宋体"/>
                <w:color w:val="auto"/>
                <w:sz w:val="21"/>
                <w:szCs w:val="21"/>
              </w:rPr>
            </w:pPr>
            <w:r>
              <w:rPr>
                <w:rFonts w:hint="eastAsia" w:hAnsi="宋体"/>
                <w:color w:val="auto"/>
                <w:sz w:val="21"/>
                <w:szCs w:val="21"/>
              </w:rPr>
              <w:t>特殊时期的材料储存</w:t>
            </w:r>
          </w:p>
        </w:tc>
        <w:tc>
          <w:tcPr>
            <w:tcW w:w="3933" w:type="pct"/>
            <w:noWrap w:val="0"/>
            <w:vAlign w:val="center"/>
          </w:tcPr>
          <w:p w14:paraId="78FDF19C">
            <w:pPr>
              <w:pStyle w:val="107"/>
              <w:spacing w:before="24" w:beforeLines="10" w:after="24" w:afterLines="10" w:line="240" w:lineRule="auto"/>
              <w:rPr>
                <w:color w:val="auto"/>
                <w:sz w:val="21"/>
                <w:szCs w:val="21"/>
              </w:rPr>
            </w:pPr>
            <w:r>
              <w:rPr>
                <w:rFonts w:hint="eastAsia"/>
                <w:color w:val="auto"/>
                <w:sz w:val="21"/>
                <w:szCs w:val="21"/>
              </w:rPr>
              <w:t>由于各种材料在国庆、春节放假期间可能会供应受阻，为保证期间施工的材料衔接，在节前项目物资设备部门要督促其他各部门负责人提前提供准确的工程材料清单，提前与供货厂家定货，在春节放假前将所有必须的材料运到堆放场地和仓库，确保工程正常进行。</w:t>
            </w:r>
          </w:p>
        </w:tc>
      </w:tr>
    </w:tbl>
    <w:p w14:paraId="21F09F56">
      <w:pPr>
        <w:pStyle w:val="4"/>
        <w:ind w:firstLine="482"/>
        <w:rPr>
          <w:color w:val="auto"/>
        </w:rPr>
      </w:pPr>
      <w:bookmarkStart w:id="397" w:name="_Toc20187"/>
      <w:r>
        <w:rPr>
          <w:rFonts w:hint="eastAsia"/>
          <w:color w:val="auto"/>
        </w:rPr>
        <w:t>施工现场环境保护措施</w:t>
      </w:r>
      <w:bookmarkEnd w:id="397"/>
    </w:p>
    <w:p w14:paraId="07A5B3EA">
      <w:pPr>
        <w:pStyle w:val="5"/>
        <w:rPr>
          <w:color w:val="auto"/>
        </w:rPr>
      </w:pPr>
      <w:bookmarkStart w:id="398" w:name="_Toc11455"/>
      <w:r>
        <w:rPr>
          <w:rFonts w:hint="eastAsia"/>
          <w:color w:val="auto"/>
          <w:lang w:val="en-US" w:eastAsia="zh-CN"/>
        </w:rPr>
        <w:t>环境保护一般要求</w:t>
      </w:r>
      <w:bookmarkEnd w:id="398"/>
    </w:p>
    <w:p w14:paraId="775C9D0A">
      <w:pPr>
        <w:rPr>
          <w:rFonts w:hint="eastAsia"/>
          <w:color w:val="auto"/>
        </w:rPr>
      </w:pPr>
      <w:r>
        <w:rPr>
          <w:rFonts w:hint="eastAsia"/>
          <w:color w:val="auto"/>
        </w:rPr>
        <w:t>1、控制项</w:t>
      </w:r>
    </w:p>
    <w:p w14:paraId="5C854E25">
      <w:pPr>
        <w:rPr>
          <w:rFonts w:hint="eastAsia"/>
          <w:color w:val="auto"/>
        </w:rPr>
      </w:pPr>
      <w:r>
        <w:rPr>
          <w:rFonts w:hint="eastAsia"/>
          <w:color w:val="auto"/>
        </w:rPr>
        <w:t>（1）现场施工标牌应包括环境保护内容</w:t>
      </w:r>
    </w:p>
    <w:p w14:paraId="4FCF8FB0">
      <w:pPr>
        <w:rPr>
          <w:rFonts w:hint="eastAsia"/>
          <w:color w:val="auto"/>
        </w:rPr>
      </w:pPr>
      <w:r>
        <w:rPr>
          <w:rFonts w:hint="eastAsia"/>
          <w:color w:val="auto"/>
        </w:rPr>
        <w:t>现场十牌二图中应包含环保标牌，其中包含绿色施工目标、绿色施工体系、组织结构、职责划分及绿色施工制度等内容。</w:t>
      </w:r>
    </w:p>
    <w:p w14:paraId="40D99D13">
      <w:pPr>
        <w:rPr>
          <w:rFonts w:hint="eastAsia"/>
          <w:color w:val="auto"/>
        </w:rPr>
      </w:pPr>
      <w:r>
        <w:rPr>
          <w:rFonts w:hint="eastAsia"/>
          <w:color w:val="auto"/>
        </w:rPr>
        <w:t>（2）施工现场应在醒目位置设环境保护标识</w:t>
      </w:r>
    </w:p>
    <w:p w14:paraId="41841CFE">
      <w:pPr>
        <w:rPr>
          <w:rFonts w:hint="eastAsia"/>
          <w:color w:val="auto"/>
        </w:rPr>
      </w:pPr>
      <w:r>
        <w:rPr>
          <w:rFonts w:hint="eastAsia"/>
          <w:color w:val="auto"/>
        </w:rPr>
        <w:tab/>
      </w:r>
      <w:r>
        <w:rPr>
          <w:rFonts w:hint="eastAsia"/>
          <w:color w:val="auto"/>
        </w:rPr>
        <w:t>在现场钢筋车间、木工车间、临时施工道路、休息室、垃圾桶、洗车池等位置挂设环境保护标识。</w:t>
      </w:r>
    </w:p>
    <w:p w14:paraId="69A713BB">
      <w:pPr>
        <w:rPr>
          <w:rFonts w:hint="eastAsia"/>
          <w:color w:val="auto"/>
        </w:rPr>
      </w:pPr>
      <w:r>
        <w:rPr>
          <w:rFonts w:hint="eastAsia"/>
          <w:color w:val="auto"/>
        </w:rPr>
        <w:t>（3）现场食堂应有卫生许可证，炊事员应持有效健康证明</w:t>
      </w:r>
    </w:p>
    <w:p w14:paraId="38FF1DED">
      <w:pPr>
        <w:rPr>
          <w:rFonts w:hint="eastAsia"/>
          <w:color w:val="auto"/>
        </w:rPr>
      </w:pPr>
      <w:r>
        <w:rPr>
          <w:rFonts w:hint="eastAsia"/>
          <w:color w:val="auto"/>
        </w:rPr>
        <w:t>措施</w:t>
      </w:r>
      <w:r>
        <w:rPr>
          <w:rFonts w:hint="eastAsia"/>
          <w:color w:val="auto"/>
        </w:rPr>
        <w:tab/>
      </w:r>
      <w:r>
        <w:rPr>
          <w:rFonts w:hint="eastAsia"/>
          <w:color w:val="auto"/>
        </w:rPr>
        <w:t>现场食堂内醒目位置挂设卫生许可证和炊事员有效健康证（每年复检1次）。</w:t>
      </w:r>
    </w:p>
    <w:p w14:paraId="6B945641">
      <w:pPr>
        <w:rPr>
          <w:rFonts w:hint="eastAsia"/>
          <w:color w:val="auto"/>
        </w:rPr>
      </w:pPr>
      <w:r>
        <w:rPr>
          <w:rFonts w:hint="eastAsia"/>
          <w:color w:val="auto"/>
        </w:rPr>
        <w:t>2、一般项</w:t>
      </w:r>
    </w:p>
    <w:p w14:paraId="2C6F5933">
      <w:pPr>
        <w:rPr>
          <w:rFonts w:hint="eastAsia"/>
          <w:color w:val="auto"/>
        </w:rPr>
      </w:pPr>
      <w:r>
        <w:rPr>
          <w:rFonts w:hint="eastAsia"/>
          <w:color w:val="auto"/>
        </w:rPr>
        <w:t>（1）资源保护</w:t>
      </w:r>
    </w:p>
    <w:p w14:paraId="2DF83D6A">
      <w:pPr>
        <w:rPr>
          <w:rFonts w:hint="eastAsia"/>
          <w:color w:val="auto"/>
        </w:rPr>
      </w:pPr>
      <w:r>
        <w:rPr>
          <w:rFonts w:hint="eastAsia"/>
          <w:color w:val="auto"/>
        </w:rPr>
        <w:t>①应保护场地四周原有地下水形态，减少抽取地下水</w:t>
      </w:r>
    </w:p>
    <w:p w14:paraId="15C0E74B">
      <w:pPr>
        <w:rPr>
          <w:rFonts w:hint="eastAsia"/>
          <w:color w:val="auto"/>
        </w:rPr>
      </w:pPr>
      <w:r>
        <w:rPr>
          <w:rFonts w:hint="eastAsia"/>
          <w:color w:val="auto"/>
        </w:rPr>
        <w:t>设集水坑、排水沟等措施进行降水和排水，并将水净化用作洗车、防止扬尘等作用。</w:t>
      </w:r>
    </w:p>
    <w:p w14:paraId="0164C650">
      <w:pPr>
        <w:rPr>
          <w:rFonts w:hint="eastAsia"/>
          <w:color w:val="auto"/>
        </w:rPr>
      </w:pPr>
      <w:r>
        <w:rPr>
          <w:rFonts w:hint="eastAsia"/>
          <w:color w:val="auto"/>
        </w:rPr>
        <w:t>②危险品、化学品存放处及污物排放应采取隔离措施</w:t>
      </w:r>
    </w:p>
    <w:p w14:paraId="0A11EE47">
      <w:pPr>
        <w:rPr>
          <w:rFonts w:hint="eastAsia"/>
          <w:color w:val="auto"/>
        </w:rPr>
      </w:pPr>
      <w:r>
        <w:rPr>
          <w:rFonts w:hint="eastAsia"/>
          <w:color w:val="auto"/>
        </w:rPr>
        <w:t>a化学品、重金属污染品、污物存放处地面采取C20硬化处理，采用砖砌或者彩钢板隔离，并且远离办公区域25米以上。</w:t>
      </w:r>
    </w:p>
    <w:p w14:paraId="54E0014A">
      <w:pPr>
        <w:rPr>
          <w:rFonts w:hint="eastAsia"/>
          <w:color w:val="auto"/>
        </w:rPr>
      </w:pPr>
      <w:r>
        <w:rPr>
          <w:rFonts w:hint="eastAsia"/>
          <w:color w:val="auto"/>
        </w:rPr>
        <w:t>b有毒有害物如电池、墨盒、油漆、涂料等需密封保存，并贴上标识，使用完后及时回收并交付有资质的单位处理，不能作为建筑垃圾外运，避免污染土壤和地下水。</w:t>
      </w:r>
    </w:p>
    <w:p w14:paraId="0C695B64">
      <w:pPr>
        <w:rPr>
          <w:rFonts w:hint="eastAsia"/>
          <w:color w:val="auto"/>
        </w:rPr>
      </w:pPr>
      <w:r>
        <w:rPr>
          <w:rFonts w:hint="eastAsia"/>
          <w:color w:val="auto"/>
        </w:rPr>
        <w:t>（2）人员健康</w:t>
      </w:r>
    </w:p>
    <w:p w14:paraId="2B9E1B67">
      <w:pPr>
        <w:rPr>
          <w:rFonts w:hint="eastAsia"/>
          <w:color w:val="auto"/>
        </w:rPr>
      </w:pPr>
      <w:r>
        <w:rPr>
          <w:rFonts w:hint="eastAsia"/>
          <w:color w:val="auto"/>
        </w:rPr>
        <w:t>①施工作业区和生活办公区应分开布置，生活设施应远离有毒有害物质</w:t>
      </w:r>
    </w:p>
    <w:p w14:paraId="4E8361D7">
      <w:pPr>
        <w:rPr>
          <w:rFonts w:hint="eastAsia"/>
          <w:color w:val="auto"/>
        </w:rPr>
      </w:pPr>
      <w:r>
        <w:rPr>
          <w:rFonts w:hint="eastAsia"/>
          <w:color w:val="auto"/>
        </w:rPr>
        <w:t>a施工作业区与生活办公区分开布置，并设置导向牌；采用围挡将施工作业区与生活办公区隔离开。</w:t>
      </w:r>
    </w:p>
    <w:p w14:paraId="7D465E62">
      <w:pPr>
        <w:rPr>
          <w:rFonts w:hint="eastAsia"/>
          <w:color w:val="auto"/>
        </w:rPr>
      </w:pPr>
      <w:r>
        <w:rPr>
          <w:rFonts w:hint="eastAsia"/>
          <w:color w:val="auto"/>
        </w:rPr>
        <w:t>b对有毒有害物质进行识别，并对有毒有害物质归类存放，贴上标签，生活设施不得与有毒有害物质混放。</w:t>
      </w:r>
    </w:p>
    <w:p w14:paraId="59A78006">
      <w:pPr>
        <w:rPr>
          <w:rFonts w:hint="eastAsia"/>
          <w:color w:val="auto"/>
        </w:rPr>
      </w:pPr>
      <w:r>
        <w:rPr>
          <w:rFonts w:hint="eastAsia"/>
          <w:color w:val="auto"/>
        </w:rPr>
        <w:t>②生活区应有专人负责，应有消暑或保暖措施</w:t>
      </w:r>
    </w:p>
    <w:p w14:paraId="0597AEB1">
      <w:pPr>
        <w:rPr>
          <w:rFonts w:hint="eastAsia"/>
          <w:color w:val="auto"/>
        </w:rPr>
      </w:pPr>
      <w:r>
        <w:rPr>
          <w:rFonts w:hint="eastAsia"/>
          <w:color w:val="auto"/>
        </w:rPr>
        <w:t>a制定生活区卫生管理制度，并安排专职人员负责，定期对生活区环境卫生进行检查，并下发整改通知单；</w:t>
      </w:r>
    </w:p>
    <w:p w14:paraId="5F021C90">
      <w:pPr>
        <w:rPr>
          <w:rFonts w:hint="eastAsia"/>
          <w:color w:val="auto"/>
        </w:rPr>
      </w:pPr>
      <w:r>
        <w:rPr>
          <w:rFonts w:hint="eastAsia"/>
          <w:color w:val="auto"/>
        </w:rPr>
        <w:t>b生活区设置锅炉，提供生活用热水；</w:t>
      </w:r>
    </w:p>
    <w:p w14:paraId="6A96E687">
      <w:pPr>
        <w:rPr>
          <w:rFonts w:hint="eastAsia"/>
          <w:color w:val="auto"/>
        </w:rPr>
      </w:pPr>
      <w:r>
        <w:rPr>
          <w:rFonts w:hint="eastAsia"/>
          <w:color w:val="auto"/>
        </w:rPr>
        <w:t>c宿舍内安装节能空调消暑、保暖，严寒地区还可以配置电油汀、取暖片等设备；</w:t>
      </w:r>
    </w:p>
    <w:p w14:paraId="6E5C7DDD">
      <w:pPr>
        <w:rPr>
          <w:rFonts w:hint="eastAsia"/>
          <w:color w:val="auto"/>
        </w:rPr>
      </w:pPr>
      <w:r>
        <w:rPr>
          <w:rFonts w:hint="eastAsia"/>
          <w:color w:val="auto"/>
        </w:rPr>
        <w:t>d生活区每间宿舍发放消暑物品：藿香正气水、清凉油、风油精等；</w:t>
      </w:r>
    </w:p>
    <w:p w14:paraId="445E536A">
      <w:pPr>
        <w:rPr>
          <w:rFonts w:hint="eastAsia"/>
          <w:color w:val="auto"/>
        </w:rPr>
      </w:pPr>
      <w:r>
        <w:rPr>
          <w:rFonts w:hint="eastAsia"/>
          <w:color w:val="auto"/>
        </w:rPr>
        <w:t>e生活区板房内加设岩棉保温板。</w:t>
      </w:r>
    </w:p>
    <w:p w14:paraId="3191C1A3">
      <w:pPr>
        <w:rPr>
          <w:rFonts w:hint="eastAsia"/>
          <w:color w:val="auto"/>
        </w:rPr>
      </w:pPr>
      <w:r>
        <w:rPr>
          <w:rFonts w:hint="eastAsia"/>
          <w:color w:val="auto"/>
        </w:rPr>
        <w:t>③现场工人劳动强度和工作时间应符合现行国家标准“体力劳动强度分级”GB3869的有关规定</w:t>
      </w:r>
    </w:p>
    <w:p w14:paraId="5F986169">
      <w:pPr>
        <w:rPr>
          <w:rFonts w:hint="eastAsia"/>
          <w:color w:val="auto"/>
        </w:rPr>
      </w:pPr>
      <w:r>
        <w:rPr>
          <w:rFonts w:hint="eastAsia"/>
          <w:color w:val="auto"/>
        </w:rPr>
        <w:t>规定工人作息时间，上午：7:30~11:30，下午：13:30~17:30。</w:t>
      </w:r>
    </w:p>
    <w:p w14:paraId="559751B2">
      <w:pPr>
        <w:rPr>
          <w:rFonts w:hint="eastAsia"/>
          <w:color w:val="auto"/>
        </w:rPr>
      </w:pPr>
      <w:r>
        <w:rPr>
          <w:rFonts w:hint="eastAsia"/>
          <w:color w:val="auto"/>
        </w:rPr>
        <w:t>④从事有毒、有害、有刺激性气味和强光、强噪声施工的人员应佩戴与其相应的防护器具</w:t>
      </w:r>
    </w:p>
    <w:p w14:paraId="51539D86">
      <w:pPr>
        <w:rPr>
          <w:rFonts w:hint="eastAsia"/>
          <w:color w:val="auto"/>
        </w:rPr>
      </w:pPr>
      <w:r>
        <w:rPr>
          <w:rFonts w:hint="eastAsia"/>
          <w:color w:val="auto"/>
        </w:rPr>
        <w:t>a从事电焊作业的人员，应佩戴电焊防护面罩；</w:t>
      </w:r>
    </w:p>
    <w:p w14:paraId="19B88BC9">
      <w:pPr>
        <w:rPr>
          <w:rFonts w:hint="eastAsia"/>
          <w:color w:val="auto"/>
        </w:rPr>
      </w:pPr>
      <w:r>
        <w:rPr>
          <w:rFonts w:hint="eastAsia"/>
          <w:color w:val="auto"/>
        </w:rPr>
        <w:t>b从事消毒、刺激性气味的人员应佩戴消毒面罩。</w:t>
      </w:r>
    </w:p>
    <w:p w14:paraId="135C323E">
      <w:pPr>
        <w:rPr>
          <w:rFonts w:hint="eastAsia"/>
          <w:color w:val="auto"/>
        </w:rPr>
      </w:pPr>
      <w:r>
        <w:rPr>
          <w:rFonts w:hint="eastAsia"/>
          <w:color w:val="auto"/>
        </w:rPr>
        <w:t>⑤深井、密闭环境、防水和室内装修施工应有自然通风或临时通风设施</w:t>
      </w:r>
    </w:p>
    <w:p w14:paraId="34D8DCBD">
      <w:pPr>
        <w:rPr>
          <w:rFonts w:hint="eastAsia"/>
          <w:color w:val="auto"/>
        </w:rPr>
      </w:pPr>
      <w:r>
        <w:rPr>
          <w:rFonts w:hint="eastAsia"/>
          <w:color w:val="auto"/>
        </w:rPr>
        <w:t>本工程地下施工面积大，室内装饰装修阶段，可通过上下贯通的预留孔进行通风，同时辅助设计大风扇，确保空气流通。</w:t>
      </w:r>
    </w:p>
    <w:p w14:paraId="1A3A331F">
      <w:pPr>
        <w:rPr>
          <w:rFonts w:hint="eastAsia"/>
          <w:color w:val="auto"/>
        </w:rPr>
      </w:pPr>
      <w:r>
        <w:rPr>
          <w:rFonts w:hint="eastAsia"/>
          <w:color w:val="auto"/>
        </w:rPr>
        <w:t>⑥现场危险设备、地段、有毒物品存放地应配置醒目安全标志，施工应采取有效防毒、防污、防尘、防潮、通风等措施，应加强人员健康管理。</w:t>
      </w:r>
    </w:p>
    <w:p w14:paraId="41DA39EB">
      <w:pPr>
        <w:rPr>
          <w:rFonts w:hint="eastAsia"/>
          <w:color w:val="auto"/>
        </w:rPr>
      </w:pPr>
      <w:r>
        <w:rPr>
          <w:rFonts w:hint="eastAsia"/>
          <w:color w:val="auto"/>
        </w:rPr>
        <w:t>⑦厕所、卫生设施、排水沟及阴暗潮湿地带应定期消毒</w:t>
      </w:r>
    </w:p>
    <w:p w14:paraId="7C665957">
      <w:pPr>
        <w:rPr>
          <w:rFonts w:hint="eastAsia"/>
          <w:color w:val="auto"/>
        </w:rPr>
      </w:pPr>
      <w:r>
        <w:rPr>
          <w:rFonts w:hint="eastAsia"/>
          <w:color w:val="auto"/>
        </w:rPr>
        <w:t>a根据平面布置进行厕所、卫生设施、排水沟的整体部署，经沉淀或净化后，排入市政管网或加以利用；</w:t>
      </w:r>
    </w:p>
    <w:p w14:paraId="11BDD0A1">
      <w:pPr>
        <w:rPr>
          <w:rFonts w:hint="eastAsia"/>
          <w:color w:val="auto"/>
        </w:rPr>
      </w:pPr>
      <w:r>
        <w:rPr>
          <w:rFonts w:hint="eastAsia"/>
          <w:color w:val="auto"/>
        </w:rPr>
        <w:t>b安排专人每天对厕所、排水沟等进行消毒清理，人员消毒工作时应佩戴防毒面罩。</w:t>
      </w:r>
    </w:p>
    <w:p w14:paraId="1C8306AF">
      <w:pPr>
        <w:rPr>
          <w:rFonts w:hint="eastAsia"/>
          <w:color w:val="auto"/>
        </w:rPr>
      </w:pPr>
      <w:r>
        <w:rPr>
          <w:rFonts w:hint="eastAsia"/>
          <w:color w:val="auto"/>
        </w:rPr>
        <w:t>⑧食堂各类器具应清洁，个人卫生、操作行为应规范</w:t>
      </w:r>
    </w:p>
    <w:p w14:paraId="500A5B7B">
      <w:pPr>
        <w:rPr>
          <w:rFonts w:hint="eastAsia"/>
          <w:color w:val="auto"/>
        </w:rPr>
      </w:pPr>
      <w:r>
        <w:rPr>
          <w:rFonts w:hint="eastAsia"/>
          <w:color w:val="auto"/>
        </w:rPr>
        <w:t>a制定食堂卫生管理制度，配置充足的洗洁精等物品，餐前、餐后清洗各类器具，定期由后勤管理人员检查；</w:t>
      </w:r>
    </w:p>
    <w:p w14:paraId="6C314704">
      <w:pPr>
        <w:rPr>
          <w:rFonts w:hint="eastAsia"/>
          <w:color w:val="auto"/>
        </w:rPr>
      </w:pPr>
      <w:r>
        <w:rPr>
          <w:rFonts w:hint="eastAsia"/>
          <w:color w:val="auto"/>
        </w:rPr>
        <w:t>b装修食堂所用建筑材料必须符合环保、消防要求。食堂必须设置独立的制作间、库房和燃气罐存放间，必须设置隔油池，应配备必要的排风设施和消毒设施；必须设置密闭式泔水桶；</w:t>
      </w:r>
    </w:p>
    <w:p w14:paraId="1ECA0F7E">
      <w:pPr>
        <w:rPr>
          <w:rFonts w:hint="eastAsia"/>
          <w:color w:val="auto"/>
        </w:rPr>
      </w:pPr>
      <w:r>
        <w:rPr>
          <w:rFonts w:hint="eastAsia"/>
          <w:color w:val="auto"/>
        </w:rPr>
        <w:t>c制作间灶台及其周边应贴瓷砖，地面硬化，保持墙面、地面干净，下水管线应与污水管线连接，保证排水通畅。</w:t>
      </w:r>
    </w:p>
    <w:p w14:paraId="1EC42A70">
      <w:pPr>
        <w:rPr>
          <w:rFonts w:hint="eastAsia"/>
          <w:color w:val="auto"/>
        </w:rPr>
      </w:pPr>
      <w:r>
        <w:rPr>
          <w:rFonts w:hint="eastAsia"/>
          <w:color w:val="auto"/>
        </w:rPr>
        <w:t>（3）扬尘控制</w:t>
      </w:r>
    </w:p>
    <w:p w14:paraId="6D1741AB">
      <w:pPr>
        <w:rPr>
          <w:rFonts w:hint="eastAsia"/>
          <w:color w:val="auto"/>
        </w:rPr>
      </w:pPr>
      <w:r>
        <w:rPr>
          <w:rFonts w:hint="eastAsia"/>
          <w:color w:val="auto"/>
        </w:rPr>
        <w:tab/>
      </w:r>
      <w:r>
        <w:rPr>
          <w:rFonts w:hint="eastAsia"/>
          <w:color w:val="auto"/>
        </w:rPr>
        <w:t>①现场应建立洒水清扫制度，配备洒水设备，并应有专人负责</w:t>
      </w:r>
    </w:p>
    <w:p w14:paraId="3298849B">
      <w:pPr>
        <w:rPr>
          <w:rFonts w:hint="eastAsia"/>
          <w:color w:val="auto"/>
        </w:rPr>
      </w:pPr>
      <w:r>
        <w:rPr>
          <w:rFonts w:hint="eastAsia"/>
          <w:color w:val="auto"/>
        </w:rPr>
        <w:t>a建立洒水清扫制度，安排专人每天早、中、晚对现场洒水降尘；</w:t>
      </w:r>
    </w:p>
    <w:p w14:paraId="1DF9EFE7">
      <w:pPr>
        <w:rPr>
          <w:rFonts w:hint="eastAsia"/>
          <w:color w:val="auto"/>
        </w:rPr>
      </w:pPr>
      <w:r>
        <w:rPr>
          <w:rFonts w:hint="eastAsia"/>
          <w:color w:val="auto"/>
        </w:rPr>
        <w:t>b现场利用废弃材料自制便利洒水车；</w:t>
      </w:r>
    </w:p>
    <w:p w14:paraId="672130DC">
      <w:pPr>
        <w:rPr>
          <w:rFonts w:hint="eastAsia"/>
          <w:color w:val="auto"/>
        </w:rPr>
      </w:pPr>
      <w:r>
        <w:rPr>
          <w:rFonts w:hint="eastAsia"/>
          <w:color w:val="auto"/>
        </w:rPr>
        <w:t>c在道路周围布设喷雾设备进行道路洒水及除尘。</w:t>
      </w:r>
    </w:p>
    <w:p w14:paraId="5073AF82">
      <w:pPr>
        <w:rPr>
          <w:rFonts w:hint="eastAsia"/>
          <w:color w:val="auto"/>
        </w:rPr>
      </w:pPr>
      <w:r>
        <w:rPr>
          <w:rFonts w:hint="eastAsia"/>
          <w:color w:val="auto"/>
        </w:rPr>
        <w:t>②对裸露地面、集中堆放的土方应采取抑尘措施</w:t>
      </w:r>
    </w:p>
    <w:p w14:paraId="0C40518C">
      <w:pPr>
        <w:rPr>
          <w:rFonts w:hint="eastAsia"/>
          <w:color w:val="auto"/>
        </w:rPr>
      </w:pPr>
      <w:r>
        <w:rPr>
          <w:rFonts w:hint="eastAsia"/>
          <w:color w:val="auto"/>
        </w:rPr>
        <w:t>a对裸露地面进行硬化、覆盖碎石、覆盖密目网；</w:t>
      </w:r>
    </w:p>
    <w:p w14:paraId="183EEA0E">
      <w:pPr>
        <w:rPr>
          <w:rFonts w:hint="eastAsia"/>
          <w:color w:val="auto"/>
        </w:rPr>
      </w:pPr>
      <w:r>
        <w:rPr>
          <w:rFonts w:hint="eastAsia"/>
          <w:color w:val="auto"/>
        </w:rPr>
        <w:t>b现场集中堆放的土方，应先初步压实，然后采用塑料布覆盖。</w:t>
      </w:r>
    </w:p>
    <w:p w14:paraId="1DBE3D1C">
      <w:pPr>
        <w:rPr>
          <w:rFonts w:hint="eastAsia"/>
          <w:color w:val="auto"/>
        </w:rPr>
      </w:pPr>
      <w:r>
        <w:rPr>
          <w:rFonts w:hint="eastAsia"/>
          <w:color w:val="auto"/>
        </w:rPr>
        <w:t>③运送土方、渣土等易产生扬尘的车辆应采取封闭或遮盖措施</w:t>
      </w:r>
    </w:p>
    <w:p w14:paraId="157CCEB1">
      <w:pPr>
        <w:rPr>
          <w:rFonts w:hint="eastAsia"/>
          <w:color w:val="auto"/>
        </w:rPr>
      </w:pPr>
      <w:r>
        <w:rPr>
          <w:rFonts w:hint="eastAsia"/>
          <w:color w:val="auto"/>
        </w:rPr>
        <w:t>a选择有渣土准运证的单位进行合作；</w:t>
      </w:r>
    </w:p>
    <w:p w14:paraId="3BA006A4">
      <w:pPr>
        <w:rPr>
          <w:rFonts w:hint="eastAsia"/>
          <w:color w:val="auto"/>
        </w:rPr>
      </w:pPr>
      <w:r>
        <w:rPr>
          <w:rFonts w:hint="eastAsia"/>
          <w:color w:val="auto"/>
        </w:rPr>
        <w:t>b按照</w:t>
      </w:r>
      <w:r>
        <w:rPr>
          <w:rFonts w:hint="eastAsia"/>
          <w:color w:val="auto"/>
          <w:lang w:eastAsia="zh-CN"/>
        </w:rPr>
        <w:t>三亚</w:t>
      </w:r>
      <w:r>
        <w:rPr>
          <w:rFonts w:hint="eastAsia"/>
          <w:color w:val="auto"/>
        </w:rPr>
        <w:t>市要求采用新型渣土运输车，做到无污染、可监控。</w:t>
      </w:r>
    </w:p>
    <w:p w14:paraId="229A0E16">
      <w:pPr>
        <w:rPr>
          <w:rFonts w:hint="eastAsia"/>
          <w:color w:val="auto"/>
        </w:rPr>
      </w:pPr>
      <w:r>
        <w:rPr>
          <w:rFonts w:hint="eastAsia"/>
          <w:color w:val="auto"/>
        </w:rPr>
        <w:t>④现场进出口应设冲洗池和洗湿垫，应保持进出现场车辆清洁</w:t>
      </w:r>
    </w:p>
    <w:p w14:paraId="5DD8C729">
      <w:pPr>
        <w:rPr>
          <w:rFonts w:hint="eastAsia"/>
          <w:color w:val="auto"/>
        </w:rPr>
      </w:pPr>
      <w:r>
        <w:rPr>
          <w:rFonts w:hint="eastAsia"/>
          <w:color w:val="auto"/>
        </w:rPr>
        <w:t>a施工大门口设置洗车槽，配备洗车设备并设置沉淀池；</w:t>
      </w:r>
    </w:p>
    <w:p w14:paraId="55AE2BE9">
      <w:pPr>
        <w:rPr>
          <w:rFonts w:hint="eastAsia"/>
          <w:color w:val="auto"/>
        </w:rPr>
      </w:pPr>
      <w:r>
        <w:rPr>
          <w:rFonts w:hint="eastAsia"/>
          <w:color w:val="auto"/>
        </w:rPr>
        <w:t>b施工大门安排专人对车辆进行冲洗，配备高压冲洗枪。</w:t>
      </w:r>
    </w:p>
    <w:p w14:paraId="3438E489">
      <w:pPr>
        <w:rPr>
          <w:rFonts w:hint="eastAsia"/>
          <w:color w:val="auto"/>
        </w:rPr>
      </w:pPr>
      <w:r>
        <w:rPr>
          <w:rFonts w:hint="eastAsia"/>
          <w:color w:val="auto"/>
        </w:rPr>
        <w:t>⑤易飞扬和细颗粒建筑材料应封闭存放，余料应及时回收</w:t>
      </w:r>
    </w:p>
    <w:p w14:paraId="3F2762FC">
      <w:pPr>
        <w:rPr>
          <w:rFonts w:hint="eastAsia"/>
          <w:color w:val="auto"/>
        </w:rPr>
      </w:pPr>
      <w:r>
        <w:rPr>
          <w:rFonts w:hint="eastAsia"/>
          <w:color w:val="auto"/>
        </w:rPr>
        <w:t>a现场设置临时仓库（彩钢板房），易飞扬和细颗粒建筑材料归类集中堆放至仓库；</w:t>
      </w:r>
    </w:p>
    <w:p w14:paraId="5C5C1743">
      <w:pPr>
        <w:rPr>
          <w:rFonts w:hint="eastAsia"/>
          <w:color w:val="auto"/>
        </w:rPr>
      </w:pPr>
      <w:r>
        <w:rPr>
          <w:rFonts w:hint="eastAsia"/>
          <w:color w:val="auto"/>
        </w:rPr>
        <w:t>b现场堆放的易飞扬、细颗粒建筑材料等，采用彩条布遮盖；施工后的余料及时回收至指定区域。</w:t>
      </w:r>
    </w:p>
    <w:p w14:paraId="48B74765">
      <w:pPr>
        <w:rPr>
          <w:rFonts w:hint="eastAsia"/>
          <w:color w:val="auto"/>
        </w:rPr>
      </w:pPr>
      <w:r>
        <w:rPr>
          <w:rFonts w:hint="eastAsia"/>
          <w:color w:val="auto"/>
        </w:rPr>
        <w:t>⑥易产生扬尘的施工作业应采取遮挡、抑尘措施</w:t>
      </w:r>
    </w:p>
    <w:p w14:paraId="6D7A4046">
      <w:pPr>
        <w:rPr>
          <w:rFonts w:hint="eastAsia"/>
          <w:color w:val="auto"/>
        </w:rPr>
      </w:pPr>
      <w:r>
        <w:rPr>
          <w:rFonts w:hint="eastAsia"/>
          <w:color w:val="auto"/>
        </w:rPr>
        <w:t>a主体施工阶段，随外架设置喷雾降尘管道用于作业面降尘；</w:t>
      </w:r>
    </w:p>
    <w:p w14:paraId="248C2802">
      <w:pPr>
        <w:rPr>
          <w:rFonts w:hint="eastAsia"/>
          <w:color w:val="auto"/>
        </w:rPr>
      </w:pPr>
      <w:r>
        <w:rPr>
          <w:rFonts w:hint="eastAsia"/>
          <w:color w:val="auto"/>
        </w:rPr>
        <w:t>b装饰装修阶段采用分离式移动降尘设备；</w:t>
      </w:r>
    </w:p>
    <w:p w14:paraId="35EE38EA">
      <w:pPr>
        <w:rPr>
          <w:rFonts w:hint="eastAsia"/>
          <w:color w:val="auto"/>
        </w:rPr>
      </w:pPr>
      <w:r>
        <w:rPr>
          <w:rFonts w:hint="eastAsia"/>
          <w:color w:val="auto"/>
        </w:rPr>
        <w:t>c木工房等易产生扬尘的部位采用切割粉尘分离吸尘器。</w:t>
      </w:r>
    </w:p>
    <w:p w14:paraId="4C104E60">
      <w:pPr>
        <w:rPr>
          <w:rFonts w:hint="eastAsia"/>
          <w:color w:val="auto"/>
        </w:rPr>
      </w:pPr>
      <w:r>
        <w:rPr>
          <w:rFonts w:hint="eastAsia"/>
          <w:color w:val="auto"/>
        </w:rPr>
        <w:t>⑦现场使用散装水泥、预拌砂浆应有密闭防尘措施</w:t>
      </w:r>
    </w:p>
    <w:p w14:paraId="57EC1410">
      <w:pPr>
        <w:rPr>
          <w:rFonts w:hint="eastAsia"/>
          <w:color w:val="auto"/>
        </w:rPr>
      </w:pPr>
      <w:r>
        <w:rPr>
          <w:rFonts w:hint="eastAsia"/>
          <w:color w:val="auto"/>
        </w:rPr>
        <w:t>a严格按照</w:t>
      </w:r>
      <w:r>
        <w:rPr>
          <w:rFonts w:hint="eastAsia"/>
          <w:color w:val="auto"/>
          <w:lang w:eastAsia="zh-CN"/>
        </w:rPr>
        <w:t>三亚</w:t>
      </w:r>
      <w:r>
        <w:rPr>
          <w:rFonts w:hint="eastAsia"/>
          <w:color w:val="auto"/>
        </w:rPr>
        <w:t>市要求使用的砌筑、墙面、地面砂浆采用散装预拌砂浆；</w:t>
      </w:r>
    </w:p>
    <w:p w14:paraId="3163E4F1">
      <w:pPr>
        <w:rPr>
          <w:rFonts w:hint="eastAsia"/>
          <w:color w:val="auto"/>
        </w:rPr>
      </w:pPr>
      <w:r>
        <w:rPr>
          <w:rFonts w:hint="eastAsia"/>
          <w:color w:val="auto"/>
        </w:rPr>
        <w:t>b对于易产生粉尘的材料采取封闭储存。</w:t>
      </w:r>
    </w:p>
    <w:p w14:paraId="4B37B9A7">
      <w:pPr>
        <w:rPr>
          <w:rFonts w:hint="eastAsia"/>
          <w:color w:val="auto"/>
        </w:rPr>
      </w:pPr>
      <w:r>
        <w:rPr>
          <w:rFonts w:hint="eastAsia"/>
          <w:color w:val="auto"/>
        </w:rPr>
        <w:t>（4）废气排放</w:t>
      </w:r>
    </w:p>
    <w:p w14:paraId="38D3F3F7">
      <w:pPr>
        <w:rPr>
          <w:rFonts w:hint="eastAsia"/>
          <w:color w:val="auto"/>
        </w:rPr>
      </w:pPr>
      <w:r>
        <w:rPr>
          <w:rFonts w:hint="eastAsia"/>
          <w:color w:val="auto"/>
        </w:rPr>
        <w:t>①进出场车辆及机械设备废气排放应符合国家年检要求</w:t>
      </w:r>
    </w:p>
    <w:p w14:paraId="68F1F251">
      <w:pPr>
        <w:rPr>
          <w:rFonts w:hint="eastAsia"/>
          <w:color w:val="auto"/>
        </w:rPr>
      </w:pPr>
      <w:r>
        <w:rPr>
          <w:rFonts w:hint="eastAsia"/>
          <w:color w:val="auto"/>
        </w:rPr>
        <w:t>车辆及机械设备应挂年检标识牌，各项检测指标符合国家废气排放要求。</w:t>
      </w:r>
    </w:p>
    <w:p w14:paraId="4C70C4EC">
      <w:pPr>
        <w:rPr>
          <w:rFonts w:hint="eastAsia"/>
          <w:color w:val="auto"/>
        </w:rPr>
      </w:pPr>
      <w:r>
        <w:rPr>
          <w:rFonts w:hint="eastAsia"/>
          <w:color w:val="auto"/>
        </w:rPr>
        <w:t>②不应使用煤作为现场生活的燃料</w:t>
      </w:r>
    </w:p>
    <w:p w14:paraId="102EC067">
      <w:pPr>
        <w:rPr>
          <w:rFonts w:hint="eastAsia"/>
          <w:color w:val="auto"/>
        </w:rPr>
      </w:pPr>
      <w:r>
        <w:rPr>
          <w:rFonts w:hint="eastAsia"/>
          <w:color w:val="auto"/>
        </w:rPr>
        <w:t>采用煤气、液化气等作为现场生活燃料。</w:t>
      </w:r>
    </w:p>
    <w:p w14:paraId="6B0242A4">
      <w:pPr>
        <w:rPr>
          <w:rFonts w:hint="eastAsia"/>
          <w:color w:val="auto"/>
        </w:rPr>
      </w:pPr>
      <w:r>
        <w:rPr>
          <w:rFonts w:hint="eastAsia"/>
          <w:color w:val="auto"/>
        </w:rPr>
        <w:t>生活区取暖设置专用线路，利用空调或电油汀等节能电取暖器。</w:t>
      </w:r>
    </w:p>
    <w:p w14:paraId="24112152">
      <w:pPr>
        <w:rPr>
          <w:rFonts w:hint="eastAsia"/>
          <w:color w:val="auto"/>
        </w:rPr>
      </w:pPr>
      <w:r>
        <w:rPr>
          <w:rFonts w:hint="eastAsia"/>
          <w:color w:val="auto"/>
        </w:rPr>
        <w:t>③电焊烟气的排放应符合现行国家标准《大气污染综合排放标准》GB16297的规定</w:t>
      </w:r>
    </w:p>
    <w:p w14:paraId="74C40D3F">
      <w:pPr>
        <w:rPr>
          <w:rFonts w:hint="eastAsia"/>
          <w:color w:val="auto"/>
        </w:rPr>
      </w:pPr>
      <w:r>
        <w:rPr>
          <w:rFonts w:hint="eastAsia"/>
          <w:color w:val="auto"/>
        </w:rPr>
        <w:t>焊机进场前进行检验检测，确保满足废气排放标准要求。</w:t>
      </w:r>
    </w:p>
    <w:p w14:paraId="3EB703AD">
      <w:pPr>
        <w:rPr>
          <w:rFonts w:hint="eastAsia"/>
          <w:color w:val="auto"/>
        </w:rPr>
      </w:pPr>
      <w:r>
        <w:rPr>
          <w:rFonts w:hint="eastAsia"/>
          <w:color w:val="auto"/>
        </w:rPr>
        <w:t>项目部配备烟气检测器，并派专人对现场焊机进行定期及突击检查。</w:t>
      </w:r>
    </w:p>
    <w:p w14:paraId="177F8E8F">
      <w:pPr>
        <w:rPr>
          <w:rFonts w:hint="eastAsia"/>
          <w:color w:val="auto"/>
        </w:rPr>
      </w:pPr>
      <w:r>
        <w:rPr>
          <w:rFonts w:hint="eastAsia"/>
          <w:color w:val="auto"/>
        </w:rPr>
        <w:t>④不应在现场燃烧废弃物</w:t>
      </w:r>
    </w:p>
    <w:p w14:paraId="06F38E93">
      <w:pPr>
        <w:rPr>
          <w:rFonts w:hint="eastAsia"/>
          <w:color w:val="auto"/>
        </w:rPr>
      </w:pPr>
      <w:r>
        <w:rPr>
          <w:rFonts w:hint="eastAsia"/>
          <w:color w:val="auto"/>
        </w:rPr>
        <w:t>现场产生的废弃物分类存放，委托有资质单位进行统一消纳处理；</w:t>
      </w:r>
    </w:p>
    <w:p w14:paraId="44D524B7">
      <w:pPr>
        <w:rPr>
          <w:rFonts w:hint="eastAsia"/>
          <w:color w:val="auto"/>
        </w:rPr>
      </w:pPr>
      <w:r>
        <w:rPr>
          <w:rFonts w:hint="eastAsia"/>
          <w:color w:val="auto"/>
        </w:rPr>
        <w:t>现场安排保安进行24小时巡逻，严禁在现场燃烧废弃物，违者将按相关规定处理。</w:t>
      </w:r>
    </w:p>
    <w:p w14:paraId="2EA128A7">
      <w:pPr>
        <w:rPr>
          <w:rFonts w:hint="eastAsia"/>
          <w:color w:val="auto"/>
        </w:rPr>
      </w:pPr>
      <w:r>
        <w:rPr>
          <w:rFonts w:hint="eastAsia"/>
          <w:color w:val="auto"/>
        </w:rPr>
        <w:t>（5）建筑垃圾处置</w:t>
      </w:r>
    </w:p>
    <w:p w14:paraId="7E901012">
      <w:pPr>
        <w:rPr>
          <w:rFonts w:hint="eastAsia"/>
          <w:color w:val="auto"/>
        </w:rPr>
      </w:pPr>
      <w:r>
        <w:rPr>
          <w:rFonts w:hint="eastAsia"/>
          <w:color w:val="auto"/>
        </w:rPr>
        <w:t>①建筑垃圾应分类收集、集中堆放</w:t>
      </w:r>
    </w:p>
    <w:p w14:paraId="4EF7D895">
      <w:pPr>
        <w:rPr>
          <w:rFonts w:hint="eastAsia"/>
          <w:color w:val="auto"/>
        </w:rPr>
      </w:pPr>
      <w:r>
        <w:rPr>
          <w:rFonts w:hint="eastAsia"/>
          <w:color w:val="auto"/>
        </w:rPr>
        <w:t>设置建筑垃圾堆放点。</w:t>
      </w:r>
    </w:p>
    <w:p w14:paraId="180351F9">
      <w:pPr>
        <w:rPr>
          <w:rFonts w:hint="eastAsia"/>
          <w:color w:val="auto"/>
        </w:rPr>
      </w:pPr>
      <w:r>
        <w:rPr>
          <w:rFonts w:hint="eastAsia"/>
          <w:color w:val="auto"/>
        </w:rPr>
        <w:t>按照可回收、不可回收、有毒有害等进行分类堆放。</w:t>
      </w:r>
    </w:p>
    <w:p w14:paraId="1A06AE95">
      <w:pPr>
        <w:rPr>
          <w:rFonts w:hint="eastAsia"/>
          <w:color w:val="auto"/>
        </w:rPr>
      </w:pPr>
      <w:r>
        <w:rPr>
          <w:rFonts w:hint="eastAsia"/>
          <w:color w:val="auto"/>
        </w:rPr>
        <w:t>②废电池、废墨盒等有毒有害的废弃物应封闭回收，不应混放</w:t>
      </w:r>
    </w:p>
    <w:p w14:paraId="7A92477B">
      <w:pPr>
        <w:rPr>
          <w:rFonts w:hint="eastAsia"/>
          <w:color w:val="auto"/>
        </w:rPr>
      </w:pPr>
      <w:r>
        <w:rPr>
          <w:rFonts w:hint="eastAsia"/>
          <w:color w:val="auto"/>
        </w:rPr>
        <w:t>生活区后勤负责人应注意废电池、废墨盒等有害废弃物的回收且不应和其他东西混放。</w:t>
      </w:r>
    </w:p>
    <w:p w14:paraId="1BAD3F19">
      <w:pPr>
        <w:rPr>
          <w:rFonts w:hint="eastAsia"/>
          <w:color w:val="auto"/>
        </w:rPr>
      </w:pPr>
      <w:r>
        <w:rPr>
          <w:rFonts w:hint="eastAsia"/>
          <w:color w:val="auto"/>
        </w:rPr>
        <w:t>③有毒有害废物分类率应达到100%</w:t>
      </w:r>
    </w:p>
    <w:p w14:paraId="75C3DBF5">
      <w:pPr>
        <w:rPr>
          <w:rFonts w:hint="eastAsia"/>
          <w:color w:val="auto"/>
        </w:rPr>
      </w:pPr>
      <w:r>
        <w:rPr>
          <w:rFonts w:hint="eastAsia"/>
          <w:color w:val="auto"/>
        </w:rPr>
        <w:t>根据现场材料进场情况进行登记汇总管理，针对产生有毒有害废物的材料进行跟踪管理，并制定相应的分类处理措施；</w:t>
      </w:r>
    </w:p>
    <w:p w14:paraId="0BC53F0A">
      <w:pPr>
        <w:rPr>
          <w:rFonts w:hint="eastAsia"/>
          <w:color w:val="auto"/>
        </w:rPr>
      </w:pPr>
      <w:r>
        <w:rPr>
          <w:rFonts w:hint="eastAsia"/>
          <w:color w:val="auto"/>
        </w:rPr>
        <w:t>对现场可能产生的废弃物进行挂牌公示，并设置专用的回收装置，并对施工现场工人及管理人员进行管理，避免有毒有害物质未按要求进行处理。</w:t>
      </w:r>
    </w:p>
    <w:p w14:paraId="55E04558">
      <w:pPr>
        <w:rPr>
          <w:rFonts w:hint="eastAsia"/>
          <w:color w:val="auto"/>
        </w:rPr>
      </w:pPr>
      <w:r>
        <w:rPr>
          <w:rFonts w:hint="eastAsia"/>
          <w:color w:val="auto"/>
        </w:rPr>
        <w:t>④垃圾桶应分为可回收利用与不可回收利用两类，应定期清运</w:t>
      </w:r>
    </w:p>
    <w:p w14:paraId="60D3A63C">
      <w:pPr>
        <w:rPr>
          <w:rFonts w:hint="eastAsia"/>
          <w:color w:val="auto"/>
        </w:rPr>
      </w:pPr>
      <w:r>
        <w:rPr>
          <w:rFonts w:hint="eastAsia"/>
          <w:color w:val="auto"/>
        </w:rPr>
        <w:t>将生产垃圾与生活垃圾进行分开处理，进行分类，分为可回收和不可回收两类，并委托垃圾清运单位定期安排专用车辆进行清运。</w:t>
      </w:r>
    </w:p>
    <w:p w14:paraId="1BD601C8">
      <w:pPr>
        <w:rPr>
          <w:rFonts w:hint="eastAsia"/>
          <w:color w:val="auto"/>
        </w:rPr>
      </w:pPr>
      <w:r>
        <w:rPr>
          <w:rFonts w:hint="eastAsia"/>
          <w:color w:val="auto"/>
        </w:rPr>
        <w:t>⑤建筑垃圾回收利用率应达到30%</w:t>
      </w:r>
    </w:p>
    <w:p w14:paraId="679423C9">
      <w:pPr>
        <w:rPr>
          <w:rFonts w:hint="eastAsia"/>
          <w:color w:val="auto"/>
        </w:rPr>
      </w:pPr>
      <w:r>
        <w:rPr>
          <w:rFonts w:hint="eastAsia"/>
          <w:color w:val="auto"/>
        </w:rPr>
        <w:t>每月评价表进行打分，自评报告中进行估算，每月建筑垃圾回收利用率应不小于30%。。</w:t>
      </w:r>
    </w:p>
    <w:p w14:paraId="013CDE9E">
      <w:pPr>
        <w:rPr>
          <w:rFonts w:hint="eastAsia"/>
          <w:color w:val="auto"/>
        </w:rPr>
      </w:pPr>
      <w:r>
        <w:rPr>
          <w:rFonts w:hint="eastAsia"/>
          <w:color w:val="auto"/>
        </w:rPr>
        <w:t>桩头破除的混凝土块用于施工道路、车间等的铺设，砌体废料粉碎后用于屋面找平层。</w:t>
      </w:r>
    </w:p>
    <w:p w14:paraId="4E03376D">
      <w:pPr>
        <w:rPr>
          <w:rFonts w:hint="eastAsia"/>
          <w:color w:val="auto"/>
        </w:rPr>
      </w:pPr>
      <w:r>
        <w:rPr>
          <w:rFonts w:hint="eastAsia"/>
          <w:color w:val="auto"/>
        </w:rPr>
        <w:t>模板角料用于墙柱阴阳角、楼梯等部位的防护模板。</w:t>
      </w:r>
    </w:p>
    <w:p w14:paraId="5D35A8FA">
      <w:pPr>
        <w:rPr>
          <w:rFonts w:hint="eastAsia"/>
          <w:color w:val="auto"/>
        </w:rPr>
      </w:pPr>
      <w:r>
        <w:rPr>
          <w:rFonts w:hint="eastAsia"/>
          <w:color w:val="auto"/>
        </w:rPr>
        <w:t>⑥碎石或土方类等应用作地基和路基回填材料</w:t>
      </w:r>
    </w:p>
    <w:p w14:paraId="6D534290">
      <w:pPr>
        <w:rPr>
          <w:rFonts w:hint="eastAsia"/>
          <w:color w:val="auto"/>
        </w:rPr>
      </w:pPr>
      <w:r>
        <w:rPr>
          <w:rFonts w:hint="eastAsia"/>
          <w:color w:val="auto"/>
        </w:rPr>
        <w:t>根据现场碎石及土方进行规划，用于肥槽及路基回填。</w:t>
      </w:r>
    </w:p>
    <w:p w14:paraId="132549F1">
      <w:pPr>
        <w:rPr>
          <w:rFonts w:hint="eastAsia"/>
          <w:color w:val="auto"/>
        </w:rPr>
      </w:pPr>
      <w:r>
        <w:rPr>
          <w:rFonts w:hint="eastAsia"/>
          <w:color w:val="auto"/>
        </w:rPr>
        <w:t>（6）污水排放</w:t>
      </w:r>
    </w:p>
    <w:p w14:paraId="7A8C9AA3">
      <w:pPr>
        <w:rPr>
          <w:rFonts w:hint="eastAsia"/>
          <w:color w:val="auto"/>
        </w:rPr>
      </w:pPr>
      <w:r>
        <w:rPr>
          <w:rFonts w:hint="eastAsia"/>
          <w:color w:val="auto"/>
        </w:rPr>
        <w:t>①现场道路和材料堆放场地周边应设排水沟</w:t>
      </w:r>
    </w:p>
    <w:p w14:paraId="35C0D086">
      <w:pPr>
        <w:rPr>
          <w:rFonts w:hint="eastAsia"/>
          <w:color w:val="auto"/>
        </w:rPr>
      </w:pPr>
      <w:r>
        <w:rPr>
          <w:rFonts w:hint="eastAsia"/>
          <w:color w:val="auto"/>
        </w:rPr>
        <w:t>排水沟尺寸：宽300mm、深300mm，底部填3-5mm石屑，沟内排水坡度3‰。</w:t>
      </w:r>
    </w:p>
    <w:p w14:paraId="7BAD3214">
      <w:pPr>
        <w:rPr>
          <w:rFonts w:hint="eastAsia"/>
          <w:color w:val="auto"/>
        </w:rPr>
      </w:pPr>
      <w:r>
        <w:rPr>
          <w:rFonts w:hint="eastAsia"/>
          <w:color w:val="auto"/>
        </w:rPr>
        <w:t>②工程污水和试验室养护用水应经处理达标后排入市政污水管道</w:t>
      </w:r>
    </w:p>
    <w:p w14:paraId="0DA61057">
      <w:pPr>
        <w:rPr>
          <w:rFonts w:hint="eastAsia"/>
          <w:color w:val="auto"/>
        </w:rPr>
      </w:pPr>
      <w:r>
        <w:rPr>
          <w:rFonts w:hint="eastAsia"/>
          <w:color w:val="auto"/>
        </w:rPr>
        <w:t>现场设置沉淀池，基坑降水、实验室养护用水必须经过沉淀、净化后方可排向市政管网。</w:t>
      </w:r>
    </w:p>
    <w:p w14:paraId="58372AE0">
      <w:pPr>
        <w:rPr>
          <w:rFonts w:hint="eastAsia"/>
          <w:color w:val="auto"/>
        </w:rPr>
      </w:pPr>
      <w:r>
        <w:rPr>
          <w:rFonts w:hint="eastAsia"/>
          <w:color w:val="auto"/>
        </w:rPr>
        <w:t>③现场厕所应设置化粪池，化粪池应定期清理</w:t>
      </w:r>
    </w:p>
    <w:p w14:paraId="3132C33F">
      <w:pPr>
        <w:rPr>
          <w:rFonts w:hint="eastAsia"/>
          <w:color w:val="auto"/>
        </w:rPr>
      </w:pPr>
      <w:r>
        <w:rPr>
          <w:rFonts w:hint="eastAsia"/>
          <w:color w:val="auto"/>
        </w:rPr>
        <w:t>平面布置时统筹考虑化粪池的设置位置，并进行详细计算，做到使用方便，便于处理。</w:t>
      </w:r>
    </w:p>
    <w:p w14:paraId="374DE6AB">
      <w:pPr>
        <w:rPr>
          <w:rFonts w:hint="eastAsia"/>
          <w:color w:val="auto"/>
        </w:rPr>
      </w:pPr>
      <w:r>
        <w:rPr>
          <w:rFonts w:hint="eastAsia"/>
          <w:color w:val="auto"/>
        </w:rPr>
        <w:t>现场厕所按照要求一厕所设置一化粪池，并委托有资质的专业单位每周清理。</w:t>
      </w:r>
    </w:p>
    <w:p w14:paraId="56F1499D">
      <w:pPr>
        <w:rPr>
          <w:rFonts w:hint="eastAsia"/>
          <w:color w:val="auto"/>
        </w:rPr>
      </w:pPr>
      <w:r>
        <w:rPr>
          <w:rFonts w:hint="eastAsia"/>
          <w:color w:val="auto"/>
        </w:rPr>
        <w:t>④工地厨房应设隔油池，应定期清理。</w:t>
      </w:r>
    </w:p>
    <w:p w14:paraId="3E304F27">
      <w:pPr>
        <w:rPr>
          <w:rFonts w:hint="eastAsia"/>
          <w:color w:val="auto"/>
        </w:rPr>
      </w:pPr>
      <w:r>
        <w:rPr>
          <w:rFonts w:hint="eastAsia"/>
          <w:color w:val="auto"/>
        </w:rPr>
        <w:t>⑤雨水、污水应分流排放</w:t>
      </w:r>
    </w:p>
    <w:p w14:paraId="726187B9">
      <w:pPr>
        <w:rPr>
          <w:rFonts w:hint="eastAsia"/>
          <w:color w:val="auto"/>
        </w:rPr>
      </w:pPr>
      <w:r>
        <w:rPr>
          <w:rFonts w:hint="eastAsia"/>
          <w:color w:val="auto"/>
        </w:rPr>
        <w:t>根据施工阶段对现场进行规划，通过自然找坡及排水沟进行雨水的收集，并经过沉淀等处理，进行绿化灌溉、道路扬尘控制等二次利用。</w:t>
      </w:r>
    </w:p>
    <w:p w14:paraId="23577A36">
      <w:pPr>
        <w:rPr>
          <w:rFonts w:hint="eastAsia"/>
          <w:color w:val="auto"/>
        </w:rPr>
      </w:pPr>
      <w:r>
        <w:rPr>
          <w:rFonts w:hint="eastAsia"/>
          <w:color w:val="auto"/>
        </w:rPr>
        <w:t>根据污水种类的不同，对污水进行分类处理，经检验合格后用于绿化灌溉、道路扬尘控制及施工用水。</w:t>
      </w:r>
    </w:p>
    <w:p w14:paraId="7FF1253A">
      <w:pPr>
        <w:rPr>
          <w:rFonts w:hint="eastAsia"/>
          <w:color w:val="auto"/>
        </w:rPr>
      </w:pPr>
      <w:r>
        <w:rPr>
          <w:rFonts w:hint="eastAsia"/>
          <w:color w:val="auto"/>
        </w:rPr>
        <w:t>（7）光污染</w:t>
      </w:r>
    </w:p>
    <w:p w14:paraId="39C97178">
      <w:pPr>
        <w:rPr>
          <w:rFonts w:hint="eastAsia"/>
          <w:color w:val="auto"/>
        </w:rPr>
      </w:pPr>
      <w:r>
        <w:rPr>
          <w:rFonts w:hint="eastAsia"/>
          <w:color w:val="auto"/>
        </w:rPr>
        <w:t>①夜间焊接作业时，应采取挡光措施</w:t>
      </w:r>
    </w:p>
    <w:p w14:paraId="4854259E">
      <w:pPr>
        <w:rPr>
          <w:rFonts w:hint="eastAsia"/>
          <w:color w:val="auto"/>
        </w:rPr>
      </w:pPr>
      <w:r>
        <w:rPr>
          <w:rFonts w:hint="eastAsia"/>
          <w:color w:val="auto"/>
        </w:rPr>
        <w:t>合理协调各施工工序，一般情况下夜间不采取焊接作业；</w:t>
      </w:r>
    </w:p>
    <w:p w14:paraId="3BFBF3C2">
      <w:pPr>
        <w:rPr>
          <w:rFonts w:hint="eastAsia"/>
          <w:color w:val="auto"/>
        </w:rPr>
      </w:pPr>
      <w:r>
        <w:rPr>
          <w:rFonts w:hint="eastAsia"/>
          <w:color w:val="auto"/>
        </w:rPr>
        <w:t>夜间电焊作业时采用铁制遮光棚，罩挡光和屏蔽电焊产生的高次谐波。</w:t>
      </w:r>
    </w:p>
    <w:p w14:paraId="3D2D7C90">
      <w:pPr>
        <w:rPr>
          <w:rFonts w:hint="eastAsia"/>
          <w:color w:val="auto"/>
        </w:rPr>
      </w:pPr>
      <w:r>
        <w:rPr>
          <w:rFonts w:hint="eastAsia"/>
          <w:color w:val="auto"/>
        </w:rPr>
        <w:t>②工地设置大型照明灯具时，应有防止强光线外泄的措施</w:t>
      </w:r>
    </w:p>
    <w:p w14:paraId="48EE4B4B">
      <w:pPr>
        <w:rPr>
          <w:rFonts w:hint="eastAsia"/>
          <w:color w:val="auto"/>
        </w:rPr>
      </w:pPr>
      <w:r>
        <w:rPr>
          <w:rFonts w:hint="eastAsia"/>
          <w:color w:val="auto"/>
        </w:rPr>
        <w:t>现场塔吊等部位悬挂的镝灯等大型照明工具配置微型电脑定时开关；</w:t>
      </w:r>
    </w:p>
    <w:p w14:paraId="449F6AAE">
      <w:pPr>
        <w:rPr>
          <w:rFonts w:hint="eastAsia"/>
          <w:color w:val="auto"/>
        </w:rPr>
      </w:pPr>
      <w:r>
        <w:rPr>
          <w:rFonts w:hint="eastAsia"/>
          <w:color w:val="auto"/>
        </w:rPr>
        <w:t>灯光射向指向现场，有效控制光外泄以及对周围居民生活干扰。</w:t>
      </w:r>
    </w:p>
    <w:p w14:paraId="711B98B4">
      <w:pPr>
        <w:rPr>
          <w:rFonts w:hint="eastAsia"/>
          <w:color w:val="auto"/>
        </w:rPr>
      </w:pPr>
      <w:r>
        <w:rPr>
          <w:rFonts w:hint="eastAsia"/>
          <w:color w:val="auto"/>
        </w:rPr>
        <w:t>（8）噪音控制</w:t>
      </w:r>
    </w:p>
    <w:p w14:paraId="1656F948">
      <w:pPr>
        <w:rPr>
          <w:rFonts w:hint="eastAsia"/>
          <w:color w:val="auto"/>
        </w:rPr>
      </w:pPr>
      <w:r>
        <w:rPr>
          <w:rFonts w:hint="eastAsia"/>
          <w:color w:val="auto"/>
        </w:rPr>
        <w:t>①应采用先进机械、低噪音设备进行施工，机械、设备应定期保养维护</w:t>
      </w:r>
    </w:p>
    <w:p w14:paraId="7B75E112">
      <w:pPr>
        <w:rPr>
          <w:rFonts w:hint="eastAsia"/>
          <w:color w:val="auto"/>
        </w:rPr>
      </w:pPr>
      <w:r>
        <w:rPr>
          <w:rFonts w:hint="eastAsia"/>
          <w:color w:val="auto"/>
        </w:rPr>
        <w:t>制定机械设备保养维护制度，配备专职维修员定期保养维修，确保机械、设备处于正常工作状态；</w:t>
      </w:r>
    </w:p>
    <w:p w14:paraId="2711C6C4">
      <w:pPr>
        <w:rPr>
          <w:rFonts w:hint="eastAsia"/>
          <w:color w:val="auto"/>
        </w:rPr>
      </w:pPr>
      <w:r>
        <w:rPr>
          <w:rFonts w:hint="eastAsia"/>
          <w:color w:val="auto"/>
        </w:rPr>
        <w:t>选用三年以内性能良好的机械设备。</w:t>
      </w:r>
    </w:p>
    <w:p w14:paraId="1F6F454E">
      <w:pPr>
        <w:rPr>
          <w:rFonts w:hint="eastAsia"/>
          <w:color w:val="auto"/>
        </w:rPr>
      </w:pPr>
      <w:r>
        <w:rPr>
          <w:rFonts w:hint="eastAsia"/>
          <w:color w:val="auto"/>
        </w:rPr>
        <w:t>②产生噪音较大的机械设备，应尽量远离施工现场办公区、生活区和周边住宅区</w:t>
      </w:r>
    </w:p>
    <w:p w14:paraId="10098EA4">
      <w:pPr>
        <w:rPr>
          <w:rFonts w:hint="eastAsia"/>
          <w:color w:val="auto"/>
        </w:rPr>
      </w:pPr>
      <w:r>
        <w:rPr>
          <w:rFonts w:hint="eastAsia"/>
          <w:color w:val="auto"/>
        </w:rPr>
        <w:t>土方机械等，布置距离办公区、生活区至少30米。</w:t>
      </w:r>
    </w:p>
    <w:p w14:paraId="020BC00D">
      <w:pPr>
        <w:rPr>
          <w:rFonts w:hint="eastAsia"/>
          <w:color w:val="auto"/>
        </w:rPr>
      </w:pPr>
      <w:r>
        <w:rPr>
          <w:rFonts w:hint="eastAsia"/>
          <w:color w:val="auto"/>
        </w:rPr>
        <w:t>③混凝土输送泵、电锯房等应设有吸声降噪屏或其他降噪措施</w:t>
      </w:r>
    </w:p>
    <w:p w14:paraId="471BA742">
      <w:pPr>
        <w:rPr>
          <w:rFonts w:hint="eastAsia"/>
          <w:color w:val="auto"/>
        </w:rPr>
      </w:pPr>
      <w:r>
        <w:rPr>
          <w:rFonts w:hint="eastAsia"/>
          <w:color w:val="auto"/>
        </w:rPr>
        <w:t>混凝土输送泵采取积极隔音和消声措施，隔音棚有4层防护，包括两层5cm的岩棉，一层多层板和龙骨架支起的多层帆布；</w:t>
      </w:r>
    </w:p>
    <w:p w14:paraId="3D583967">
      <w:pPr>
        <w:rPr>
          <w:rFonts w:hint="eastAsia"/>
          <w:color w:val="auto"/>
        </w:rPr>
      </w:pPr>
      <w:r>
        <w:rPr>
          <w:rFonts w:hint="eastAsia"/>
          <w:color w:val="auto"/>
        </w:rPr>
        <w:t>设置封闭式木工加工棚（采用彩板房搭设）。</w:t>
      </w:r>
    </w:p>
    <w:p w14:paraId="762CD296">
      <w:pPr>
        <w:rPr>
          <w:rFonts w:hint="eastAsia"/>
          <w:color w:val="auto"/>
        </w:rPr>
      </w:pPr>
      <w:r>
        <w:rPr>
          <w:rFonts w:hint="eastAsia"/>
          <w:color w:val="auto"/>
        </w:rPr>
        <w:t>④夜间施工噪声声强值应符合国家有关规定</w:t>
      </w:r>
    </w:p>
    <w:p w14:paraId="16EBFE2E">
      <w:pPr>
        <w:rPr>
          <w:rFonts w:hint="eastAsia"/>
          <w:color w:val="auto"/>
        </w:rPr>
      </w:pPr>
      <w:r>
        <w:rPr>
          <w:rFonts w:hint="eastAsia"/>
          <w:color w:val="auto"/>
        </w:rPr>
        <w:t>进行施工安排时，应尽量避免夜间施工；如果必须夜间施工，应适当调整施工顺序或时间安排，夜间进行噪音小的施工作业；</w:t>
      </w:r>
    </w:p>
    <w:p w14:paraId="6246FEE1">
      <w:pPr>
        <w:rPr>
          <w:rFonts w:hint="eastAsia"/>
          <w:color w:val="auto"/>
        </w:rPr>
      </w:pPr>
      <w:r>
        <w:rPr>
          <w:rFonts w:hint="eastAsia"/>
          <w:color w:val="auto"/>
        </w:rPr>
        <w:t>对现场周边进行不间断噪声监测。</w:t>
      </w:r>
    </w:p>
    <w:p w14:paraId="44C400A7">
      <w:pPr>
        <w:rPr>
          <w:rFonts w:hint="eastAsia"/>
          <w:color w:val="auto"/>
        </w:rPr>
      </w:pPr>
      <w:r>
        <w:rPr>
          <w:rFonts w:hint="eastAsia"/>
          <w:color w:val="auto"/>
        </w:rPr>
        <w:t>⑤吊装作业指挥应使用对讲机传达指令</w:t>
      </w:r>
    </w:p>
    <w:p w14:paraId="74264DC5">
      <w:pPr>
        <w:rPr>
          <w:rFonts w:hint="eastAsia"/>
          <w:color w:val="auto"/>
        </w:rPr>
      </w:pPr>
      <w:r>
        <w:rPr>
          <w:rFonts w:hint="eastAsia"/>
          <w:color w:val="auto"/>
        </w:rPr>
        <w:t>对现场塔吊、吊车操作人员及指挥人员配备对讲机来传达指令。</w:t>
      </w:r>
    </w:p>
    <w:p w14:paraId="766E963C">
      <w:pPr>
        <w:rPr>
          <w:rFonts w:hint="eastAsia"/>
          <w:color w:val="auto"/>
        </w:rPr>
      </w:pPr>
      <w:r>
        <w:rPr>
          <w:rFonts w:hint="eastAsia"/>
          <w:color w:val="auto"/>
        </w:rPr>
        <w:t>（9）施工现场应设置连续、密闭能有效隔绝各类污染的围挡</w:t>
      </w:r>
    </w:p>
    <w:p w14:paraId="55659174">
      <w:pPr>
        <w:rPr>
          <w:rFonts w:hint="eastAsia"/>
          <w:color w:val="auto"/>
        </w:rPr>
      </w:pPr>
      <w:r>
        <w:rPr>
          <w:rFonts w:hint="eastAsia"/>
          <w:color w:val="auto"/>
        </w:rPr>
        <w:t>措施</w:t>
      </w:r>
      <w:r>
        <w:rPr>
          <w:rFonts w:hint="eastAsia"/>
          <w:color w:val="auto"/>
        </w:rPr>
        <w:tab/>
      </w:r>
      <w:r>
        <w:rPr>
          <w:rFonts w:hint="eastAsia"/>
          <w:color w:val="auto"/>
        </w:rPr>
        <w:t>现场可采用砖砌、装配式围挡或广告牌作为围挡，临街侧设置密目安全网进行隔声。</w:t>
      </w:r>
    </w:p>
    <w:p w14:paraId="4D1144B5">
      <w:pPr>
        <w:rPr>
          <w:rFonts w:hint="eastAsia"/>
          <w:color w:val="auto"/>
        </w:rPr>
      </w:pPr>
      <w:r>
        <w:rPr>
          <w:rFonts w:hint="eastAsia"/>
          <w:color w:val="auto"/>
        </w:rPr>
        <w:t>（10）施工中，开挖土方应合理回填利用</w:t>
      </w:r>
    </w:p>
    <w:p w14:paraId="54727F35">
      <w:pPr>
        <w:rPr>
          <w:rFonts w:hint="eastAsia"/>
          <w:color w:val="auto"/>
        </w:rPr>
      </w:pPr>
      <w:r>
        <w:rPr>
          <w:rFonts w:hint="eastAsia"/>
          <w:color w:val="auto"/>
        </w:rPr>
        <w:t>①现场有场地的情况下，基坑开挖土方考虑现场堆放，后期土方回填使用现场堆土；</w:t>
      </w:r>
    </w:p>
    <w:p w14:paraId="4038DBBE">
      <w:pPr>
        <w:rPr>
          <w:rFonts w:hint="eastAsia"/>
          <w:color w:val="auto"/>
        </w:rPr>
      </w:pPr>
      <w:r>
        <w:rPr>
          <w:rFonts w:hint="eastAsia"/>
          <w:color w:val="auto"/>
        </w:rPr>
        <w:t>②现场无场地堆放土方时，考虑场外制定场地卸土。如附近有其他公司正在土方回填施工，应转运至其他工地使用。</w:t>
      </w:r>
    </w:p>
    <w:p w14:paraId="6D3D1BD6">
      <w:pPr>
        <w:rPr>
          <w:rFonts w:hint="eastAsia"/>
          <w:color w:val="auto"/>
        </w:rPr>
      </w:pPr>
      <w:r>
        <w:rPr>
          <w:rFonts w:hint="eastAsia"/>
          <w:color w:val="auto"/>
        </w:rPr>
        <w:t>4、优选项</w:t>
      </w:r>
    </w:p>
    <w:p w14:paraId="672D120D">
      <w:pPr>
        <w:rPr>
          <w:rFonts w:hint="eastAsia"/>
          <w:color w:val="auto"/>
        </w:rPr>
      </w:pPr>
      <w:r>
        <w:rPr>
          <w:rFonts w:hint="eastAsia"/>
          <w:color w:val="auto"/>
        </w:rPr>
        <w:t>（1）施工作业面应设置隔声设施</w:t>
      </w:r>
    </w:p>
    <w:p w14:paraId="1245F5A2">
      <w:pPr>
        <w:rPr>
          <w:rFonts w:hint="eastAsia"/>
          <w:color w:val="auto"/>
        </w:rPr>
      </w:pPr>
      <w:r>
        <w:rPr>
          <w:rFonts w:hint="eastAsia"/>
          <w:color w:val="auto"/>
        </w:rPr>
        <w:t>①模板、木枋加工车间采用封闭式板房；</w:t>
      </w:r>
    </w:p>
    <w:p w14:paraId="16CEAE46">
      <w:pPr>
        <w:rPr>
          <w:rFonts w:hint="eastAsia"/>
          <w:color w:val="auto"/>
        </w:rPr>
      </w:pPr>
      <w:r>
        <w:rPr>
          <w:rFonts w:hint="eastAsia"/>
          <w:color w:val="auto"/>
        </w:rPr>
        <w:t>②钢筋加工车间周边设置可移动隔音屏；</w:t>
      </w:r>
    </w:p>
    <w:p w14:paraId="1B6B3C40">
      <w:pPr>
        <w:rPr>
          <w:rFonts w:hint="eastAsia"/>
          <w:color w:val="auto"/>
        </w:rPr>
      </w:pPr>
      <w:r>
        <w:rPr>
          <w:rFonts w:hint="eastAsia"/>
          <w:color w:val="auto"/>
        </w:rPr>
        <w:t>③施工作业面安全网采用密目安全网。</w:t>
      </w:r>
    </w:p>
    <w:p w14:paraId="3AC135C3">
      <w:pPr>
        <w:rPr>
          <w:rFonts w:hint="eastAsia"/>
          <w:color w:val="auto"/>
        </w:rPr>
      </w:pPr>
      <w:r>
        <w:rPr>
          <w:rFonts w:hint="eastAsia"/>
          <w:color w:val="auto"/>
        </w:rPr>
        <w:t>（2）现场应设噪音监测点，并应实施动态监测</w:t>
      </w:r>
    </w:p>
    <w:p w14:paraId="60FBB8D3">
      <w:pPr>
        <w:rPr>
          <w:rFonts w:hint="eastAsia"/>
          <w:color w:val="auto"/>
        </w:rPr>
      </w:pPr>
      <w:r>
        <w:rPr>
          <w:rFonts w:hint="eastAsia"/>
          <w:color w:val="auto"/>
        </w:rPr>
        <w:t>①绘制噪音监测点平面布置图，应在主要噪音源设置，如钢筋加工车间、木工加工车间、混凝土输送泵作业点、邻近周边建筑、生活区位置等；</w:t>
      </w:r>
    </w:p>
    <w:p w14:paraId="7DB18CBC">
      <w:pPr>
        <w:rPr>
          <w:rFonts w:hint="eastAsia"/>
          <w:color w:val="auto"/>
        </w:rPr>
      </w:pPr>
      <w:r>
        <w:rPr>
          <w:rFonts w:hint="eastAsia"/>
          <w:color w:val="auto"/>
        </w:rPr>
        <w:t>②制定噪音监测方案，明确监测周期及噪音限制值，安排专人定时定点监测并记录；一旦发生噪音超出范围，则应采取措施。</w:t>
      </w:r>
    </w:p>
    <w:p w14:paraId="485F11DB">
      <w:pPr>
        <w:rPr>
          <w:rFonts w:hint="eastAsia"/>
          <w:color w:val="auto"/>
        </w:rPr>
      </w:pPr>
      <w:r>
        <w:rPr>
          <w:rFonts w:hint="eastAsia"/>
          <w:color w:val="auto"/>
        </w:rPr>
        <w:t>（3）现场应有医务室，人员健康应急预案应完善</w:t>
      </w:r>
    </w:p>
    <w:p w14:paraId="74342478">
      <w:pPr>
        <w:rPr>
          <w:rFonts w:hint="eastAsia"/>
          <w:color w:val="auto"/>
        </w:rPr>
      </w:pPr>
      <w:r>
        <w:rPr>
          <w:rFonts w:hint="eastAsia"/>
          <w:color w:val="auto"/>
        </w:rPr>
        <w:t>①现场设置医务室，配置医务人员（证件齐全）、自动检测设备、药品、急救箱、普通医疗设备等；</w:t>
      </w:r>
    </w:p>
    <w:p w14:paraId="2A8B6558">
      <w:pPr>
        <w:rPr>
          <w:rFonts w:hint="eastAsia"/>
          <w:color w:val="auto"/>
        </w:rPr>
      </w:pPr>
      <w:r>
        <w:rPr>
          <w:rFonts w:hint="eastAsia"/>
          <w:color w:val="auto"/>
        </w:rPr>
        <w:t>②制定人员健康应急预案、应急救援制度，并将应急流程悬挂墙上。</w:t>
      </w:r>
    </w:p>
    <w:p w14:paraId="704E0B5D">
      <w:pPr>
        <w:rPr>
          <w:rFonts w:hint="eastAsia"/>
          <w:color w:val="auto"/>
        </w:rPr>
      </w:pPr>
      <w:r>
        <w:rPr>
          <w:rFonts w:hint="eastAsia"/>
          <w:color w:val="auto"/>
        </w:rPr>
        <w:t>（4）施工应采取基坑封闭降水措施</w:t>
      </w:r>
    </w:p>
    <w:p w14:paraId="60879A19">
      <w:pPr>
        <w:rPr>
          <w:rFonts w:hint="eastAsia"/>
          <w:color w:val="auto"/>
        </w:rPr>
      </w:pPr>
      <w:r>
        <w:rPr>
          <w:rFonts w:hint="eastAsia"/>
          <w:color w:val="auto"/>
        </w:rPr>
        <w:t>设集水坑、排水沟等措施进行降水和排水。</w:t>
      </w:r>
    </w:p>
    <w:p w14:paraId="15786F69">
      <w:pPr>
        <w:rPr>
          <w:rFonts w:hint="eastAsia"/>
          <w:color w:val="auto"/>
        </w:rPr>
      </w:pPr>
      <w:r>
        <w:rPr>
          <w:rFonts w:hint="eastAsia"/>
          <w:color w:val="auto"/>
        </w:rPr>
        <w:t>（5）建筑垃圾回收利用率应达到50%</w:t>
      </w:r>
    </w:p>
    <w:p w14:paraId="5303E822">
      <w:pPr>
        <w:rPr>
          <w:rFonts w:hint="eastAsia"/>
          <w:color w:val="auto"/>
        </w:rPr>
      </w:pPr>
      <w:r>
        <w:rPr>
          <w:rFonts w:hint="eastAsia"/>
          <w:color w:val="auto"/>
        </w:rPr>
        <w:t>①建筑垃圾应分类堆放，在楼层、现场摆放标识牌，对可回收利用的应安排人员清理出来重复使用；如大块旧模板、2m以上木枋等；</w:t>
      </w:r>
    </w:p>
    <w:p w14:paraId="32449285">
      <w:pPr>
        <w:rPr>
          <w:rFonts w:hint="eastAsia"/>
          <w:color w:val="auto"/>
        </w:rPr>
      </w:pPr>
      <w:r>
        <w:rPr>
          <w:rFonts w:hint="eastAsia"/>
          <w:color w:val="auto"/>
        </w:rPr>
        <w:t>②每月记录建筑垃圾回收利用量并计算相应数据。</w:t>
      </w:r>
    </w:p>
    <w:p w14:paraId="6A15B80A">
      <w:pPr>
        <w:rPr>
          <w:rFonts w:hint="eastAsia"/>
          <w:color w:val="auto"/>
        </w:rPr>
      </w:pPr>
      <w:r>
        <w:rPr>
          <w:rFonts w:hint="eastAsia"/>
          <w:color w:val="auto"/>
        </w:rPr>
        <w:t>（6）工程污水应采取去泥沙、除油污、分解有机物、沉淀过滤、酸碱中和等处理方式，实现达标排放。</w:t>
      </w:r>
    </w:p>
    <w:p w14:paraId="469BFF04">
      <w:pPr>
        <w:rPr>
          <w:color w:val="auto"/>
        </w:rPr>
      </w:pPr>
      <w:r>
        <w:rPr>
          <w:rFonts w:hint="eastAsia"/>
          <w:color w:val="auto"/>
        </w:rPr>
        <w:t>设置三级沉淀池，经沉淀处理后进行重复利用或排入市政管网。</w:t>
      </w:r>
    </w:p>
    <w:p w14:paraId="5DF2D5DE">
      <w:pPr>
        <w:pStyle w:val="5"/>
        <w:rPr>
          <w:color w:val="auto"/>
        </w:rPr>
      </w:pPr>
      <w:bookmarkStart w:id="399" w:name="_Toc5854"/>
      <w:r>
        <w:rPr>
          <w:rFonts w:hint="eastAsia"/>
          <w:color w:val="auto"/>
          <w:lang w:val="en-US" w:eastAsia="zh-CN"/>
        </w:rPr>
        <w:t>环境保护要点</w:t>
      </w:r>
      <w:bookmarkEnd w:id="399"/>
    </w:p>
    <w:p w14:paraId="35913028">
      <w:pPr>
        <w:rPr>
          <w:rFonts w:hint="eastAsia"/>
          <w:color w:val="auto"/>
        </w:rPr>
      </w:pPr>
      <w:r>
        <w:rPr>
          <w:rFonts w:hint="eastAsia"/>
          <w:color w:val="auto"/>
        </w:rPr>
        <w:t>1、扬尘控制</w:t>
      </w:r>
    </w:p>
    <w:p w14:paraId="39682C33">
      <w:pPr>
        <w:rPr>
          <w:rFonts w:hint="eastAsia"/>
          <w:color w:val="auto"/>
        </w:rPr>
      </w:pPr>
      <w:r>
        <w:rPr>
          <w:rFonts w:hint="eastAsia"/>
          <w:color w:val="auto"/>
        </w:rPr>
        <w:t>（1）运送土方、垃圾、设备及建筑材料等，不污损场外道路。运输容易散落、飞扬、流漏的物料的车辆，必须采取措施封闭严密，保证车辆清洁。施工现场出口应设置洗车槽。</w:t>
      </w:r>
    </w:p>
    <w:p w14:paraId="5CE400D2">
      <w:pPr>
        <w:rPr>
          <w:rFonts w:hint="eastAsia"/>
          <w:color w:val="auto"/>
        </w:rPr>
      </w:pPr>
      <w:r>
        <w:rPr>
          <w:rFonts w:hint="eastAsia"/>
          <w:color w:val="auto"/>
        </w:rPr>
        <w:t>（2）土方作业阶段，采取洒水、覆盖等措施，达到作业区目测扬尘高度小于1.5m，不扩散到场区外。</w:t>
      </w:r>
    </w:p>
    <w:p w14:paraId="38134281">
      <w:pPr>
        <w:rPr>
          <w:rFonts w:hint="eastAsia"/>
          <w:color w:val="auto"/>
        </w:rPr>
      </w:pPr>
      <w:r>
        <w:rPr>
          <w:rFonts w:hint="eastAsia"/>
          <w:color w:val="auto"/>
        </w:rPr>
        <w:t>（3）结构施工、安装装饰装修阶段，作业区目测扬尘高度小于0.5m。对易产生扬尘的堆放材料应采取覆盖措施；对粉末状材料应封闭存放；场区内可能引起扬尘的材料及建筑垃圾搬运应有降尘措施，如覆盖、洒水等；浇筑混凝土前清理灰尘和垃圾时尽量使用吸尘器，避免使用吹风器等易产生扬尘的设备；机械剔凿作业时可用局部遮挡、掩盖、水淋等防护措施；高层或多层建筑清理垃圾应搭设封闭性临时专用道或采用容器吊运。</w:t>
      </w:r>
    </w:p>
    <w:p w14:paraId="2D1E5FE6">
      <w:pPr>
        <w:rPr>
          <w:rFonts w:hint="eastAsia"/>
          <w:color w:val="auto"/>
        </w:rPr>
      </w:pPr>
      <w:r>
        <w:rPr>
          <w:rFonts w:hint="eastAsia"/>
          <w:color w:val="auto"/>
        </w:rPr>
        <w:t>（4）施工现场非作业区达到目测无扬尘的要求。对现场易飞扬物质采取有效措施，如洒水、地面硬化、围档、密网覆盖、封闭等，防止扬尘产生。</w:t>
      </w:r>
    </w:p>
    <w:p w14:paraId="2DC2EBF1">
      <w:pPr>
        <w:rPr>
          <w:rFonts w:hint="eastAsia"/>
          <w:color w:val="auto"/>
        </w:rPr>
      </w:pPr>
      <w:r>
        <w:rPr>
          <w:rFonts w:hint="eastAsia"/>
          <w:color w:val="auto"/>
        </w:rPr>
        <w:t>（5）构筑物机械拆除前，做好扬尘控制计划。可采取清理积尘、拆除体洒水、设置隔档等措施。</w:t>
      </w:r>
    </w:p>
    <w:p w14:paraId="4CF4A806">
      <w:pPr>
        <w:rPr>
          <w:rFonts w:hint="eastAsia"/>
          <w:color w:val="auto"/>
        </w:rPr>
      </w:pPr>
      <w:r>
        <w:rPr>
          <w:rFonts w:hint="eastAsia"/>
          <w:color w:val="auto"/>
        </w:rPr>
        <w:t>（6）构筑物爆破拆除前，做好扬尘控制计划。可采用清理积尘、淋湿地面、预湿墙体、屋面敷水袋、楼面蓄水、建筑外设高压喷雾状水系统、搭设防尘排栅和直升机投水弹等综合降尘。选择风力小的天气进行爆破作业。</w:t>
      </w:r>
    </w:p>
    <w:p w14:paraId="5BE6073B">
      <w:pPr>
        <w:rPr>
          <w:rFonts w:hint="eastAsia"/>
          <w:color w:val="auto"/>
        </w:rPr>
      </w:pPr>
      <w:r>
        <w:rPr>
          <w:rFonts w:hint="eastAsia"/>
          <w:color w:val="auto"/>
        </w:rPr>
        <w:t>（7）在场界四周隔档高度位置测得的大气总悬浮颗粒物（TSP）月平均浓度与城市背景值的差值不大于0.08mg/m3。</w:t>
      </w:r>
    </w:p>
    <w:p w14:paraId="3BBACB07">
      <w:pPr>
        <w:rPr>
          <w:rFonts w:hint="eastAsia"/>
          <w:color w:val="auto"/>
        </w:rPr>
      </w:pPr>
      <w:r>
        <w:rPr>
          <w:rFonts w:hint="eastAsia"/>
          <w:color w:val="auto"/>
        </w:rPr>
        <w:t>2、噪音与振动控制</w:t>
      </w:r>
    </w:p>
    <w:p w14:paraId="32467BFA">
      <w:pPr>
        <w:rPr>
          <w:rFonts w:hint="eastAsia"/>
          <w:color w:val="auto"/>
        </w:rPr>
      </w:pPr>
      <w:r>
        <w:rPr>
          <w:rFonts w:hint="eastAsia"/>
          <w:color w:val="auto"/>
        </w:rPr>
        <w:t>（1）现场噪音排放不得超过国家标准《建筑施工场界环境噪声排放标准》（GB12523-2011）的规定。</w:t>
      </w:r>
    </w:p>
    <w:p w14:paraId="35B7D176">
      <w:pPr>
        <w:rPr>
          <w:rFonts w:hint="eastAsia"/>
          <w:color w:val="auto"/>
        </w:rPr>
      </w:pPr>
      <w:r>
        <w:rPr>
          <w:rFonts w:hint="eastAsia"/>
          <w:color w:val="auto"/>
        </w:rPr>
        <w:t>（2）在施工场界对噪音进行实时监测与控制。监测方法执行国家标准《建筑施工场界环境噪声排放标准》（GB12523-2011）。</w:t>
      </w:r>
    </w:p>
    <w:p w14:paraId="54DEDCF1">
      <w:pPr>
        <w:rPr>
          <w:rFonts w:hint="eastAsia"/>
          <w:color w:val="auto"/>
        </w:rPr>
      </w:pPr>
      <w:r>
        <w:rPr>
          <w:rFonts w:hint="eastAsia"/>
          <w:color w:val="auto"/>
        </w:rPr>
        <w:t>（3）使用低噪音、低振动的机具，采取隔音与隔振措施，避免或减少施工噪音和振动。</w:t>
      </w:r>
    </w:p>
    <w:p w14:paraId="12BA258D">
      <w:pPr>
        <w:rPr>
          <w:rFonts w:hint="eastAsia"/>
          <w:color w:val="auto"/>
        </w:rPr>
      </w:pPr>
      <w:r>
        <w:rPr>
          <w:rFonts w:hint="eastAsia"/>
          <w:color w:val="auto"/>
        </w:rPr>
        <w:t>3、光污染控制</w:t>
      </w:r>
    </w:p>
    <w:p w14:paraId="16DA508A">
      <w:pPr>
        <w:rPr>
          <w:rFonts w:hint="eastAsia"/>
          <w:color w:val="auto"/>
        </w:rPr>
      </w:pPr>
      <w:r>
        <w:rPr>
          <w:rFonts w:hint="eastAsia"/>
          <w:color w:val="auto"/>
        </w:rPr>
        <w:t>（1）尽量避免或减少施工过程中的光污染。夜间室外照明灯加设灯罩，透光方向集中在施工范围。</w:t>
      </w:r>
    </w:p>
    <w:p w14:paraId="4B6AD5D5">
      <w:pPr>
        <w:rPr>
          <w:rFonts w:hint="eastAsia"/>
          <w:color w:val="auto"/>
        </w:rPr>
      </w:pPr>
      <w:r>
        <w:rPr>
          <w:rFonts w:hint="eastAsia"/>
          <w:color w:val="auto"/>
        </w:rPr>
        <w:t>（2）电焊作业采取遮挡措施，避免电焊弧光外泄。</w:t>
      </w:r>
    </w:p>
    <w:p w14:paraId="4D8084F0">
      <w:pPr>
        <w:rPr>
          <w:rFonts w:hint="eastAsia"/>
          <w:color w:val="auto"/>
        </w:rPr>
      </w:pPr>
      <w:r>
        <w:rPr>
          <w:rFonts w:hint="eastAsia"/>
          <w:color w:val="auto"/>
        </w:rPr>
        <w:t>4、水污染控制</w:t>
      </w:r>
    </w:p>
    <w:p w14:paraId="02A16EEE">
      <w:pPr>
        <w:rPr>
          <w:rFonts w:hint="eastAsia"/>
          <w:color w:val="auto"/>
        </w:rPr>
      </w:pPr>
      <w:r>
        <w:rPr>
          <w:rFonts w:hint="eastAsia"/>
          <w:color w:val="auto"/>
        </w:rPr>
        <w:t>（1）施工现场污水排放应达到国家标准《污水综合排放标准》的要求。</w:t>
      </w:r>
    </w:p>
    <w:p w14:paraId="06AD005A">
      <w:pPr>
        <w:rPr>
          <w:rFonts w:hint="eastAsia"/>
          <w:color w:val="auto"/>
        </w:rPr>
      </w:pPr>
      <w:r>
        <w:rPr>
          <w:rFonts w:hint="eastAsia"/>
          <w:color w:val="auto"/>
        </w:rPr>
        <w:t>（2）在施工现场应针对不同的污水，设置相应的处理设施，如沉淀池、隔油池、化粪池等。</w:t>
      </w:r>
    </w:p>
    <w:p w14:paraId="32A91845">
      <w:pPr>
        <w:rPr>
          <w:rFonts w:hint="eastAsia"/>
          <w:color w:val="auto"/>
        </w:rPr>
      </w:pPr>
      <w:r>
        <w:rPr>
          <w:rFonts w:hint="eastAsia"/>
          <w:color w:val="auto"/>
        </w:rPr>
        <w:t>（3）污水排放应委托有资质的单位进行废水水质检测，提供相应的污水检测报告。</w:t>
      </w:r>
    </w:p>
    <w:p w14:paraId="7AE9C157">
      <w:pPr>
        <w:rPr>
          <w:rFonts w:hint="eastAsia"/>
          <w:color w:val="auto"/>
        </w:rPr>
      </w:pPr>
      <w:r>
        <w:rPr>
          <w:rFonts w:hint="eastAsia"/>
          <w:color w:val="auto"/>
        </w:rPr>
        <w:t>（4）保护地下水环境。采用隔水性能好的边坡支护技术。在缺水地区或地下水位持续下降的地区，基坑降水尽可能少地抽取地下水；当基坑开挖抽水量大于50万m3时，应进行地下水回灌，并避免地下水被污染。</w:t>
      </w:r>
    </w:p>
    <w:p w14:paraId="4CE1B015">
      <w:pPr>
        <w:rPr>
          <w:rFonts w:hint="eastAsia"/>
          <w:color w:val="auto"/>
        </w:rPr>
      </w:pPr>
      <w:r>
        <w:rPr>
          <w:rFonts w:hint="eastAsia"/>
          <w:color w:val="auto"/>
        </w:rPr>
        <w:t>（5）对于化学品等有毒材料、油料的储存地，应有严格的隔水层设计，做好渗漏液收集和处理。</w:t>
      </w:r>
    </w:p>
    <w:p w14:paraId="38DF7183">
      <w:pPr>
        <w:rPr>
          <w:rFonts w:hint="eastAsia"/>
          <w:color w:val="auto"/>
        </w:rPr>
      </w:pPr>
      <w:r>
        <w:rPr>
          <w:rFonts w:hint="eastAsia"/>
          <w:color w:val="auto"/>
        </w:rPr>
        <w:t>5、土壤保护</w:t>
      </w:r>
    </w:p>
    <w:p w14:paraId="3EF9EBA3">
      <w:pPr>
        <w:rPr>
          <w:rFonts w:hint="eastAsia"/>
          <w:color w:val="auto"/>
        </w:rPr>
      </w:pPr>
      <w:r>
        <w:rPr>
          <w:rFonts w:hint="eastAsia"/>
          <w:color w:val="auto"/>
        </w:rPr>
        <w:t>（1）保护地表环境，防止土壤侵蚀、流失。因施工造成的裸土，及时覆盖砂石或种植速生草种，以减少土壤侵蚀；因施工造成容易发生地表径流土壤流失的情况，应采取设置地表排水系统、稳定斜坡、植被覆盖等措施，减少土壤流失。</w:t>
      </w:r>
    </w:p>
    <w:p w14:paraId="7749210A">
      <w:pPr>
        <w:rPr>
          <w:rFonts w:hint="eastAsia"/>
          <w:color w:val="auto"/>
        </w:rPr>
      </w:pPr>
      <w:r>
        <w:rPr>
          <w:rFonts w:hint="eastAsia"/>
          <w:color w:val="auto"/>
        </w:rPr>
        <w:t>（2）沉淀池、隔油池、化粪池等不发生堵塞、渗漏、溢出等现象。及时清掏各类池内沉淀物，并委托有资质的单位清运。</w:t>
      </w:r>
    </w:p>
    <w:p w14:paraId="3C510A7D">
      <w:pPr>
        <w:rPr>
          <w:rFonts w:hint="eastAsia"/>
          <w:color w:val="auto"/>
        </w:rPr>
      </w:pPr>
      <w:r>
        <w:rPr>
          <w:rFonts w:hint="eastAsia"/>
          <w:color w:val="auto"/>
        </w:rPr>
        <w:t>（3）对于有毒有害废弃物如电池、墨盒、油漆、涂料等应回收后交有资质的单位处理，不能作为建筑垃圾外运，避免污染土壤和地下水。</w:t>
      </w:r>
    </w:p>
    <w:p w14:paraId="67AA2C82">
      <w:pPr>
        <w:rPr>
          <w:rFonts w:hint="eastAsia"/>
          <w:color w:val="auto"/>
        </w:rPr>
      </w:pPr>
      <w:r>
        <w:rPr>
          <w:rFonts w:hint="eastAsia"/>
          <w:color w:val="auto"/>
        </w:rPr>
        <w:t>（4）施工后应恢复施工活动破坏的植被（一般指临时占地内）。与当地园林、环保部门或当地植物研究机构进行合作，在先前开发地区种植当地或其他合适的植物，以恢复剩余空地地貌或科学绿化，补救施工活动中人为破坏植被和地貌造成的土壤侵蚀。</w:t>
      </w:r>
    </w:p>
    <w:p w14:paraId="7B7EE7F1">
      <w:pPr>
        <w:rPr>
          <w:rFonts w:hint="eastAsia"/>
          <w:color w:val="auto"/>
        </w:rPr>
      </w:pPr>
      <w:r>
        <w:rPr>
          <w:rFonts w:hint="eastAsia"/>
          <w:color w:val="auto"/>
        </w:rPr>
        <w:t>6、建筑垃圾控制</w:t>
      </w:r>
    </w:p>
    <w:p w14:paraId="2E0ECB78">
      <w:pPr>
        <w:rPr>
          <w:rFonts w:hint="eastAsia"/>
          <w:color w:val="auto"/>
        </w:rPr>
      </w:pPr>
      <w:r>
        <w:rPr>
          <w:rFonts w:hint="eastAsia"/>
          <w:color w:val="auto"/>
        </w:rPr>
        <w:t>（1）制定建筑垃圾减量化计划，每万平方米的建筑垃圾不宜超过400吨。</w:t>
      </w:r>
    </w:p>
    <w:p w14:paraId="79207861">
      <w:pPr>
        <w:rPr>
          <w:rFonts w:hint="eastAsia"/>
          <w:color w:val="auto"/>
        </w:rPr>
      </w:pPr>
      <w:r>
        <w:rPr>
          <w:rFonts w:hint="eastAsia"/>
          <w:color w:val="auto"/>
        </w:rPr>
        <w:t>（2）加强建筑垃圾的回收再利用，力争建筑垃圾的再利用和回收率达到30%，建筑物拆除产生的废弃物的再利用和回收率大于40%。对于碎石类、土石方类建筑垃圾，可采用地基填埋、铺路等方式提高再利用率，力争再利用率大于50%。</w:t>
      </w:r>
    </w:p>
    <w:p w14:paraId="12282020">
      <w:pPr>
        <w:rPr>
          <w:rFonts w:hint="eastAsia"/>
          <w:color w:val="auto"/>
        </w:rPr>
      </w:pPr>
      <w:r>
        <w:rPr>
          <w:rFonts w:hint="eastAsia"/>
          <w:color w:val="auto"/>
        </w:rPr>
        <w:t>（3）施工现场生活区设置封闭式垃圾容器，施工场地生活垃圾实行袋装化，及时清运。对建筑垃圾进行分类，并收集到现场封闭式垃圾站，集中运出。</w:t>
      </w:r>
    </w:p>
    <w:p w14:paraId="7D402231">
      <w:pPr>
        <w:rPr>
          <w:rFonts w:hint="eastAsia"/>
          <w:color w:val="auto"/>
        </w:rPr>
      </w:pPr>
      <w:r>
        <w:rPr>
          <w:rFonts w:hint="eastAsia"/>
          <w:color w:val="auto"/>
        </w:rPr>
        <w:t>7、地下设施、文物和资源保护</w:t>
      </w:r>
    </w:p>
    <w:p w14:paraId="4FBE76EA">
      <w:pPr>
        <w:rPr>
          <w:rFonts w:hint="eastAsia"/>
          <w:color w:val="auto"/>
        </w:rPr>
      </w:pPr>
      <w:r>
        <w:rPr>
          <w:rFonts w:hint="eastAsia"/>
          <w:color w:val="auto"/>
        </w:rPr>
        <w:t>（1）施工前应调查清楚地下各种设施，做好保护计划，保证施工场地周边的各类管道、管线、建筑物、构筑物的安全运行。</w:t>
      </w:r>
    </w:p>
    <w:p w14:paraId="098C94F4">
      <w:pPr>
        <w:rPr>
          <w:rFonts w:hint="eastAsia"/>
          <w:color w:val="auto"/>
        </w:rPr>
      </w:pPr>
      <w:r>
        <w:rPr>
          <w:rFonts w:hint="eastAsia"/>
          <w:color w:val="auto"/>
        </w:rPr>
        <w:t>（2）施工过程中一旦发现文物，立即停止施工，保护现场并通报文物部门并协助做好工作。</w:t>
      </w:r>
    </w:p>
    <w:p w14:paraId="720FF1EE">
      <w:pPr>
        <w:rPr>
          <w:rFonts w:hint="eastAsia"/>
          <w:color w:val="auto"/>
        </w:rPr>
      </w:pPr>
      <w:r>
        <w:rPr>
          <w:rFonts w:hint="eastAsia"/>
          <w:color w:val="auto"/>
        </w:rPr>
        <w:t>（3）避让、保护施工场区及周边的古树名木。</w:t>
      </w:r>
    </w:p>
    <w:p w14:paraId="01A93B89">
      <w:pPr>
        <w:rPr>
          <w:color w:val="auto"/>
        </w:rPr>
      </w:pPr>
      <w:r>
        <w:rPr>
          <w:rFonts w:hint="eastAsia"/>
          <w:color w:val="auto"/>
        </w:rPr>
        <w:t>（4）逐步开展统计分析施工项目的CO2排放量，以及各种不同植被和树种的CO2固定量的工作。</w:t>
      </w:r>
    </w:p>
    <w:p w14:paraId="07BC956D">
      <w:pPr>
        <w:pStyle w:val="5"/>
        <w:rPr>
          <w:rFonts w:hint="default"/>
          <w:color w:val="auto"/>
          <w:lang w:val="en-US"/>
        </w:rPr>
      </w:pPr>
      <w:bookmarkStart w:id="400" w:name="_Toc3921"/>
      <w:r>
        <w:rPr>
          <w:rFonts w:hint="eastAsia"/>
          <w:color w:val="auto"/>
          <w:lang w:val="en-US" w:eastAsia="zh-CN"/>
        </w:rPr>
        <w:t>具体管理措施</w:t>
      </w:r>
      <w:bookmarkEnd w:id="400"/>
    </w:p>
    <w:p w14:paraId="6B551645">
      <w:pPr>
        <w:pStyle w:val="6"/>
        <w:ind w:firstLine="480"/>
        <w:rPr>
          <w:color w:val="auto"/>
        </w:rPr>
      </w:pPr>
      <w:r>
        <w:rPr>
          <w:rFonts w:hint="eastAsia"/>
          <w:color w:val="auto"/>
        </w:rPr>
        <w:t>现场道路管理</w:t>
      </w:r>
    </w:p>
    <w:p w14:paraId="4A4861A4">
      <w:pPr>
        <w:rPr>
          <w:color w:val="auto"/>
        </w:rPr>
      </w:pPr>
      <w:r>
        <w:rPr>
          <w:rFonts w:hint="eastAsia"/>
          <w:color w:val="auto"/>
        </w:rPr>
        <w:t>（1）场区内施工主要通道硬化，并根据施工布署的需要对其进行保养，满足施工和行车需要，并配专人随时清扫，洒水，保持场区清洁卫生，避免扬尘。</w:t>
      </w:r>
    </w:p>
    <w:p w14:paraId="7FC74F30">
      <w:pPr>
        <w:rPr>
          <w:color w:val="auto"/>
        </w:rPr>
      </w:pPr>
      <w:r>
        <w:rPr>
          <w:rFonts w:hint="eastAsia"/>
          <w:color w:val="auto"/>
        </w:rPr>
        <w:t>（2）工地设停车场，车辆进入现场必须停放在规定的停车区域。项目将根据车辆数量规划停车场位置，停车场地面一律做硬化地面。</w:t>
      </w:r>
    </w:p>
    <w:p w14:paraId="30511999">
      <w:pPr>
        <w:rPr>
          <w:color w:val="auto"/>
        </w:rPr>
      </w:pPr>
      <w:r>
        <w:rPr>
          <w:rFonts w:hint="eastAsia"/>
          <w:color w:val="auto"/>
        </w:rPr>
        <w:t>（3）运输车辆不超载，并覆盖严密，严防遗洒。密闭垃圾运输车、混凝土罐车、货物运输车辆每天保持车辆表面清洁，装料至货箱盖底并限制超载，车辆卸料溜槽处装设防遗撒的活动挡板。</w:t>
      </w:r>
    </w:p>
    <w:p w14:paraId="64C70EB3">
      <w:pPr>
        <w:pStyle w:val="6"/>
        <w:ind w:firstLine="480"/>
        <w:rPr>
          <w:color w:val="auto"/>
        </w:rPr>
      </w:pPr>
      <w:r>
        <w:rPr>
          <w:rFonts w:hint="eastAsia"/>
          <w:color w:val="auto"/>
        </w:rPr>
        <w:t>现场排水管理</w:t>
      </w:r>
    </w:p>
    <w:p w14:paraId="0DFE0D01">
      <w:pPr>
        <w:pStyle w:val="54"/>
        <w:rPr>
          <w:color w:val="auto"/>
        </w:rPr>
      </w:pPr>
      <w:r>
        <w:rPr>
          <w:rFonts w:hint="eastAsia"/>
          <w:color w:val="auto"/>
        </w:rPr>
        <w:t>现场排水管理</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8333"/>
      </w:tblGrid>
      <w:tr w14:paraId="567F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4F304178">
            <w:pPr>
              <w:pStyle w:val="74"/>
              <w:rPr>
                <w:color w:val="auto"/>
              </w:rPr>
            </w:pPr>
            <w:r>
              <w:rPr>
                <w:rFonts w:hint="eastAsia"/>
                <w:color w:val="auto"/>
              </w:rPr>
              <w:t>1</w:t>
            </w:r>
          </w:p>
        </w:tc>
        <w:tc>
          <w:tcPr>
            <w:tcW w:w="4599" w:type="pct"/>
            <w:vAlign w:val="center"/>
          </w:tcPr>
          <w:p w14:paraId="5D2AD1AB">
            <w:pPr>
              <w:pStyle w:val="74"/>
              <w:rPr>
                <w:color w:val="auto"/>
              </w:rPr>
            </w:pPr>
            <w:r>
              <w:rPr>
                <w:rFonts w:hint="eastAsia"/>
                <w:color w:val="auto"/>
              </w:rPr>
              <w:t>施工现场排水根据总平面施工图统一规划。现场根据规范要求统一设置排水沟保证现场用水、雨水等得到有序的排放。</w:t>
            </w:r>
          </w:p>
        </w:tc>
      </w:tr>
      <w:tr w14:paraId="05FA3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401" w:type="pct"/>
            <w:vAlign w:val="center"/>
          </w:tcPr>
          <w:p w14:paraId="1C0A0FBD">
            <w:pPr>
              <w:pStyle w:val="74"/>
              <w:rPr>
                <w:color w:val="auto"/>
              </w:rPr>
            </w:pPr>
            <w:r>
              <w:rPr>
                <w:rFonts w:hint="eastAsia"/>
                <w:color w:val="auto"/>
              </w:rPr>
              <w:t>2</w:t>
            </w:r>
          </w:p>
        </w:tc>
        <w:tc>
          <w:tcPr>
            <w:tcW w:w="4599" w:type="pct"/>
            <w:vAlign w:val="center"/>
          </w:tcPr>
          <w:p w14:paraId="1A8486AB">
            <w:pPr>
              <w:pStyle w:val="74"/>
              <w:rPr>
                <w:color w:val="auto"/>
              </w:rPr>
            </w:pPr>
            <w:r>
              <w:rPr>
                <w:rFonts w:hint="eastAsia"/>
                <w:color w:val="auto"/>
              </w:rPr>
              <w:t>办公、生活区须按规定设置排水沟，使生活用水、用水排放有序。</w:t>
            </w:r>
          </w:p>
        </w:tc>
      </w:tr>
      <w:tr w14:paraId="6EF1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01" w:type="pct"/>
            <w:vAlign w:val="center"/>
          </w:tcPr>
          <w:p w14:paraId="52DA6D10">
            <w:pPr>
              <w:pStyle w:val="74"/>
              <w:rPr>
                <w:color w:val="auto"/>
              </w:rPr>
            </w:pPr>
            <w:r>
              <w:rPr>
                <w:rFonts w:hint="eastAsia"/>
                <w:color w:val="auto"/>
              </w:rPr>
              <w:t>3</w:t>
            </w:r>
          </w:p>
        </w:tc>
        <w:tc>
          <w:tcPr>
            <w:tcW w:w="4599" w:type="pct"/>
            <w:vAlign w:val="center"/>
          </w:tcPr>
          <w:p w14:paraId="2DDC055E">
            <w:pPr>
              <w:pStyle w:val="74"/>
              <w:rPr>
                <w:color w:val="auto"/>
              </w:rPr>
            </w:pPr>
            <w:r>
              <w:rPr>
                <w:rFonts w:hint="eastAsia"/>
                <w:color w:val="auto"/>
              </w:rPr>
              <w:t>室内出现的各种用水，必须派专人处理。</w:t>
            </w:r>
          </w:p>
        </w:tc>
      </w:tr>
      <w:tr w14:paraId="0381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401" w:type="pct"/>
            <w:vAlign w:val="center"/>
          </w:tcPr>
          <w:p w14:paraId="3C0DD272">
            <w:pPr>
              <w:pStyle w:val="74"/>
              <w:rPr>
                <w:color w:val="auto"/>
              </w:rPr>
            </w:pPr>
            <w:r>
              <w:rPr>
                <w:rFonts w:hint="eastAsia"/>
                <w:color w:val="auto"/>
              </w:rPr>
              <w:t>4</w:t>
            </w:r>
          </w:p>
        </w:tc>
        <w:tc>
          <w:tcPr>
            <w:tcW w:w="4599" w:type="pct"/>
            <w:vAlign w:val="center"/>
          </w:tcPr>
          <w:p w14:paraId="2CFCBB12">
            <w:pPr>
              <w:pStyle w:val="74"/>
              <w:rPr>
                <w:color w:val="auto"/>
              </w:rPr>
            </w:pPr>
            <w:r>
              <w:rPr>
                <w:rFonts w:hint="eastAsia"/>
                <w:color w:val="auto"/>
              </w:rPr>
              <w:t>现场须设集水井、沉沙池、现场清洗车辆等的污水得到统一排放。</w:t>
            </w:r>
          </w:p>
        </w:tc>
      </w:tr>
      <w:tr w14:paraId="737B9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1" w:type="pct"/>
            <w:vAlign w:val="center"/>
          </w:tcPr>
          <w:p w14:paraId="6F2549A2">
            <w:pPr>
              <w:pStyle w:val="74"/>
              <w:rPr>
                <w:color w:val="auto"/>
              </w:rPr>
            </w:pPr>
            <w:r>
              <w:rPr>
                <w:rFonts w:hint="eastAsia"/>
                <w:color w:val="auto"/>
              </w:rPr>
              <w:t>5</w:t>
            </w:r>
          </w:p>
        </w:tc>
        <w:tc>
          <w:tcPr>
            <w:tcW w:w="4599" w:type="pct"/>
            <w:vAlign w:val="center"/>
          </w:tcPr>
          <w:p w14:paraId="23F756F9">
            <w:pPr>
              <w:pStyle w:val="74"/>
              <w:rPr>
                <w:color w:val="auto"/>
              </w:rPr>
            </w:pPr>
            <w:r>
              <w:rPr>
                <w:rFonts w:hint="eastAsia"/>
                <w:color w:val="auto"/>
              </w:rPr>
              <w:t>项目安全环境管理部也要对现场排水设施进行全面的检查，保证现场排水正常。</w:t>
            </w:r>
          </w:p>
        </w:tc>
      </w:tr>
      <w:tr w14:paraId="68939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401" w:type="pct"/>
            <w:vAlign w:val="center"/>
          </w:tcPr>
          <w:p w14:paraId="14239243">
            <w:pPr>
              <w:pStyle w:val="74"/>
              <w:rPr>
                <w:color w:val="auto"/>
              </w:rPr>
            </w:pPr>
            <w:r>
              <w:rPr>
                <w:rFonts w:hint="eastAsia"/>
                <w:color w:val="auto"/>
              </w:rPr>
              <w:t>6</w:t>
            </w:r>
          </w:p>
        </w:tc>
        <w:tc>
          <w:tcPr>
            <w:tcW w:w="4599" w:type="pct"/>
            <w:vAlign w:val="center"/>
          </w:tcPr>
          <w:p w14:paraId="03B76C48">
            <w:pPr>
              <w:pStyle w:val="74"/>
              <w:rPr>
                <w:color w:val="auto"/>
              </w:rPr>
            </w:pPr>
            <w:r>
              <w:rPr>
                <w:rFonts w:hint="eastAsia"/>
                <w:color w:val="auto"/>
              </w:rPr>
              <w:t>现场方案中涉及到排水工艺、工序的都必须进行排水设计说明。</w:t>
            </w:r>
          </w:p>
        </w:tc>
      </w:tr>
    </w:tbl>
    <w:p w14:paraId="356F8880">
      <w:pPr>
        <w:pStyle w:val="6"/>
        <w:ind w:firstLine="480"/>
        <w:rPr>
          <w:color w:val="auto"/>
        </w:rPr>
      </w:pPr>
      <w:r>
        <w:rPr>
          <w:rFonts w:hint="eastAsia"/>
          <w:color w:val="auto"/>
        </w:rPr>
        <w:t>材料加工及堆场管理措施</w:t>
      </w:r>
    </w:p>
    <w:p w14:paraId="35AFECCB">
      <w:pPr>
        <w:pStyle w:val="54"/>
        <w:rPr>
          <w:color w:val="auto"/>
        </w:rPr>
      </w:pPr>
      <w:r>
        <w:rPr>
          <w:rFonts w:hint="eastAsia"/>
          <w:color w:val="auto"/>
        </w:rPr>
        <w:t>材料加工及堆场管理措施</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888"/>
        <w:gridCol w:w="6605"/>
      </w:tblGrid>
      <w:tr w14:paraId="1858B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313" w:type="pct"/>
            <w:vAlign w:val="center"/>
          </w:tcPr>
          <w:p w14:paraId="2C8EB631">
            <w:pPr>
              <w:pStyle w:val="74"/>
              <w:rPr>
                <w:color w:val="auto"/>
              </w:rPr>
            </w:pPr>
            <w:r>
              <w:rPr>
                <w:rFonts w:hint="eastAsia"/>
                <w:color w:val="auto"/>
              </w:rPr>
              <w:t>1</w:t>
            </w:r>
          </w:p>
        </w:tc>
        <w:tc>
          <w:tcPr>
            <w:tcW w:w="1042" w:type="pct"/>
            <w:tcBorders>
              <w:right w:val="single" w:color="auto" w:sz="4" w:space="0"/>
            </w:tcBorders>
            <w:vAlign w:val="center"/>
          </w:tcPr>
          <w:p w14:paraId="1011172E">
            <w:pPr>
              <w:pStyle w:val="74"/>
              <w:rPr>
                <w:color w:val="auto"/>
              </w:rPr>
            </w:pPr>
            <w:r>
              <w:rPr>
                <w:rFonts w:hint="eastAsia"/>
                <w:color w:val="auto"/>
              </w:rPr>
              <w:t>钢筋加工场及堆场的管理</w:t>
            </w:r>
          </w:p>
        </w:tc>
        <w:tc>
          <w:tcPr>
            <w:tcW w:w="3645" w:type="pct"/>
            <w:tcBorders>
              <w:top w:val="single" w:color="auto" w:sz="4" w:space="0"/>
              <w:left w:val="single" w:color="auto" w:sz="4" w:space="0"/>
              <w:bottom w:val="single" w:color="auto" w:sz="4" w:space="0"/>
              <w:right w:val="single" w:color="auto" w:sz="4" w:space="0"/>
            </w:tcBorders>
            <w:vAlign w:val="center"/>
          </w:tcPr>
          <w:p w14:paraId="770E7FBE">
            <w:pPr>
              <w:pStyle w:val="74"/>
              <w:rPr>
                <w:color w:val="auto"/>
              </w:rPr>
            </w:pPr>
            <w:r>
              <w:rPr>
                <w:rFonts w:hint="eastAsia"/>
                <w:color w:val="auto"/>
              </w:rPr>
              <w:t>钢筋加工场必须设加工棚，加工棚位置根据总平面设置、必须安全、方便操作；方便钢筋搬运；塔吊搬运；悬挂钢筋材料规格、使用性能、出厂日期。</w:t>
            </w:r>
          </w:p>
        </w:tc>
      </w:tr>
      <w:tr w14:paraId="1A8B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13" w:type="pct"/>
            <w:vAlign w:val="center"/>
          </w:tcPr>
          <w:p w14:paraId="64A72BA4">
            <w:pPr>
              <w:pStyle w:val="74"/>
              <w:rPr>
                <w:color w:val="auto"/>
              </w:rPr>
            </w:pPr>
            <w:r>
              <w:rPr>
                <w:rFonts w:hint="eastAsia"/>
                <w:color w:val="auto"/>
              </w:rPr>
              <w:t>2</w:t>
            </w:r>
          </w:p>
        </w:tc>
        <w:tc>
          <w:tcPr>
            <w:tcW w:w="1042" w:type="pct"/>
            <w:tcBorders>
              <w:right w:val="single" w:color="auto" w:sz="4" w:space="0"/>
            </w:tcBorders>
            <w:vAlign w:val="center"/>
          </w:tcPr>
          <w:p w14:paraId="126CCAA3">
            <w:pPr>
              <w:pStyle w:val="74"/>
              <w:rPr>
                <w:color w:val="auto"/>
              </w:rPr>
            </w:pPr>
            <w:r>
              <w:rPr>
                <w:rFonts w:hint="eastAsia"/>
                <w:color w:val="auto"/>
              </w:rPr>
              <w:t>模板、木枋、加工及堆场的管理</w:t>
            </w:r>
          </w:p>
        </w:tc>
        <w:tc>
          <w:tcPr>
            <w:tcW w:w="3645" w:type="pct"/>
            <w:tcBorders>
              <w:top w:val="single" w:color="auto" w:sz="4" w:space="0"/>
              <w:left w:val="single" w:color="auto" w:sz="4" w:space="0"/>
              <w:bottom w:val="single" w:color="auto" w:sz="4" w:space="0"/>
              <w:right w:val="single" w:color="auto" w:sz="4" w:space="0"/>
            </w:tcBorders>
            <w:vAlign w:val="center"/>
          </w:tcPr>
          <w:p w14:paraId="5C24CEF5">
            <w:pPr>
              <w:pStyle w:val="74"/>
              <w:rPr>
                <w:color w:val="auto"/>
              </w:rPr>
            </w:pPr>
            <w:r>
              <w:rPr>
                <w:rFonts w:hint="eastAsia"/>
                <w:color w:val="auto"/>
              </w:rPr>
              <w:t>根据模板规格、大小堆放；高度符合要求；底部高出地面；防止雨水淋湿；方便塔吊转移。</w:t>
            </w:r>
          </w:p>
        </w:tc>
      </w:tr>
      <w:tr w14:paraId="66CD4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13" w:type="pct"/>
            <w:vAlign w:val="center"/>
          </w:tcPr>
          <w:p w14:paraId="04AA362C">
            <w:pPr>
              <w:pStyle w:val="74"/>
              <w:rPr>
                <w:color w:val="auto"/>
              </w:rPr>
            </w:pPr>
            <w:r>
              <w:rPr>
                <w:rFonts w:hint="eastAsia"/>
                <w:color w:val="auto"/>
              </w:rPr>
              <w:t>3</w:t>
            </w:r>
          </w:p>
        </w:tc>
        <w:tc>
          <w:tcPr>
            <w:tcW w:w="1042" w:type="pct"/>
            <w:tcBorders>
              <w:right w:val="single" w:color="auto" w:sz="4" w:space="0"/>
            </w:tcBorders>
            <w:vAlign w:val="center"/>
          </w:tcPr>
          <w:p w14:paraId="51C8D3C4">
            <w:pPr>
              <w:pStyle w:val="74"/>
              <w:rPr>
                <w:color w:val="auto"/>
              </w:rPr>
            </w:pPr>
            <w:r>
              <w:rPr>
                <w:rFonts w:hint="eastAsia"/>
                <w:color w:val="auto"/>
              </w:rPr>
              <w:t>钢管、扣件等堆场的管理</w:t>
            </w:r>
          </w:p>
        </w:tc>
        <w:tc>
          <w:tcPr>
            <w:tcW w:w="3645" w:type="pct"/>
            <w:tcBorders>
              <w:top w:val="single" w:color="auto" w:sz="4" w:space="0"/>
              <w:left w:val="single" w:color="auto" w:sz="4" w:space="0"/>
              <w:bottom w:val="single" w:color="auto" w:sz="4" w:space="0"/>
              <w:right w:val="single" w:color="auto" w:sz="4" w:space="0"/>
            </w:tcBorders>
            <w:vAlign w:val="center"/>
          </w:tcPr>
          <w:p w14:paraId="15EB5F12">
            <w:pPr>
              <w:pStyle w:val="74"/>
              <w:rPr>
                <w:color w:val="auto"/>
              </w:rPr>
            </w:pPr>
            <w:r>
              <w:rPr>
                <w:rFonts w:hint="eastAsia"/>
                <w:color w:val="auto"/>
              </w:rPr>
              <w:t>根据长短、大小统一堆放；方便转移。</w:t>
            </w:r>
          </w:p>
        </w:tc>
      </w:tr>
      <w:tr w14:paraId="61F7D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trPr>
        <w:tc>
          <w:tcPr>
            <w:tcW w:w="313" w:type="pct"/>
            <w:vAlign w:val="center"/>
          </w:tcPr>
          <w:p w14:paraId="0B73BDCD">
            <w:pPr>
              <w:pStyle w:val="74"/>
              <w:rPr>
                <w:color w:val="auto"/>
              </w:rPr>
            </w:pPr>
            <w:r>
              <w:rPr>
                <w:rFonts w:hint="eastAsia"/>
                <w:color w:val="auto"/>
              </w:rPr>
              <w:t>4</w:t>
            </w:r>
          </w:p>
        </w:tc>
        <w:tc>
          <w:tcPr>
            <w:tcW w:w="1042" w:type="pct"/>
            <w:tcBorders>
              <w:right w:val="single" w:color="auto" w:sz="4" w:space="0"/>
            </w:tcBorders>
            <w:vAlign w:val="center"/>
          </w:tcPr>
          <w:p w14:paraId="18A9DDF5">
            <w:pPr>
              <w:pStyle w:val="74"/>
              <w:rPr>
                <w:color w:val="auto"/>
              </w:rPr>
            </w:pPr>
            <w:r>
              <w:rPr>
                <w:rFonts w:hint="eastAsia"/>
                <w:color w:val="auto"/>
              </w:rPr>
              <w:t>水泥、砂石等堆场的管理</w:t>
            </w:r>
          </w:p>
        </w:tc>
        <w:tc>
          <w:tcPr>
            <w:tcW w:w="3645" w:type="pct"/>
            <w:tcBorders>
              <w:top w:val="single" w:color="auto" w:sz="4" w:space="0"/>
              <w:left w:val="single" w:color="auto" w:sz="4" w:space="0"/>
              <w:bottom w:val="single" w:color="auto" w:sz="4" w:space="0"/>
              <w:right w:val="single" w:color="auto" w:sz="4" w:space="0"/>
            </w:tcBorders>
            <w:vAlign w:val="center"/>
          </w:tcPr>
          <w:p w14:paraId="46C7177D">
            <w:pPr>
              <w:pStyle w:val="74"/>
              <w:rPr>
                <w:color w:val="auto"/>
              </w:rPr>
            </w:pPr>
            <w:r>
              <w:rPr>
                <w:rFonts w:hint="eastAsia"/>
                <w:color w:val="auto"/>
              </w:rPr>
              <w:t>水泥库内挂有产品标示牌，标示牌内融包括：名称、品牌、数量、 产地、规格、使用性能、出厂日期、材质合格证号、检验状态。水泥按照不同种类等级分别堆放，每堆放高度不得超过15包。有防潮、防水等措施。水泥纸袋及时打捆入库。材质合格证号、检验状态。</w:t>
            </w:r>
          </w:p>
        </w:tc>
      </w:tr>
      <w:tr w14:paraId="1327A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313" w:type="pct"/>
            <w:vAlign w:val="center"/>
          </w:tcPr>
          <w:p w14:paraId="794E96B8">
            <w:pPr>
              <w:pStyle w:val="74"/>
              <w:rPr>
                <w:color w:val="auto"/>
              </w:rPr>
            </w:pPr>
            <w:r>
              <w:rPr>
                <w:rFonts w:hint="eastAsia"/>
                <w:color w:val="auto"/>
              </w:rPr>
              <w:t>5</w:t>
            </w:r>
          </w:p>
        </w:tc>
        <w:tc>
          <w:tcPr>
            <w:tcW w:w="1042" w:type="pct"/>
            <w:tcBorders>
              <w:right w:val="single" w:color="auto" w:sz="4" w:space="0"/>
            </w:tcBorders>
            <w:vAlign w:val="center"/>
          </w:tcPr>
          <w:p w14:paraId="4506B870">
            <w:pPr>
              <w:pStyle w:val="74"/>
              <w:rPr>
                <w:color w:val="auto"/>
              </w:rPr>
            </w:pPr>
            <w:r>
              <w:rPr>
                <w:rFonts w:hint="eastAsia"/>
                <w:color w:val="auto"/>
              </w:rPr>
              <w:t>各分包材料及半成品堆放的管理</w:t>
            </w:r>
          </w:p>
        </w:tc>
        <w:tc>
          <w:tcPr>
            <w:tcW w:w="3645" w:type="pct"/>
            <w:tcBorders>
              <w:top w:val="single" w:color="auto" w:sz="4" w:space="0"/>
              <w:left w:val="single" w:color="auto" w:sz="4" w:space="0"/>
              <w:bottom w:val="single" w:color="auto" w:sz="4" w:space="0"/>
              <w:right w:val="single" w:color="auto" w:sz="4" w:space="0"/>
            </w:tcBorders>
            <w:vAlign w:val="center"/>
          </w:tcPr>
          <w:p w14:paraId="4B28A52A">
            <w:pPr>
              <w:pStyle w:val="74"/>
              <w:rPr>
                <w:color w:val="auto"/>
              </w:rPr>
            </w:pPr>
            <w:r>
              <w:rPr>
                <w:rFonts w:hint="eastAsia"/>
                <w:color w:val="auto"/>
              </w:rPr>
              <w:t>各分包材料统一划地堆放，相互之间堆场不可冲突；分包必须服从总包的管理。</w:t>
            </w:r>
          </w:p>
        </w:tc>
      </w:tr>
    </w:tbl>
    <w:p w14:paraId="6521B7FF">
      <w:pPr>
        <w:pStyle w:val="6"/>
        <w:ind w:firstLine="480"/>
        <w:rPr>
          <w:color w:val="auto"/>
        </w:rPr>
      </w:pPr>
      <w:r>
        <w:rPr>
          <w:rFonts w:hint="eastAsia"/>
          <w:color w:val="auto"/>
        </w:rPr>
        <w:t>卫生管理措施</w:t>
      </w:r>
    </w:p>
    <w:p w14:paraId="1AB00BA3">
      <w:pPr>
        <w:rPr>
          <w:color w:val="auto"/>
        </w:rPr>
      </w:pPr>
      <w:r>
        <w:rPr>
          <w:rFonts w:hint="eastAsia"/>
          <w:color w:val="auto"/>
        </w:rPr>
        <w:t>（1）保洁措施</w:t>
      </w:r>
    </w:p>
    <w:p w14:paraId="09899CF6">
      <w:pPr>
        <w:pStyle w:val="54"/>
        <w:rPr>
          <w:color w:val="auto"/>
        </w:rPr>
      </w:pPr>
      <w:r>
        <w:rPr>
          <w:rFonts w:hint="eastAsia"/>
          <w:color w:val="auto"/>
        </w:rPr>
        <w:t>保洁措施</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8337"/>
      </w:tblGrid>
      <w:tr w14:paraId="429EF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399" w:type="pct"/>
            <w:vAlign w:val="center"/>
          </w:tcPr>
          <w:p w14:paraId="275FF9D8">
            <w:pPr>
              <w:pStyle w:val="74"/>
              <w:rPr>
                <w:color w:val="auto"/>
              </w:rPr>
            </w:pPr>
            <w:r>
              <w:rPr>
                <w:rFonts w:hint="eastAsia"/>
                <w:color w:val="auto"/>
              </w:rPr>
              <w:t>1</w:t>
            </w:r>
          </w:p>
        </w:tc>
        <w:tc>
          <w:tcPr>
            <w:tcW w:w="4601" w:type="pct"/>
            <w:vAlign w:val="center"/>
          </w:tcPr>
          <w:p w14:paraId="2605C20D">
            <w:pPr>
              <w:pStyle w:val="74"/>
              <w:rPr>
                <w:color w:val="auto"/>
              </w:rPr>
            </w:pPr>
            <w:r>
              <w:rPr>
                <w:rFonts w:hint="eastAsia"/>
                <w:color w:val="auto"/>
              </w:rPr>
              <w:t>划分区域负责人，实行挂牌制，做到现场清洁整齐。</w:t>
            </w:r>
          </w:p>
        </w:tc>
      </w:tr>
      <w:tr w14:paraId="21C4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399" w:type="pct"/>
            <w:vAlign w:val="center"/>
          </w:tcPr>
          <w:p w14:paraId="3259D435">
            <w:pPr>
              <w:pStyle w:val="74"/>
              <w:rPr>
                <w:color w:val="auto"/>
              </w:rPr>
            </w:pPr>
            <w:r>
              <w:rPr>
                <w:rFonts w:hint="eastAsia"/>
                <w:color w:val="auto"/>
              </w:rPr>
              <w:t>2</w:t>
            </w:r>
          </w:p>
        </w:tc>
        <w:tc>
          <w:tcPr>
            <w:tcW w:w="4601" w:type="pct"/>
            <w:vAlign w:val="center"/>
          </w:tcPr>
          <w:p w14:paraId="39FA9A0B">
            <w:pPr>
              <w:pStyle w:val="74"/>
              <w:rPr>
                <w:color w:val="auto"/>
              </w:rPr>
            </w:pPr>
            <w:r>
              <w:rPr>
                <w:rFonts w:hint="eastAsia"/>
                <w:color w:val="auto"/>
              </w:rPr>
              <w:t>施工现场、办公室、仓库、职工宿舍保持环境清洁卫生，班组宿舍的衣物、日常生活用品等摆放整齐。</w:t>
            </w:r>
          </w:p>
        </w:tc>
      </w:tr>
      <w:tr w14:paraId="2E67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8" w:hRule="atLeast"/>
          <w:jc w:val="center"/>
        </w:trPr>
        <w:tc>
          <w:tcPr>
            <w:tcW w:w="399" w:type="pct"/>
            <w:vAlign w:val="center"/>
          </w:tcPr>
          <w:p w14:paraId="2B35AE8B">
            <w:pPr>
              <w:pStyle w:val="74"/>
              <w:rPr>
                <w:color w:val="auto"/>
              </w:rPr>
            </w:pPr>
            <w:r>
              <w:rPr>
                <w:rFonts w:hint="eastAsia"/>
                <w:color w:val="auto"/>
              </w:rPr>
              <w:t>3</w:t>
            </w:r>
          </w:p>
        </w:tc>
        <w:tc>
          <w:tcPr>
            <w:tcW w:w="4601" w:type="pct"/>
            <w:vAlign w:val="center"/>
          </w:tcPr>
          <w:p w14:paraId="2706685A">
            <w:pPr>
              <w:pStyle w:val="74"/>
              <w:rPr>
                <w:color w:val="auto"/>
              </w:rPr>
            </w:pPr>
            <w:r>
              <w:rPr>
                <w:rFonts w:hint="eastAsia"/>
                <w:color w:val="auto"/>
              </w:rPr>
              <w:t>厨房卫生整洁，符合卫生检疫要求；炊事员须持定期体检健康证，上岗须穿工作服，戴工作帽及戴口罩，保持个人卫生和内外环境清洁卫生，做到生熟食品隔离，有防蝇、防鼠、防尘设施。</w:t>
            </w:r>
          </w:p>
        </w:tc>
      </w:tr>
      <w:tr w14:paraId="7225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399" w:type="pct"/>
            <w:vAlign w:val="center"/>
          </w:tcPr>
          <w:p w14:paraId="0D8506B9">
            <w:pPr>
              <w:pStyle w:val="74"/>
              <w:rPr>
                <w:color w:val="auto"/>
              </w:rPr>
            </w:pPr>
            <w:r>
              <w:rPr>
                <w:rFonts w:hint="eastAsia"/>
                <w:color w:val="auto"/>
              </w:rPr>
              <w:t>4</w:t>
            </w:r>
          </w:p>
        </w:tc>
        <w:tc>
          <w:tcPr>
            <w:tcW w:w="4601" w:type="pct"/>
            <w:vAlign w:val="center"/>
          </w:tcPr>
          <w:p w14:paraId="442263B1">
            <w:pPr>
              <w:pStyle w:val="74"/>
              <w:rPr>
                <w:color w:val="auto"/>
              </w:rPr>
            </w:pPr>
            <w:r>
              <w:rPr>
                <w:rFonts w:hint="eastAsia"/>
                <w:color w:val="auto"/>
              </w:rPr>
              <w:t>保证供应符合卫生饮用水，茶水桶加盖锁。</w:t>
            </w:r>
          </w:p>
        </w:tc>
      </w:tr>
      <w:tr w14:paraId="66E2E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399" w:type="pct"/>
            <w:vAlign w:val="center"/>
          </w:tcPr>
          <w:p w14:paraId="5AB0D7FE">
            <w:pPr>
              <w:pStyle w:val="74"/>
              <w:rPr>
                <w:color w:val="auto"/>
              </w:rPr>
            </w:pPr>
            <w:r>
              <w:rPr>
                <w:rFonts w:hint="eastAsia"/>
                <w:color w:val="auto"/>
              </w:rPr>
              <w:t>5</w:t>
            </w:r>
          </w:p>
        </w:tc>
        <w:tc>
          <w:tcPr>
            <w:tcW w:w="4601" w:type="pct"/>
            <w:vAlign w:val="center"/>
          </w:tcPr>
          <w:p w14:paraId="7E1CC11A">
            <w:pPr>
              <w:pStyle w:val="74"/>
              <w:rPr>
                <w:color w:val="auto"/>
              </w:rPr>
            </w:pPr>
            <w:r>
              <w:rPr>
                <w:rFonts w:hint="eastAsia"/>
                <w:color w:val="auto"/>
              </w:rPr>
              <w:t>厕所必须落实专人清洁，保持时时清洁，便槽不得有积垢。</w:t>
            </w:r>
          </w:p>
        </w:tc>
      </w:tr>
      <w:tr w14:paraId="0BCCA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399" w:type="pct"/>
            <w:vAlign w:val="center"/>
          </w:tcPr>
          <w:p w14:paraId="433A243D">
            <w:pPr>
              <w:pStyle w:val="74"/>
              <w:rPr>
                <w:color w:val="auto"/>
              </w:rPr>
            </w:pPr>
            <w:r>
              <w:rPr>
                <w:rFonts w:hint="eastAsia"/>
                <w:color w:val="auto"/>
              </w:rPr>
              <w:t>6</w:t>
            </w:r>
          </w:p>
        </w:tc>
        <w:tc>
          <w:tcPr>
            <w:tcW w:w="4601" w:type="pct"/>
            <w:vAlign w:val="center"/>
          </w:tcPr>
          <w:p w14:paraId="6D5B97A7">
            <w:pPr>
              <w:pStyle w:val="74"/>
              <w:rPr>
                <w:color w:val="auto"/>
              </w:rPr>
            </w:pPr>
            <w:r>
              <w:rPr>
                <w:rFonts w:hint="eastAsia"/>
                <w:color w:val="auto"/>
              </w:rPr>
              <w:t>工人作业地点和周围必须清洁整齐，做到工完料净场地清，不得留余料。垃圾集中堆放，及时清理。严禁随地丢垃圾，污水、废水不外溢。</w:t>
            </w:r>
          </w:p>
        </w:tc>
      </w:tr>
      <w:tr w14:paraId="78F6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399" w:type="pct"/>
            <w:vAlign w:val="center"/>
          </w:tcPr>
          <w:p w14:paraId="43881515">
            <w:pPr>
              <w:pStyle w:val="74"/>
              <w:rPr>
                <w:color w:val="auto"/>
              </w:rPr>
            </w:pPr>
            <w:r>
              <w:rPr>
                <w:rFonts w:hint="eastAsia"/>
                <w:color w:val="auto"/>
              </w:rPr>
              <w:t>7</w:t>
            </w:r>
          </w:p>
        </w:tc>
        <w:tc>
          <w:tcPr>
            <w:tcW w:w="4601" w:type="pct"/>
            <w:vAlign w:val="center"/>
          </w:tcPr>
          <w:p w14:paraId="0F4DE909">
            <w:pPr>
              <w:pStyle w:val="74"/>
              <w:rPr>
                <w:color w:val="auto"/>
              </w:rPr>
            </w:pPr>
            <w:r>
              <w:rPr>
                <w:rFonts w:hint="eastAsia"/>
                <w:color w:val="auto"/>
              </w:rPr>
              <w:t>车辆进出清洗干净，不污染道路。</w:t>
            </w:r>
          </w:p>
        </w:tc>
      </w:tr>
    </w:tbl>
    <w:p w14:paraId="4C64B4CE">
      <w:pPr>
        <w:rPr>
          <w:color w:val="auto"/>
        </w:rPr>
      </w:pPr>
      <w:r>
        <w:rPr>
          <w:rFonts w:hint="eastAsia"/>
          <w:color w:val="auto"/>
        </w:rPr>
        <w:t>（2）办公区卫生管理</w:t>
      </w:r>
    </w:p>
    <w:p w14:paraId="158FDAA0">
      <w:pPr>
        <w:pStyle w:val="54"/>
        <w:rPr>
          <w:color w:val="auto"/>
        </w:rPr>
      </w:pPr>
      <w:r>
        <w:rPr>
          <w:rFonts w:hint="eastAsia"/>
          <w:color w:val="auto"/>
        </w:rPr>
        <w:t>办公区卫生管理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8223"/>
      </w:tblGrid>
      <w:tr w14:paraId="4CF4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462" w:type="pct"/>
            <w:vAlign w:val="center"/>
          </w:tcPr>
          <w:p w14:paraId="2F60BF21">
            <w:pPr>
              <w:pStyle w:val="74"/>
              <w:rPr>
                <w:color w:val="auto"/>
              </w:rPr>
            </w:pPr>
            <w:r>
              <w:rPr>
                <w:rFonts w:hint="eastAsia"/>
                <w:color w:val="auto"/>
              </w:rPr>
              <w:t>1</w:t>
            </w:r>
          </w:p>
        </w:tc>
        <w:tc>
          <w:tcPr>
            <w:tcW w:w="4538" w:type="pct"/>
            <w:vAlign w:val="center"/>
          </w:tcPr>
          <w:p w14:paraId="32A3F088">
            <w:pPr>
              <w:pStyle w:val="74"/>
              <w:rPr>
                <w:color w:val="auto"/>
              </w:rPr>
            </w:pPr>
            <w:r>
              <w:rPr>
                <w:rFonts w:hint="eastAsia"/>
                <w:color w:val="auto"/>
              </w:rPr>
              <w:t>室内地面卫生，每天拖地一次。垃圾实行统一堆放、及时清理外运，定期消毒。</w:t>
            </w:r>
          </w:p>
        </w:tc>
      </w:tr>
      <w:tr w14:paraId="6F8E2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462" w:type="pct"/>
            <w:vAlign w:val="center"/>
          </w:tcPr>
          <w:p w14:paraId="6DBBF0A5">
            <w:pPr>
              <w:pStyle w:val="74"/>
              <w:rPr>
                <w:color w:val="auto"/>
              </w:rPr>
            </w:pPr>
            <w:r>
              <w:rPr>
                <w:rFonts w:hint="eastAsia"/>
                <w:color w:val="auto"/>
              </w:rPr>
              <w:t>2</w:t>
            </w:r>
          </w:p>
        </w:tc>
        <w:tc>
          <w:tcPr>
            <w:tcW w:w="4538" w:type="pct"/>
            <w:vAlign w:val="center"/>
          </w:tcPr>
          <w:p w14:paraId="664012B2">
            <w:pPr>
              <w:pStyle w:val="74"/>
              <w:rPr>
                <w:color w:val="auto"/>
              </w:rPr>
            </w:pPr>
            <w:r>
              <w:rPr>
                <w:rFonts w:hint="eastAsia"/>
                <w:color w:val="auto"/>
              </w:rPr>
              <w:t>室内墙面卫生，清除污垢和划痕。办公区做到“六无”、“六净”;无人畜粪便、无垃圾污物、无砖头瓦砾、无瓜果削皮、无坑洼污水、无杂草丛生；墙根净、水沟净、电杆净、宣传栏净、下水道净、树根底部净。</w:t>
            </w:r>
          </w:p>
        </w:tc>
      </w:tr>
      <w:tr w14:paraId="139F2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462" w:type="pct"/>
            <w:vAlign w:val="center"/>
          </w:tcPr>
          <w:p w14:paraId="6B396781">
            <w:pPr>
              <w:pStyle w:val="74"/>
              <w:rPr>
                <w:color w:val="auto"/>
              </w:rPr>
            </w:pPr>
            <w:r>
              <w:rPr>
                <w:rFonts w:hint="eastAsia"/>
                <w:color w:val="auto"/>
              </w:rPr>
              <w:t>3</w:t>
            </w:r>
          </w:p>
        </w:tc>
        <w:tc>
          <w:tcPr>
            <w:tcW w:w="4538" w:type="pct"/>
            <w:vAlign w:val="center"/>
          </w:tcPr>
          <w:p w14:paraId="4AB902AF">
            <w:pPr>
              <w:pStyle w:val="74"/>
              <w:rPr>
                <w:color w:val="auto"/>
              </w:rPr>
            </w:pPr>
            <w:r>
              <w:rPr>
                <w:rFonts w:hint="eastAsia"/>
                <w:color w:val="auto"/>
              </w:rPr>
              <w:t>洗手间卫生，墙体清洁，上下水管通畅，地面无存水。</w:t>
            </w:r>
          </w:p>
        </w:tc>
      </w:tr>
      <w:tr w14:paraId="72482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462" w:type="pct"/>
            <w:vAlign w:val="center"/>
          </w:tcPr>
          <w:p w14:paraId="38F89C91">
            <w:pPr>
              <w:pStyle w:val="74"/>
              <w:rPr>
                <w:color w:val="auto"/>
              </w:rPr>
            </w:pPr>
            <w:r>
              <w:rPr>
                <w:rFonts w:hint="eastAsia"/>
                <w:color w:val="auto"/>
              </w:rPr>
              <w:t>4</w:t>
            </w:r>
          </w:p>
        </w:tc>
        <w:tc>
          <w:tcPr>
            <w:tcW w:w="4538" w:type="pct"/>
            <w:vAlign w:val="center"/>
          </w:tcPr>
          <w:p w14:paraId="2EC484E8">
            <w:pPr>
              <w:pStyle w:val="74"/>
              <w:rPr>
                <w:color w:val="auto"/>
              </w:rPr>
            </w:pPr>
            <w:r>
              <w:rPr>
                <w:rFonts w:hint="eastAsia"/>
                <w:color w:val="auto"/>
              </w:rPr>
              <w:t>卫生间卫生，无异味，地面无纸屑，纸篓无垃圾堆存。</w:t>
            </w:r>
          </w:p>
        </w:tc>
      </w:tr>
      <w:tr w14:paraId="553C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62" w:type="pct"/>
            <w:vAlign w:val="center"/>
          </w:tcPr>
          <w:p w14:paraId="6043B6AB">
            <w:pPr>
              <w:pStyle w:val="74"/>
              <w:rPr>
                <w:color w:val="auto"/>
              </w:rPr>
            </w:pPr>
            <w:r>
              <w:rPr>
                <w:rFonts w:hint="eastAsia"/>
                <w:color w:val="auto"/>
              </w:rPr>
              <w:t>5</w:t>
            </w:r>
          </w:p>
        </w:tc>
        <w:tc>
          <w:tcPr>
            <w:tcW w:w="4538" w:type="pct"/>
            <w:vAlign w:val="center"/>
          </w:tcPr>
          <w:p w14:paraId="3C63888C">
            <w:pPr>
              <w:pStyle w:val="74"/>
              <w:rPr>
                <w:color w:val="auto"/>
              </w:rPr>
            </w:pPr>
            <w:r>
              <w:rPr>
                <w:rFonts w:hint="eastAsia"/>
                <w:color w:val="auto"/>
              </w:rPr>
              <w:t>各办公室内卫生由办公室人员自己负责，当值人员负责巡视检查。</w:t>
            </w:r>
          </w:p>
        </w:tc>
      </w:tr>
      <w:tr w14:paraId="4D78B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462" w:type="pct"/>
            <w:vAlign w:val="center"/>
          </w:tcPr>
          <w:p w14:paraId="3C55107A">
            <w:pPr>
              <w:pStyle w:val="74"/>
              <w:rPr>
                <w:color w:val="auto"/>
              </w:rPr>
            </w:pPr>
            <w:r>
              <w:rPr>
                <w:rFonts w:hint="eastAsia"/>
                <w:color w:val="auto"/>
              </w:rPr>
              <w:t>6</w:t>
            </w:r>
          </w:p>
        </w:tc>
        <w:tc>
          <w:tcPr>
            <w:tcW w:w="4538" w:type="pct"/>
            <w:vAlign w:val="center"/>
          </w:tcPr>
          <w:p w14:paraId="4087569B">
            <w:pPr>
              <w:pStyle w:val="74"/>
              <w:rPr>
                <w:color w:val="auto"/>
              </w:rPr>
            </w:pPr>
            <w:r>
              <w:rPr>
                <w:rFonts w:hint="eastAsia"/>
                <w:color w:val="auto"/>
              </w:rPr>
              <w:t>办公室办公用品摆放整齐，地面无烟头、纸屑，墙面无划痕、污垢，桌面无非办公用品。</w:t>
            </w:r>
          </w:p>
        </w:tc>
      </w:tr>
      <w:tr w14:paraId="2CC3C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62" w:type="pct"/>
            <w:vAlign w:val="center"/>
          </w:tcPr>
          <w:p w14:paraId="44B2B736">
            <w:pPr>
              <w:pStyle w:val="74"/>
              <w:rPr>
                <w:color w:val="auto"/>
              </w:rPr>
            </w:pPr>
            <w:r>
              <w:rPr>
                <w:rFonts w:hint="eastAsia"/>
                <w:color w:val="auto"/>
              </w:rPr>
              <w:t>7</w:t>
            </w:r>
          </w:p>
        </w:tc>
        <w:tc>
          <w:tcPr>
            <w:tcW w:w="4538" w:type="pct"/>
            <w:vAlign w:val="center"/>
          </w:tcPr>
          <w:p w14:paraId="292525D2">
            <w:pPr>
              <w:pStyle w:val="74"/>
              <w:rPr>
                <w:color w:val="auto"/>
              </w:rPr>
            </w:pPr>
            <w:r>
              <w:rPr>
                <w:rFonts w:hint="eastAsia"/>
                <w:color w:val="auto"/>
              </w:rPr>
              <w:t>值班室公共设施摆放整齐，床铺整洁，被褥整理得体、干净。</w:t>
            </w:r>
          </w:p>
        </w:tc>
      </w:tr>
    </w:tbl>
    <w:p w14:paraId="3E5BC45B">
      <w:pPr>
        <w:rPr>
          <w:color w:val="auto"/>
        </w:rPr>
      </w:pPr>
      <w:r>
        <w:rPr>
          <w:rFonts w:hint="eastAsia"/>
          <w:color w:val="auto"/>
        </w:rPr>
        <w:t>（3）厕所卫生管理</w:t>
      </w:r>
    </w:p>
    <w:p w14:paraId="5D7F5DA2">
      <w:pPr>
        <w:pStyle w:val="54"/>
        <w:rPr>
          <w:color w:val="auto"/>
        </w:rPr>
      </w:pPr>
      <w:r>
        <w:rPr>
          <w:rFonts w:hint="eastAsia"/>
          <w:color w:val="auto"/>
        </w:rPr>
        <w:t>厕所卫生管理</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8288"/>
      </w:tblGrid>
      <w:tr w14:paraId="05AC6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 w:type="pct"/>
            <w:vAlign w:val="center"/>
          </w:tcPr>
          <w:p w14:paraId="797940DD">
            <w:pPr>
              <w:pStyle w:val="74"/>
              <w:rPr>
                <w:color w:val="auto"/>
              </w:rPr>
            </w:pPr>
            <w:r>
              <w:rPr>
                <w:rFonts w:hint="eastAsia"/>
                <w:color w:val="auto"/>
              </w:rPr>
              <w:t>1</w:t>
            </w:r>
          </w:p>
        </w:tc>
        <w:tc>
          <w:tcPr>
            <w:tcW w:w="4574" w:type="pct"/>
            <w:vAlign w:val="center"/>
          </w:tcPr>
          <w:p w14:paraId="3B8759DC">
            <w:pPr>
              <w:pStyle w:val="74"/>
              <w:rPr>
                <w:color w:val="auto"/>
              </w:rPr>
            </w:pPr>
            <w:r>
              <w:rPr>
                <w:color w:val="auto"/>
              </w:rPr>
              <w:t>建筑工地必须设置冲水式厕所，男女厕所分设，并配备专人负责清扫保洁，定时清洗、定期消毒</w:t>
            </w:r>
            <w:r>
              <w:rPr>
                <w:rFonts w:hint="eastAsia"/>
                <w:color w:val="auto"/>
              </w:rPr>
              <w:t>。</w:t>
            </w:r>
          </w:p>
        </w:tc>
      </w:tr>
      <w:tr w14:paraId="61530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pct"/>
            <w:vAlign w:val="center"/>
          </w:tcPr>
          <w:p w14:paraId="71D75788">
            <w:pPr>
              <w:pStyle w:val="74"/>
              <w:rPr>
                <w:color w:val="auto"/>
              </w:rPr>
            </w:pPr>
            <w:r>
              <w:rPr>
                <w:rFonts w:hint="eastAsia"/>
                <w:color w:val="auto"/>
              </w:rPr>
              <w:t>2</w:t>
            </w:r>
          </w:p>
        </w:tc>
        <w:tc>
          <w:tcPr>
            <w:tcW w:w="4574" w:type="pct"/>
            <w:vAlign w:val="center"/>
          </w:tcPr>
          <w:p w14:paraId="08C324F9">
            <w:pPr>
              <w:pStyle w:val="74"/>
              <w:rPr>
                <w:color w:val="auto"/>
              </w:rPr>
            </w:pPr>
            <w:r>
              <w:rPr>
                <w:color w:val="auto"/>
              </w:rPr>
              <w:t>建筑工地厕所必须通风良好，并有照明设备</w:t>
            </w:r>
            <w:r>
              <w:rPr>
                <w:rFonts w:hint="eastAsia"/>
                <w:color w:val="auto"/>
              </w:rPr>
              <w:t>。</w:t>
            </w:r>
          </w:p>
        </w:tc>
      </w:tr>
      <w:tr w14:paraId="5D5F9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pct"/>
            <w:vAlign w:val="center"/>
          </w:tcPr>
          <w:p w14:paraId="4DD95129">
            <w:pPr>
              <w:pStyle w:val="74"/>
              <w:rPr>
                <w:color w:val="auto"/>
              </w:rPr>
            </w:pPr>
            <w:r>
              <w:rPr>
                <w:rFonts w:hint="eastAsia"/>
                <w:color w:val="auto"/>
              </w:rPr>
              <w:t>3</w:t>
            </w:r>
          </w:p>
        </w:tc>
        <w:tc>
          <w:tcPr>
            <w:tcW w:w="4574" w:type="pct"/>
            <w:vAlign w:val="center"/>
          </w:tcPr>
          <w:p w14:paraId="57E58444">
            <w:pPr>
              <w:pStyle w:val="74"/>
              <w:rPr>
                <w:color w:val="auto"/>
              </w:rPr>
            </w:pPr>
            <w:r>
              <w:rPr>
                <w:color w:val="auto"/>
              </w:rPr>
              <w:t>建筑工地厕所不得紧临工地食堂，若场地条件许可，厕所与食堂必须相隔20米以上</w:t>
            </w:r>
            <w:r>
              <w:rPr>
                <w:rFonts w:hint="eastAsia"/>
                <w:color w:val="auto"/>
              </w:rPr>
              <w:t>。</w:t>
            </w:r>
          </w:p>
        </w:tc>
      </w:tr>
      <w:tr w14:paraId="143E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pct"/>
            <w:vAlign w:val="center"/>
          </w:tcPr>
          <w:p w14:paraId="49A5CE63">
            <w:pPr>
              <w:pStyle w:val="74"/>
              <w:rPr>
                <w:color w:val="auto"/>
              </w:rPr>
            </w:pPr>
            <w:r>
              <w:rPr>
                <w:rFonts w:hint="eastAsia"/>
                <w:color w:val="auto"/>
              </w:rPr>
              <w:t>4</w:t>
            </w:r>
          </w:p>
        </w:tc>
        <w:tc>
          <w:tcPr>
            <w:tcW w:w="4574" w:type="pct"/>
            <w:vAlign w:val="center"/>
          </w:tcPr>
          <w:p w14:paraId="173D34C0">
            <w:pPr>
              <w:pStyle w:val="74"/>
              <w:rPr>
                <w:color w:val="auto"/>
              </w:rPr>
            </w:pPr>
            <w:r>
              <w:rPr>
                <w:color w:val="auto"/>
              </w:rPr>
              <w:t>工地厕所内不得设置冲凉房。</w:t>
            </w:r>
          </w:p>
        </w:tc>
      </w:tr>
      <w:tr w14:paraId="0EC5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pct"/>
            <w:vAlign w:val="center"/>
          </w:tcPr>
          <w:p w14:paraId="2D908FCC">
            <w:pPr>
              <w:pStyle w:val="74"/>
              <w:rPr>
                <w:color w:val="auto"/>
              </w:rPr>
            </w:pPr>
            <w:r>
              <w:rPr>
                <w:rFonts w:hint="eastAsia"/>
                <w:color w:val="auto"/>
              </w:rPr>
              <w:t>5</w:t>
            </w:r>
          </w:p>
        </w:tc>
        <w:tc>
          <w:tcPr>
            <w:tcW w:w="4574" w:type="pct"/>
            <w:vAlign w:val="center"/>
          </w:tcPr>
          <w:p w14:paraId="273FD5D6">
            <w:pPr>
              <w:pStyle w:val="74"/>
              <w:rPr>
                <w:color w:val="auto"/>
              </w:rPr>
            </w:pPr>
            <w:r>
              <w:rPr>
                <w:rFonts w:hint="eastAsia"/>
                <w:color w:val="auto"/>
              </w:rPr>
              <w:t>冲凉房必须保证排水畅通、及时，且与工地总的排水系统相连接。</w:t>
            </w:r>
          </w:p>
        </w:tc>
      </w:tr>
      <w:tr w14:paraId="4EEDA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26" w:type="pct"/>
            <w:vAlign w:val="center"/>
          </w:tcPr>
          <w:p w14:paraId="38E67B2F">
            <w:pPr>
              <w:pStyle w:val="74"/>
              <w:rPr>
                <w:color w:val="auto"/>
              </w:rPr>
            </w:pPr>
            <w:r>
              <w:rPr>
                <w:rFonts w:hint="eastAsia"/>
                <w:color w:val="auto"/>
              </w:rPr>
              <w:t>6</w:t>
            </w:r>
          </w:p>
        </w:tc>
        <w:tc>
          <w:tcPr>
            <w:tcW w:w="4574" w:type="pct"/>
            <w:vAlign w:val="center"/>
          </w:tcPr>
          <w:p w14:paraId="5EC8003F">
            <w:pPr>
              <w:pStyle w:val="74"/>
              <w:rPr>
                <w:color w:val="auto"/>
              </w:rPr>
            </w:pPr>
            <w:r>
              <w:rPr>
                <w:rFonts w:hint="eastAsia"/>
                <w:color w:val="auto"/>
              </w:rPr>
              <w:t>工地冲凉房必须安排专人打扫，保证清洁、照明安全。</w:t>
            </w:r>
          </w:p>
        </w:tc>
      </w:tr>
    </w:tbl>
    <w:p w14:paraId="56608404">
      <w:pPr>
        <w:pStyle w:val="6"/>
        <w:ind w:firstLine="480"/>
        <w:rPr>
          <w:color w:val="auto"/>
        </w:rPr>
      </w:pPr>
      <w:r>
        <w:rPr>
          <w:rFonts w:hint="eastAsia"/>
          <w:color w:val="auto"/>
        </w:rPr>
        <w:t>水土保持措施</w:t>
      </w:r>
    </w:p>
    <w:p w14:paraId="66C0516D">
      <w:pPr>
        <w:rPr>
          <w:rFonts w:hint="eastAsia"/>
          <w:color w:val="auto"/>
        </w:rPr>
      </w:pPr>
      <w:r>
        <w:rPr>
          <w:rFonts w:hint="eastAsia"/>
          <w:color w:val="auto"/>
          <w:lang w:val="en-US" w:eastAsia="zh-CN"/>
        </w:rPr>
        <w:t>1、水</w:t>
      </w:r>
      <w:r>
        <w:rPr>
          <w:rFonts w:hint="eastAsia"/>
          <w:color w:val="auto"/>
        </w:rPr>
        <w:t>土保持目标</w:t>
      </w:r>
    </w:p>
    <w:p w14:paraId="3BCBF377">
      <w:pPr>
        <w:rPr>
          <w:rFonts w:hint="eastAsia"/>
          <w:color w:val="auto"/>
        </w:rPr>
      </w:pPr>
      <w:r>
        <w:rPr>
          <w:rFonts w:hint="eastAsia"/>
          <w:color w:val="auto"/>
        </w:rPr>
        <w:t>水土保持、防止水污染是文明施工、保持生态平衡、为人民造福的要求所在。施工中严格遵守国家和</w:t>
      </w:r>
      <w:r>
        <w:rPr>
          <w:rFonts w:hint="eastAsia"/>
          <w:color w:val="auto"/>
          <w:lang w:eastAsia="zh-CN"/>
        </w:rPr>
        <w:t>海南</w:t>
      </w:r>
      <w:r>
        <w:rPr>
          <w:rFonts w:hint="eastAsia"/>
          <w:color w:val="auto"/>
        </w:rPr>
        <w:t>省有关水土保持的规定，按照国家水土保持的有关要求，依据"三同时"原则，采取相关措施，进行水土保持工作，确保将水土流失降到最低限度。</w:t>
      </w:r>
    </w:p>
    <w:p w14:paraId="690BB45A">
      <w:pPr>
        <w:rPr>
          <w:rFonts w:hint="eastAsia"/>
          <w:color w:val="auto"/>
        </w:rPr>
      </w:pPr>
      <w:r>
        <w:rPr>
          <w:rFonts w:hint="eastAsia"/>
          <w:color w:val="auto"/>
          <w:lang w:val="en-US" w:eastAsia="zh-CN"/>
        </w:rPr>
        <w:t>2、</w:t>
      </w:r>
      <w:r>
        <w:rPr>
          <w:rFonts w:hint="eastAsia"/>
          <w:color w:val="auto"/>
        </w:rPr>
        <w:t>水土保持具体措施</w:t>
      </w:r>
    </w:p>
    <w:p w14:paraId="5349ED37">
      <w:pPr>
        <w:rPr>
          <w:rFonts w:hint="eastAsia"/>
          <w:color w:val="auto"/>
        </w:rPr>
      </w:pPr>
      <w:r>
        <w:rPr>
          <w:rFonts w:hint="eastAsia"/>
          <w:color w:val="auto"/>
        </w:rPr>
        <w:t>合理安排施工用地，施工场地范围内的树木进行移植，保护施工场地和临时设施附近的植被。</w:t>
      </w:r>
    </w:p>
    <w:p w14:paraId="3912FDDC">
      <w:pPr>
        <w:rPr>
          <w:color w:val="auto"/>
        </w:rPr>
      </w:pPr>
      <w:r>
        <w:rPr>
          <w:rFonts w:hint="eastAsia"/>
          <w:color w:val="auto"/>
        </w:rPr>
        <w:t>施工废水必须经沉淀处理，并经过净化处理，达标后排放。食堂废水按规定设置隔油池，定期处理油污，污水经过处理后排入污水管道。各种施工废油、废液集中储积，集中处理，严禁乱流乱淌，污染水源，破坏环境。现场厕所采用封闭式，并经常冲洗。化粪池经常清理。</w:t>
      </w:r>
    </w:p>
    <w:p w14:paraId="25F2EE17">
      <w:pPr>
        <w:rPr>
          <w:color w:val="auto"/>
        </w:rPr>
      </w:pPr>
      <w:r>
        <w:rPr>
          <w:rFonts w:hint="eastAsia"/>
          <w:color w:val="auto"/>
        </w:rPr>
        <w:t>施工废碴和建筑垃圾按设计和建设单位要求堆放和运至指定位置。杜绝随意排放和倾倒。废弃垃圾中不得含有有毒有害物质，避免雨水冲洗后对地表、地下水造成污染。</w:t>
      </w:r>
    </w:p>
    <w:p w14:paraId="1E05BF00">
      <w:pPr>
        <w:rPr>
          <w:color w:val="auto"/>
        </w:rPr>
      </w:pPr>
      <w:r>
        <w:rPr>
          <w:rFonts w:hint="eastAsia"/>
          <w:color w:val="auto"/>
        </w:rPr>
        <w:t>加强施工机械管理，注重日常保养，按照要求进行操作。防止油品存放和机械在使用、维修、停放时油料泄漏、渗漏，污染水体。</w:t>
      </w:r>
    </w:p>
    <w:p w14:paraId="6E0264CD">
      <w:pPr>
        <w:rPr>
          <w:color w:val="auto"/>
        </w:rPr>
      </w:pPr>
      <w:r>
        <w:rPr>
          <w:rFonts w:hint="eastAsia"/>
          <w:color w:val="auto"/>
        </w:rPr>
        <w:t>施工完成后及时清除临时工程和设施及建筑垃圾，对取、弃土场进行植物防护，以免水土流失。</w:t>
      </w:r>
    </w:p>
    <w:p w14:paraId="7EA2218B">
      <w:pPr>
        <w:rPr>
          <w:color w:val="auto"/>
        </w:rPr>
      </w:pPr>
      <w:r>
        <w:rPr>
          <w:rFonts w:hint="eastAsia"/>
          <w:color w:val="auto"/>
        </w:rPr>
        <w:t>施工场地和道路硬化处理，周边和两侧设排水沟，防止排水引起水土流失。施工现场生产区和生活区种植树木花草进行绿化，美化施工环境。</w:t>
      </w:r>
    </w:p>
    <w:p w14:paraId="30FF9227">
      <w:pPr>
        <w:pStyle w:val="6"/>
        <w:ind w:firstLine="480"/>
        <w:rPr>
          <w:color w:val="auto"/>
        </w:rPr>
      </w:pPr>
      <w:bookmarkStart w:id="401" w:name="_Toc202510566"/>
      <w:r>
        <w:rPr>
          <w:rFonts w:hint="eastAsia"/>
          <w:color w:val="auto"/>
        </w:rPr>
        <w:t>室外环境保护措施</w:t>
      </w:r>
      <w:bookmarkEnd w:id="401"/>
    </w:p>
    <w:p w14:paraId="2CE2E3BC">
      <w:pPr>
        <w:pStyle w:val="97"/>
        <w:spacing w:before="24" w:beforeLines="10" w:after="24" w:afterLines="10" w:line="432" w:lineRule="auto"/>
        <w:ind w:firstLine="560"/>
        <w:rPr>
          <w:color w:val="auto"/>
          <w:sz w:val="24"/>
          <w:szCs w:val="24"/>
          <w:highlight w:val="none"/>
        </w:rPr>
      </w:pPr>
      <w:bookmarkStart w:id="402" w:name="_Toc296604931"/>
      <w:bookmarkStart w:id="403" w:name="_Toc296604936"/>
      <w:r>
        <w:rPr>
          <w:color w:val="auto"/>
          <w:sz w:val="24"/>
          <w:szCs w:val="24"/>
          <w:highlight w:val="none"/>
        </w:rPr>
        <w:t>1、扬尘控制</w:t>
      </w:r>
      <w:bookmarkEnd w:id="402"/>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4"/>
        <w:gridCol w:w="7946"/>
      </w:tblGrid>
      <w:tr w14:paraId="5ABE8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615" w:type="pct"/>
            <w:tcBorders>
              <w:top w:val="single" w:color="auto" w:sz="4" w:space="0"/>
              <w:left w:val="single" w:color="auto" w:sz="4" w:space="0"/>
              <w:bottom w:val="single" w:color="auto" w:sz="4" w:space="0"/>
              <w:right w:val="single" w:color="auto" w:sz="4" w:space="0"/>
            </w:tcBorders>
            <w:noWrap w:val="0"/>
            <w:vAlign w:val="center"/>
          </w:tcPr>
          <w:p w14:paraId="5898B14D">
            <w:pPr>
              <w:pStyle w:val="97"/>
              <w:spacing w:before="24" w:beforeLines="10" w:after="24" w:afterLines="10" w:line="432" w:lineRule="auto"/>
              <w:ind w:firstLine="0" w:firstLineChars="0"/>
              <w:jc w:val="center"/>
              <w:rPr>
                <w:color w:val="auto"/>
                <w:sz w:val="21"/>
                <w:szCs w:val="21"/>
                <w:highlight w:val="none"/>
              </w:rPr>
            </w:pPr>
            <w:r>
              <w:rPr>
                <w:color w:val="auto"/>
                <w:sz w:val="21"/>
                <w:szCs w:val="21"/>
                <w:highlight w:val="none"/>
              </w:rPr>
              <w:t>施工阶段</w:t>
            </w:r>
          </w:p>
        </w:tc>
        <w:tc>
          <w:tcPr>
            <w:tcW w:w="4385" w:type="pct"/>
            <w:tcBorders>
              <w:top w:val="single" w:color="auto" w:sz="4" w:space="0"/>
              <w:left w:val="single" w:color="auto" w:sz="4" w:space="0"/>
              <w:bottom w:val="single" w:color="auto" w:sz="4" w:space="0"/>
              <w:right w:val="single" w:color="auto" w:sz="4" w:space="0"/>
            </w:tcBorders>
            <w:noWrap w:val="0"/>
            <w:vAlign w:val="center"/>
          </w:tcPr>
          <w:p w14:paraId="6143F606">
            <w:pPr>
              <w:pStyle w:val="97"/>
              <w:spacing w:before="24" w:beforeLines="10" w:after="24" w:afterLines="10" w:line="432" w:lineRule="auto"/>
              <w:ind w:firstLine="0" w:firstLineChars="0"/>
              <w:jc w:val="center"/>
              <w:rPr>
                <w:color w:val="auto"/>
                <w:sz w:val="21"/>
                <w:szCs w:val="21"/>
                <w:highlight w:val="none"/>
              </w:rPr>
            </w:pPr>
            <w:r>
              <w:rPr>
                <w:color w:val="auto"/>
                <w:sz w:val="21"/>
                <w:szCs w:val="21"/>
                <w:highlight w:val="none"/>
              </w:rPr>
              <w:t>具体措施</w:t>
            </w:r>
          </w:p>
        </w:tc>
      </w:tr>
      <w:tr w14:paraId="15491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5" w:type="pct"/>
            <w:tcBorders>
              <w:top w:val="single" w:color="auto" w:sz="4" w:space="0"/>
              <w:left w:val="single" w:color="auto" w:sz="4" w:space="0"/>
              <w:bottom w:val="single" w:color="auto" w:sz="4" w:space="0"/>
              <w:right w:val="single" w:color="auto" w:sz="4" w:space="0"/>
            </w:tcBorders>
            <w:noWrap w:val="0"/>
            <w:vAlign w:val="center"/>
          </w:tcPr>
          <w:p w14:paraId="690906AA">
            <w:pPr>
              <w:pStyle w:val="74"/>
              <w:rPr>
                <w:rFonts w:hint="eastAsia"/>
                <w:color w:val="auto"/>
                <w:highlight w:val="none"/>
              </w:rPr>
            </w:pPr>
            <w:r>
              <w:rPr>
                <w:rFonts w:hint="eastAsia"/>
                <w:color w:val="auto"/>
                <w:highlight w:val="none"/>
              </w:rPr>
              <w:t>地下室施工阶段</w:t>
            </w:r>
          </w:p>
        </w:tc>
        <w:tc>
          <w:tcPr>
            <w:tcW w:w="4385" w:type="pct"/>
            <w:tcBorders>
              <w:top w:val="single" w:color="auto" w:sz="4" w:space="0"/>
              <w:left w:val="single" w:color="auto" w:sz="4" w:space="0"/>
              <w:bottom w:val="single" w:color="auto" w:sz="4" w:space="0"/>
              <w:right w:val="single" w:color="auto" w:sz="4" w:space="0"/>
            </w:tcBorders>
            <w:noWrap w:val="0"/>
            <w:vAlign w:val="center"/>
          </w:tcPr>
          <w:p w14:paraId="4F5482C0">
            <w:pPr>
              <w:pStyle w:val="74"/>
              <w:jc w:val="left"/>
              <w:rPr>
                <w:rFonts w:hint="eastAsia"/>
                <w:color w:val="auto"/>
                <w:highlight w:val="none"/>
              </w:rPr>
            </w:pPr>
            <w:r>
              <w:rPr>
                <w:rFonts w:hint="eastAsia"/>
                <w:color w:val="auto"/>
                <w:highlight w:val="none"/>
              </w:rPr>
              <w:t>1、施工现场及周边主要道路采用专人定时喷洒路面，保证道路清洁。</w:t>
            </w:r>
          </w:p>
          <w:p w14:paraId="2FD86374">
            <w:pPr>
              <w:pStyle w:val="74"/>
              <w:jc w:val="left"/>
              <w:rPr>
                <w:rFonts w:hint="eastAsia"/>
                <w:color w:val="auto"/>
                <w:highlight w:val="none"/>
              </w:rPr>
            </w:pPr>
            <w:r>
              <w:rPr>
                <w:rFonts w:hint="eastAsia"/>
                <w:color w:val="auto"/>
                <w:highlight w:val="none"/>
              </w:rPr>
              <w:t>2、确保施工现场材料存放区、加工区及模板存放场地平整硬化。</w:t>
            </w:r>
          </w:p>
          <w:p w14:paraId="1F4DBB17">
            <w:pPr>
              <w:pStyle w:val="74"/>
              <w:jc w:val="left"/>
              <w:rPr>
                <w:rFonts w:hint="eastAsia"/>
                <w:color w:val="auto"/>
                <w:highlight w:val="none"/>
              </w:rPr>
            </w:pPr>
            <w:r>
              <w:rPr>
                <w:rFonts w:hint="eastAsia"/>
                <w:color w:val="auto"/>
                <w:highlight w:val="none"/>
              </w:rPr>
              <w:t>3、确保施工现场所采用零星水泥采用袋装。主要考虑到砖胎膜砌筑抹灰时所用水泥量，即需即进，尽量减少水泥在场内存放的时间并且须有薄膜、布等覆盖。</w:t>
            </w:r>
          </w:p>
        </w:tc>
      </w:tr>
      <w:tr w14:paraId="11E5A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5" w:type="pct"/>
            <w:tcBorders>
              <w:top w:val="single" w:color="auto" w:sz="4" w:space="0"/>
              <w:left w:val="single" w:color="auto" w:sz="4" w:space="0"/>
              <w:bottom w:val="single" w:color="auto" w:sz="4" w:space="0"/>
              <w:right w:val="single" w:color="auto" w:sz="4" w:space="0"/>
            </w:tcBorders>
            <w:noWrap w:val="0"/>
            <w:vAlign w:val="center"/>
          </w:tcPr>
          <w:p w14:paraId="2BCF71BA">
            <w:pPr>
              <w:pStyle w:val="74"/>
              <w:rPr>
                <w:rFonts w:hint="eastAsia"/>
                <w:color w:val="auto"/>
                <w:highlight w:val="none"/>
              </w:rPr>
            </w:pPr>
            <w:r>
              <w:rPr>
                <w:rFonts w:hint="eastAsia"/>
                <w:color w:val="auto"/>
                <w:highlight w:val="none"/>
              </w:rPr>
              <w:t>地上施工阶段</w:t>
            </w:r>
          </w:p>
        </w:tc>
        <w:tc>
          <w:tcPr>
            <w:tcW w:w="4385" w:type="pct"/>
            <w:tcBorders>
              <w:top w:val="single" w:color="auto" w:sz="4" w:space="0"/>
              <w:left w:val="single" w:color="auto" w:sz="4" w:space="0"/>
              <w:bottom w:val="single" w:color="auto" w:sz="4" w:space="0"/>
              <w:right w:val="single" w:color="auto" w:sz="4" w:space="0"/>
            </w:tcBorders>
            <w:noWrap w:val="0"/>
            <w:vAlign w:val="center"/>
          </w:tcPr>
          <w:p w14:paraId="799632DC">
            <w:pPr>
              <w:pStyle w:val="74"/>
              <w:jc w:val="left"/>
              <w:rPr>
                <w:rFonts w:hint="eastAsia"/>
                <w:color w:val="auto"/>
                <w:highlight w:val="none"/>
              </w:rPr>
            </w:pPr>
            <w:r>
              <w:rPr>
                <w:rFonts w:hint="eastAsia"/>
                <w:color w:val="auto"/>
                <w:highlight w:val="none"/>
              </w:rPr>
              <w:t>1、施工现场建立封闭垃圾站，供楼层垃圾存放使用，办公区门口设临时的可移动垃圾桶，请场外清洁公司专门负责清理、外运。</w:t>
            </w:r>
          </w:p>
          <w:p w14:paraId="6234CCB2">
            <w:pPr>
              <w:pStyle w:val="74"/>
              <w:jc w:val="left"/>
              <w:rPr>
                <w:rFonts w:hint="eastAsia"/>
                <w:color w:val="auto"/>
                <w:highlight w:val="none"/>
              </w:rPr>
            </w:pPr>
            <w:r>
              <w:rPr>
                <w:rFonts w:hint="eastAsia"/>
                <w:color w:val="auto"/>
                <w:highlight w:val="none"/>
              </w:rPr>
              <w:t>2、建筑物内施工垃圾的清运，采用人工清理和吊斗运输，严禁凌空抛投。</w:t>
            </w:r>
          </w:p>
          <w:p w14:paraId="4DBFA295">
            <w:pPr>
              <w:pStyle w:val="74"/>
              <w:jc w:val="left"/>
              <w:rPr>
                <w:rFonts w:hint="eastAsia"/>
                <w:color w:val="auto"/>
                <w:highlight w:val="none"/>
              </w:rPr>
            </w:pPr>
            <w:r>
              <w:rPr>
                <w:rFonts w:hint="eastAsia"/>
                <w:color w:val="auto"/>
                <w:highlight w:val="none"/>
              </w:rPr>
              <w:t>3、施工现场大门口设置盆栽，以减少人流集中区域灰尘污染。</w:t>
            </w:r>
          </w:p>
        </w:tc>
      </w:tr>
      <w:tr w14:paraId="47FD6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15" w:type="pct"/>
            <w:tcBorders>
              <w:top w:val="single" w:color="auto" w:sz="4" w:space="0"/>
              <w:left w:val="single" w:color="auto" w:sz="4" w:space="0"/>
              <w:bottom w:val="single" w:color="auto" w:sz="4" w:space="0"/>
              <w:right w:val="single" w:color="auto" w:sz="4" w:space="0"/>
            </w:tcBorders>
            <w:noWrap w:val="0"/>
            <w:vAlign w:val="center"/>
          </w:tcPr>
          <w:p w14:paraId="4E093A0D">
            <w:pPr>
              <w:pStyle w:val="74"/>
              <w:rPr>
                <w:rFonts w:hint="eastAsia"/>
                <w:color w:val="auto"/>
                <w:highlight w:val="none"/>
              </w:rPr>
            </w:pPr>
            <w:r>
              <w:rPr>
                <w:rFonts w:hint="eastAsia"/>
                <w:color w:val="auto"/>
                <w:highlight w:val="none"/>
              </w:rPr>
              <w:t>装饰装修阶段</w:t>
            </w:r>
          </w:p>
        </w:tc>
        <w:tc>
          <w:tcPr>
            <w:tcW w:w="4385" w:type="pct"/>
            <w:tcBorders>
              <w:top w:val="single" w:color="auto" w:sz="4" w:space="0"/>
              <w:left w:val="single" w:color="auto" w:sz="4" w:space="0"/>
              <w:bottom w:val="single" w:color="auto" w:sz="4" w:space="0"/>
              <w:right w:val="single" w:color="auto" w:sz="4" w:space="0"/>
            </w:tcBorders>
            <w:noWrap w:val="0"/>
            <w:vAlign w:val="center"/>
          </w:tcPr>
          <w:p w14:paraId="744B55F6">
            <w:pPr>
              <w:pStyle w:val="74"/>
              <w:jc w:val="left"/>
              <w:rPr>
                <w:rFonts w:hint="eastAsia"/>
                <w:color w:val="auto"/>
                <w:highlight w:val="none"/>
              </w:rPr>
            </w:pPr>
            <w:r>
              <w:rPr>
                <w:rFonts w:hint="eastAsia"/>
                <w:color w:val="auto"/>
                <w:highlight w:val="none"/>
              </w:rPr>
              <w:t>1、对易产生扬尘的材料采取覆盖措施；对粉末状材料封闭存放；场区内可能引起扬尘的材料及建筑垃圾搬运制定降尘措施。</w:t>
            </w:r>
          </w:p>
          <w:p w14:paraId="7D7480ED">
            <w:pPr>
              <w:pStyle w:val="74"/>
              <w:jc w:val="left"/>
              <w:rPr>
                <w:rFonts w:hint="eastAsia"/>
                <w:color w:val="auto"/>
                <w:highlight w:val="none"/>
              </w:rPr>
            </w:pPr>
            <w:r>
              <w:rPr>
                <w:rFonts w:hint="eastAsia"/>
                <w:color w:val="auto"/>
                <w:highlight w:val="none"/>
              </w:rPr>
              <w:t>2、场内易扬尘颗粒建筑材料密闭存放，散状颗粒物材料进场后临时用密目网进行覆盖，控制此类一次进场量，边用边进，减少散发面积，用完后清扫干净。</w:t>
            </w:r>
          </w:p>
          <w:p w14:paraId="2A2A5C04">
            <w:pPr>
              <w:pStyle w:val="74"/>
              <w:jc w:val="left"/>
              <w:rPr>
                <w:rFonts w:hint="eastAsia"/>
                <w:color w:val="auto"/>
                <w:highlight w:val="none"/>
              </w:rPr>
            </w:pPr>
            <w:r>
              <w:rPr>
                <w:rFonts w:hint="eastAsia"/>
                <w:color w:val="auto"/>
                <w:highlight w:val="none"/>
              </w:rPr>
              <w:t>3、禁止在施工现场焚烧橡胶、塑料、皮革等废弃物品以及其他会产生有毒、有害烟尘和恶臭气体的物质。</w:t>
            </w:r>
          </w:p>
          <w:p w14:paraId="64FFBD28">
            <w:pPr>
              <w:pStyle w:val="74"/>
              <w:jc w:val="left"/>
              <w:rPr>
                <w:rFonts w:hint="eastAsia"/>
                <w:color w:val="auto"/>
                <w:highlight w:val="none"/>
              </w:rPr>
            </w:pPr>
            <w:r>
              <w:rPr>
                <w:rFonts w:hint="eastAsia"/>
                <w:color w:val="auto"/>
                <w:highlight w:val="none"/>
              </w:rPr>
              <w:t>4、水泥、砂浆的存放使用专用库房封闭处理，堆放稳定牢固、整齐有序。</w:t>
            </w:r>
          </w:p>
        </w:tc>
      </w:tr>
    </w:tbl>
    <w:p w14:paraId="24980BEA">
      <w:pPr>
        <w:pStyle w:val="97"/>
        <w:spacing w:before="24" w:beforeLines="10" w:after="24" w:afterLines="10" w:line="432" w:lineRule="auto"/>
        <w:ind w:firstLine="560"/>
        <w:rPr>
          <w:color w:val="auto"/>
          <w:sz w:val="24"/>
          <w:szCs w:val="24"/>
          <w:highlight w:val="none"/>
        </w:rPr>
      </w:pPr>
      <w:r>
        <w:rPr>
          <w:color w:val="auto"/>
          <w:sz w:val="24"/>
          <w:szCs w:val="24"/>
          <w:highlight w:val="none"/>
        </w:rPr>
        <w:t>2、噪音控制</w:t>
      </w:r>
      <w:bookmarkEnd w:id="403"/>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246"/>
      </w:tblGrid>
      <w:tr w14:paraId="0DE0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65F7A117">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DE213FF">
            <w:pPr>
              <w:pStyle w:val="74"/>
              <w:rPr>
                <w:rFonts w:hint="eastAsia"/>
                <w:color w:val="auto"/>
                <w:highlight w:val="none"/>
              </w:rPr>
            </w:pPr>
            <w:r>
              <w:rPr>
                <w:rFonts w:hint="eastAsia"/>
                <w:color w:val="auto"/>
                <w:highlight w:val="none"/>
              </w:rPr>
              <w:t>具体措施</w:t>
            </w:r>
          </w:p>
        </w:tc>
      </w:tr>
      <w:tr w14:paraId="4064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B1928E6">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C8AC128">
            <w:pPr>
              <w:pStyle w:val="74"/>
              <w:jc w:val="left"/>
              <w:rPr>
                <w:rFonts w:hint="eastAsia"/>
                <w:color w:val="auto"/>
                <w:highlight w:val="none"/>
              </w:rPr>
            </w:pPr>
            <w:r>
              <w:rPr>
                <w:rFonts w:hint="eastAsia"/>
                <w:color w:val="auto"/>
                <w:highlight w:val="none"/>
              </w:rPr>
              <w:t>施工现场根据国家标准《建筑施工场界噪声测量方法》和《建筑施工场地噪声限值》的要求制定降噪措施，并对施工现场噪声进行检测和记录，噪声排放禁止超过国家标准。</w:t>
            </w:r>
          </w:p>
        </w:tc>
      </w:tr>
      <w:tr w14:paraId="2629A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1D83618">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4704E85">
            <w:pPr>
              <w:pStyle w:val="74"/>
              <w:jc w:val="left"/>
              <w:rPr>
                <w:rFonts w:hint="eastAsia"/>
                <w:color w:val="auto"/>
                <w:highlight w:val="none"/>
              </w:rPr>
            </w:pPr>
            <w:r>
              <w:rPr>
                <w:rFonts w:hint="eastAsia"/>
                <w:color w:val="auto"/>
                <w:highlight w:val="none"/>
              </w:rPr>
              <w:t>运输材料的车辆进入施工现场，严禁鸣笛，装卸材料做到轻拿轻放。</w:t>
            </w:r>
          </w:p>
        </w:tc>
      </w:tr>
      <w:tr w14:paraId="35EA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7762C82">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05A391ED">
            <w:pPr>
              <w:pStyle w:val="74"/>
              <w:jc w:val="left"/>
              <w:rPr>
                <w:rFonts w:hint="eastAsia"/>
                <w:color w:val="auto"/>
                <w:highlight w:val="none"/>
              </w:rPr>
            </w:pPr>
            <w:r>
              <w:rPr>
                <w:rFonts w:hint="eastAsia"/>
                <w:color w:val="auto"/>
                <w:highlight w:val="none"/>
              </w:rPr>
              <w:t>对施工现场采用密目网进行围挡，作业层全封闭。</w:t>
            </w:r>
          </w:p>
        </w:tc>
      </w:tr>
      <w:tr w14:paraId="7C297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4598CC5">
            <w:pPr>
              <w:pStyle w:val="74"/>
              <w:rPr>
                <w:rFonts w:hint="eastAsia"/>
                <w:color w:val="auto"/>
                <w:highlight w:val="none"/>
              </w:rPr>
            </w:pPr>
            <w:r>
              <w:rPr>
                <w:rFonts w:hint="eastAsia"/>
                <w:color w:val="auto"/>
                <w:highlight w:val="none"/>
              </w:rPr>
              <w:t>4</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2A08F5E8">
            <w:pPr>
              <w:pStyle w:val="74"/>
              <w:jc w:val="left"/>
              <w:rPr>
                <w:rFonts w:hint="eastAsia"/>
                <w:color w:val="auto"/>
                <w:highlight w:val="none"/>
              </w:rPr>
            </w:pPr>
            <w:r>
              <w:rPr>
                <w:rFonts w:hint="eastAsia"/>
                <w:color w:val="auto"/>
                <w:highlight w:val="none"/>
              </w:rPr>
              <w:t>对噪音大的施工机具封闭使用，搭设封闭施工棚，尽量减少噪音。</w:t>
            </w:r>
          </w:p>
        </w:tc>
      </w:tr>
      <w:tr w14:paraId="04802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33600DA">
            <w:pPr>
              <w:pStyle w:val="74"/>
              <w:rPr>
                <w:rFonts w:hint="eastAsia"/>
                <w:color w:val="auto"/>
                <w:highlight w:val="none"/>
              </w:rPr>
            </w:pPr>
            <w:r>
              <w:rPr>
                <w:rFonts w:hint="eastAsia"/>
                <w:color w:val="auto"/>
                <w:highlight w:val="none"/>
              </w:rPr>
              <w:t>5</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157CF696">
            <w:pPr>
              <w:pStyle w:val="74"/>
              <w:jc w:val="left"/>
              <w:rPr>
                <w:rFonts w:hint="eastAsia"/>
                <w:color w:val="auto"/>
                <w:highlight w:val="none"/>
              </w:rPr>
            </w:pPr>
            <w:r>
              <w:rPr>
                <w:rFonts w:hint="eastAsia"/>
                <w:color w:val="auto"/>
                <w:highlight w:val="none"/>
              </w:rPr>
              <w:t>加强现场管理，严禁在施工过程中敲击钢管等导致噪声污染周围环境，尽量减少因人为原因引起的噪声污染。</w:t>
            </w:r>
          </w:p>
        </w:tc>
      </w:tr>
      <w:tr w14:paraId="0727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DDFDE69">
            <w:pPr>
              <w:pStyle w:val="74"/>
              <w:rPr>
                <w:rFonts w:hint="eastAsia"/>
                <w:color w:val="auto"/>
                <w:highlight w:val="none"/>
              </w:rPr>
            </w:pPr>
            <w:r>
              <w:rPr>
                <w:rFonts w:hint="eastAsia"/>
                <w:color w:val="auto"/>
                <w:highlight w:val="none"/>
              </w:rPr>
              <w:t>6</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C447949">
            <w:pPr>
              <w:pStyle w:val="74"/>
              <w:jc w:val="left"/>
              <w:rPr>
                <w:rFonts w:hint="eastAsia"/>
                <w:color w:val="auto"/>
                <w:highlight w:val="none"/>
              </w:rPr>
            </w:pPr>
            <w:r>
              <w:rPr>
                <w:rFonts w:hint="eastAsia"/>
                <w:color w:val="auto"/>
                <w:highlight w:val="none"/>
              </w:rPr>
              <w:t>教育施工人员严格遵守各项规章制度，文明施工，搬运料具如钢管、模板时轻拿轻放，严禁大声喧哗，以减少人为的噪音干扰。</w:t>
            </w:r>
          </w:p>
        </w:tc>
      </w:tr>
    </w:tbl>
    <w:p w14:paraId="0BBBFDE5">
      <w:pPr>
        <w:pStyle w:val="97"/>
        <w:spacing w:before="24" w:beforeLines="10" w:after="24" w:afterLines="10" w:line="432" w:lineRule="auto"/>
        <w:ind w:firstLine="560"/>
        <w:rPr>
          <w:color w:val="auto"/>
          <w:sz w:val="24"/>
          <w:szCs w:val="24"/>
          <w:highlight w:val="none"/>
        </w:rPr>
      </w:pPr>
      <w:r>
        <w:rPr>
          <w:color w:val="auto"/>
          <w:sz w:val="24"/>
          <w:szCs w:val="24"/>
          <w:highlight w:val="none"/>
        </w:rPr>
        <w:t>3、光污染控制</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246"/>
      </w:tblGrid>
      <w:tr w14:paraId="1F6C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9DA2EE6">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5A291C8">
            <w:pPr>
              <w:pStyle w:val="74"/>
              <w:rPr>
                <w:rFonts w:hint="eastAsia"/>
                <w:color w:val="auto"/>
                <w:highlight w:val="none"/>
              </w:rPr>
            </w:pPr>
            <w:r>
              <w:rPr>
                <w:rFonts w:hint="eastAsia"/>
                <w:color w:val="auto"/>
                <w:highlight w:val="none"/>
              </w:rPr>
              <w:t>具体措施</w:t>
            </w:r>
          </w:p>
        </w:tc>
      </w:tr>
      <w:tr w14:paraId="51229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2AB8258">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5BE83479">
            <w:pPr>
              <w:pStyle w:val="74"/>
              <w:jc w:val="left"/>
              <w:rPr>
                <w:rFonts w:hint="eastAsia"/>
                <w:color w:val="auto"/>
                <w:highlight w:val="none"/>
              </w:rPr>
            </w:pPr>
            <w:r>
              <w:rPr>
                <w:rFonts w:hint="eastAsia"/>
                <w:color w:val="auto"/>
                <w:highlight w:val="none"/>
              </w:rPr>
              <w:t>严格按照夜间现场施工情况启用照明设备，在夜间没有施工作业时，一律关掉探照灯等较大功率照明设备。</w:t>
            </w:r>
          </w:p>
        </w:tc>
      </w:tr>
      <w:tr w14:paraId="7564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2E0D328">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7692F8D3">
            <w:pPr>
              <w:pStyle w:val="74"/>
              <w:jc w:val="left"/>
              <w:rPr>
                <w:rFonts w:hint="eastAsia"/>
                <w:color w:val="auto"/>
                <w:highlight w:val="none"/>
              </w:rPr>
            </w:pPr>
            <w:r>
              <w:rPr>
                <w:rFonts w:hint="eastAsia"/>
                <w:color w:val="auto"/>
                <w:highlight w:val="none"/>
              </w:rPr>
              <w:t>在电焊施工期间，施工时在作业面外围做全封闭隔离，采取隔离罩等措施，防止电焊等产生的弧光防止对周围地区产生影响。</w:t>
            </w:r>
          </w:p>
        </w:tc>
      </w:tr>
      <w:tr w14:paraId="482A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9C7F167">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49BEBA34">
            <w:pPr>
              <w:pStyle w:val="74"/>
              <w:jc w:val="left"/>
              <w:rPr>
                <w:rFonts w:hint="eastAsia"/>
                <w:color w:val="auto"/>
                <w:highlight w:val="none"/>
              </w:rPr>
            </w:pPr>
            <w:r>
              <w:rPr>
                <w:rFonts w:hint="eastAsia"/>
                <w:color w:val="auto"/>
                <w:highlight w:val="none"/>
              </w:rPr>
              <w:t>地上施工阶段，尽量将照明设备设置在室内。</w:t>
            </w:r>
          </w:p>
        </w:tc>
      </w:tr>
    </w:tbl>
    <w:p w14:paraId="0AFC7B1E">
      <w:pPr>
        <w:pStyle w:val="97"/>
        <w:spacing w:before="24" w:beforeLines="10" w:after="24" w:afterLines="10" w:line="432" w:lineRule="auto"/>
        <w:ind w:firstLine="560"/>
        <w:rPr>
          <w:color w:val="auto"/>
          <w:sz w:val="24"/>
          <w:szCs w:val="24"/>
          <w:highlight w:val="none"/>
        </w:rPr>
      </w:pPr>
      <w:bookmarkStart w:id="404" w:name="_Toc296604938"/>
      <w:r>
        <w:rPr>
          <w:color w:val="auto"/>
          <w:sz w:val="24"/>
          <w:szCs w:val="24"/>
          <w:highlight w:val="none"/>
        </w:rPr>
        <w:t>4、水污染</w:t>
      </w:r>
      <w:bookmarkEnd w:id="404"/>
      <w:r>
        <w:rPr>
          <w:color w:val="auto"/>
          <w:sz w:val="24"/>
          <w:szCs w:val="24"/>
          <w:highlight w:val="none"/>
        </w:rPr>
        <w:t>控制</w:t>
      </w:r>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4120"/>
        <w:gridCol w:w="4126"/>
      </w:tblGrid>
      <w:tr w14:paraId="0F6BC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57A7EDEC">
            <w:pPr>
              <w:pStyle w:val="74"/>
              <w:rPr>
                <w:rFonts w:hint="eastAsia"/>
                <w:color w:val="auto"/>
                <w:highlight w:val="none"/>
              </w:rPr>
            </w:pPr>
            <w:r>
              <w:rPr>
                <w:rFonts w:hint="eastAsia"/>
                <w:color w:val="auto"/>
                <w:highlight w:val="none"/>
              </w:rPr>
              <w:t>序号</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87631AC">
            <w:pPr>
              <w:pStyle w:val="74"/>
              <w:rPr>
                <w:rFonts w:hint="eastAsia"/>
                <w:color w:val="auto"/>
                <w:highlight w:val="none"/>
              </w:rPr>
            </w:pPr>
            <w:r>
              <w:rPr>
                <w:rFonts w:hint="eastAsia"/>
                <w:color w:val="auto"/>
                <w:highlight w:val="none"/>
              </w:rPr>
              <w:t>具体措施</w:t>
            </w:r>
          </w:p>
        </w:tc>
      </w:tr>
      <w:tr w14:paraId="3AA7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259A9AD">
            <w:pPr>
              <w:pStyle w:val="74"/>
              <w:rPr>
                <w:rFonts w:hint="eastAsia"/>
                <w:color w:val="auto"/>
                <w:highlight w:val="none"/>
              </w:rPr>
            </w:pPr>
            <w:r>
              <w:rPr>
                <w:rFonts w:hint="eastAsia"/>
                <w:color w:val="auto"/>
                <w:highlight w:val="none"/>
              </w:rPr>
              <w:t>1</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8BEBEE8">
            <w:pPr>
              <w:pStyle w:val="74"/>
              <w:jc w:val="left"/>
              <w:rPr>
                <w:rFonts w:hint="eastAsia"/>
                <w:color w:val="auto"/>
                <w:highlight w:val="none"/>
              </w:rPr>
            </w:pPr>
            <w:r>
              <w:rPr>
                <w:rFonts w:hint="eastAsia"/>
                <w:color w:val="auto"/>
                <w:highlight w:val="none"/>
              </w:rPr>
              <w:t>混凝土输运泵及运输车辆清洗处设置洗车池及沉淀池。</w:t>
            </w:r>
          </w:p>
        </w:tc>
      </w:tr>
      <w:tr w14:paraId="3E5DC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549B9E6">
            <w:pPr>
              <w:pStyle w:val="74"/>
              <w:rPr>
                <w:rFonts w:hint="eastAsia"/>
                <w:color w:val="auto"/>
                <w:highlight w:val="none"/>
              </w:rPr>
            </w:pPr>
            <w:r>
              <w:rPr>
                <w:rFonts w:hint="eastAsia"/>
                <w:color w:val="auto"/>
                <w:highlight w:val="none"/>
              </w:rPr>
              <w:t>2</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610E9251">
            <w:pPr>
              <w:pStyle w:val="74"/>
              <w:jc w:val="left"/>
              <w:rPr>
                <w:rFonts w:hint="eastAsia"/>
                <w:color w:val="auto"/>
                <w:highlight w:val="none"/>
              </w:rPr>
            </w:pPr>
            <w:r>
              <w:rPr>
                <w:rFonts w:hint="eastAsia"/>
                <w:color w:val="auto"/>
                <w:highlight w:val="none"/>
              </w:rPr>
              <w:t>生活区食堂设隔油池，并及时清理。</w:t>
            </w:r>
          </w:p>
        </w:tc>
      </w:tr>
      <w:tr w14:paraId="24DD1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9EA9B37">
            <w:pPr>
              <w:pStyle w:val="74"/>
              <w:rPr>
                <w:rFonts w:hint="eastAsia"/>
                <w:color w:val="auto"/>
                <w:highlight w:val="none"/>
              </w:rPr>
            </w:pPr>
            <w:r>
              <w:rPr>
                <w:rFonts w:hint="eastAsia"/>
                <w:color w:val="auto"/>
                <w:highlight w:val="none"/>
              </w:rPr>
              <w:t>3</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7CE9B86F">
            <w:pPr>
              <w:pStyle w:val="74"/>
              <w:jc w:val="left"/>
              <w:rPr>
                <w:rFonts w:hint="eastAsia"/>
                <w:color w:val="auto"/>
                <w:highlight w:val="none"/>
              </w:rPr>
            </w:pPr>
            <w:r>
              <w:rPr>
                <w:rFonts w:hint="eastAsia"/>
                <w:color w:val="auto"/>
                <w:highlight w:val="none"/>
              </w:rPr>
              <w:t>施工现场的油料、稀料、油漆等，必须存放库房内，库房地面必须进行防渗处理，物资存储和使用时，必须防止出现跑、冒、滴、漏现象，避免污染地下水体。</w:t>
            </w:r>
          </w:p>
        </w:tc>
      </w:tr>
      <w:tr w14:paraId="01725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77DDAA66">
            <w:pPr>
              <w:pStyle w:val="74"/>
              <w:rPr>
                <w:rFonts w:hint="eastAsia"/>
                <w:color w:val="auto"/>
                <w:highlight w:val="none"/>
              </w:rPr>
            </w:pPr>
            <w:r>
              <w:rPr>
                <w:rFonts w:hint="eastAsia"/>
                <w:color w:val="auto"/>
                <w:highlight w:val="none"/>
              </w:rPr>
              <w:t>4</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45605202">
            <w:pPr>
              <w:pStyle w:val="74"/>
              <w:jc w:val="left"/>
              <w:rPr>
                <w:rFonts w:hint="eastAsia"/>
                <w:color w:val="auto"/>
                <w:highlight w:val="none"/>
              </w:rPr>
            </w:pPr>
            <w:r>
              <w:rPr>
                <w:rFonts w:hint="eastAsia"/>
                <w:color w:val="auto"/>
                <w:highlight w:val="none"/>
              </w:rPr>
              <w:t>地上施工阶段时，结合现场实际情况，在楼层内设置临时移动厕所，每三层设置一个，定期清理。</w:t>
            </w:r>
          </w:p>
        </w:tc>
      </w:tr>
      <w:tr w14:paraId="6EA8C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9A82C31">
            <w:pPr>
              <w:pStyle w:val="74"/>
              <w:rPr>
                <w:rFonts w:hint="eastAsia"/>
                <w:color w:val="auto"/>
                <w:highlight w:val="none"/>
              </w:rPr>
            </w:pPr>
            <w:r>
              <w:rPr>
                <w:rFonts w:hint="eastAsia"/>
                <w:color w:val="auto"/>
                <w:highlight w:val="none"/>
              </w:rPr>
              <w:t>5</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583D0F5C">
            <w:pPr>
              <w:pStyle w:val="74"/>
              <w:jc w:val="left"/>
              <w:rPr>
                <w:rFonts w:hint="eastAsia"/>
                <w:color w:val="auto"/>
                <w:highlight w:val="none"/>
              </w:rPr>
            </w:pPr>
            <w:r>
              <w:rPr>
                <w:rFonts w:hint="eastAsia"/>
                <w:color w:val="auto"/>
                <w:highlight w:val="none"/>
              </w:rPr>
              <w:t>隔油池设置：生活区食堂洗碗池下方设钢制隔油池，每天清扫、清洗，每周一次清理隔油池，食物残渣桶每天晚间由专门清洁人员收走。</w:t>
            </w:r>
          </w:p>
        </w:tc>
      </w:tr>
      <w:tr w14:paraId="6D15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7C2BDC3">
            <w:pPr>
              <w:pStyle w:val="74"/>
              <w:rPr>
                <w:rFonts w:hint="eastAsia"/>
                <w:color w:val="auto"/>
                <w:highlight w:val="none"/>
              </w:rPr>
            </w:pPr>
            <w:r>
              <w:rPr>
                <w:rFonts w:hint="eastAsia"/>
                <w:color w:val="auto"/>
                <w:highlight w:val="none"/>
              </w:rPr>
              <w:t>6</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2CE838B">
            <w:pPr>
              <w:pStyle w:val="74"/>
              <w:jc w:val="left"/>
              <w:rPr>
                <w:rFonts w:hint="eastAsia"/>
                <w:color w:val="auto"/>
                <w:highlight w:val="none"/>
              </w:rPr>
            </w:pPr>
            <w:r>
              <w:rPr>
                <w:rFonts w:hint="eastAsia"/>
                <w:color w:val="auto"/>
                <w:highlight w:val="none"/>
              </w:rPr>
              <w:t>现场厕所采用水冲式，化粪池经过沉淀后，由有资质的环卫部门对化粪池进行清运。</w:t>
            </w:r>
          </w:p>
        </w:tc>
      </w:tr>
      <w:tr w14:paraId="4FA8D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E3586F3">
            <w:pPr>
              <w:pStyle w:val="74"/>
              <w:rPr>
                <w:rFonts w:hint="eastAsia"/>
                <w:color w:val="auto"/>
                <w:highlight w:val="none"/>
              </w:rPr>
            </w:pPr>
            <w:r>
              <w:rPr>
                <w:rFonts w:hint="eastAsia"/>
                <w:color w:val="auto"/>
                <w:highlight w:val="none"/>
              </w:rPr>
              <w:t>7</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67FE714">
            <w:pPr>
              <w:pStyle w:val="74"/>
              <w:jc w:val="left"/>
              <w:rPr>
                <w:rFonts w:hint="eastAsia"/>
                <w:color w:val="auto"/>
                <w:highlight w:val="none"/>
              </w:rPr>
            </w:pPr>
            <w:r>
              <w:rPr>
                <w:rFonts w:hint="eastAsia"/>
                <w:color w:val="auto"/>
                <w:highlight w:val="none"/>
              </w:rPr>
              <w:t>现场交通道路和材料堆放场地统一规划排水沟，控制污水流向，设置沉淀池，将污水经沉淀后再排入市政污水管线，严防施工污水直接排入市政污水管线或流出施工区域污染环境。</w:t>
            </w:r>
          </w:p>
        </w:tc>
      </w:tr>
      <w:tr w14:paraId="0963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4B589D4">
            <w:pPr>
              <w:pStyle w:val="74"/>
              <w:rPr>
                <w:rFonts w:hint="eastAsia"/>
                <w:color w:val="auto"/>
                <w:highlight w:val="none"/>
              </w:rPr>
            </w:pPr>
            <w:r>
              <w:rPr>
                <w:rFonts w:hint="eastAsia"/>
                <w:color w:val="auto"/>
                <w:highlight w:val="none"/>
              </w:rPr>
              <w:t>8</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72C90A3">
            <w:pPr>
              <w:pStyle w:val="74"/>
              <w:jc w:val="left"/>
              <w:rPr>
                <w:rFonts w:hint="eastAsia"/>
                <w:color w:val="auto"/>
                <w:highlight w:val="none"/>
              </w:rPr>
            </w:pPr>
            <w:r>
              <w:rPr>
                <w:rFonts w:hint="eastAsia"/>
                <w:color w:val="auto"/>
                <w:highlight w:val="none"/>
              </w:rPr>
              <w:t>清洗机械排出的污水，要有组织地通过现场排水系统，经沉淀后排入市政排水管道。机械润滑油流入专设油池集中处理，不准直接排入下水道，铁屑杂物回收处理。混凝土泵、搅拌车及其他运输车辆出现场需清洗，清洗处设置沉淀池。废水排入沉淀池内，经二次沉淀后，再排入市政污水管线或回收用于洒水降尘。未经处理的泥浆水，严禁直接排入市政排水系统。</w:t>
            </w:r>
          </w:p>
        </w:tc>
      </w:tr>
      <w:tr w14:paraId="38394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83552EA">
            <w:pPr>
              <w:pStyle w:val="74"/>
              <w:rPr>
                <w:rFonts w:hint="eastAsia"/>
                <w:color w:val="auto"/>
                <w:highlight w:val="none"/>
              </w:rPr>
            </w:pPr>
            <w:r>
              <w:rPr>
                <w:rFonts w:hint="eastAsia"/>
                <w:color w:val="auto"/>
                <w:highlight w:val="none"/>
              </w:rPr>
              <w:t>9</w:t>
            </w:r>
          </w:p>
        </w:tc>
        <w:tc>
          <w:tcPr>
            <w:tcW w:w="2274" w:type="pct"/>
            <w:tcBorders>
              <w:top w:val="single" w:color="auto" w:sz="4" w:space="0"/>
              <w:left w:val="single" w:color="auto" w:sz="4" w:space="0"/>
              <w:bottom w:val="single" w:color="auto" w:sz="4" w:space="0"/>
              <w:right w:val="single" w:color="auto" w:sz="4" w:space="0"/>
            </w:tcBorders>
            <w:noWrap w:val="0"/>
            <w:vAlign w:val="center"/>
          </w:tcPr>
          <w:p w14:paraId="67608181">
            <w:pPr>
              <w:pStyle w:val="74"/>
              <w:rPr>
                <w:rFonts w:hint="eastAsia"/>
                <w:color w:val="auto"/>
                <w:highlight w:val="none"/>
              </w:rPr>
            </w:pP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"I:\\1、投标管理\\1、投标管理2024\\Documents\\新建文件夹\\WeChat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"I:\\1、投标管理\\1、投标管理2024\\Documents\\新建文件夹\\WeChat Files\\wxid_13rqtoq3welw22\\01.工作\\16.投标\\2022年投标\\HP\\AppData\\Local\\Temp\\ksohtml16080\\wps1.png" \* MERGEFORMATINET </w:instrText>
            </w:r>
            <w:r>
              <w:rPr>
                <w:rFonts w:hint="eastAsia"/>
                <w:color w:val="auto"/>
                <w:highlight w:val="none"/>
              </w:rPr>
              <w:fldChar w:fldCharType="separate"/>
            </w:r>
            <w:r>
              <w:rPr>
                <w:rFonts w:hint="eastAsia"/>
                <w:color w:val="auto"/>
                <w:highlight w:val="none"/>
              </w:rPr>
              <w:fldChar w:fldCharType="begin"/>
            </w:r>
            <w:r>
              <w:rPr>
                <w:color w:val="auto"/>
              </w:rPr>
              <w:instrText xml:space="preserve"> INCLUDEPICTURE "../../Documents/WeChat Files/wxid_ytwphxfekv6z22/FileStorage/File/05打印版/郭郭思密达/Documents/WXWorkLocal/Documents/新建文件夹/WeChat%2520Files/wxid_13rqtoq3welw22/01.工作/16.投标/2022年投标/HP/AppData/Local/Temp/ksohtml16080/wps1.png" \* MERGEFORMAT </w:instrText>
            </w:r>
            <w:r>
              <w:rPr>
                <w:rFonts w:hint="eastAsia"/>
                <w:color w:val="auto"/>
                <w:highlight w:val="none"/>
              </w:rPr>
              <w:fldChar w:fldCharType="separate"/>
            </w:r>
            <w:r>
              <w:rPr>
                <w:rFonts w:hint="eastAsia"/>
                <w:color w:val="auto"/>
                <w:highlight w:val="none"/>
              </w:rPr>
              <w:drawing>
                <wp:inline distT="0" distB="0" distL="114300" distR="114300">
                  <wp:extent cx="1931670" cy="1370965"/>
                  <wp:effectExtent l="0" t="0" r="11430" b="635"/>
                  <wp:docPr id="81" name="图片 25"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5" descr="wps1"/>
                          <pic:cNvPicPr>
                            <a:picLocks noChangeAspect="1"/>
                          </pic:cNvPicPr>
                        </pic:nvPicPr>
                        <pic:blipFill>
                          <a:blip r:embed="rId254"/>
                          <a:srcRect r="5035"/>
                          <a:stretch>
                            <a:fillRect/>
                          </a:stretch>
                        </pic:blipFill>
                        <pic:spPr>
                          <a:xfrm>
                            <a:off x="0" y="0"/>
                            <a:ext cx="1931670" cy="1370965"/>
                          </a:xfrm>
                          <a:prstGeom prst="rect">
                            <a:avLst/>
                          </a:prstGeom>
                          <a:noFill/>
                          <a:ln>
                            <a:noFill/>
                          </a:ln>
                        </pic:spPr>
                      </pic:pic>
                    </a:graphicData>
                  </a:graphic>
                </wp:inline>
              </w:drawing>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p>
          <w:p w14:paraId="1634A009">
            <w:pPr>
              <w:pStyle w:val="74"/>
              <w:rPr>
                <w:rFonts w:hint="eastAsia"/>
                <w:color w:val="auto"/>
                <w:highlight w:val="none"/>
              </w:rPr>
            </w:pPr>
            <w:r>
              <w:rPr>
                <w:rFonts w:hint="eastAsia"/>
                <w:color w:val="auto"/>
                <w:highlight w:val="none"/>
              </w:rPr>
              <w:t>洗污水回收池</w:t>
            </w:r>
          </w:p>
        </w:tc>
        <w:tc>
          <w:tcPr>
            <w:tcW w:w="2277" w:type="pct"/>
            <w:tcBorders>
              <w:top w:val="single" w:color="auto" w:sz="4" w:space="0"/>
              <w:left w:val="single" w:color="auto" w:sz="4" w:space="0"/>
              <w:bottom w:val="single" w:color="auto" w:sz="4" w:space="0"/>
              <w:right w:val="single" w:color="auto" w:sz="4" w:space="0"/>
            </w:tcBorders>
            <w:noWrap w:val="0"/>
            <w:vAlign w:val="center"/>
          </w:tcPr>
          <w:p w14:paraId="55CB5FBA">
            <w:pPr>
              <w:pStyle w:val="74"/>
              <w:rPr>
                <w:rFonts w:hint="eastAsia"/>
                <w:color w:val="auto"/>
                <w:highlight w:val="none"/>
              </w:rPr>
            </w:pP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"G:\\..\\..\\Documents\\新建文件夹\\WeChat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"I:\\1、投标管理\\1、投标管理2024\\Documents\\新建文件夹\\WeChat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INCLUDEPICTURE  "I:\\1、投标管理\\1、投标管理2024\\Documents\\新建文件夹\\WeChat Files\\wxid_13rqtoq3welw22\\01.工作\\16.投标\\2022年投标\\HP\\AppData\\Local\\Temp\\ksohtml16080\\wps3.png" \* MERGEFORMATINET </w:instrText>
            </w:r>
            <w:r>
              <w:rPr>
                <w:rFonts w:hint="eastAsia"/>
                <w:color w:val="auto"/>
                <w:highlight w:val="none"/>
              </w:rPr>
              <w:fldChar w:fldCharType="separate"/>
            </w:r>
            <w:r>
              <w:rPr>
                <w:rFonts w:hint="eastAsia"/>
                <w:color w:val="auto"/>
                <w:highlight w:val="none"/>
              </w:rPr>
              <w:fldChar w:fldCharType="begin"/>
            </w:r>
            <w:r>
              <w:rPr>
                <w:color w:val="auto"/>
              </w:rPr>
              <w:instrText xml:space="preserve"> INCLUDEPICTURE "../../Documents/WeChat Files/wxid_ytwphxfekv6z22/FileStorage/File/05打印版/郭郭思密达/Documents/WXWorkLocal/Documents/新建文件夹/WeChat%2520Files/wxid_13rqtoq3welw22/01.工作/16.投标/2022年投标/HP/AppData/Local/Temp/ksohtml16080/wps3.png" \* MERGEFORMAT </w:instrText>
            </w:r>
            <w:r>
              <w:rPr>
                <w:rFonts w:hint="eastAsia"/>
                <w:color w:val="auto"/>
                <w:highlight w:val="none"/>
              </w:rPr>
              <w:fldChar w:fldCharType="separate"/>
            </w:r>
            <w:r>
              <w:rPr>
                <w:rFonts w:hint="eastAsia"/>
                <w:color w:val="auto"/>
                <w:highlight w:val="none"/>
              </w:rPr>
              <w:drawing>
                <wp:inline distT="0" distB="0" distL="114300" distR="114300">
                  <wp:extent cx="2147570" cy="1381125"/>
                  <wp:effectExtent l="0" t="0" r="11430" b="3175"/>
                  <wp:docPr id="77" name="图片 26" descr="wp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26" descr="wps3"/>
                          <pic:cNvPicPr>
                            <a:picLocks noChangeAspect="1"/>
                          </pic:cNvPicPr>
                        </pic:nvPicPr>
                        <pic:blipFill>
                          <a:blip r:embed="rId255"/>
                          <a:stretch>
                            <a:fillRect/>
                          </a:stretch>
                        </pic:blipFill>
                        <pic:spPr>
                          <a:xfrm>
                            <a:off x="0" y="0"/>
                            <a:ext cx="2147570" cy="1381125"/>
                          </a:xfrm>
                          <a:prstGeom prst="rect">
                            <a:avLst/>
                          </a:prstGeom>
                          <a:noFill/>
                          <a:ln>
                            <a:noFill/>
                          </a:ln>
                        </pic:spPr>
                      </pic:pic>
                    </a:graphicData>
                  </a:graphic>
                </wp:inline>
              </w:drawing>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r>
              <w:rPr>
                <w:rFonts w:hint="eastAsia"/>
                <w:color w:val="auto"/>
                <w:highlight w:val="none"/>
              </w:rPr>
              <w:fldChar w:fldCharType="end"/>
            </w:r>
          </w:p>
          <w:p w14:paraId="232125BA">
            <w:pPr>
              <w:pStyle w:val="74"/>
              <w:rPr>
                <w:rFonts w:hint="eastAsia"/>
                <w:color w:val="auto"/>
                <w:highlight w:val="none"/>
              </w:rPr>
            </w:pPr>
            <w:r>
              <w:rPr>
                <w:rFonts w:hint="eastAsia"/>
                <w:color w:val="auto"/>
                <w:highlight w:val="none"/>
              </w:rPr>
              <w:t>隔油池清理</w:t>
            </w:r>
          </w:p>
        </w:tc>
      </w:tr>
    </w:tbl>
    <w:p w14:paraId="5D6D3FA3">
      <w:pPr>
        <w:pStyle w:val="97"/>
        <w:spacing w:before="24" w:beforeLines="10" w:after="24" w:afterLines="10" w:line="432" w:lineRule="auto"/>
        <w:ind w:firstLine="560"/>
        <w:rPr>
          <w:color w:val="auto"/>
          <w:sz w:val="24"/>
          <w:szCs w:val="24"/>
          <w:highlight w:val="none"/>
        </w:rPr>
      </w:pPr>
      <w:bookmarkStart w:id="405" w:name="_Toc296604939"/>
      <w:bookmarkStart w:id="406" w:name="_Toc296604940"/>
      <w:r>
        <w:rPr>
          <w:color w:val="auto"/>
          <w:sz w:val="24"/>
          <w:szCs w:val="24"/>
          <w:highlight w:val="none"/>
        </w:rPr>
        <w:t>5、土壤保护</w:t>
      </w:r>
      <w:bookmarkEnd w:id="405"/>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4119"/>
        <w:gridCol w:w="4128"/>
      </w:tblGrid>
      <w:tr w14:paraId="58CE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97924F7">
            <w:pPr>
              <w:pStyle w:val="74"/>
              <w:rPr>
                <w:rFonts w:hint="eastAsia"/>
                <w:color w:val="auto"/>
                <w:highlight w:val="none"/>
              </w:rPr>
            </w:pP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4176050">
            <w:pPr>
              <w:pStyle w:val="74"/>
              <w:rPr>
                <w:rFonts w:hint="eastAsia"/>
                <w:color w:val="auto"/>
                <w:highlight w:val="none"/>
              </w:rPr>
            </w:pPr>
            <w:r>
              <w:rPr>
                <w:rFonts w:hint="eastAsia"/>
                <w:color w:val="auto"/>
                <w:highlight w:val="none"/>
              </w:rPr>
              <w:t>具体措施</w:t>
            </w:r>
          </w:p>
        </w:tc>
      </w:tr>
      <w:tr w14:paraId="28A2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39BA972D">
            <w:pPr>
              <w:pStyle w:val="74"/>
              <w:rPr>
                <w:rFonts w:hint="eastAsia"/>
                <w:color w:val="auto"/>
                <w:highlight w:val="none"/>
              </w:rPr>
            </w:pPr>
            <w:r>
              <w:rPr>
                <w:rFonts w:hint="eastAsia"/>
                <w:color w:val="auto"/>
                <w:highlight w:val="none"/>
              </w:rPr>
              <w:t>1</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DD6CEDF">
            <w:pPr>
              <w:pStyle w:val="74"/>
              <w:jc w:val="left"/>
              <w:rPr>
                <w:rFonts w:hint="eastAsia"/>
                <w:color w:val="auto"/>
                <w:highlight w:val="none"/>
              </w:rPr>
            </w:pPr>
            <w:r>
              <w:rPr>
                <w:rFonts w:hint="eastAsia"/>
                <w:color w:val="auto"/>
                <w:highlight w:val="none"/>
              </w:rPr>
              <w:t>办公、生活区临时设施采用二层活动房，减少占地面积。</w:t>
            </w:r>
          </w:p>
        </w:tc>
      </w:tr>
      <w:tr w14:paraId="3CDAF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230D6547">
            <w:pPr>
              <w:pStyle w:val="74"/>
              <w:rPr>
                <w:rFonts w:hint="eastAsia"/>
                <w:color w:val="auto"/>
                <w:highlight w:val="none"/>
              </w:rPr>
            </w:pPr>
            <w:r>
              <w:rPr>
                <w:rFonts w:hint="eastAsia"/>
                <w:color w:val="auto"/>
                <w:highlight w:val="none"/>
              </w:rPr>
              <w:t>2</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131757E5">
            <w:pPr>
              <w:pStyle w:val="74"/>
              <w:jc w:val="left"/>
              <w:rPr>
                <w:rFonts w:hint="eastAsia"/>
                <w:color w:val="auto"/>
                <w:highlight w:val="none"/>
              </w:rPr>
            </w:pPr>
            <w:r>
              <w:rPr>
                <w:rFonts w:hint="eastAsia"/>
                <w:color w:val="auto"/>
                <w:highlight w:val="none"/>
              </w:rPr>
              <w:t>所有油品、用油的机械设备下方设置接油盘，防止油品污染土地。</w:t>
            </w:r>
          </w:p>
        </w:tc>
      </w:tr>
      <w:tr w14:paraId="6B85C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06660E8F">
            <w:pPr>
              <w:pStyle w:val="74"/>
              <w:rPr>
                <w:rFonts w:hint="eastAsia"/>
                <w:color w:val="auto"/>
                <w:highlight w:val="none"/>
              </w:rPr>
            </w:pPr>
            <w:r>
              <w:rPr>
                <w:rFonts w:hint="eastAsia"/>
                <w:color w:val="auto"/>
                <w:highlight w:val="none"/>
              </w:rPr>
              <w:t>3</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3AF26516">
            <w:pPr>
              <w:pStyle w:val="74"/>
              <w:jc w:val="left"/>
              <w:rPr>
                <w:rFonts w:hint="eastAsia"/>
                <w:color w:val="auto"/>
                <w:highlight w:val="none"/>
              </w:rPr>
            </w:pPr>
            <w:r>
              <w:rPr>
                <w:rFonts w:hint="eastAsia"/>
                <w:color w:val="auto"/>
                <w:highlight w:val="none"/>
              </w:rPr>
              <w:t>现场雨水、洗车经沉淀池后排入市政雨水管道，避免水流带走地表土。</w:t>
            </w:r>
          </w:p>
        </w:tc>
      </w:tr>
      <w:tr w14:paraId="7083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1CB06DE8">
            <w:pPr>
              <w:pStyle w:val="74"/>
              <w:rPr>
                <w:rFonts w:hint="eastAsia"/>
                <w:color w:val="auto"/>
                <w:highlight w:val="none"/>
              </w:rPr>
            </w:pPr>
            <w:r>
              <w:rPr>
                <w:rFonts w:hint="eastAsia"/>
                <w:color w:val="auto"/>
                <w:highlight w:val="none"/>
              </w:rPr>
              <w:t>4</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D75BCEB">
            <w:pPr>
              <w:pStyle w:val="74"/>
              <w:jc w:val="left"/>
              <w:rPr>
                <w:rFonts w:hint="eastAsia"/>
                <w:color w:val="auto"/>
                <w:highlight w:val="none"/>
              </w:rPr>
            </w:pPr>
            <w:r>
              <w:rPr>
                <w:rFonts w:hint="eastAsia"/>
                <w:color w:val="auto"/>
                <w:highlight w:val="none"/>
              </w:rPr>
              <w:t>所有隔油池、沉淀池、化粪池等做到不发生堵塞、渗漏、溢出等现象。</w:t>
            </w:r>
          </w:p>
        </w:tc>
      </w:tr>
      <w:tr w14:paraId="0DAF0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0AF7C1A">
            <w:pPr>
              <w:pStyle w:val="74"/>
              <w:rPr>
                <w:rFonts w:hint="eastAsia"/>
                <w:color w:val="auto"/>
                <w:highlight w:val="none"/>
              </w:rPr>
            </w:pPr>
            <w:r>
              <w:rPr>
                <w:rFonts w:hint="eastAsia"/>
                <w:color w:val="auto"/>
                <w:highlight w:val="none"/>
              </w:rPr>
              <w:t>5</w:t>
            </w:r>
          </w:p>
        </w:tc>
        <w:tc>
          <w:tcPr>
            <w:tcW w:w="4551" w:type="pct"/>
            <w:gridSpan w:val="2"/>
            <w:tcBorders>
              <w:top w:val="single" w:color="auto" w:sz="4" w:space="0"/>
              <w:left w:val="single" w:color="auto" w:sz="4" w:space="0"/>
              <w:bottom w:val="single" w:color="auto" w:sz="4" w:space="0"/>
              <w:right w:val="single" w:color="auto" w:sz="4" w:space="0"/>
            </w:tcBorders>
            <w:noWrap w:val="0"/>
            <w:vAlign w:val="center"/>
          </w:tcPr>
          <w:p w14:paraId="08F18F0C">
            <w:pPr>
              <w:pStyle w:val="74"/>
              <w:jc w:val="left"/>
              <w:rPr>
                <w:rFonts w:hint="eastAsia"/>
                <w:color w:val="auto"/>
                <w:highlight w:val="none"/>
              </w:rPr>
            </w:pPr>
            <w:r>
              <w:rPr>
                <w:rFonts w:hint="eastAsia"/>
                <w:color w:val="auto"/>
                <w:highlight w:val="none"/>
              </w:rPr>
              <w:t>对于有毒有害废弃物如电池、墨盒、油漆、涂料等回收后交有资质的单位处理，不作为建筑垃圾外运，避免污染土壤和地下水。</w:t>
            </w:r>
          </w:p>
        </w:tc>
      </w:tr>
      <w:tr w14:paraId="7CD2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63E4E8F3">
            <w:pPr>
              <w:pStyle w:val="74"/>
              <w:rPr>
                <w:rFonts w:hint="eastAsia"/>
                <w:color w:val="auto"/>
                <w:highlight w:val="none"/>
              </w:rPr>
            </w:pPr>
            <w:r>
              <w:rPr>
                <w:rFonts w:hint="eastAsia"/>
                <w:color w:val="auto"/>
                <w:highlight w:val="none"/>
              </w:rPr>
              <w:t>6</w:t>
            </w:r>
          </w:p>
        </w:tc>
        <w:tc>
          <w:tcPr>
            <w:tcW w:w="2273" w:type="pct"/>
            <w:tcBorders>
              <w:top w:val="single" w:color="auto" w:sz="4" w:space="0"/>
              <w:left w:val="single" w:color="auto" w:sz="4" w:space="0"/>
              <w:bottom w:val="single" w:color="auto" w:sz="4" w:space="0"/>
              <w:right w:val="single" w:color="auto" w:sz="4" w:space="0"/>
            </w:tcBorders>
            <w:noWrap w:val="0"/>
            <w:vAlign w:val="center"/>
          </w:tcPr>
          <w:p w14:paraId="57F13EA7">
            <w:pPr>
              <w:pStyle w:val="74"/>
              <w:rPr>
                <w:rFonts w:hint="eastAsia"/>
                <w:color w:val="auto"/>
                <w:highlight w:val="none"/>
              </w:rPr>
            </w:pPr>
            <w:r>
              <w:rPr>
                <w:rFonts w:hint="eastAsia"/>
                <w:color w:val="auto"/>
                <w:highlight w:val="none"/>
              </w:rPr>
              <w:drawing>
                <wp:inline distT="0" distB="0" distL="114300" distR="114300">
                  <wp:extent cx="2289175" cy="1402715"/>
                  <wp:effectExtent l="0" t="0" r="9525" b="6985"/>
                  <wp:docPr id="79"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7"/>
                          <pic:cNvPicPr>
                            <a:picLocks noChangeAspect="1"/>
                          </pic:cNvPicPr>
                        </pic:nvPicPr>
                        <pic:blipFill>
                          <a:blip r:embed="rId256"/>
                          <a:stretch>
                            <a:fillRect/>
                          </a:stretch>
                        </pic:blipFill>
                        <pic:spPr>
                          <a:xfrm>
                            <a:off x="0" y="0"/>
                            <a:ext cx="2289175" cy="1402715"/>
                          </a:xfrm>
                          <a:prstGeom prst="rect">
                            <a:avLst/>
                          </a:prstGeom>
                          <a:noFill/>
                          <a:ln>
                            <a:noFill/>
                          </a:ln>
                        </pic:spPr>
                      </pic:pic>
                    </a:graphicData>
                  </a:graphic>
                </wp:inline>
              </w:drawing>
            </w:r>
          </w:p>
          <w:p w14:paraId="5E5D9996">
            <w:pPr>
              <w:pStyle w:val="74"/>
              <w:rPr>
                <w:rFonts w:hint="eastAsia"/>
                <w:color w:val="auto"/>
                <w:highlight w:val="none"/>
              </w:rPr>
            </w:pPr>
            <w:r>
              <w:rPr>
                <w:rFonts w:hint="eastAsia"/>
                <w:color w:val="auto"/>
                <w:highlight w:val="none"/>
              </w:rPr>
              <w:t>办公生活区场地绿化</w:t>
            </w:r>
          </w:p>
        </w:tc>
        <w:tc>
          <w:tcPr>
            <w:tcW w:w="2278" w:type="pct"/>
            <w:tcBorders>
              <w:top w:val="single" w:color="auto" w:sz="4" w:space="0"/>
              <w:left w:val="single" w:color="auto" w:sz="4" w:space="0"/>
              <w:bottom w:val="single" w:color="auto" w:sz="4" w:space="0"/>
              <w:right w:val="single" w:color="auto" w:sz="4" w:space="0"/>
            </w:tcBorders>
            <w:noWrap w:val="0"/>
            <w:vAlign w:val="center"/>
          </w:tcPr>
          <w:p w14:paraId="12D49288">
            <w:pPr>
              <w:pStyle w:val="74"/>
              <w:rPr>
                <w:rFonts w:hint="eastAsia"/>
                <w:color w:val="auto"/>
                <w:highlight w:val="none"/>
              </w:rPr>
            </w:pPr>
            <w:r>
              <w:rPr>
                <w:rFonts w:hint="eastAsia"/>
                <w:color w:val="auto"/>
                <w:highlight w:val="none"/>
              </w:rPr>
              <w:drawing>
                <wp:inline distT="0" distB="0" distL="114300" distR="114300">
                  <wp:extent cx="2097405" cy="1414780"/>
                  <wp:effectExtent l="0" t="0" r="10795" b="7620"/>
                  <wp:docPr id="7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28"/>
                          <pic:cNvPicPr>
                            <a:picLocks noChangeAspect="1"/>
                          </pic:cNvPicPr>
                        </pic:nvPicPr>
                        <pic:blipFill>
                          <a:blip r:embed="rId257"/>
                          <a:stretch>
                            <a:fillRect/>
                          </a:stretch>
                        </pic:blipFill>
                        <pic:spPr>
                          <a:xfrm>
                            <a:off x="0" y="0"/>
                            <a:ext cx="2097405" cy="1414780"/>
                          </a:xfrm>
                          <a:prstGeom prst="rect">
                            <a:avLst/>
                          </a:prstGeom>
                          <a:noFill/>
                          <a:ln>
                            <a:noFill/>
                          </a:ln>
                        </pic:spPr>
                      </pic:pic>
                    </a:graphicData>
                  </a:graphic>
                </wp:inline>
              </w:drawing>
            </w:r>
          </w:p>
          <w:p w14:paraId="0B1F7BC3">
            <w:pPr>
              <w:pStyle w:val="74"/>
              <w:rPr>
                <w:rFonts w:hint="eastAsia"/>
                <w:color w:val="auto"/>
                <w:highlight w:val="none"/>
              </w:rPr>
            </w:pPr>
            <w:r>
              <w:rPr>
                <w:rFonts w:hint="eastAsia"/>
                <w:color w:val="auto"/>
                <w:highlight w:val="none"/>
              </w:rPr>
              <w:t>施工现场场地硬化</w:t>
            </w:r>
          </w:p>
        </w:tc>
      </w:tr>
    </w:tbl>
    <w:p w14:paraId="3CE3476D">
      <w:pPr>
        <w:pStyle w:val="97"/>
        <w:spacing w:before="24" w:beforeLines="10" w:after="24" w:afterLines="10" w:line="432" w:lineRule="auto"/>
        <w:ind w:firstLine="560"/>
        <w:rPr>
          <w:color w:val="auto"/>
          <w:sz w:val="24"/>
          <w:szCs w:val="24"/>
          <w:highlight w:val="none"/>
        </w:rPr>
      </w:pPr>
      <w:r>
        <w:rPr>
          <w:color w:val="auto"/>
          <w:sz w:val="24"/>
          <w:szCs w:val="24"/>
          <w:highlight w:val="none"/>
        </w:rPr>
        <w:t>6、建筑垃圾控制</w:t>
      </w:r>
      <w:bookmarkEnd w:id="406"/>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8246"/>
      </w:tblGrid>
      <w:tr w14:paraId="10BC7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449" w:type="pct"/>
            <w:tcBorders>
              <w:top w:val="single" w:color="auto" w:sz="4" w:space="0"/>
              <w:left w:val="single" w:color="auto" w:sz="4" w:space="0"/>
              <w:bottom w:val="single" w:color="auto" w:sz="4" w:space="0"/>
              <w:right w:val="single" w:color="auto" w:sz="4" w:space="0"/>
            </w:tcBorders>
            <w:noWrap w:val="0"/>
            <w:vAlign w:val="center"/>
          </w:tcPr>
          <w:p w14:paraId="266BEF1A">
            <w:pPr>
              <w:pStyle w:val="74"/>
              <w:rPr>
                <w:rFonts w:hint="eastAsia"/>
                <w:color w:val="auto"/>
                <w:highlight w:val="none"/>
              </w:rPr>
            </w:pPr>
            <w:r>
              <w:rPr>
                <w:rFonts w:hint="eastAsia"/>
                <w:color w:val="auto"/>
                <w:highlight w:val="none"/>
              </w:rPr>
              <w:t>序号</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6AE0F2B4">
            <w:pPr>
              <w:pStyle w:val="74"/>
              <w:rPr>
                <w:rFonts w:hint="eastAsia"/>
                <w:color w:val="auto"/>
                <w:highlight w:val="none"/>
              </w:rPr>
            </w:pPr>
            <w:r>
              <w:rPr>
                <w:rFonts w:hint="eastAsia"/>
                <w:color w:val="auto"/>
                <w:highlight w:val="none"/>
              </w:rPr>
              <w:t>具体措施</w:t>
            </w:r>
          </w:p>
        </w:tc>
      </w:tr>
      <w:tr w14:paraId="1A3D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3815874">
            <w:pPr>
              <w:pStyle w:val="74"/>
              <w:rPr>
                <w:rFonts w:hint="eastAsia"/>
                <w:color w:val="auto"/>
                <w:highlight w:val="none"/>
              </w:rPr>
            </w:pPr>
            <w:r>
              <w:rPr>
                <w:rFonts w:hint="eastAsia"/>
                <w:color w:val="auto"/>
                <w:highlight w:val="none"/>
              </w:rPr>
              <w:t>1</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B09042D">
            <w:pPr>
              <w:pStyle w:val="74"/>
              <w:jc w:val="left"/>
              <w:rPr>
                <w:rFonts w:hint="eastAsia"/>
                <w:color w:val="auto"/>
                <w:highlight w:val="none"/>
              </w:rPr>
            </w:pPr>
            <w:r>
              <w:rPr>
                <w:rFonts w:hint="eastAsia"/>
                <w:color w:val="auto"/>
                <w:highlight w:val="none"/>
              </w:rPr>
              <w:t>加强建筑垃圾的回收再利用，力争建筑垃圾的再利用和回收率达到30%，建筑物拆除产生的废弃物的再利用和回收率大于40%。</w:t>
            </w:r>
          </w:p>
        </w:tc>
      </w:tr>
      <w:tr w14:paraId="2C87A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6F6CEC2">
            <w:pPr>
              <w:pStyle w:val="74"/>
              <w:rPr>
                <w:rFonts w:hint="eastAsia"/>
                <w:color w:val="auto"/>
                <w:highlight w:val="none"/>
              </w:rPr>
            </w:pPr>
            <w:r>
              <w:rPr>
                <w:rFonts w:hint="eastAsia"/>
                <w:color w:val="auto"/>
                <w:highlight w:val="none"/>
              </w:rPr>
              <w:t>2</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387C0113">
            <w:pPr>
              <w:pStyle w:val="74"/>
              <w:jc w:val="left"/>
              <w:rPr>
                <w:rFonts w:hint="eastAsia"/>
                <w:color w:val="auto"/>
                <w:highlight w:val="none"/>
              </w:rPr>
            </w:pPr>
            <w:r>
              <w:rPr>
                <w:rFonts w:hint="eastAsia"/>
                <w:color w:val="auto"/>
                <w:highlight w:val="none"/>
              </w:rPr>
              <w:t>在施工现场设立分类垃圾回收池，如钢筋废料池、模板木枋废料池等，对无法回收利用的垃圾第一时间清理干净，请专门场外清洁公司负责清理外运。</w:t>
            </w:r>
          </w:p>
        </w:tc>
      </w:tr>
      <w:tr w14:paraId="1FACC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F8D16AF">
            <w:pPr>
              <w:pStyle w:val="74"/>
              <w:rPr>
                <w:rFonts w:hint="eastAsia"/>
                <w:color w:val="auto"/>
                <w:highlight w:val="none"/>
              </w:rPr>
            </w:pPr>
            <w:r>
              <w:rPr>
                <w:rFonts w:hint="eastAsia"/>
                <w:color w:val="auto"/>
                <w:highlight w:val="none"/>
              </w:rPr>
              <w:t>3</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618DF828">
            <w:pPr>
              <w:pStyle w:val="74"/>
              <w:jc w:val="left"/>
              <w:rPr>
                <w:rFonts w:hint="eastAsia"/>
                <w:color w:val="auto"/>
                <w:highlight w:val="none"/>
              </w:rPr>
            </w:pPr>
            <w:r>
              <w:rPr>
                <w:rFonts w:hint="eastAsia"/>
                <w:color w:val="auto"/>
                <w:highlight w:val="none"/>
              </w:rPr>
              <w:t>施工中减少施工固体废弃物的产生，工程结束后，对施工中产生的固体废弃物全部清除。</w:t>
            </w:r>
          </w:p>
        </w:tc>
      </w:tr>
      <w:tr w14:paraId="23DB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4B11B6CE">
            <w:pPr>
              <w:pStyle w:val="74"/>
              <w:rPr>
                <w:rFonts w:hint="eastAsia"/>
                <w:color w:val="auto"/>
                <w:highlight w:val="none"/>
              </w:rPr>
            </w:pPr>
            <w:r>
              <w:rPr>
                <w:rFonts w:hint="eastAsia"/>
                <w:color w:val="auto"/>
                <w:highlight w:val="none"/>
              </w:rPr>
              <w:t>4</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2EAE0122">
            <w:pPr>
              <w:pStyle w:val="74"/>
              <w:jc w:val="left"/>
              <w:rPr>
                <w:rFonts w:hint="eastAsia"/>
                <w:color w:val="auto"/>
                <w:highlight w:val="none"/>
              </w:rPr>
            </w:pPr>
            <w:r>
              <w:rPr>
                <w:rFonts w:hint="eastAsia"/>
                <w:color w:val="auto"/>
                <w:highlight w:val="none"/>
              </w:rPr>
              <w:t>施工现场设置封闭式垃圾站，施工垃圾、生活垃圾分类存放，并按规定及时清运。尤其针对现场工人使用的塑料包装袋、塑料饭盒等集中回收，及时清理。</w:t>
            </w:r>
          </w:p>
        </w:tc>
      </w:tr>
      <w:tr w14:paraId="35C5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49" w:type="pct"/>
            <w:tcBorders>
              <w:top w:val="single" w:color="auto" w:sz="4" w:space="0"/>
              <w:left w:val="single" w:color="auto" w:sz="4" w:space="0"/>
              <w:bottom w:val="single" w:color="auto" w:sz="4" w:space="0"/>
              <w:right w:val="single" w:color="auto" w:sz="4" w:space="0"/>
            </w:tcBorders>
            <w:noWrap w:val="0"/>
            <w:vAlign w:val="center"/>
          </w:tcPr>
          <w:p w14:paraId="59ED94D1">
            <w:pPr>
              <w:pStyle w:val="74"/>
              <w:rPr>
                <w:rFonts w:hint="eastAsia"/>
                <w:color w:val="auto"/>
                <w:highlight w:val="none"/>
              </w:rPr>
            </w:pPr>
            <w:r>
              <w:rPr>
                <w:rFonts w:hint="eastAsia"/>
                <w:color w:val="auto"/>
                <w:highlight w:val="none"/>
              </w:rPr>
              <w:t>5</w:t>
            </w:r>
          </w:p>
        </w:tc>
        <w:tc>
          <w:tcPr>
            <w:tcW w:w="4551" w:type="pct"/>
            <w:tcBorders>
              <w:top w:val="single" w:color="auto" w:sz="4" w:space="0"/>
              <w:left w:val="single" w:color="auto" w:sz="4" w:space="0"/>
              <w:bottom w:val="single" w:color="auto" w:sz="4" w:space="0"/>
              <w:right w:val="single" w:color="auto" w:sz="4" w:space="0"/>
            </w:tcBorders>
            <w:noWrap w:val="0"/>
            <w:vAlign w:val="center"/>
          </w:tcPr>
          <w:p w14:paraId="66359E01">
            <w:pPr>
              <w:pStyle w:val="74"/>
              <w:jc w:val="left"/>
              <w:rPr>
                <w:rFonts w:hint="eastAsia"/>
                <w:color w:val="auto"/>
                <w:highlight w:val="none"/>
              </w:rPr>
            </w:pPr>
            <w:r>
              <w:rPr>
                <w:rFonts w:hint="eastAsia"/>
                <w:color w:val="auto"/>
                <w:highlight w:val="none"/>
              </w:rPr>
              <w:t>建筑垃圾清运应采用可卸式密封垃圾车，确保运输工程无遗撒。</w:t>
            </w:r>
          </w:p>
        </w:tc>
      </w:tr>
    </w:tbl>
    <w:p w14:paraId="0B7049E0">
      <w:pPr>
        <w:pStyle w:val="4"/>
        <w:ind w:firstLine="482"/>
        <w:rPr>
          <w:color w:val="auto"/>
        </w:rPr>
      </w:pPr>
      <w:bookmarkStart w:id="407" w:name="_Toc31481"/>
      <w:r>
        <w:rPr>
          <w:rFonts w:hint="eastAsia"/>
          <w:color w:val="auto"/>
        </w:rPr>
        <w:t>安全、消防保证措施</w:t>
      </w:r>
      <w:bookmarkEnd w:id="407"/>
    </w:p>
    <w:p w14:paraId="71468609">
      <w:pPr>
        <w:pStyle w:val="5"/>
        <w:rPr>
          <w:rFonts w:cs="宋体"/>
          <w:color w:val="auto"/>
          <w:kern w:val="0"/>
        </w:rPr>
      </w:pPr>
      <w:bookmarkStart w:id="408" w:name="_Toc3245"/>
      <w:r>
        <w:rPr>
          <w:rFonts w:hint="eastAsia"/>
          <w:color w:val="auto"/>
        </w:rPr>
        <w:t>施工总体安全保证</w:t>
      </w:r>
      <w:bookmarkEnd w:id="408"/>
    </w:p>
    <w:tbl>
      <w:tblPr>
        <w:tblStyle w:val="29"/>
        <w:tblW w:w="5000" w:type="pct"/>
        <w:tblInd w:w="0" w:type="dxa"/>
        <w:tblLayout w:type="fixed"/>
        <w:tblCellMar>
          <w:top w:w="0" w:type="dxa"/>
          <w:left w:w="108" w:type="dxa"/>
          <w:bottom w:w="0" w:type="dxa"/>
          <w:right w:w="108" w:type="dxa"/>
        </w:tblCellMar>
      </w:tblPr>
      <w:tblGrid>
        <w:gridCol w:w="688"/>
        <w:gridCol w:w="8372"/>
      </w:tblGrid>
      <w:tr w14:paraId="505A220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2163A55">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序号</w:t>
            </w:r>
          </w:p>
        </w:tc>
        <w:tc>
          <w:tcPr>
            <w:tcW w:w="7534" w:type="dxa"/>
            <w:tcBorders>
              <w:top w:val="single" w:color="auto" w:sz="4" w:space="0"/>
              <w:left w:val="nil"/>
              <w:bottom w:val="single" w:color="auto" w:sz="4" w:space="0"/>
              <w:right w:val="single" w:color="auto" w:sz="4" w:space="0"/>
            </w:tcBorders>
            <w:vAlign w:val="center"/>
          </w:tcPr>
          <w:p w14:paraId="570E5552">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具体措施</w:t>
            </w:r>
          </w:p>
        </w:tc>
      </w:tr>
      <w:tr w14:paraId="7802AAE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AB3C03D">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1</w:t>
            </w:r>
          </w:p>
        </w:tc>
        <w:tc>
          <w:tcPr>
            <w:tcW w:w="7534" w:type="dxa"/>
            <w:tcBorders>
              <w:top w:val="single" w:color="auto" w:sz="4" w:space="0"/>
              <w:left w:val="nil"/>
              <w:bottom w:val="single" w:color="auto" w:sz="4" w:space="0"/>
              <w:right w:val="single" w:color="auto" w:sz="4" w:space="0"/>
            </w:tcBorders>
            <w:vAlign w:val="center"/>
          </w:tcPr>
          <w:p w14:paraId="023962D5">
            <w:pPr>
              <w:pStyle w:val="97"/>
              <w:spacing w:line="240" w:lineRule="auto"/>
              <w:ind w:firstLine="420"/>
              <w:rPr>
                <w:rFonts w:hint="eastAsia" w:cs="Times New Roman"/>
                <w:color w:val="auto"/>
                <w:sz w:val="21"/>
                <w:szCs w:val="21"/>
              </w:rPr>
            </w:pPr>
            <w:r>
              <w:rPr>
                <w:rFonts w:hint="eastAsia" w:cs="Times New Roman"/>
                <w:color w:val="auto"/>
                <w:sz w:val="21"/>
                <w:szCs w:val="21"/>
              </w:rPr>
              <w:t>施工现场的布置符合防火、防爆、防洪、防雷电等安全规定及文明施工的要求。施工现场的生产、生活办公用房、仓库、材料堆放场、停车场、修理场按批准的总平面布置图进行布置。</w:t>
            </w:r>
          </w:p>
        </w:tc>
      </w:tr>
      <w:tr w14:paraId="0714421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3D29226">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2</w:t>
            </w:r>
          </w:p>
        </w:tc>
        <w:tc>
          <w:tcPr>
            <w:tcW w:w="7534" w:type="dxa"/>
            <w:tcBorders>
              <w:top w:val="single" w:color="auto" w:sz="4" w:space="0"/>
              <w:left w:val="nil"/>
              <w:bottom w:val="single" w:color="auto" w:sz="4" w:space="0"/>
              <w:right w:val="single" w:color="auto" w:sz="4" w:space="0"/>
            </w:tcBorders>
            <w:vAlign w:val="center"/>
          </w:tcPr>
          <w:p w14:paraId="18819C60">
            <w:pPr>
              <w:pStyle w:val="97"/>
              <w:spacing w:line="240" w:lineRule="auto"/>
              <w:ind w:firstLine="420"/>
              <w:rPr>
                <w:rFonts w:hint="eastAsia" w:cs="Times New Roman"/>
                <w:color w:val="auto"/>
                <w:sz w:val="21"/>
                <w:szCs w:val="21"/>
              </w:rPr>
            </w:pPr>
            <w:r>
              <w:rPr>
                <w:rFonts w:hint="eastAsia" w:cs="Times New Roman"/>
                <w:color w:val="auto"/>
                <w:sz w:val="21"/>
                <w:szCs w:val="21"/>
              </w:rPr>
              <w:t>现场道路平整、坚实、保持畅通，危险地点悬挂安全标志和符合安全规定的标牌，施工现场设置大幅安全标语。</w:t>
            </w:r>
          </w:p>
        </w:tc>
      </w:tr>
      <w:tr w14:paraId="76C5940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4B9BD48">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3</w:t>
            </w:r>
          </w:p>
        </w:tc>
        <w:tc>
          <w:tcPr>
            <w:tcW w:w="7534" w:type="dxa"/>
            <w:tcBorders>
              <w:top w:val="single" w:color="auto" w:sz="4" w:space="0"/>
              <w:left w:val="nil"/>
              <w:bottom w:val="single" w:color="auto" w:sz="4" w:space="0"/>
              <w:right w:val="single" w:color="auto" w:sz="4" w:space="0"/>
            </w:tcBorders>
            <w:vAlign w:val="center"/>
          </w:tcPr>
          <w:p w14:paraId="75436F8A">
            <w:pPr>
              <w:pStyle w:val="97"/>
              <w:spacing w:line="240" w:lineRule="auto"/>
              <w:ind w:firstLine="420"/>
              <w:rPr>
                <w:rFonts w:hint="eastAsia" w:cs="Times New Roman"/>
                <w:color w:val="auto"/>
                <w:sz w:val="21"/>
                <w:szCs w:val="21"/>
              </w:rPr>
            </w:pPr>
            <w:r>
              <w:rPr>
                <w:rFonts w:hint="eastAsia" w:cs="Times New Roman"/>
                <w:color w:val="auto"/>
                <w:sz w:val="21"/>
                <w:szCs w:val="21"/>
              </w:rPr>
              <w:t>现场的生产、生活区设足够的消防水源和消防设施网点，消防器材有专人管理，不乱拿乱放，每施工队组成一个由10-15人的义务消防队，所有施工人员要熟悉并掌握消防设备的性能和使用方法。</w:t>
            </w:r>
          </w:p>
        </w:tc>
      </w:tr>
      <w:tr w14:paraId="5053E98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5D4A029">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4</w:t>
            </w:r>
          </w:p>
        </w:tc>
        <w:tc>
          <w:tcPr>
            <w:tcW w:w="7534" w:type="dxa"/>
            <w:tcBorders>
              <w:top w:val="single" w:color="auto" w:sz="4" w:space="0"/>
              <w:left w:val="nil"/>
              <w:bottom w:val="single" w:color="auto" w:sz="4" w:space="0"/>
              <w:right w:val="single" w:color="auto" w:sz="4" w:space="0"/>
            </w:tcBorders>
            <w:vAlign w:val="center"/>
          </w:tcPr>
          <w:p w14:paraId="388A7E43">
            <w:pPr>
              <w:pStyle w:val="97"/>
              <w:spacing w:line="240" w:lineRule="auto"/>
              <w:ind w:firstLine="420"/>
              <w:rPr>
                <w:rFonts w:hint="eastAsia" w:cs="Times New Roman"/>
                <w:color w:val="auto"/>
                <w:sz w:val="21"/>
                <w:szCs w:val="21"/>
              </w:rPr>
            </w:pPr>
            <w:r>
              <w:rPr>
                <w:rFonts w:hint="eastAsia" w:cs="Times New Roman"/>
                <w:color w:val="auto"/>
                <w:sz w:val="21"/>
                <w:szCs w:val="21"/>
              </w:rPr>
              <w:t>各类库棚、料场等安全消防距离符合有关规定，现场的易燃杂物随时清理，严禁在有火种的场所或其近旁堆放易燃物品。</w:t>
            </w:r>
          </w:p>
        </w:tc>
      </w:tr>
      <w:tr w14:paraId="2147588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E5B7024">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5</w:t>
            </w:r>
          </w:p>
        </w:tc>
        <w:tc>
          <w:tcPr>
            <w:tcW w:w="7534" w:type="dxa"/>
            <w:tcBorders>
              <w:top w:val="single" w:color="auto" w:sz="4" w:space="0"/>
              <w:left w:val="nil"/>
              <w:bottom w:val="single" w:color="auto" w:sz="4" w:space="0"/>
              <w:right w:val="single" w:color="auto" w:sz="4" w:space="0"/>
            </w:tcBorders>
            <w:vAlign w:val="center"/>
          </w:tcPr>
          <w:p w14:paraId="0818AD8A">
            <w:pPr>
              <w:pStyle w:val="97"/>
              <w:spacing w:line="240" w:lineRule="auto"/>
              <w:ind w:firstLine="420"/>
              <w:rPr>
                <w:rFonts w:hint="eastAsia" w:cs="Times New Roman"/>
                <w:color w:val="auto"/>
                <w:sz w:val="21"/>
                <w:szCs w:val="21"/>
              </w:rPr>
            </w:pPr>
            <w:r>
              <w:rPr>
                <w:rFonts w:hint="eastAsia" w:cs="Times New Roman"/>
                <w:color w:val="auto"/>
                <w:sz w:val="21"/>
                <w:szCs w:val="21"/>
              </w:rPr>
              <w:t>施工现场的临时用电严格按照《施工现场临时用电安全技术规范》（JGJ46-2019）的规定执行。</w:t>
            </w:r>
          </w:p>
        </w:tc>
      </w:tr>
      <w:tr w14:paraId="589B0C1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C348DB0">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6</w:t>
            </w:r>
          </w:p>
        </w:tc>
        <w:tc>
          <w:tcPr>
            <w:tcW w:w="7534" w:type="dxa"/>
            <w:tcBorders>
              <w:top w:val="single" w:color="auto" w:sz="4" w:space="0"/>
              <w:left w:val="nil"/>
              <w:bottom w:val="single" w:color="auto" w:sz="4" w:space="0"/>
              <w:right w:val="single" w:color="auto" w:sz="4" w:space="0"/>
            </w:tcBorders>
            <w:vAlign w:val="center"/>
          </w:tcPr>
          <w:p w14:paraId="3CE2AE53">
            <w:pPr>
              <w:pStyle w:val="97"/>
              <w:spacing w:line="240" w:lineRule="auto"/>
              <w:ind w:firstLine="420"/>
              <w:rPr>
                <w:rFonts w:hint="eastAsia" w:cs="Times New Roman"/>
                <w:color w:val="auto"/>
                <w:sz w:val="21"/>
                <w:szCs w:val="21"/>
              </w:rPr>
            </w:pPr>
            <w:r>
              <w:rPr>
                <w:rFonts w:hint="eastAsia" w:cs="Times New Roman"/>
                <w:color w:val="auto"/>
                <w:sz w:val="21"/>
                <w:szCs w:val="21"/>
              </w:rPr>
              <w:t>施工中发现危及地面物或有危险品时立即停止施工，待处理完毕后方可施工。</w:t>
            </w:r>
          </w:p>
        </w:tc>
      </w:tr>
      <w:tr w14:paraId="7474956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0D73576">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7</w:t>
            </w:r>
          </w:p>
        </w:tc>
        <w:tc>
          <w:tcPr>
            <w:tcW w:w="7534" w:type="dxa"/>
            <w:tcBorders>
              <w:top w:val="single" w:color="auto" w:sz="4" w:space="0"/>
              <w:left w:val="nil"/>
              <w:bottom w:val="single" w:color="auto" w:sz="4" w:space="0"/>
              <w:right w:val="single" w:color="auto" w:sz="4" w:space="0"/>
            </w:tcBorders>
            <w:vAlign w:val="center"/>
          </w:tcPr>
          <w:p w14:paraId="0ED57969">
            <w:pPr>
              <w:pStyle w:val="97"/>
              <w:spacing w:line="240" w:lineRule="auto"/>
              <w:ind w:firstLine="420"/>
              <w:rPr>
                <w:rFonts w:hint="eastAsia" w:cs="Times New Roman"/>
                <w:color w:val="auto"/>
                <w:sz w:val="21"/>
                <w:szCs w:val="21"/>
              </w:rPr>
            </w:pPr>
            <w:r>
              <w:rPr>
                <w:rFonts w:hint="eastAsia" w:cs="Times New Roman"/>
                <w:color w:val="auto"/>
                <w:sz w:val="21"/>
                <w:szCs w:val="21"/>
              </w:rPr>
              <w:t>从事电力、高处作业及起重作业等特殊作业人员，各种机械的操作人员及机动车辆驾驶人员，必须经过劳动安全管理部专业培训并考试取得《安全操作合格证》后，方准持证独立操作。</w:t>
            </w:r>
          </w:p>
        </w:tc>
      </w:tr>
      <w:tr w14:paraId="378E519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34BAD13">
            <w:pPr>
              <w:pStyle w:val="97"/>
              <w:spacing w:line="240" w:lineRule="auto"/>
              <w:ind w:firstLine="0" w:firstLineChars="0"/>
              <w:jc w:val="center"/>
              <w:rPr>
                <w:rFonts w:hint="eastAsia" w:cs="Times New Roman"/>
                <w:color w:val="auto"/>
                <w:sz w:val="21"/>
                <w:szCs w:val="21"/>
              </w:rPr>
            </w:pPr>
            <w:r>
              <w:rPr>
                <w:rFonts w:hint="eastAsia" w:cs="Times New Roman"/>
                <w:color w:val="auto"/>
                <w:sz w:val="21"/>
                <w:szCs w:val="21"/>
              </w:rPr>
              <w:t>8</w:t>
            </w:r>
          </w:p>
        </w:tc>
        <w:tc>
          <w:tcPr>
            <w:tcW w:w="7534" w:type="dxa"/>
            <w:tcBorders>
              <w:top w:val="single" w:color="auto" w:sz="4" w:space="0"/>
              <w:left w:val="nil"/>
              <w:bottom w:val="single" w:color="auto" w:sz="4" w:space="0"/>
              <w:right w:val="single" w:color="auto" w:sz="4" w:space="0"/>
            </w:tcBorders>
            <w:vAlign w:val="center"/>
          </w:tcPr>
          <w:p w14:paraId="232B804A">
            <w:pPr>
              <w:pStyle w:val="97"/>
              <w:spacing w:line="240" w:lineRule="auto"/>
              <w:ind w:firstLine="420"/>
              <w:rPr>
                <w:rFonts w:hint="eastAsia" w:cs="Times New Roman"/>
                <w:color w:val="auto"/>
                <w:sz w:val="21"/>
                <w:szCs w:val="21"/>
              </w:rPr>
            </w:pPr>
            <w:r>
              <w:rPr>
                <w:rFonts w:hint="eastAsia" w:cs="Times New Roman"/>
                <w:color w:val="auto"/>
                <w:sz w:val="21"/>
                <w:szCs w:val="21"/>
              </w:rPr>
              <w:t>施工现场设立安全标志。危险地区必须悬挂“危险”或“禁止通行”、 “严禁烟火”等标志，夜间设红灯警示。</w:t>
            </w:r>
          </w:p>
        </w:tc>
      </w:tr>
    </w:tbl>
    <w:p w14:paraId="52477FCD">
      <w:pPr>
        <w:pStyle w:val="5"/>
        <w:rPr>
          <w:color w:val="auto"/>
        </w:rPr>
      </w:pPr>
      <w:bookmarkStart w:id="409" w:name="_Toc7802"/>
      <w:r>
        <w:rPr>
          <w:rFonts w:hint="eastAsia"/>
          <w:color w:val="auto"/>
        </w:rPr>
        <w:t>现场生产、生活安全措施</w:t>
      </w:r>
      <w:bookmarkEnd w:id="409"/>
    </w:p>
    <w:p w14:paraId="5472AD3C">
      <w:pPr>
        <w:rPr>
          <w:color w:val="auto"/>
        </w:rPr>
      </w:pPr>
      <w:r>
        <w:rPr>
          <w:rFonts w:hint="eastAsia"/>
          <w:color w:val="auto"/>
        </w:rPr>
        <w:t>把本工程当作一个展示企业品牌、管理实力的窗口，把工程做成"安全精品工程"。严格按照中建三局安全防护标准化图册（房屋建筑篇2017），实施安全标准化，目标为：管理程序标准化、操作规程标准化、防护设施标准化、视觉形象（企业CI形象识别、标志标牌标准化）。</w:t>
      </w:r>
    </w:p>
    <w:p w14:paraId="49046612">
      <w:pPr>
        <w:rPr>
          <w:color w:val="auto"/>
        </w:rPr>
      </w:pPr>
      <w:r>
        <w:rPr>
          <w:rFonts w:hint="eastAsia"/>
          <w:color w:val="auto"/>
        </w:rPr>
        <w:t>项目经理部以职业健康安全为根本，贯彻国家《安全生产法》第三条"安全第一，预防为主"的安全管理方针，贯彻执行GB/T28001-2001《职业健康安全管理体系规范》、GB/T24001-2004《环境管理体系要求及使用指南》标准，建立职业健康安全、环境保证体系。</w:t>
      </w:r>
    </w:p>
    <w:p w14:paraId="679B690C">
      <w:pPr>
        <w:rPr>
          <w:color w:val="auto"/>
        </w:rPr>
      </w:pPr>
      <w:r>
        <w:rPr>
          <w:rFonts w:hint="eastAsia"/>
          <w:color w:val="auto"/>
        </w:rPr>
        <w:t>安全管理理念：安全是前提，管理是关键；向科学技术要安全，向安全生产要效益；积极应用新技术、新设备。</w:t>
      </w:r>
    </w:p>
    <w:p w14:paraId="6DCF2EFF">
      <w:pPr>
        <w:rPr>
          <w:color w:val="auto"/>
        </w:rPr>
      </w:pPr>
      <w:r>
        <w:rPr>
          <w:rFonts w:hint="eastAsia"/>
          <w:color w:val="auto"/>
        </w:rPr>
        <w:t>安全创新理念：稳健创新，细致预控；逐步推行"本质安全"理念；实施"四全"管理（即全员、全天候、全过程、全方位）。通过一系列的系统管理手段和方法，实现安全管理目标。</w:t>
      </w:r>
    </w:p>
    <w:p w14:paraId="10A066D6">
      <w:pPr>
        <w:pStyle w:val="6"/>
        <w:ind w:firstLine="480"/>
        <w:rPr>
          <w:color w:val="auto"/>
        </w:rPr>
      </w:pPr>
      <w:r>
        <w:rPr>
          <w:rFonts w:hint="eastAsia"/>
          <w:color w:val="auto"/>
        </w:rPr>
        <w:t>安全生产保证体系</w:t>
      </w:r>
    </w:p>
    <w:p w14:paraId="5075A1AC">
      <w:pPr>
        <w:rPr>
          <w:color w:val="auto"/>
        </w:rPr>
      </w:pPr>
      <w:r>
        <w:rPr>
          <w:rFonts w:hint="eastAsia"/>
          <w:color w:val="auto"/>
        </w:rPr>
        <w:t>我司成立以项目经理、建造总监、技术总监、安全总监、相关职能部门及施工作业层组成的安全生产管理机构，企业安监部垂直管理，并接受建设单位、监理以及有关部门的监督</w:t>
      </w:r>
    </w:p>
    <w:p w14:paraId="6BA3F75F">
      <w:pPr>
        <w:pStyle w:val="65"/>
        <w:spacing w:before="163" w:after="163"/>
        <w:rPr>
          <w:color w:val="auto"/>
        </w:rPr>
      </w:pPr>
      <w:r>
        <w:rPr>
          <w:color w:val="auto"/>
        </w:rPr>
        <w:object>
          <v:shape id="_x0000_i1040" o:spt="75" type="#_x0000_t75" style="height:308.95pt;width:424.7pt;" o:ole="t" filled="f" o:preferrelative="t" stroked="f" coordsize="21600,21600">
            <v:path/>
            <v:fill on="f" focussize="0,0"/>
            <v:stroke on="f" joinstyle="miter"/>
            <v:imagedata r:id="rId259" o:title=""/>
            <o:lock v:ext="edit" aspectratio="t"/>
            <w10:wrap type="none"/>
            <w10:anchorlock/>
          </v:shape>
          <o:OLEObject Type="Embed" ProgID="Visio.Drawing.11" ShapeID="_x0000_i1040" DrawAspect="Content" ObjectID="_1468075740" r:id="rId258">
            <o:LockedField>false</o:LockedField>
          </o:OLEObject>
        </w:object>
      </w:r>
    </w:p>
    <w:p w14:paraId="4852E76C">
      <w:pPr>
        <w:pStyle w:val="53"/>
        <w:rPr>
          <w:color w:val="auto"/>
        </w:rPr>
      </w:pPr>
      <w:r>
        <w:rPr>
          <w:rFonts w:hint="eastAsia"/>
          <w:color w:val="auto"/>
        </w:rPr>
        <w:t>安全生产保证体系</w:t>
      </w:r>
    </w:p>
    <w:p w14:paraId="4100DBA3">
      <w:pPr>
        <w:pStyle w:val="6"/>
        <w:ind w:firstLine="480"/>
        <w:rPr>
          <w:color w:val="auto"/>
        </w:rPr>
      </w:pPr>
      <w:r>
        <w:rPr>
          <w:rFonts w:hint="eastAsia"/>
          <w:color w:val="auto"/>
        </w:rPr>
        <w:t>安全生产管理职责</w:t>
      </w:r>
    </w:p>
    <w:p w14:paraId="5A01229F">
      <w:pPr>
        <w:pStyle w:val="54"/>
        <w:rPr>
          <w:color w:val="auto"/>
        </w:rPr>
      </w:pPr>
      <w:r>
        <w:rPr>
          <w:rFonts w:hint="eastAsia"/>
          <w:color w:val="auto"/>
        </w:rPr>
        <w:t>安全生产管理职责</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729"/>
        <w:gridCol w:w="6525"/>
      </w:tblGrid>
      <w:tr w14:paraId="2859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445" w:type="pct"/>
            <w:vAlign w:val="center"/>
          </w:tcPr>
          <w:p w14:paraId="4F1C769E">
            <w:pPr>
              <w:pStyle w:val="74"/>
              <w:rPr>
                <w:color w:val="auto"/>
              </w:rPr>
            </w:pPr>
            <w:r>
              <w:rPr>
                <w:rFonts w:hint="eastAsia"/>
                <w:color w:val="auto"/>
              </w:rPr>
              <w:t>序号</w:t>
            </w:r>
          </w:p>
        </w:tc>
        <w:tc>
          <w:tcPr>
            <w:tcW w:w="954" w:type="pct"/>
            <w:vAlign w:val="center"/>
          </w:tcPr>
          <w:p w14:paraId="2D86C20A">
            <w:pPr>
              <w:pStyle w:val="74"/>
              <w:rPr>
                <w:color w:val="auto"/>
              </w:rPr>
            </w:pPr>
            <w:r>
              <w:rPr>
                <w:rFonts w:hint="eastAsia"/>
                <w:color w:val="auto"/>
              </w:rPr>
              <w:t>机构及人员</w:t>
            </w:r>
          </w:p>
        </w:tc>
        <w:tc>
          <w:tcPr>
            <w:tcW w:w="3601" w:type="pct"/>
            <w:vAlign w:val="center"/>
          </w:tcPr>
          <w:p w14:paraId="02D71A0F">
            <w:pPr>
              <w:pStyle w:val="74"/>
              <w:rPr>
                <w:color w:val="auto"/>
              </w:rPr>
            </w:pPr>
            <w:r>
              <w:rPr>
                <w:rFonts w:hint="eastAsia"/>
                <w:color w:val="auto"/>
              </w:rPr>
              <w:t>安全生产职责</w:t>
            </w:r>
          </w:p>
        </w:tc>
      </w:tr>
      <w:tr w14:paraId="7B97C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45" w:type="pct"/>
            <w:vAlign w:val="center"/>
          </w:tcPr>
          <w:p w14:paraId="58790A66">
            <w:pPr>
              <w:pStyle w:val="74"/>
              <w:rPr>
                <w:color w:val="auto"/>
              </w:rPr>
            </w:pPr>
            <w:r>
              <w:rPr>
                <w:rFonts w:hint="eastAsia"/>
                <w:color w:val="auto"/>
              </w:rPr>
              <w:t>1</w:t>
            </w:r>
          </w:p>
        </w:tc>
        <w:tc>
          <w:tcPr>
            <w:tcW w:w="954" w:type="pct"/>
            <w:vAlign w:val="center"/>
          </w:tcPr>
          <w:p w14:paraId="0DF654E9">
            <w:pPr>
              <w:pStyle w:val="74"/>
              <w:rPr>
                <w:color w:val="auto"/>
              </w:rPr>
            </w:pPr>
            <w:r>
              <w:rPr>
                <w:rFonts w:hint="eastAsia"/>
                <w:color w:val="auto"/>
              </w:rPr>
              <w:t>项目经理</w:t>
            </w:r>
          </w:p>
        </w:tc>
        <w:tc>
          <w:tcPr>
            <w:tcW w:w="3601" w:type="pct"/>
            <w:vAlign w:val="center"/>
          </w:tcPr>
          <w:p w14:paraId="1051BBF6">
            <w:pPr>
              <w:pStyle w:val="74"/>
              <w:rPr>
                <w:color w:val="auto"/>
              </w:rPr>
            </w:pPr>
            <w:r>
              <w:rPr>
                <w:rFonts w:hint="eastAsia"/>
                <w:color w:val="auto"/>
              </w:rPr>
              <w:t>项目经理是工程项目安全生产、文明施工和环境保护第一责任人，对项目施工过程中的安全生产、文明施工和环境保护工作负全面领导责任</w:t>
            </w:r>
          </w:p>
        </w:tc>
      </w:tr>
      <w:tr w14:paraId="25AC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445" w:type="pct"/>
            <w:vAlign w:val="center"/>
          </w:tcPr>
          <w:p w14:paraId="5C677684">
            <w:pPr>
              <w:pStyle w:val="74"/>
              <w:rPr>
                <w:color w:val="auto"/>
              </w:rPr>
            </w:pPr>
            <w:r>
              <w:rPr>
                <w:rFonts w:hint="eastAsia"/>
                <w:color w:val="auto"/>
              </w:rPr>
              <w:t>2</w:t>
            </w:r>
          </w:p>
        </w:tc>
        <w:tc>
          <w:tcPr>
            <w:tcW w:w="954" w:type="pct"/>
            <w:vAlign w:val="center"/>
          </w:tcPr>
          <w:p w14:paraId="43C8E680">
            <w:pPr>
              <w:pStyle w:val="74"/>
              <w:rPr>
                <w:color w:val="auto"/>
              </w:rPr>
            </w:pPr>
            <w:r>
              <w:rPr>
                <w:rFonts w:hint="eastAsia"/>
                <w:color w:val="auto"/>
              </w:rPr>
              <w:t>技术总监</w:t>
            </w:r>
          </w:p>
        </w:tc>
        <w:tc>
          <w:tcPr>
            <w:tcW w:w="3601" w:type="pct"/>
            <w:vAlign w:val="center"/>
          </w:tcPr>
          <w:p w14:paraId="50210871">
            <w:pPr>
              <w:pStyle w:val="74"/>
              <w:rPr>
                <w:color w:val="auto"/>
              </w:rPr>
            </w:pPr>
            <w:r>
              <w:rPr>
                <w:rFonts w:hint="eastAsia"/>
                <w:color w:val="auto"/>
              </w:rPr>
              <w:t>对工程项目的安全和环保工作负技术责任，贯彻落实国家安全生产、文明施工和环境保护方针、政策，严格执行安全环保技术规程、规范、标准以及上级安全环保技术文件</w:t>
            </w:r>
          </w:p>
        </w:tc>
      </w:tr>
      <w:tr w14:paraId="3AE88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445" w:type="pct"/>
            <w:vAlign w:val="center"/>
          </w:tcPr>
          <w:p w14:paraId="1E4CAE7D">
            <w:pPr>
              <w:pStyle w:val="74"/>
              <w:rPr>
                <w:color w:val="auto"/>
              </w:rPr>
            </w:pPr>
            <w:r>
              <w:rPr>
                <w:rFonts w:hint="eastAsia"/>
                <w:color w:val="auto"/>
              </w:rPr>
              <w:t>3</w:t>
            </w:r>
          </w:p>
        </w:tc>
        <w:tc>
          <w:tcPr>
            <w:tcW w:w="954" w:type="pct"/>
            <w:vAlign w:val="center"/>
          </w:tcPr>
          <w:p w14:paraId="7309BF4B">
            <w:pPr>
              <w:pStyle w:val="74"/>
              <w:rPr>
                <w:color w:val="auto"/>
              </w:rPr>
            </w:pPr>
            <w:r>
              <w:rPr>
                <w:rFonts w:hint="eastAsia"/>
                <w:color w:val="auto"/>
              </w:rPr>
              <w:t>安全总监</w:t>
            </w:r>
          </w:p>
        </w:tc>
        <w:tc>
          <w:tcPr>
            <w:tcW w:w="3601" w:type="pct"/>
            <w:vAlign w:val="center"/>
          </w:tcPr>
          <w:p w14:paraId="712A6069">
            <w:pPr>
              <w:pStyle w:val="74"/>
              <w:rPr>
                <w:color w:val="auto"/>
              </w:rPr>
            </w:pPr>
            <w:r>
              <w:rPr>
                <w:rFonts w:hint="eastAsia"/>
                <w:color w:val="auto"/>
              </w:rPr>
              <w:t>宣传和贯彻有关的安全和环保法律法规，组织落实上级的各项安全与文明施工管理规章制度，并监督检查执行情况</w:t>
            </w:r>
          </w:p>
        </w:tc>
      </w:tr>
      <w:tr w14:paraId="5F777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445" w:type="pct"/>
            <w:vAlign w:val="center"/>
          </w:tcPr>
          <w:p w14:paraId="50F60C70">
            <w:pPr>
              <w:pStyle w:val="74"/>
              <w:rPr>
                <w:color w:val="auto"/>
              </w:rPr>
            </w:pPr>
            <w:r>
              <w:rPr>
                <w:rFonts w:hint="eastAsia"/>
                <w:color w:val="auto"/>
              </w:rPr>
              <w:t>4</w:t>
            </w:r>
          </w:p>
        </w:tc>
        <w:tc>
          <w:tcPr>
            <w:tcW w:w="954" w:type="pct"/>
            <w:vAlign w:val="center"/>
          </w:tcPr>
          <w:p w14:paraId="04F2F185">
            <w:pPr>
              <w:pStyle w:val="74"/>
              <w:rPr>
                <w:color w:val="auto"/>
              </w:rPr>
            </w:pPr>
            <w:r>
              <w:rPr>
                <w:rFonts w:hint="eastAsia"/>
                <w:color w:val="auto"/>
              </w:rPr>
              <w:t>技术部</w:t>
            </w:r>
          </w:p>
        </w:tc>
        <w:tc>
          <w:tcPr>
            <w:tcW w:w="3601" w:type="pct"/>
            <w:vAlign w:val="center"/>
          </w:tcPr>
          <w:p w14:paraId="2F040694">
            <w:pPr>
              <w:pStyle w:val="74"/>
              <w:rPr>
                <w:color w:val="auto"/>
              </w:rPr>
            </w:pPr>
            <w:r>
              <w:rPr>
                <w:rFonts w:hint="eastAsia"/>
                <w:color w:val="auto"/>
              </w:rPr>
              <w:t>负责工程施工组织设计的编制和专项安全技术方案的制定、检查，指导安全设施的搭设</w:t>
            </w:r>
          </w:p>
        </w:tc>
      </w:tr>
      <w:tr w14:paraId="1FCB9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445" w:type="pct"/>
            <w:vAlign w:val="center"/>
          </w:tcPr>
          <w:p w14:paraId="67897AC7">
            <w:pPr>
              <w:pStyle w:val="74"/>
              <w:rPr>
                <w:color w:val="auto"/>
              </w:rPr>
            </w:pPr>
            <w:r>
              <w:rPr>
                <w:rFonts w:hint="eastAsia"/>
                <w:color w:val="auto"/>
              </w:rPr>
              <w:t>5</w:t>
            </w:r>
          </w:p>
        </w:tc>
        <w:tc>
          <w:tcPr>
            <w:tcW w:w="954" w:type="pct"/>
            <w:vAlign w:val="center"/>
          </w:tcPr>
          <w:p w14:paraId="7FD22024">
            <w:pPr>
              <w:pStyle w:val="74"/>
              <w:rPr>
                <w:color w:val="auto"/>
              </w:rPr>
            </w:pPr>
            <w:r>
              <w:rPr>
                <w:rFonts w:hint="eastAsia"/>
                <w:color w:val="auto"/>
              </w:rPr>
              <w:t>安全监督管理部</w:t>
            </w:r>
          </w:p>
        </w:tc>
        <w:tc>
          <w:tcPr>
            <w:tcW w:w="3601" w:type="pct"/>
            <w:vAlign w:val="center"/>
          </w:tcPr>
          <w:p w14:paraId="31C50002">
            <w:pPr>
              <w:pStyle w:val="74"/>
              <w:rPr>
                <w:color w:val="auto"/>
              </w:rPr>
            </w:pPr>
            <w:r>
              <w:rPr>
                <w:rFonts w:hint="eastAsia"/>
                <w:color w:val="auto"/>
              </w:rPr>
              <w:t>为项目安全的责任部门进行安全交底，负责安全设施的搭设、检查、维护和安全检查</w:t>
            </w:r>
          </w:p>
        </w:tc>
      </w:tr>
      <w:tr w14:paraId="3A7B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445" w:type="pct"/>
            <w:vAlign w:val="center"/>
          </w:tcPr>
          <w:p w14:paraId="2617B0EF">
            <w:pPr>
              <w:pStyle w:val="74"/>
              <w:rPr>
                <w:color w:val="auto"/>
              </w:rPr>
            </w:pPr>
            <w:r>
              <w:rPr>
                <w:rFonts w:hint="eastAsia"/>
                <w:color w:val="auto"/>
              </w:rPr>
              <w:t>6</w:t>
            </w:r>
          </w:p>
        </w:tc>
        <w:tc>
          <w:tcPr>
            <w:tcW w:w="954" w:type="pct"/>
            <w:vAlign w:val="center"/>
          </w:tcPr>
          <w:p w14:paraId="7A46A1CC">
            <w:pPr>
              <w:pStyle w:val="74"/>
              <w:rPr>
                <w:color w:val="auto"/>
              </w:rPr>
            </w:pPr>
            <w:r>
              <w:rPr>
                <w:rFonts w:hint="eastAsia"/>
                <w:color w:val="auto"/>
              </w:rPr>
              <w:t>土建、机电及装饰部</w:t>
            </w:r>
          </w:p>
        </w:tc>
        <w:tc>
          <w:tcPr>
            <w:tcW w:w="3601" w:type="pct"/>
            <w:vAlign w:val="center"/>
          </w:tcPr>
          <w:p w14:paraId="13242B78">
            <w:pPr>
              <w:pStyle w:val="74"/>
              <w:rPr>
                <w:color w:val="auto"/>
              </w:rPr>
            </w:pPr>
            <w:r>
              <w:rPr>
                <w:rFonts w:hint="eastAsia"/>
                <w:color w:val="auto"/>
              </w:rPr>
              <w:t>部门经理是项目分工负责区域或专业工程安全生产、文明施工和环境保护的责任人，负责监督所管辖范围内的安全和环保规章制度、操作规程的落实</w:t>
            </w:r>
          </w:p>
        </w:tc>
      </w:tr>
      <w:tr w14:paraId="60D9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445" w:type="pct"/>
            <w:vAlign w:val="center"/>
          </w:tcPr>
          <w:p w14:paraId="34A0EC80">
            <w:pPr>
              <w:pStyle w:val="74"/>
              <w:rPr>
                <w:color w:val="auto"/>
              </w:rPr>
            </w:pPr>
            <w:r>
              <w:rPr>
                <w:rFonts w:hint="eastAsia"/>
                <w:color w:val="auto"/>
              </w:rPr>
              <w:t>7</w:t>
            </w:r>
          </w:p>
        </w:tc>
        <w:tc>
          <w:tcPr>
            <w:tcW w:w="954" w:type="pct"/>
            <w:vAlign w:val="center"/>
          </w:tcPr>
          <w:p w14:paraId="08CA2555">
            <w:pPr>
              <w:pStyle w:val="74"/>
              <w:rPr>
                <w:color w:val="auto"/>
              </w:rPr>
            </w:pPr>
            <w:r>
              <w:rPr>
                <w:rFonts w:hint="eastAsia"/>
                <w:color w:val="auto"/>
              </w:rPr>
              <w:t>物资设备部</w:t>
            </w:r>
          </w:p>
        </w:tc>
        <w:tc>
          <w:tcPr>
            <w:tcW w:w="3601" w:type="pct"/>
            <w:vAlign w:val="center"/>
          </w:tcPr>
          <w:p w14:paraId="25C88284">
            <w:pPr>
              <w:pStyle w:val="74"/>
              <w:rPr>
                <w:color w:val="auto"/>
              </w:rPr>
            </w:pPr>
            <w:r>
              <w:rPr>
                <w:rFonts w:hint="eastAsia"/>
                <w:color w:val="auto"/>
              </w:rPr>
              <w:t>负责对购置的物资材料、设备设施及安全防护用品的检查验收，采购前将产品合格证及有关技术资料交安全文明施工管理部审查，进行实物检验，严禁伪劣产品进入现场</w:t>
            </w:r>
          </w:p>
        </w:tc>
      </w:tr>
      <w:tr w14:paraId="6588B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jc w:val="center"/>
        </w:trPr>
        <w:tc>
          <w:tcPr>
            <w:tcW w:w="445" w:type="pct"/>
            <w:vAlign w:val="center"/>
          </w:tcPr>
          <w:p w14:paraId="2D8A00F0">
            <w:pPr>
              <w:pStyle w:val="74"/>
              <w:rPr>
                <w:color w:val="auto"/>
              </w:rPr>
            </w:pPr>
            <w:r>
              <w:rPr>
                <w:rFonts w:hint="eastAsia"/>
                <w:color w:val="auto"/>
              </w:rPr>
              <w:t>8</w:t>
            </w:r>
          </w:p>
        </w:tc>
        <w:tc>
          <w:tcPr>
            <w:tcW w:w="954" w:type="pct"/>
            <w:vAlign w:val="center"/>
          </w:tcPr>
          <w:p w14:paraId="4FC67841">
            <w:pPr>
              <w:pStyle w:val="74"/>
              <w:rPr>
                <w:color w:val="auto"/>
              </w:rPr>
            </w:pPr>
            <w:r>
              <w:rPr>
                <w:rFonts w:hint="eastAsia"/>
                <w:color w:val="auto"/>
              </w:rPr>
              <w:t>商务部</w:t>
            </w:r>
          </w:p>
        </w:tc>
        <w:tc>
          <w:tcPr>
            <w:tcW w:w="3601" w:type="pct"/>
            <w:vAlign w:val="center"/>
          </w:tcPr>
          <w:p w14:paraId="09EB4F26">
            <w:pPr>
              <w:pStyle w:val="74"/>
              <w:rPr>
                <w:color w:val="auto"/>
              </w:rPr>
            </w:pPr>
            <w:r>
              <w:rPr>
                <w:rFonts w:hint="eastAsia"/>
                <w:color w:val="auto"/>
              </w:rPr>
              <w:t>组织考察分包单位的安全和环保能力，在合同文件中对相关方提出安全、环保方面的要求，并与分包单位签订安全管理协议书</w:t>
            </w:r>
          </w:p>
        </w:tc>
      </w:tr>
      <w:tr w14:paraId="44F96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45" w:type="pct"/>
            <w:vAlign w:val="center"/>
          </w:tcPr>
          <w:p w14:paraId="4937538F">
            <w:pPr>
              <w:pStyle w:val="74"/>
              <w:rPr>
                <w:color w:val="auto"/>
              </w:rPr>
            </w:pPr>
            <w:r>
              <w:rPr>
                <w:rFonts w:hint="eastAsia"/>
                <w:color w:val="auto"/>
              </w:rPr>
              <w:t>9</w:t>
            </w:r>
          </w:p>
        </w:tc>
        <w:tc>
          <w:tcPr>
            <w:tcW w:w="954" w:type="pct"/>
            <w:vAlign w:val="center"/>
          </w:tcPr>
          <w:p w14:paraId="376B5473">
            <w:pPr>
              <w:pStyle w:val="74"/>
              <w:rPr>
                <w:color w:val="auto"/>
              </w:rPr>
            </w:pPr>
            <w:r>
              <w:rPr>
                <w:rFonts w:hint="eastAsia"/>
                <w:color w:val="auto"/>
              </w:rPr>
              <w:t>综合管理部</w:t>
            </w:r>
          </w:p>
        </w:tc>
        <w:tc>
          <w:tcPr>
            <w:tcW w:w="3601" w:type="pct"/>
            <w:vAlign w:val="center"/>
          </w:tcPr>
          <w:p w14:paraId="275D9D38">
            <w:pPr>
              <w:pStyle w:val="74"/>
              <w:rPr>
                <w:color w:val="auto"/>
              </w:rPr>
            </w:pPr>
            <w:r>
              <w:rPr>
                <w:rFonts w:hint="eastAsia"/>
                <w:color w:val="auto"/>
              </w:rPr>
              <w:t>掌握现场施工人员的身体健康状况信息，特别是特种作业人员的健康情况，并提出处理意见</w:t>
            </w:r>
          </w:p>
        </w:tc>
      </w:tr>
      <w:tr w14:paraId="03A33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445" w:type="pct"/>
            <w:vAlign w:val="center"/>
          </w:tcPr>
          <w:p w14:paraId="3F0B9453">
            <w:pPr>
              <w:pStyle w:val="74"/>
              <w:rPr>
                <w:color w:val="auto"/>
              </w:rPr>
            </w:pPr>
            <w:r>
              <w:rPr>
                <w:rFonts w:hint="eastAsia"/>
                <w:color w:val="auto"/>
              </w:rPr>
              <w:t>10</w:t>
            </w:r>
          </w:p>
        </w:tc>
        <w:tc>
          <w:tcPr>
            <w:tcW w:w="954" w:type="pct"/>
            <w:vAlign w:val="center"/>
          </w:tcPr>
          <w:p w14:paraId="390B992B">
            <w:pPr>
              <w:pStyle w:val="74"/>
              <w:rPr>
                <w:color w:val="auto"/>
              </w:rPr>
            </w:pPr>
            <w:r>
              <w:rPr>
                <w:rFonts w:hint="eastAsia"/>
                <w:color w:val="auto"/>
              </w:rPr>
              <w:t>各专业分包单位</w:t>
            </w:r>
          </w:p>
        </w:tc>
        <w:tc>
          <w:tcPr>
            <w:tcW w:w="3601" w:type="pct"/>
            <w:vAlign w:val="center"/>
          </w:tcPr>
          <w:p w14:paraId="445D20A1">
            <w:pPr>
              <w:pStyle w:val="74"/>
              <w:rPr>
                <w:color w:val="auto"/>
              </w:rPr>
            </w:pPr>
            <w:r>
              <w:rPr>
                <w:rFonts w:hint="eastAsia"/>
                <w:color w:val="auto"/>
              </w:rPr>
              <w:t>认真执行有关的安全和环保法规和总承包单位制定的各项相关管理制度及CI要求，接受总承包单位对安全生产、文明施工和环境保护的监督检查和统一管理，对承包范围的安全与文明施工负直接责任</w:t>
            </w:r>
          </w:p>
        </w:tc>
      </w:tr>
      <w:tr w14:paraId="1C3EC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445" w:type="pct"/>
            <w:vAlign w:val="center"/>
          </w:tcPr>
          <w:p w14:paraId="5125EC4C">
            <w:pPr>
              <w:pStyle w:val="74"/>
              <w:rPr>
                <w:color w:val="auto"/>
              </w:rPr>
            </w:pPr>
            <w:r>
              <w:rPr>
                <w:rFonts w:hint="eastAsia"/>
                <w:color w:val="auto"/>
              </w:rPr>
              <w:t>11</w:t>
            </w:r>
          </w:p>
        </w:tc>
        <w:tc>
          <w:tcPr>
            <w:tcW w:w="954" w:type="pct"/>
            <w:vAlign w:val="center"/>
          </w:tcPr>
          <w:p w14:paraId="3837B50B">
            <w:pPr>
              <w:pStyle w:val="74"/>
              <w:rPr>
                <w:color w:val="auto"/>
              </w:rPr>
            </w:pPr>
            <w:r>
              <w:rPr>
                <w:rFonts w:hint="eastAsia"/>
                <w:color w:val="auto"/>
              </w:rPr>
              <w:t>班组工人</w:t>
            </w:r>
          </w:p>
        </w:tc>
        <w:tc>
          <w:tcPr>
            <w:tcW w:w="3601" w:type="pct"/>
            <w:vAlign w:val="center"/>
          </w:tcPr>
          <w:p w14:paraId="272BA817">
            <w:pPr>
              <w:pStyle w:val="74"/>
              <w:rPr>
                <w:color w:val="auto"/>
              </w:rPr>
            </w:pPr>
            <w:r>
              <w:rPr>
                <w:rFonts w:hint="eastAsia"/>
                <w:color w:val="auto"/>
              </w:rPr>
              <w:t>严格执行安全操作规程，遵守安全生产、文明施工和环境保护的各项规章制度</w:t>
            </w:r>
          </w:p>
        </w:tc>
      </w:tr>
    </w:tbl>
    <w:p w14:paraId="640F270F">
      <w:pPr>
        <w:pStyle w:val="5"/>
        <w:rPr>
          <w:color w:val="auto"/>
        </w:rPr>
      </w:pPr>
      <w:bookmarkStart w:id="410" w:name="_Toc1413"/>
      <w:r>
        <w:rPr>
          <w:rFonts w:hint="eastAsia"/>
          <w:color w:val="auto"/>
        </w:rPr>
        <w:t>现场消防、保卫措施</w:t>
      </w:r>
      <w:bookmarkEnd w:id="410"/>
    </w:p>
    <w:p w14:paraId="64A8195E">
      <w:pPr>
        <w:rPr>
          <w:color w:val="auto"/>
        </w:rPr>
      </w:pPr>
      <w:r>
        <w:rPr>
          <w:rFonts w:hint="eastAsia"/>
          <w:color w:val="auto"/>
        </w:rPr>
        <w:t>落实并执行《职业卫生安全管理体系标准》、《建筑施工安全检查标准》（JGJ59-2011），及我司各项消防管理的规章制度</w:t>
      </w:r>
    </w:p>
    <w:p w14:paraId="3E895973">
      <w:pPr>
        <w:pStyle w:val="6"/>
        <w:ind w:firstLine="480"/>
        <w:rPr>
          <w:color w:val="auto"/>
        </w:rPr>
      </w:pPr>
      <w:r>
        <w:rPr>
          <w:rFonts w:hint="eastAsia"/>
          <w:color w:val="auto"/>
        </w:rPr>
        <w:t>消防管理体系</w:t>
      </w:r>
    </w:p>
    <w:p w14:paraId="5A802DF8">
      <w:pPr>
        <w:pStyle w:val="65"/>
        <w:spacing w:before="163" w:after="163"/>
        <w:rPr>
          <w:color w:val="auto"/>
        </w:rPr>
      </w:pPr>
      <w:r>
        <w:rPr>
          <w:color w:val="auto"/>
        </w:rPr>
        <w:object>
          <v:shape id="_x0000_i1041" o:spt="75" type="#_x0000_t75" style="height:288pt;width:295.3pt;" o:ole="t" filled="f" o:preferrelative="t" stroked="f" coordsize="21600,21600">
            <v:path/>
            <v:fill on="f" focussize="0,0"/>
            <v:stroke on="f" joinstyle="miter"/>
            <v:imagedata r:id="rId261" cropleft="4709f" croptop="2982f" cropright="-239f" cropbottom="8689f" o:title=""/>
            <o:lock v:ext="edit" aspectratio="t"/>
            <w10:wrap type="none"/>
            <w10:anchorlock/>
          </v:shape>
          <o:OLEObject Type="Embed" ProgID="Visio.Drawing.11" ShapeID="_x0000_i1041" DrawAspect="Content" ObjectID="_1468075741" r:id="rId260">
            <o:LockedField>false</o:LockedField>
          </o:OLEObject>
        </w:object>
      </w:r>
    </w:p>
    <w:p w14:paraId="6AC548EE">
      <w:pPr>
        <w:pStyle w:val="53"/>
        <w:rPr>
          <w:color w:val="auto"/>
        </w:rPr>
      </w:pPr>
      <w:r>
        <w:rPr>
          <w:rFonts w:hint="eastAsia"/>
          <w:color w:val="auto"/>
        </w:rPr>
        <w:t>消防管理体系图</w:t>
      </w:r>
    </w:p>
    <w:p w14:paraId="22ACA447">
      <w:pPr>
        <w:pStyle w:val="6"/>
        <w:ind w:firstLine="480"/>
        <w:rPr>
          <w:color w:val="auto"/>
        </w:rPr>
      </w:pPr>
      <w:r>
        <w:rPr>
          <w:rFonts w:hint="eastAsia"/>
          <w:color w:val="auto"/>
        </w:rPr>
        <w:t>消防管理制度</w:t>
      </w:r>
    </w:p>
    <w:p w14:paraId="4CFB9D42">
      <w:pPr>
        <w:rPr>
          <w:color w:val="auto"/>
        </w:rPr>
      </w:pPr>
      <w:r>
        <w:rPr>
          <w:rFonts w:hint="eastAsia"/>
          <w:color w:val="auto"/>
        </w:rPr>
        <w:t>（1）消防教育培训制度：</w:t>
      </w:r>
    </w:p>
    <w:p w14:paraId="59D8A80F">
      <w:pPr>
        <w:rPr>
          <w:color w:val="auto"/>
        </w:rPr>
      </w:pPr>
      <w:r>
        <w:rPr>
          <w:rFonts w:hint="eastAsia"/>
          <w:color w:val="auto"/>
        </w:rPr>
        <w:t>开展消防安全生产思想教育，通过对方针政策和消防知识的教育，提高管理人员和广大职工对消防重要意义的认识。</w:t>
      </w:r>
    </w:p>
    <w:p w14:paraId="51AD7DCA">
      <w:pPr>
        <w:rPr>
          <w:color w:val="auto"/>
        </w:rPr>
      </w:pPr>
      <w:r>
        <w:rPr>
          <w:rFonts w:hint="eastAsia"/>
          <w:color w:val="auto"/>
        </w:rPr>
        <w:t>1）消防知识教育。项目不定期对职工进行消防基本知识、消防法规和各项规章制度，使所有职工具备消防基本知识，做到依法治火，各专业应针对岗位特点进行消防安全教育培训</w:t>
      </w:r>
    </w:p>
    <w:p w14:paraId="6F20BFAD">
      <w:pPr>
        <w:rPr>
          <w:color w:val="auto"/>
        </w:rPr>
      </w:pPr>
      <w:r>
        <w:rPr>
          <w:rFonts w:hint="eastAsia"/>
          <w:color w:val="auto"/>
        </w:rPr>
        <w:t>2）对灭火器、消防水管等消防设施维护保养和使用人员应进行实地演示和培训。</w:t>
      </w:r>
    </w:p>
    <w:p w14:paraId="09486560">
      <w:pPr>
        <w:rPr>
          <w:color w:val="auto"/>
        </w:rPr>
      </w:pPr>
      <w:r>
        <w:rPr>
          <w:rFonts w:hint="eastAsia"/>
          <w:color w:val="auto"/>
        </w:rPr>
        <w:t>3）建立消防知识宣传栏、组织消防知识竞赛等多种形式，提高全体员工的消防安全意识。</w:t>
      </w:r>
    </w:p>
    <w:p w14:paraId="7738AE5D">
      <w:pPr>
        <w:rPr>
          <w:color w:val="auto"/>
        </w:rPr>
      </w:pPr>
      <w:r>
        <w:rPr>
          <w:rFonts w:hint="eastAsia"/>
          <w:color w:val="auto"/>
        </w:rPr>
        <w:t>（2）防火巡查、检查制度</w:t>
      </w:r>
    </w:p>
    <w:p w14:paraId="3BB352DB">
      <w:pPr>
        <w:rPr>
          <w:color w:val="auto"/>
        </w:rPr>
      </w:pPr>
      <w:r>
        <w:rPr>
          <w:rFonts w:hint="eastAsia"/>
          <w:color w:val="auto"/>
        </w:rPr>
        <w:t>项目主管消防工作的领导，每个月组织安全部门、后勤保障部门等部门对项目检查，主要对现场消防隐患进行彻底检查，不合格的严令整改。主管安全生产的项目经理，每周组织施工工长，安全员，后勤保障部、机电工长或电工，对项目范围内的现场、车间、库房、食堂及生活区域防火检查，消防巡防员每日对工地进行防火巡查。检查时必须作好记录备查。对检查出来的消防隐患问题，要制订整改方案，落实专人，限期整改，彻底消除隐患。</w:t>
      </w:r>
    </w:p>
    <w:p w14:paraId="48413714">
      <w:pPr>
        <w:rPr>
          <w:color w:val="auto"/>
        </w:rPr>
      </w:pPr>
      <w:r>
        <w:rPr>
          <w:rFonts w:hint="eastAsia"/>
          <w:color w:val="auto"/>
        </w:rPr>
        <w:t>（3）火灾隐患管理制度</w:t>
      </w:r>
    </w:p>
    <w:p w14:paraId="4A0111E3">
      <w:pPr>
        <w:rPr>
          <w:color w:val="auto"/>
        </w:rPr>
      </w:pPr>
      <w:r>
        <w:rPr>
          <w:rFonts w:hint="eastAsia"/>
          <w:color w:val="auto"/>
        </w:rPr>
        <w:t xml:space="preserve">1）项目经理部按消防检查制度的要求，将定期或不定期对现场进行安全检查，安全检查完后2小时即发出安全整改通知书和安全整改明细表，并限期整改，同时要做好隐患整改情况记录，对存在的火灾隐患应当及时予以消除。 </w:t>
      </w:r>
    </w:p>
    <w:p w14:paraId="147A0969">
      <w:pPr>
        <w:rPr>
          <w:color w:val="auto"/>
        </w:rPr>
      </w:pPr>
      <w:r>
        <w:rPr>
          <w:rFonts w:hint="eastAsia"/>
          <w:color w:val="auto"/>
        </w:rPr>
        <w:t xml:space="preserve">2）在火灾隐患未消除前，应当落实防范措施，确保隐患整改期间的消防安全，对确无能力解决的重大火灾隐患应当提出解决方案，及时向上级消防安全责任人报告，并由单位上级主管部门向当地政府报告。 </w:t>
      </w:r>
    </w:p>
    <w:p w14:paraId="6BD25BB4">
      <w:pPr>
        <w:rPr>
          <w:color w:val="auto"/>
        </w:rPr>
      </w:pPr>
      <w:r>
        <w:rPr>
          <w:rFonts w:hint="eastAsia"/>
          <w:color w:val="auto"/>
        </w:rPr>
        <w:t>3）对公安消防机构责令限期整改的火灾隐患，应当在规定的期限内整改并写出隐患整改通知单，报送公安消防部门。</w:t>
      </w:r>
    </w:p>
    <w:p w14:paraId="710E0F96">
      <w:pPr>
        <w:rPr>
          <w:color w:val="auto"/>
        </w:rPr>
      </w:pPr>
      <w:r>
        <w:rPr>
          <w:rFonts w:hint="eastAsia"/>
          <w:color w:val="auto"/>
        </w:rPr>
        <w:t>（4）安全疏散设施管理制度</w:t>
      </w:r>
    </w:p>
    <w:p w14:paraId="384D9425">
      <w:pPr>
        <w:rPr>
          <w:color w:val="auto"/>
        </w:rPr>
      </w:pPr>
      <w:r>
        <w:rPr>
          <w:rFonts w:hint="eastAsia"/>
          <w:color w:val="auto"/>
        </w:rPr>
        <w:t>1）项目经理部在现场总平面布置时，应按规范设置符合国家规定，设置消防通道。应保持疏散通道、安全出口畅通，严禁占用疏散通道，严禁在安全出口或疏散通道上安装栅栏等影响疏散的障碍物。</w:t>
      </w:r>
    </w:p>
    <w:p w14:paraId="2B25037D">
      <w:pPr>
        <w:rPr>
          <w:color w:val="auto"/>
        </w:rPr>
      </w:pPr>
      <w:r>
        <w:rPr>
          <w:rFonts w:hint="eastAsia"/>
          <w:color w:val="auto"/>
        </w:rPr>
        <w:t>2）疏散通道、安全出口应设置消防安全疏散指示标志和应急照明设施。并定期组织检查、测试、维护和保养，保证设施处于正常状态。</w:t>
      </w:r>
    </w:p>
    <w:p w14:paraId="1518EA86">
      <w:pPr>
        <w:rPr>
          <w:color w:val="auto"/>
        </w:rPr>
      </w:pPr>
      <w:r>
        <w:rPr>
          <w:rFonts w:hint="eastAsia"/>
          <w:color w:val="auto"/>
        </w:rPr>
        <w:t>（5）项目消防队员管理制度</w:t>
      </w:r>
    </w:p>
    <w:p w14:paraId="3219D4D0">
      <w:pPr>
        <w:rPr>
          <w:color w:val="auto"/>
        </w:rPr>
      </w:pPr>
      <w:r>
        <w:rPr>
          <w:rFonts w:hint="eastAsia"/>
          <w:color w:val="auto"/>
        </w:rPr>
        <w:t>1）熟悉并掌握各类消防设施的使用性能，保证扑救火灾过程中操作有序、准确迅速。</w:t>
      </w:r>
    </w:p>
    <w:p w14:paraId="7323B505">
      <w:pPr>
        <w:rPr>
          <w:color w:val="auto"/>
        </w:rPr>
      </w:pPr>
      <w:r>
        <w:rPr>
          <w:rFonts w:hint="eastAsia"/>
          <w:color w:val="auto"/>
        </w:rPr>
        <w:t>2）做好消防值班记录和交接班记录，处理消防报警电话。</w:t>
      </w:r>
    </w:p>
    <w:p w14:paraId="792E3AB5">
      <w:pPr>
        <w:rPr>
          <w:color w:val="auto"/>
        </w:rPr>
      </w:pPr>
      <w:r>
        <w:rPr>
          <w:rFonts w:hint="eastAsia"/>
          <w:color w:val="auto"/>
        </w:rPr>
        <w:t>3）按时交接班，做好值班记录、设备情况、事故处理等情况的交接手续。无交接班手续，值班人员不得擅自离岗。</w:t>
      </w:r>
    </w:p>
    <w:p w14:paraId="7DA13A23">
      <w:pPr>
        <w:rPr>
          <w:color w:val="auto"/>
        </w:rPr>
      </w:pPr>
      <w:r>
        <w:rPr>
          <w:rFonts w:hint="eastAsia"/>
          <w:color w:val="auto"/>
        </w:rPr>
        <w:t>4）发现火灾时，迅速按灭火预案紧急处理，并拨打119电话通知公安消防部门并报告部门主管。</w:t>
      </w:r>
    </w:p>
    <w:p w14:paraId="7A514BEB">
      <w:pPr>
        <w:rPr>
          <w:color w:val="auto"/>
        </w:rPr>
      </w:pPr>
      <w:r>
        <w:rPr>
          <w:rFonts w:hint="eastAsia"/>
          <w:color w:val="auto"/>
        </w:rPr>
        <w:t>（6）消防设施、器材维护管理制度</w:t>
      </w:r>
    </w:p>
    <w:p w14:paraId="0A168DD1">
      <w:pPr>
        <w:rPr>
          <w:color w:val="auto"/>
        </w:rPr>
      </w:pPr>
      <w:r>
        <w:rPr>
          <w:rFonts w:hint="eastAsia"/>
          <w:color w:val="auto"/>
        </w:rPr>
        <w:t>1）消防设施日常使用管理由专职管理员负责，专职管理员每日检查消防设施的使用状况，保持设施整洁、卫生、完好。</w:t>
      </w:r>
    </w:p>
    <w:p w14:paraId="72B7FD6B">
      <w:pPr>
        <w:rPr>
          <w:color w:val="auto"/>
        </w:rPr>
      </w:pPr>
      <w:r>
        <w:rPr>
          <w:rFonts w:hint="eastAsia"/>
          <w:color w:val="auto"/>
        </w:rPr>
        <w:t>2）消防设施及消防器材的技术性能的维修保养和定期检测由项目后勤管理部门负责，保证处于完好状态。对消防器材应经常检查，发现丢失、损坏应立即补充并上报领导。</w:t>
      </w:r>
    </w:p>
    <w:p w14:paraId="789915C2">
      <w:pPr>
        <w:rPr>
          <w:color w:val="auto"/>
        </w:rPr>
      </w:pPr>
      <w:r>
        <w:rPr>
          <w:rFonts w:hint="eastAsia"/>
          <w:color w:val="auto"/>
        </w:rPr>
        <w:t>3）每年在冬防、夏防期间定期两次对灭火器进行普查换药。</w:t>
      </w:r>
    </w:p>
    <w:p w14:paraId="67C73773">
      <w:pPr>
        <w:rPr>
          <w:color w:val="auto"/>
        </w:rPr>
      </w:pPr>
      <w:r>
        <w:rPr>
          <w:rFonts w:hint="eastAsia"/>
          <w:color w:val="auto"/>
        </w:rPr>
        <w:t>（7）消防安全用火管理制度</w:t>
      </w:r>
    </w:p>
    <w:p w14:paraId="6AF6CAA0">
      <w:pPr>
        <w:rPr>
          <w:color w:val="auto"/>
        </w:rPr>
      </w:pPr>
      <w:r>
        <w:rPr>
          <w:rFonts w:hint="eastAsia"/>
          <w:color w:val="auto"/>
        </w:rPr>
        <w:t>1）严格执行动火审批制度，确需动火作业时，作业单位应按规定向项目后勤管理部门申请动火许可证，并经项目经理签字同意后方可进行。</w:t>
      </w:r>
    </w:p>
    <w:p w14:paraId="6906AF96">
      <w:pPr>
        <w:rPr>
          <w:color w:val="auto"/>
        </w:rPr>
      </w:pPr>
      <w:r>
        <w:rPr>
          <w:rFonts w:hint="eastAsia"/>
          <w:color w:val="auto"/>
        </w:rPr>
        <w:t>2）动火作业前应清除动火点附近5米区域范围内的易燃易爆危险物品或作适当的安全隔离，并向保卫部借取适当种类、数量的灭火器材随时备用，结束作业后应即时归还，若有动用应如实报告。</w:t>
      </w:r>
    </w:p>
    <w:p w14:paraId="40ED2B91">
      <w:pPr>
        <w:rPr>
          <w:color w:val="auto"/>
        </w:rPr>
      </w:pPr>
      <w:r>
        <w:rPr>
          <w:rFonts w:hint="eastAsia"/>
          <w:color w:val="auto"/>
        </w:rPr>
        <w:t>3）离地面2米以上的高空动火作业必须保证有一人在下方专职负责随时扑灭可能引燃其它物品的火花。</w:t>
      </w:r>
    </w:p>
    <w:p w14:paraId="4B44E7CE">
      <w:pPr>
        <w:pStyle w:val="6"/>
        <w:ind w:firstLine="480"/>
        <w:rPr>
          <w:color w:val="auto"/>
        </w:rPr>
      </w:pPr>
      <w:r>
        <w:rPr>
          <w:rFonts w:hint="eastAsia"/>
          <w:color w:val="auto"/>
        </w:rPr>
        <w:t>消防安全技术措施</w:t>
      </w:r>
    </w:p>
    <w:p w14:paraId="5BA942F3">
      <w:pPr>
        <w:rPr>
          <w:color w:val="auto"/>
        </w:rPr>
      </w:pPr>
      <w:r>
        <w:rPr>
          <w:rFonts w:hint="eastAsia"/>
          <w:color w:val="auto"/>
        </w:rPr>
        <w:t>（1）首先根据现场的实际情况制定切实可行的消防制度或措施，对施工现场和办公生活区，进行合理防火分区，按照消防要求配备足够的消防器材，并由专人负责检查落实。</w:t>
      </w:r>
    </w:p>
    <w:p w14:paraId="1567F1F3">
      <w:pPr>
        <w:rPr>
          <w:color w:val="auto"/>
        </w:rPr>
      </w:pPr>
      <w:r>
        <w:rPr>
          <w:rFonts w:hint="eastAsia"/>
          <w:color w:val="auto"/>
        </w:rPr>
        <w:t>（2）按照有关文件规定，结合本现场实际，布置一定数量的灭火器。消防检查与安全检查结合起来，作为安全检查的一项重要检查内容。并对检查中发现的问题，及时整改，消防设施、器材齐全有效，并能全面覆盖。消防设施、器材做明显标志，除发生火灾和检修、更新消防设施、器材外，任何情况下不得动用。</w:t>
      </w:r>
    </w:p>
    <w:p w14:paraId="216F8CEA">
      <w:pPr>
        <w:rPr>
          <w:color w:val="auto"/>
        </w:rPr>
      </w:pPr>
      <w:r>
        <w:rPr>
          <w:rFonts w:hint="eastAsia"/>
          <w:color w:val="auto"/>
        </w:rPr>
        <w:t>（3）其次要根据不同作业条件、不同材料合理配备灭火器材，如在电器设备附近配备干粉类不导电的灭火器材，宿舍、食堂、木材加工区、焊接作业面等易燃部位都配备足够的灭火器材，对于设置的泡沫灭火器材注明换药日期和防晒措施，按有关消防规定设置灭火器材位置和数量。</w:t>
      </w:r>
    </w:p>
    <w:p w14:paraId="5BFD5172">
      <w:pPr>
        <w:rPr>
          <w:color w:val="auto"/>
        </w:rPr>
      </w:pPr>
      <w:r>
        <w:rPr>
          <w:rFonts w:hint="eastAsia"/>
          <w:color w:val="auto"/>
        </w:rPr>
        <w:t>（4）在进行焊接作业时，采用工具化的电焊机、灭火器一体化设计，确保焊接时用灭火器材随时携带，确保将火灾消灭在萌芽状态。详见下图所示</w:t>
      </w:r>
    </w:p>
    <w:p w14:paraId="5E72959A">
      <w:pPr>
        <w:pStyle w:val="65"/>
        <w:spacing w:before="163" w:after="163"/>
        <w:rPr>
          <w:color w:val="auto"/>
        </w:rPr>
      </w:pPr>
      <w:r>
        <w:rPr>
          <w:color w:val="auto"/>
        </w:rPr>
        <w:drawing>
          <wp:inline distT="0" distB="0" distL="0" distR="0">
            <wp:extent cx="2339975" cy="2680335"/>
            <wp:effectExtent l="0" t="0" r="9525" b="12065"/>
            <wp:docPr id="2205" name="图片 2205" descr="SNC12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5" name="图片 2205" descr="SNC12422"/>
                    <pic:cNvPicPr>
                      <a:picLocks noChangeAspect="1" noChangeArrowheads="1"/>
                    </pic:cNvPicPr>
                  </pic:nvPicPr>
                  <pic:blipFill>
                    <a:blip r:embed="rId262" cstate="print"/>
                    <a:srcRect/>
                    <a:stretch>
                      <a:fillRect/>
                    </a:stretch>
                  </pic:blipFill>
                  <pic:spPr>
                    <a:xfrm>
                      <a:off x="0" y="0"/>
                      <a:ext cx="2339975" cy="2680335"/>
                    </a:xfrm>
                    <a:prstGeom prst="rect">
                      <a:avLst/>
                    </a:prstGeom>
                    <a:noFill/>
                    <a:ln w="9525">
                      <a:noFill/>
                      <a:miter lim="800000"/>
                      <a:headEnd/>
                      <a:tailEnd/>
                    </a:ln>
                  </pic:spPr>
                </pic:pic>
              </a:graphicData>
            </a:graphic>
          </wp:inline>
        </w:drawing>
      </w:r>
    </w:p>
    <w:p w14:paraId="408BD948">
      <w:pPr>
        <w:pStyle w:val="53"/>
        <w:rPr>
          <w:color w:val="auto"/>
        </w:rPr>
      </w:pPr>
      <w:r>
        <w:rPr>
          <w:rFonts w:hint="eastAsia"/>
          <w:color w:val="auto"/>
        </w:rPr>
        <w:t>电焊机、灭火器及配电箱工具一体化</w:t>
      </w:r>
    </w:p>
    <w:p w14:paraId="1906D5F4">
      <w:pPr>
        <w:rPr>
          <w:color w:val="auto"/>
        </w:rPr>
      </w:pPr>
      <w:r>
        <w:rPr>
          <w:rFonts w:hint="eastAsia"/>
          <w:color w:val="auto"/>
        </w:rPr>
        <w:t>（5）配备足够的消防水源和自救用水量，立管直径应在65以上，配备高压水泵保证水压并在每层设有消防水源接口。消防泵配专用配电线路，消防供水保证足够水源和水压，楼层安装临时消防竖管。严禁消防竖管作为施工用水管线。详见插图所示。</w:t>
      </w:r>
    </w:p>
    <w:p w14:paraId="729D9D76">
      <w:pPr>
        <w:rPr>
          <w:color w:val="auto"/>
        </w:rPr>
      </w:pPr>
      <w:r>
        <w:rPr>
          <w:rFonts w:hint="eastAsia"/>
          <w:color w:val="auto"/>
        </w:rPr>
        <w:t>（6）在施工现场建立动火审批制度。严禁任何人私自随时随地动火。电气焊等动火作业，必须办理动火审批手续，配备灭火器，开具动火证，安排专人看火。高空焊接必须采取防风围挡平台，避免火花飞溅。</w:t>
      </w:r>
    </w:p>
    <w:p w14:paraId="0B890EFF">
      <w:pPr>
        <w:rPr>
          <w:color w:val="auto"/>
        </w:rPr>
      </w:pPr>
      <w:r>
        <w:rPr>
          <w:rFonts w:hint="eastAsia"/>
          <w:color w:val="auto"/>
        </w:rPr>
        <w:t>（7）现场消防道路通畅，禁止在临时消防车道上堆物或挤占消防车道，设立从作业楼层通往室外地面的紧急疏散通道，配备应急电源。</w:t>
      </w:r>
    </w:p>
    <w:p w14:paraId="45B3AAFD">
      <w:pPr>
        <w:rPr>
          <w:color w:val="auto"/>
        </w:rPr>
      </w:pPr>
      <w:r>
        <w:rPr>
          <w:rFonts w:hint="eastAsia"/>
          <w:color w:val="auto"/>
        </w:rPr>
        <w:t>（8）施工材料分类堆放，做好防火措施；易燃易爆物品专库存放，保持通风，严格执行领退料手续，选购阻燃安全网，避免因安全网易燃而引发火灾。</w:t>
      </w:r>
    </w:p>
    <w:p w14:paraId="7E69ADE0">
      <w:pPr>
        <w:rPr>
          <w:color w:val="auto"/>
        </w:rPr>
      </w:pPr>
      <w:r>
        <w:rPr>
          <w:rFonts w:hint="eastAsia"/>
          <w:color w:val="auto"/>
        </w:rPr>
        <w:t>（9）施工现场严禁吸烟。</w:t>
      </w:r>
    </w:p>
    <w:p w14:paraId="1D43A763">
      <w:pPr>
        <w:pStyle w:val="6"/>
        <w:ind w:firstLine="480"/>
        <w:rPr>
          <w:color w:val="auto"/>
        </w:rPr>
      </w:pPr>
      <w:r>
        <w:rPr>
          <w:rFonts w:hint="eastAsia"/>
          <w:color w:val="auto"/>
        </w:rPr>
        <w:t>消防应急预案</w:t>
      </w:r>
    </w:p>
    <w:p w14:paraId="3B739C9A">
      <w:pPr>
        <w:rPr>
          <w:color w:val="auto"/>
        </w:rPr>
      </w:pPr>
      <w:r>
        <w:rPr>
          <w:rFonts w:hint="eastAsia"/>
          <w:color w:val="auto"/>
        </w:rPr>
        <w:t>建立消防保卫机构，组建义务消防队伍，开展消防演习，提高应急能力。</w:t>
      </w:r>
    </w:p>
    <w:p w14:paraId="4F4ABF22">
      <w:pPr>
        <w:rPr>
          <w:color w:val="auto"/>
        </w:rPr>
      </w:pPr>
      <w:r>
        <w:rPr>
          <w:rFonts w:hint="eastAsia"/>
          <w:color w:val="auto"/>
        </w:rPr>
        <w:t>（1）火灾急救</w:t>
      </w:r>
    </w:p>
    <w:p w14:paraId="6CBE2C25">
      <w:pPr>
        <w:rPr>
          <w:color w:val="auto"/>
        </w:rPr>
      </w:pPr>
      <w:r>
        <w:rPr>
          <w:rFonts w:hint="eastAsia"/>
          <w:color w:val="auto"/>
        </w:rPr>
        <w:t>施工现场发生火警、火灾事故时，应立即通知消防小组并组织灭火，根据火场情况，机动灵活地选择灭火用具，如电气设备起火时应采用干粉灭火器扑救，不得用水或泡沫灭火器扑救；油漆、有机溶剂起火应采用泡沫灭火器或消防砂扑救，不得用水扑救。在无法控制火情时应立即与经理部事故应急救援指挥部联系并拨打“119”向消防部门报警，同时组织撤离及继续扑救。</w:t>
      </w:r>
    </w:p>
    <w:p w14:paraId="04792DB9">
      <w:pPr>
        <w:rPr>
          <w:color w:val="auto"/>
        </w:rPr>
      </w:pPr>
      <w:r>
        <w:rPr>
          <w:rFonts w:hint="eastAsia"/>
          <w:color w:val="auto"/>
        </w:rPr>
        <w:t>在消防部门到达前，应对易燃、易爆的物质采取正确有效的隔离。如切断电源，撤离现场内的人员和周围易燃易爆物品及一切贵重物品。</w:t>
      </w:r>
    </w:p>
    <w:p w14:paraId="23BFEA33">
      <w:pPr>
        <w:rPr>
          <w:color w:val="auto"/>
        </w:rPr>
      </w:pPr>
      <w:r>
        <w:rPr>
          <w:rFonts w:hint="eastAsia"/>
          <w:color w:val="auto"/>
        </w:rPr>
        <w:t>在扑救现场，应行动统一，如火势扩大，一般扑救不可能消灭火情时，应及时组织撤离扑救人员，避免不必要的伤亡。</w:t>
      </w:r>
    </w:p>
    <w:p w14:paraId="39E08EFF">
      <w:pPr>
        <w:rPr>
          <w:color w:val="auto"/>
        </w:rPr>
      </w:pPr>
      <w:r>
        <w:rPr>
          <w:rFonts w:hint="eastAsia"/>
          <w:color w:val="auto"/>
        </w:rPr>
        <w:t>在扑救过程的同时要注意周围情况，防止中毒、倒塌、坠落、触电、物体打击，避免二次事故的发生。在灭火后，应保护好现场，以便事后调查起火原因。</w:t>
      </w:r>
    </w:p>
    <w:p w14:paraId="55FE71A2">
      <w:pPr>
        <w:rPr>
          <w:color w:val="auto"/>
        </w:rPr>
      </w:pPr>
      <w:r>
        <w:rPr>
          <w:rFonts w:hint="eastAsia"/>
          <w:color w:val="auto"/>
        </w:rPr>
        <w:t>（2）火灾现场自救注意事项</w:t>
      </w:r>
    </w:p>
    <w:p w14:paraId="322872D6">
      <w:pPr>
        <w:rPr>
          <w:color w:val="auto"/>
        </w:rPr>
      </w:pPr>
      <w:r>
        <w:rPr>
          <w:rFonts w:hint="eastAsia"/>
          <w:color w:val="auto"/>
        </w:rPr>
        <w:t>1）救火人应注意自我防护，使用灭火器材救火时应站在上风位置，以防因烈火、浓烟熏烤而受到伤害。</w:t>
      </w:r>
    </w:p>
    <w:p w14:paraId="1D8E78D0">
      <w:pPr>
        <w:rPr>
          <w:color w:val="auto"/>
        </w:rPr>
      </w:pPr>
      <w:r>
        <w:rPr>
          <w:rFonts w:hint="eastAsia"/>
          <w:color w:val="auto"/>
        </w:rPr>
        <w:t>2）火灾袭来时要迅速疏散逃生，不要贪恋财物。</w:t>
      </w:r>
    </w:p>
    <w:p w14:paraId="69AC56FB">
      <w:pPr>
        <w:rPr>
          <w:color w:val="auto"/>
        </w:rPr>
      </w:pPr>
      <w:r>
        <w:rPr>
          <w:rFonts w:hint="eastAsia"/>
          <w:color w:val="auto"/>
        </w:rPr>
        <w:t>3）必须穿越浓烟逃走时，应尽量用浸湿的衣物披裹身体，用湿毛巾或布捂住口鼻，或贴近地面爬行。</w:t>
      </w:r>
    </w:p>
    <w:p w14:paraId="7F5E8541">
      <w:pPr>
        <w:rPr>
          <w:color w:val="auto"/>
        </w:rPr>
      </w:pPr>
      <w:r>
        <w:rPr>
          <w:rFonts w:hint="eastAsia"/>
          <w:color w:val="auto"/>
        </w:rPr>
        <w:t>4）身上着火时，可就地打滚，或用厚重衣物覆盖压灭火苗。</w:t>
      </w:r>
    </w:p>
    <w:p w14:paraId="4756A3F9">
      <w:pPr>
        <w:rPr>
          <w:color w:val="auto"/>
        </w:rPr>
      </w:pPr>
      <w:r>
        <w:rPr>
          <w:rFonts w:hint="eastAsia"/>
          <w:color w:val="auto"/>
        </w:rPr>
        <w:t>5）大火封门无法逃生时，可用浸湿的被褥衣物等堵塞门缝，泼水降温呼救待援。</w:t>
      </w:r>
    </w:p>
    <w:p w14:paraId="6F410641">
      <w:pPr>
        <w:rPr>
          <w:color w:val="auto"/>
        </w:rPr>
      </w:pPr>
      <w:r>
        <w:rPr>
          <w:rFonts w:hint="eastAsia"/>
          <w:color w:val="auto"/>
        </w:rPr>
        <w:t>（3）烧伤人员现场救治</w:t>
      </w:r>
    </w:p>
    <w:p w14:paraId="09FC76A7">
      <w:pPr>
        <w:rPr>
          <w:color w:val="auto"/>
        </w:rPr>
      </w:pPr>
      <w:r>
        <w:rPr>
          <w:rFonts w:hint="eastAsia"/>
          <w:color w:val="auto"/>
        </w:rPr>
        <w:t>在出事现场，立即采取急救措施，使伤员尽快与致伤因素脱离接触，以免继续伤害深层组织。</w:t>
      </w:r>
    </w:p>
    <w:p w14:paraId="4B77D433">
      <w:pPr>
        <w:rPr>
          <w:color w:val="auto"/>
        </w:rPr>
      </w:pPr>
      <w:r>
        <w:rPr>
          <w:rFonts w:hint="eastAsia"/>
          <w:color w:val="auto"/>
        </w:rPr>
        <w:t>1）伤员身上燃烧着的衣服一时难以脱下时，可让伤员躺在地上打滚，或用水洒扑灭火焰。切勿奔跑或用手拍打，以免助长火势，防止手被烧伤。如附近有河沟或水池，可让伤员跳入水中。如为肢体烧伤则可直接浸入冷水中灭火。</w:t>
      </w:r>
    </w:p>
    <w:p w14:paraId="75F6AAD9">
      <w:pPr>
        <w:rPr>
          <w:color w:val="auto"/>
        </w:rPr>
      </w:pPr>
      <w:r>
        <w:rPr>
          <w:rFonts w:hint="eastAsia"/>
          <w:color w:val="auto"/>
        </w:rPr>
        <w:t>2）用清洁包布覆盖伤面做简单包扎，避免创面污染。自己不要随便把水痘弄破，更不要在创面涂任何有刺激性的液体或不清洁的粉和油剂。</w:t>
      </w:r>
    </w:p>
    <w:p w14:paraId="0CAE5B89">
      <w:pPr>
        <w:rPr>
          <w:color w:val="auto"/>
        </w:rPr>
      </w:pPr>
      <w:r>
        <w:rPr>
          <w:rFonts w:hint="eastAsia"/>
          <w:color w:val="auto"/>
        </w:rPr>
        <w:t>3）伤员口渴时可给适量饮水或含盐饮料。</w:t>
      </w:r>
    </w:p>
    <w:p w14:paraId="522C11C5">
      <w:pPr>
        <w:rPr>
          <w:color w:val="auto"/>
        </w:rPr>
      </w:pPr>
      <w:r>
        <w:rPr>
          <w:rFonts w:hint="eastAsia"/>
          <w:color w:val="auto"/>
        </w:rPr>
        <w:t>4）经现场处理后的伤员要迅速转送医院救治，转送过程中要注意观察呼吸、脉搏、血压等的变化。</w:t>
      </w:r>
    </w:p>
    <w:p w14:paraId="5DBE3F97">
      <w:pPr>
        <w:rPr>
          <w:color w:val="auto"/>
        </w:rPr>
      </w:pPr>
      <w:r>
        <w:rPr>
          <w:rFonts w:hint="eastAsia"/>
          <w:color w:val="auto"/>
        </w:rPr>
        <w:t>安全事故防范措施</w:t>
      </w:r>
    </w:p>
    <w:p w14:paraId="1148755F">
      <w:pPr>
        <w:rPr>
          <w:color w:val="auto"/>
        </w:rPr>
      </w:pPr>
      <w:r>
        <w:rPr>
          <w:rFonts w:hint="eastAsia"/>
          <w:color w:val="auto"/>
        </w:rPr>
        <w:t>根据本工程特点以及我司在其它类似工程的施工经验，各类安全事故防范措施可详见下表所示：</w:t>
      </w:r>
    </w:p>
    <w:p w14:paraId="6AA03477">
      <w:pPr>
        <w:pStyle w:val="54"/>
        <w:rPr>
          <w:color w:val="auto"/>
        </w:rPr>
      </w:pPr>
      <w:r>
        <w:rPr>
          <w:rFonts w:hint="eastAsia"/>
          <w:color w:val="auto"/>
        </w:rPr>
        <w:t>安全事故防范措施表</w:t>
      </w:r>
    </w:p>
    <w:tbl>
      <w:tblPr>
        <w:tblStyle w:val="2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634"/>
        <w:gridCol w:w="1356"/>
        <w:gridCol w:w="6910"/>
      </w:tblGrid>
      <w:tr w14:paraId="13E1A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jc w:val="center"/>
        </w:trPr>
        <w:tc>
          <w:tcPr>
            <w:tcW w:w="356" w:type="pct"/>
            <w:shd w:val="clear" w:color="auto" w:fill="FFFFFF" w:themeFill="background1"/>
            <w:tcMar>
              <w:left w:w="28" w:type="dxa"/>
              <w:right w:w="28" w:type="dxa"/>
            </w:tcMar>
            <w:vAlign w:val="center"/>
          </w:tcPr>
          <w:p w14:paraId="4389D6C2">
            <w:pPr>
              <w:pStyle w:val="74"/>
              <w:rPr>
                <w:color w:val="auto"/>
              </w:rPr>
            </w:pPr>
            <w:r>
              <w:rPr>
                <w:rFonts w:hint="eastAsia"/>
                <w:color w:val="auto"/>
              </w:rPr>
              <w:t>序号</w:t>
            </w:r>
          </w:p>
        </w:tc>
        <w:tc>
          <w:tcPr>
            <w:tcW w:w="762" w:type="pct"/>
            <w:shd w:val="clear" w:color="auto" w:fill="FFFFFF" w:themeFill="background1"/>
            <w:tcMar>
              <w:left w:w="28" w:type="dxa"/>
              <w:right w:w="28" w:type="dxa"/>
            </w:tcMar>
            <w:vAlign w:val="center"/>
          </w:tcPr>
          <w:p w14:paraId="185A33F6">
            <w:pPr>
              <w:pStyle w:val="74"/>
              <w:rPr>
                <w:color w:val="auto"/>
              </w:rPr>
            </w:pPr>
            <w:r>
              <w:rPr>
                <w:rFonts w:hint="eastAsia"/>
                <w:color w:val="auto"/>
              </w:rPr>
              <w:t>易出现安全事故的环节</w:t>
            </w:r>
          </w:p>
        </w:tc>
        <w:tc>
          <w:tcPr>
            <w:tcW w:w="3882" w:type="pct"/>
            <w:shd w:val="clear" w:color="auto" w:fill="FFFFFF" w:themeFill="background1"/>
            <w:tcMar>
              <w:left w:w="28" w:type="dxa"/>
              <w:right w:w="28" w:type="dxa"/>
            </w:tcMar>
            <w:vAlign w:val="center"/>
          </w:tcPr>
          <w:p w14:paraId="35DFF38B">
            <w:pPr>
              <w:pStyle w:val="74"/>
              <w:rPr>
                <w:color w:val="auto"/>
              </w:rPr>
            </w:pPr>
            <w:r>
              <w:rPr>
                <w:rFonts w:hint="eastAsia"/>
                <w:color w:val="auto"/>
              </w:rPr>
              <w:t>针对安全事故的防范措施</w:t>
            </w:r>
          </w:p>
        </w:tc>
      </w:tr>
      <w:tr w14:paraId="183A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4859F462">
            <w:pPr>
              <w:pStyle w:val="74"/>
              <w:rPr>
                <w:color w:val="auto"/>
              </w:rPr>
            </w:pPr>
            <w:r>
              <w:rPr>
                <w:rFonts w:hint="eastAsia"/>
                <w:color w:val="auto"/>
              </w:rPr>
              <w:t>1</w:t>
            </w:r>
          </w:p>
        </w:tc>
        <w:tc>
          <w:tcPr>
            <w:tcW w:w="762" w:type="pct"/>
            <w:shd w:val="clear" w:color="auto" w:fill="FFFFFF" w:themeFill="background1"/>
            <w:tcMar>
              <w:left w:w="28" w:type="dxa"/>
              <w:right w:w="28" w:type="dxa"/>
            </w:tcMar>
            <w:vAlign w:val="center"/>
          </w:tcPr>
          <w:p w14:paraId="04B0D82C">
            <w:pPr>
              <w:pStyle w:val="74"/>
              <w:rPr>
                <w:color w:val="auto"/>
              </w:rPr>
            </w:pPr>
            <w:r>
              <w:rPr>
                <w:rFonts w:hint="eastAsia"/>
                <w:color w:val="auto"/>
              </w:rPr>
              <w:t>深基坑边坡坍塌</w:t>
            </w:r>
          </w:p>
        </w:tc>
        <w:tc>
          <w:tcPr>
            <w:tcW w:w="3882" w:type="pct"/>
            <w:shd w:val="clear" w:color="auto" w:fill="FFFFFF" w:themeFill="background1"/>
            <w:tcMar>
              <w:left w:w="28" w:type="dxa"/>
              <w:right w:w="28" w:type="dxa"/>
            </w:tcMar>
            <w:vAlign w:val="center"/>
          </w:tcPr>
          <w:p w14:paraId="0EB9565C">
            <w:pPr>
              <w:pStyle w:val="74"/>
              <w:rPr>
                <w:color w:val="auto"/>
              </w:rPr>
            </w:pPr>
            <w:r>
              <w:rPr>
                <w:rFonts w:hint="eastAsia"/>
                <w:color w:val="auto"/>
              </w:rPr>
              <w:t>在做好边坡支护的同时，还应进行以下安全措施：</w:t>
            </w:r>
          </w:p>
          <w:p w14:paraId="25104938">
            <w:pPr>
              <w:pStyle w:val="74"/>
              <w:rPr>
                <w:color w:val="auto"/>
              </w:rPr>
            </w:pPr>
            <w:r>
              <w:rPr>
                <w:rFonts w:hint="eastAsia"/>
                <w:color w:val="auto"/>
              </w:rPr>
              <w:t>1、雨雪天气前后要对基坑进行仔细检查，发现有大面积裂缝，或坍塌现象应及时处理，并向项目报告；</w:t>
            </w:r>
          </w:p>
          <w:p w14:paraId="4CF7237A">
            <w:pPr>
              <w:pStyle w:val="74"/>
              <w:rPr>
                <w:color w:val="auto"/>
              </w:rPr>
            </w:pPr>
            <w:r>
              <w:rPr>
                <w:rFonts w:hint="eastAsia"/>
                <w:color w:val="auto"/>
              </w:rPr>
              <w:t>2、每天都要对基坑进行巡查，如果发现有裂缝、异常情况，要作好巡查记录；</w:t>
            </w:r>
          </w:p>
          <w:p w14:paraId="060A03BC">
            <w:pPr>
              <w:pStyle w:val="74"/>
              <w:rPr>
                <w:color w:val="auto"/>
              </w:rPr>
            </w:pPr>
            <w:r>
              <w:rPr>
                <w:rFonts w:hint="eastAsia"/>
                <w:color w:val="auto"/>
              </w:rPr>
              <w:t>3、沿边坡0.5米周围修一条高0.3米的挡水坎，作成坡向朝外的土坡，并进行必要夯实；</w:t>
            </w:r>
          </w:p>
          <w:p w14:paraId="45B55D4E">
            <w:pPr>
              <w:pStyle w:val="74"/>
              <w:rPr>
                <w:color w:val="auto"/>
              </w:rPr>
            </w:pPr>
            <w:r>
              <w:rPr>
                <w:rFonts w:hint="eastAsia"/>
                <w:color w:val="auto"/>
              </w:rPr>
              <w:t>4、基坑边1米以内禁止堆放材料，防止基坑坍方；</w:t>
            </w:r>
          </w:p>
          <w:p w14:paraId="56EB3529">
            <w:pPr>
              <w:pStyle w:val="74"/>
              <w:rPr>
                <w:color w:val="auto"/>
              </w:rPr>
            </w:pPr>
            <w:r>
              <w:rPr>
                <w:rFonts w:hint="eastAsia"/>
                <w:color w:val="auto"/>
              </w:rPr>
              <w:t>5、护栏边不能有杂物，防止落物伤人；</w:t>
            </w:r>
          </w:p>
          <w:p w14:paraId="74DAC45F">
            <w:pPr>
              <w:pStyle w:val="74"/>
              <w:rPr>
                <w:color w:val="auto"/>
              </w:rPr>
            </w:pPr>
            <w:r>
              <w:rPr>
                <w:rFonts w:hint="eastAsia"/>
                <w:color w:val="auto"/>
              </w:rPr>
              <w:t>6、基坑边3米内，不能经过载重汽车。</w:t>
            </w:r>
          </w:p>
        </w:tc>
      </w:tr>
      <w:tr w14:paraId="5838D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31531452">
            <w:pPr>
              <w:pStyle w:val="74"/>
              <w:rPr>
                <w:color w:val="auto"/>
              </w:rPr>
            </w:pPr>
            <w:r>
              <w:rPr>
                <w:rFonts w:hint="eastAsia"/>
                <w:color w:val="auto"/>
              </w:rPr>
              <w:t>2</w:t>
            </w:r>
          </w:p>
        </w:tc>
        <w:tc>
          <w:tcPr>
            <w:tcW w:w="762" w:type="pct"/>
            <w:shd w:val="clear" w:color="auto" w:fill="FFFFFF" w:themeFill="background1"/>
            <w:tcMar>
              <w:left w:w="28" w:type="dxa"/>
              <w:right w:w="28" w:type="dxa"/>
            </w:tcMar>
            <w:vAlign w:val="center"/>
          </w:tcPr>
          <w:p w14:paraId="6718FED2">
            <w:pPr>
              <w:pStyle w:val="74"/>
              <w:rPr>
                <w:color w:val="auto"/>
              </w:rPr>
            </w:pPr>
            <w:r>
              <w:rPr>
                <w:rFonts w:hint="eastAsia"/>
                <w:color w:val="auto"/>
              </w:rPr>
              <w:t>雷击</w:t>
            </w:r>
          </w:p>
        </w:tc>
        <w:tc>
          <w:tcPr>
            <w:tcW w:w="3882" w:type="pct"/>
            <w:shd w:val="clear" w:color="auto" w:fill="FFFFFF" w:themeFill="background1"/>
            <w:tcMar>
              <w:left w:w="28" w:type="dxa"/>
              <w:right w:w="28" w:type="dxa"/>
            </w:tcMar>
            <w:vAlign w:val="center"/>
          </w:tcPr>
          <w:p w14:paraId="247F1265">
            <w:pPr>
              <w:pStyle w:val="74"/>
              <w:rPr>
                <w:color w:val="auto"/>
              </w:rPr>
            </w:pPr>
            <w:r>
              <w:rPr>
                <w:rFonts w:hint="eastAsia"/>
                <w:color w:val="auto"/>
              </w:rPr>
              <w:t>1、塔吊应由机电工长负责做好防雷措施，用钢筋</w:t>
            </w:r>
            <w:r>
              <w:rPr>
                <w:color w:val="auto"/>
              </w:rPr>
              <w:t>Φ12</w:t>
            </w:r>
            <w:r>
              <w:rPr>
                <w:rFonts w:hint="eastAsia"/>
                <w:color w:val="auto"/>
              </w:rPr>
              <w:t>做接地引入基础钢筋网及建筑物接地网，并做接地电阻测试；</w:t>
            </w:r>
          </w:p>
          <w:p w14:paraId="0ED0AF24">
            <w:pPr>
              <w:pStyle w:val="74"/>
              <w:rPr>
                <w:color w:val="auto"/>
              </w:rPr>
            </w:pPr>
            <w:r>
              <w:rPr>
                <w:rFonts w:hint="eastAsia"/>
                <w:color w:val="auto"/>
              </w:rPr>
              <w:t>2、钢管脚手架的四脚也同样做接地引入地下。</w:t>
            </w:r>
          </w:p>
        </w:tc>
      </w:tr>
      <w:tr w14:paraId="71B25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7815C3BC">
            <w:pPr>
              <w:pStyle w:val="74"/>
              <w:rPr>
                <w:color w:val="auto"/>
              </w:rPr>
            </w:pPr>
            <w:r>
              <w:rPr>
                <w:rFonts w:hint="eastAsia"/>
                <w:color w:val="auto"/>
              </w:rPr>
              <w:t>3</w:t>
            </w:r>
          </w:p>
        </w:tc>
        <w:tc>
          <w:tcPr>
            <w:tcW w:w="762" w:type="pct"/>
            <w:shd w:val="clear" w:color="auto" w:fill="FFFFFF" w:themeFill="background1"/>
            <w:tcMar>
              <w:left w:w="28" w:type="dxa"/>
              <w:right w:w="28" w:type="dxa"/>
            </w:tcMar>
            <w:vAlign w:val="center"/>
          </w:tcPr>
          <w:p w14:paraId="74F048C8">
            <w:pPr>
              <w:pStyle w:val="74"/>
              <w:rPr>
                <w:color w:val="auto"/>
              </w:rPr>
            </w:pPr>
            <w:r>
              <w:rPr>
                <w:rFonts w:hint="eastAsia"/>
                <w:color w:val="auto"/>
              </w:rPr>
              <w:t>氧气瓶、乙炔瓶爆炸</w:t>
            </w:r>
          </w:p>
        </w:tc>
        <w:tc>
          <w:tcPr>
            <w:tcW w:w="3882" w:type="pct"/>
            <w:shd w:val="clear" w:color="auto" w:fill="FFFFFF" w:themeFill="background1"/>
            <w:tcMar>
              <w:left w:w="28" w:type="dxa"/>
              <w:right w:w="28" w:type="dxa"/>
            </w:tcMar>
            <w:vAlign w:val="center"/>
          </w:tcPr>
          <w:p w14:paraId="0FE8B2FD">
            <w:pPr>
              <w:pStyle w:val="74"/>
              <w:rPr>
                <w:color w:val="auto"/>
              </w:rPr>
            </w:pPr>
            <w:r>
              <w:rPr>
                <w:rFonts w:hint="eastAsia"/>
                <w:color w:val="auto"/>
              </w:rPr>
              <w:t>1、储存、运输氧气、乙炔瓶不能倾倒或冲击，不能存放在易燃房间内和动用明火的区域。不能同车装运。运输时直立，不碰坏气瓶阀门。轻装轻卸。乙炔瓶不能在</w:t>
            </w:r>
            <w:r>
              <w:rPr>
                <w:color w:val="auto"/>
              </w:rPr>
              <w:t>40</w:t>
            </w:r>
            <w:r>
              <w:rPr>
                <w:rFonts w:hint="eastAsia"/>
                <w:color w:val="auto"/>
              </w:rPr>
              <w:t>℃以上温度下存放和曝晒。</w:t>
            </w:r>
          </w:p>
          <w:p w14:paraId="622CC96D">
            <w:pPr>
              <w:pStyle w:val="74"/>
              <w:rPr>
                <w:color w:val="auto"/>
              </w:rPr>
            </w:pPr>
            <w:r>
              <w:rPr>
                <w:rFonts w:hint="eastAsia"/>
                <w:color w:val="auto"/>
              </w:rPr>
              <w:t>2、使用：两者保持</w:t>
            </w:r>
            <w:r>
              <w:rPr>
                <w:color w:val="auto"/>
              </w:rPr>
              <w:t>5M</w:t>
            </w:r>
            <w:r>
              <w:rPr>
                <w:rFonts w:hint="eastAsia"/>
                <w:color w:val="auto"/>
              </w:rPr>
              <w:t>以上距离。使用前进行动火审报。清除</w:t>
            </w:r>
            <w:r>
              <w:rPr>
                <w:color w:val="auto"/>
              </w:rPr>
              <w:t>10M</w:t>
            </w:r>
            <w:r>
              <w:rPr>
                <w:rFonts w:hint="eastAsia"/>
                <w:color w:val="auto"/>
              </w:rPr>
              <w:t>内的易燃物，不能清除的用石棉瓦遮住，以防火星飞溅。并备好灭火器。</w:t>
            </w:r>
          </w:p>
        </w:tc>
      </w:tr>
      <w:tr w14:paraId="442FE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0BB14515">
            <w:pPr>
              <w:pStyle w:val="74"/>
              <w:rPr>
                <w:color w:val="auto"/>
              </w:rPr>
            </w:pPr>
            <w:r>
              <w:rPr>
                <w:rFonts w:hint="eastAsia"/>
                <w:color w:val="auto"/>
              </w:rPr>
              <w:t>4</w:t>
            </w:r>
          </w:p>
        </w:tc>
        <w:tc>
          <w:tcPr>
            <w:tcW w:w="762" w:type="pct"/>
            <w:shd w:val="clear" w:color="auto" w:fill="FFFFFF" w:themeFill="background1"/>
            <w:tcMar>
              <w:left w:w="28" w:type="dxa"/>
              <w:right w:w="28" w:type="dxa"/>
            </w:tcMar>
            <w:vAlign w:val="center"/>
          </w:tcPr>
          <w:p w14:paraId="2F02C218">
            <w:pPr>
              <w:pStyle w:val="74"/>
              <w:rPr>
                <w:color w:val="auto"/>
              </w:rPr>
            </w:pPr>
            <w:r>
              <w:rPr>
                <w:rFonts w:hint="eastAsia"/>
                <w:color w:val="auto"/>
              </w:rPr>
              <w:t>模板、钢筋加工区</w:t>
            </w:r>
          </w:p>
        </w:tc>
        <w:tc>
          <w:tcPr>
            <w:tcW w:w="3882" w:type="pct"/>
            <w:shd w:val="clear" w:color="auto" w:fill="FFFFFF" w:themeFill="background1"/>
            <w:tcMar>
              <w:left w:w="28" w:type="dxa"/>
              <w:right w:w="28" w:type="dxa"/>
            </w:tcMar>
            <w:vAlign w:val="center"/>
          </w:tcPr>
          <w:p w14:paraId="35DF1CA9">
            <w:pPr>
              <w:pStyle w:val="74"/>
              <w:rPr>
                <w:color w:val="auto"/>
              </w:rPr>
            </w:pPr>
            <w:r>
              <w:rPr>
                <w:rFonts w:hint="eastAsia"/>
                <w:color w:val="auto"/>
              </w:rPr>
              <w:t>1、使用钢管搭设加工区防护棚，挂放木工电刨、圆盘锯等机械的安全操作规程牌，安全标志牌，以警示工人。</w:t>
            </w:r>
          </w:p>
          <w:p w14:paraId="1BB83801">
            <w:pPr>
              <w:pStyle w:val="74"/>
              <w:rPr>
                <w:color w:val="auto"/>
              </w:rPr>
            </w:pPr>
            <w:r>
              <w:rPr>
                <w:rFonts w:hint="eastAsia"/>
                <w:color w:val="auto"/>
              </w:rPr>
              <w:t>2、挂设二组灭火器，及时清扫当日的锯末，保持加工区内的整洁。</w:t>
            </w:r>
          </w:p>
          <w:p w14:paraId="39A9BC83">
            <w:pPr>
              <w:pStyle w:val="74"/>
              <w:rPr>
                <w:color w:val="auto"/>
              </w:rPr>
            </w:pPr>
            <w:r>
              <w:rPr>
                <w:rFonts w:hint="eastAsia"/>
                <w:color w:val="auto"/>
              </w:rPr>
              <w:t>3、电刨、圆盘锯等机械装设防护挡扳，控制开关应为电动按纽开关，禁止使用倒顺开关。</w:t>
            </w:r>
          </w:p>
        </w:tc>
      </w:tr>
      <w:tr w14:paraId="14F3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40310919">
            <w:pPr>
              <w:pStyle w:val="74"/>
              <w:rPr>
                <w:color w:val="auto"/>
              </w:rPr>
            </w:pPr>
            <w:r>
              <w:rPr>
                <w:rFonts w:hint="eastAsia"/>
                <w:color w:val="auto"/>
              </w:rPr>
              <w:t>5</w:t>
            </w:r>
          </w:p>
        </w:tc>
        <w:tc>
          <w:tcPr>
            <w:tcW w:w="762" w:type="pct"/>
            <w:shd w:val="clear" w:color="auto" w:fill="FFFFFF" w:themeFill="background1"/>
            <w:tcMar>
              <w:left w:w="28" w:type="dxa"/>
              <w:right w:w="28" w:type="dxa"/>
            </w:tcMar>
            <w:vAlign w:val="center"/>
          </w:tcPr>
          <w:p w14:paraId="58289123">
            <w:pPr>
              <w:pStyle w:val="74"/>
              <w:rPr>
                <w:color w:val="auto"/>
              </w:rPr>
            </w:pPr>
            <w:r>
              <w:rPr>
                <w:rFonts w:hint="eastAsia"/>
                <w:color w:val="auto"/>
              </w:rPr>
              <w:t>模板拆除安全</w:t>
            </w:r>
          </w:p>
        </w:tc>
        <w:tc>
          <w:tcPr>
            <w:tcW w:w="3882" w:type="pct"/>
            <w:shd w:val="clear" w:color="auto" w:fill="FFFFFF" w:themeFill="background1"/>
            <w:tcMar>
              <w:left w:w="28" w:type="dxa"/>
              <w:right w:w="28" w:type="dxa"/>
            </w:tcMar>
            <w:vAlign w:val="center"/>
          </w:tcPr>
          <w:p w14:paraId="3CC9D741">
            <w:pPr>
              <w:pStyle w:val="74"/>
              <w:rPr>
                <w:color w:val="auto"/>
              </w:rPr>
            </w:pPr>
            <w:r>
              <w:rPr>
                <w:rFonts w:hint="eastAsia"/>
                <w:color w:val="auto"/>
              </w:rPr>
              <w:t>1、实行拆模事前审批制度</w:t>
            </w:r>
          </w:p>
          <w:p w14:paraId="1BFCC89D">
            <w:pPr>
              <w:pStyle w:val="74"/>
              <w:rPr>
                <w:color w:val="auto"/>
              </w:rPr>
            </w:pPr>
            <w:r>
              <w:rPr>
                <w:rFonts w:hint="eastAsia"/>
                <w:color w:val="auto"/>
              </w:rPr>
              <w:t>2、拆模顺序：一般先拆侧模，后拆底模，先支后拆，后支先拆。跨度在</w:t>
            </w:r>
            <w:r>
              <w:rPr>
                <w:color w:val="auto"/>
              </w:rPr>
              <w:t>4M</w:t>
            </w:r>
            <w:r>
              <w:rPr>
                <w:rFonts w:hint="eastAsia"/>
                <w:color w:val="auto"/>
              </w:rPr>
              <w:t>及</w:t>
            </w:r>
            <w:r>
              <w:rPr>
                <w:color w:val="auto"/>
              </w:rPr>
              <w:t>4M</w:t>
            </w:r>
            <w:r>
              <w:rPr>
                <w:rFonts w:hint="eastAsia"/>
                <w:color w:val="auto"/>
              </w:rPr>
              <w:t>以上梁下应保留支撑，间距不小于</w:t>
            </w:r>
            <w:r>
              <w:rPr>
                <w:color w:val="auto"/>
              </w:rPr>
              <w:t>3M</w:t>
            </w:r>
            <w:r>
              <w:rPr>
                <w:rFonts w:hint="eastAsia"/>
                <w:color w:val="auto"/>
              </w:rPr>
              <w:t>。</w:t>
            </w:r>
          </w:p>
          <w:p w14:paraId="2F601F64">
            <w:pPr>
              <w:pStyle w:val="74"/>
              <w:rPr>
                <w:color w:val="auto"/>
              </w:rPr>
            </w:pPr>
            <w:r>
              <w:rPr>
                <w:rFonts w:hint="eastAsia"/>
                <w:color w:val="auto"/>
              </w:rPr>
              <w:t>3、拆模过程中，安全员监督检查，设置隔离带，制止违章作业行为，惩罚违章人，实行奖惩制度。专业工长、班组长应跟踪作业，杜绝危险操作。拆模间歇时，应将活动的模板、木枋、钢管、扣件、槽钢运走，或妥善堆放，防止因踏空坠落。</w:t>
            </w:r>
          </w:p>
        </w:tc>
      </w:tr>
      <w:tr w14:paraId="5B5E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387B387C">
            <w:pPr>
              <w:pStyle w:val="74"/>
              <w:rPr>
                <w:color w:val="auto"/>
              </w:rPr>
            </w:pPr>
            <w:r>
              <w:rPr>
                <w:rFonts w:hint="eastAsia"/>
                <w:color w:val="auto"/>
              </w:rPr>
              <w:t>6</w:t>
            </w:r>
          </w:p>
        </w:tc>
        <w:tc>
          <w:tcPr>
            <w:tcW w:w="762" w:type="pct"/>
            <w:shd w:val="clear" w:color="auto" w:fill="FFFFFF" w:themeFill="background1"/>
            <w:tcMar>
              <w:left w:w="28" w:type="dxa"/>
              <w:right w:w="28" w:type="dxa"/>
            </w:tcMar>
            <w:vAlign w:val="center"/>
          </w:tcPr>
          <w:p w14:paraId="4AE5D19F">
            <w:pPr>
              <w:pStyle w:val="74"/>
              <w:rPr>
                <w:color w:val="auto"/>
              </w:rPr>
            </w:pPr>
            <w:r>
              <w:rPr>
                <w:rFonts w:hint="eastAsia"/>
                <w:color w:val="auto"/>
              </w:rPr>
              <w:t>电梯井、洞口及临边防护</w:t>
            </w:r>
          </w:p>
        </w:tc>
        <w:tc>
          <w:tcPr>
            <w:tcW w:w="3882" w:type="pct"/>
            <w:shd w:val="clear" w:color="auto" w:fill="FFFFFF" w:themeFill="background1"/>
            <w:tcMar>
              <w:left w:w="28" w:type="dxa"/>
              <w:right w:w="28" w:type="dxa"/>
            </w:tcMar>
            <w:vAlign w:val="center"/>
          </w:tcPr>
          <w:p w14:paraId="2301C73B">
            <w:pPr>
              <w:pStyle w:val="74"/>
              <w:rPr>
                <w:color w:val="auto"/>
              </w:rPr>
            </w:pPr>
            <w:r>
              <w:rPr>
                <w:rFonts w:hint="eastAsia"/>
                <w:color w:val="auto"/>
              </w:rPr>
              <w:t>1、井口、洞口及临边防护：500mm以上的洞口和临边周围设置防护栏杆，上下二道，高度</w:t>
            </w:r>
            <w:r>
              <w:rPr>
                <w:color w:val="auto"/>
              </w:rPr>
              <w:t>1.2m</w:t>
            </w:r>
            <w:r>
              <w:rPr>
                <w:rFonts w:hint="eastAsia"/>
                <w:color w:val="auto"/>
              </w:rPr>
              <w:t>，离地</w:t>
            </w:r>
            <w:r>
              <w:rPr>
                <w:color w:val="auto"/>
              </w:rPr>
              <w:t>0.6m</w:t>
            </w:r>
            <w:r>
              <w:rPr>
                <w:rFonts w:hint="eastAsia"/>
                <w:color w:val="auto"/>
              </w:rPr>
              <w:t>，间距</w:t>
            </w:r>
            <w:r>
              <w:rPr>
                <w:color w:val="auto"/>
              </w:rPr>
              <w:t>0.6m</w:t>
            </w:r>
            <w:r>
              <w:rPr>
                <w:rFonts w:hint="eastAsia"/>
                <w:color w:val="auto"/>
              </w:rPr>
              <w:t>，钢管搭设，平面设安全平网。栏杆刷黑黄相间油漆，作警示色。同时每二层设安全平面栅栏。电梯井每隔二层设一道安全网。</w:t>
            </w:r>
          </w:p>
          <w:p w14:paraId="2B0CCF71">
            <w:pPr>
              <w:pStyle w:val="74"/>
              <w:rPr>
                <w:color w:val="auto"/>
              </w:rPr>
            </w:pPr>
            <w:r>
              <w:rPr>
                <w:rFonts w:hint="eastAsia"/>
                <w:color w:val="auto"/>
              </w:rPr>
              <w:t>2、预留洞口：500mm以下的洞口用模板下面钉木枋，卡在洞口中，模板上刷黄黑相间油漆。</w:t>
            </w:r>
          </w:p>
        </w:tc>
      </w:tr>
      <w:tr w14:paraId="56B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737F7DED">
            <w:pPr>
              <w:pStyle w:val="74"/>
              <w:rPr>
                <w:color w:val="auto"/>
              </w:rPr>
            </w:pPr>
            <w:r>
              <w:rPr>
                <w:rFonts w:hint="eastAsia"/>
                <w:color w:val="auto"/>
              </w:rPr>
              <w:t>7</w:t>
            </w:r>
          </w:p>
        </w:tc>
        <w:tc>
          <w:tcPr>
            <w:tcW w:w="762" w:type="pct"/>
            <w:shd w:val="clear" w:color="auto" w:fill="FFFFFF" w:themeFill="background1"/>
            <w:tcMar>
              <w:left w:w="28" w:type="dxa"/>
              <w:right w:w="28" w:type="dxa"/>
            </w:tcMar>
            <w:vAlign w:val="center"/>
          </w:tcPr>
          <w:p w14:paraId="6E9FEFE5">
            <w:pPr>
              <w:pStyle w:val="74"/>
              <w:rPr>
                <w:color w:val="auto"/>
              </w:rPr>
            </w:pPr>
            <w:r>
              <w:rPr>
                <w:rFonts w:hint="eastAsia"/>
                <w:color w:val="auto"/>
              </w:rPr>
              <w:t>高空坠落</w:t>
            </w:r>
          </w:p>
        </w:tc>
        <w:tc>
          <w:tcPr>
            <w:tcW w:w="3882" w:type="pct"/>
            <w:shd w:val="clear" w:color="auto" w:fill="FFFFFF" w:themeFill="background1"/>
            <w:tcMar>
              <w:left w:w="28" w:type="dxa"/>
              <w:right w:w="28" w:type="dxa"/>
            </w:tcMar>
            <w:vAlign w:val="center"/>
          </w:tcPr>
          <w:p w14:paraId="7E95E94D">
            <w:pPr>
              <w:pStyle w:val="74"/>
              <w:rPr>
                <w:color w:val="auto"/>
              </w:rPr>
            </w:pPr>
            <w:r>
              <w:rPr>
                <w:rFonts w:hint="eastAsia"/>
                <w:color w:val="auto"/>
              </w:rPr>
              <w:t>1、给每位搭拆作业的人员配备合格的安全带、安全帽、防滑鞋和工具袋。根据外脚手架防护需求，配备足够数量的安全网和脚手板。</w:t>
            </w:r>
          </w:p>
          <w:p w14:paraId="650B2AFA">
            <w:pPr>
              <w:pStyle w:val="74"/>
              <w:rPr>
                <w:color w:val="auto"/>
              </w:rPr>
            </w:pPr>
            <w:r>
              <w:rPr>
                <w:rFonts w:hint="eastAsia"/>
                <w:color w:val="auto"/>
              </w:rPr>
              <w:t>2、对基坑、阳台、料台、挑平台、雨篷与挑檐边采用防护栏杆，栏杆由上下两道横杆和栏杆柱组成，上杆离地高1.2m，下杆离地高0.6m。栏杆搭设形成后刷黄、黑相间（30～50cm）油漆色标，必要时在栏杆内侧加设一道安全立网或挡脚板封闭。</w:t>
            </w:r>
          </w:p>
        </w:tc>
      </w:tr>
      <w:tr w14:paraId="3B13C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3144B24A">
            <w:pPr>
              <w:pStyle w:val="74"/>
              <w:rPr>
                <w:color w:val="auto"/>
              </w:rPr>
            </w:pPr>
            <w:r>
              <w:rPr>
                <w:rFonts w:hint="eastAsia"/>
                <w:color w:val="auto"/>
              </w:rPr>
              <w:t>8</w:t>
            </w:r>
          </w:p>
        </w:tc>
        <w:tc>
          <w:tcPr>
            <w:tcW w:w="762" w:type="pct"/>
            <w:shd w:val="clear" w:color="auto" w:fill="FFFFFF" w:themeFill="background1"/>
            <w:tcMar>
              <w:left w:w="28" w:type="dxa"/>
              <w:right w:w="28" w:type="dxa"/>
            </w:tcMar>
            <w:vAlign w:val="center"/>
          </w:tcPr>
          <w:p w14:paraId="6C6016C4">
            <w:pPr>
              <w:pStyle w:val="74"/>
              <w:rPr>
                <w:color w:val="auto"/>
              </w:rPr>
            </w:pPr>
            <w:r>
              <w:rPr>
                <w:rFonts w:hint="eastAsia"/>
                <w:color w:val="auto"/>
              </w:rPr>
              <w:t>固定出人通道</w:t>
            </w:r>
          </w:p>
        </w:tc>
        <w:tc>
          <w:tcPr>
            <w:tcW w:w="3882" w:type="pct"/>
            <w:shd w:val="clear" w:color="auto" w:fill="FFFFFF" w:themeFill="background1"/>
            <w:tcMar>
              <w:left w:w="28" w:type="dxa"/>
              <w:right w:w="28" w:type="dxa"/>
            </w:tcMar>
            <w:vAlign w:val="center"/>
          </w:tcPr>
          <w:p w14:paraId="345B60E1">
            <w:pPr>
              <w:pStyle w:val="74"/>
              <w:rPr>
                <w:color w:val="auto"/>
              </w:rPr>
            </w:pPr>
            <w:r>
              <w:rPr>
                <w:rFonts w:hint="eastAsia"/>
                <w:color w:val="auto"/>
              </w:rPr>
              <w:t>设置临时爬梯供作业人员上下楼层使用。</w:t>
            </w:r>
          </w:p>
        </w:tc>
      </w:tr>
      <w:tr w14:paraId="47D42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3D358DEC">
            <w:pPr>
              <w:pStyle w:val="74"/>
              <w:rPr>
                <w:color w:val="auto"/>
              </w:rPr>
            </w:pPr>
            <w:r>
              <w:rPr>
                <w:rFonts w:hint="eastAsia"/>
                <w:color w:val="auto"/>
              </w:rPr>
              <w:t>9</w:t>
            </w:r>
          </w:p>
        </w:tc>
        <w:tc>
          <w:tcPr>
            <w:tcW w:w="762" w:type="pct"/>
            <w:shd w:val="clear" w:color="auto" w:fill="FFFFFF" w:themeFill="background1"/>
            <w:tcMar>
              <w:left w:w="28" w:type="dxa"/>
              <w:right w:w="28" w:type="dxa"/>
            </w:tcMar>
            <w:vAlign w:val="center"/>
          </w:tcPr>
          <w:p w14:paraId="1442AA69">
            <w:pPr>
              <w:pStyle w:val="74"/>
              <w:rPr>
                <w:color w:val="auto"/>
              </w:rPr>
            </w:pPr>
            <w:r>
              <w:rPr>
                <w:rFonts w:hint="eastAsia"/>
                <w:color w:val="auto"/>
              </w:rPr>
              <w:t>混凝土施工</w:t>
            </w:r>
          </w:p>
        </w:tc>
        <w:tc>
          <w:tcPr>
            <w:tcW w:w="3882" w:type="pct"/>
            <w:shd w:val="clear" w:color="auto" w:fill="FFFFFF" w:themeFill="background1"/>
            <w:tcMar>
              <w:left w:w="28" w:type="dxa"/>
              <w:right w:w="28" w:type="dxa"/>
            </w:tcMar>
            <w:vAlign w:val="center"/>
          </w:tcPr>
          <w:p w14:paraId="6B889A1D">
            <w:pPr>
              <w:pStyle w:val="74"/>
              <w:rPr>
                <w:color w:val="auto"/>
              </w:rPr>
            </w:pPr>
            <w:r>
              <w:rPr>
                <w:rFonts w:hint="eastAsia"/>
                <w:color w:val="auto"/>
              </w:rPr>
              <w:t>1、用输送泵输送混凝土</w:t>
            </w:r>
            <w:r>
              <w:rPr>
                <w:color w:val="auto"/>
              </w:rPr>
              <w:t>，</w:t>
            </w:r>
            <w:r>
              <w:rPr>
                <w:rFonts w:hint="eastAsia"/>
                <w:color w:val="auto"/>
              </w:rPr>
              <w:t>管道接头</w:t>
            </w:r>
            <w:r>
              <w:rPr>
                <w:color w:val="auto"/>
              </w:rPr>
              <w:t>，</w:t>
            </w:r>
            <w:r>
              <w:rPr>
                <w:rFonts w:hint="eastAsia"/>
                <w:color w:val="auto"/>
              </w:rPr>
              <w:t>安全阀必须完好。</w:t>
            </w:r>
          </w:p>
          <w:p w14:paraId="4E458FB9">
            <w:pPr>
              <w:pStyle w:val="74"/>
              <w:rPr>
                <w:color w:val="auto"/>
              </w:rPr>
            </w:pPr>
            <w:r>
              <w:rPr>
                <w:rFonts w:hint="eastAsia"/>
                <w:color w:val="auto"/>
              </w:rPr>
              <w:t>2、管道的架子必须牢固</w:t>
            </w:r>
            <w:r>
              <w:rPr>
                <w:color w:val="auto"/>
              </w:rPr>
              <w:t>，</w:t>
            </w:r>
            <w:r>
              <w:rPr>
                <w:rFonts w:hint="eastAsia"/>
                <w:color w:val="auto"/>
              </w:rPr>
              <w:t>输送前必须试送</w:t>
            </w:r>
            <w:r>
              <w:rPr>
                <w:color w:val="auto"/>
              </w:rPr>
              <w:t>，</w:t>
            </w:r>
            <w:r>
              <w:rPr>
                <w:rFonts w:hint="eastAsia"/>
                <w:color w:val="auto"/>
              </w:rPr>
              <w:t>检修必须卸压。泵管架应搭设牢固，严禁与外架连接，应提前进行拉结点预埋。</w:t>
            </w:r>
          </w:p>
          <w:p w14:paraId="43996939">
            <w:pPr>
              <w:pStyle w:val="74"/>
              <w:rPr>
                <w:color w:val="auto"/>
              </w:rPr>
            </w:pPr>
            <w:r>
              <w:rPr>
                <w:rFonts w:hint="eastAsia"/>
                <w:color w:val="auto"/>
              </w:rPr>
              <w:t>3、浇筑剪力墙、电梯井、洞口、临边混凝土时，应系好安全带，搭设好操作平台，满铺跳板或木枋，经验收合格后，方可使用。</w:t>
            </w:r>
          </w:p>
        </w:tc>
      </w:tr>
      <w:tr w14:paraId="7E54A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64ECE1E8">
            <w:pPr>
              <w:pStyle w:val="74"/>
              <w:rPr>
                <w:color w:val="auto"/>
              </w:rPr>
            </w:pPr>
            <w:r>
              <w:rPr>
                <w:rFonts w:hint="eastAsia"/>
                <w:color w:val="auto"/>
              </w:rPr>
              <w:t>10</w:t>
            </w:r>
          </w:p>
        </w:tc>
        <w:tc>
          <w:tcPr>
            <w:tcW w:w="762" w:type="pct"/>
            <w:shd w:val="clear" w:color="auto" w:fill="FFFFFF" w:themeFill="background1"/>
            <w:tcMar>
              <w:left w:w="28" w:type="dxa"/>
              <w:right w:w="28" w:type="dxa"/>
            </w:tcMar>
            <w:vAlign w:val="center"/>
          </w:tcPr>
          <w:p w14:paraId="50F6BC2D">
            <w:pPr>
              <w:pStyle w:val="74"/>
              <w:rPr>
                <w:color w:val="auto"/>
              </w:rPr>
            </w:pPr>
            <w:r>
              <w:rPr>
                <w:rFonts w:hint="eastAsia"/>
                <w:color w:val="auto"/>
              </w:rPr>
              <w:t>装修过程中</w:t>
            </w:r>
          </w:p>
        </w:tc>
        <w:tc>
          <w:tcPr>
            <w:tcW w:w="3882" w:type="pct"/>
            <w:shd w:val="clear" w:color="auto" w:fill="FFFFFF" w:themeFill="background1"/>
            <w:tcMar>
              <w:left w:w="28" w:type="dxa"/>
              <w:right w:w="28" w:type="dxa"/>
            </w:tcMar>
            <w:vAlign w:val="center"/>
          </w:tcPr>
          <w:p w14:paraId="76F0B0B8">
            <w:pPr>
              <w:pStyle w:val="74"/>
              <w:rPr>
                <w:color w:val="auto"/>
              </w:rPr>
            </w:pPr>
            <w:r>
              <w:rPr>
                <w:rFonts w:hint="eastAsia"/>
                <w:color w:val="auto"/>
              </w:rPr>
              <w:t>1、各类油漆和其他易燃易爆</w:t>
            </w:r>
            <w:r>
              <w:rPr>
                <w:color w:val="auto"/>
              </w:rPr>
              <w:t>，</w:t>
            </w:r>
            <w:r>
              <w:rPr>
                <w:rFonts w:hint="eastAsia"/>
                <w:color w:val="auto"/>
              </w:rPr>
              <w:t>有毒材料</w:t>
            </w:r>
            <w:r>
              <w:rPr>
                <w:color w:val="auto"/>
              </w:rPr>
              <w:t>，</w:t>
            </w:r>
            <w:r>
              <w:rPr>
                <w:rFonts w:hint="eastAsia"/>
                <w:color w:val="auto"/>
              </w:rPr>
              <w:t>应存放在专用库房内，不得与其它材料混放</w:t>
            </w:r>
            <w:r>
              <w:rPr>
                <w:color w:val="auto"/>
              </w:rPr>
              <w:t>.</w:t>
            </w:r>
            <w:r>
              <w:rPr>
                <w:rFonts w:hint="eastAsia"/>
                <w:color w:val="auto"/>
              </w:rPr>
              <w:t>挥发性油漆应装入封闭容器内，妥善保管。</w:t>
            </w:r>
          </w:p>
          <w:p w14:paraId="19A8A38E">
            <w:pPr>
              <w:pStyle w:val="74"/>
              <w:rPr>
                <w:color w:val="auto"/>
              </w:rPr>
            </w:pPr>
            <w:r>
              <w:rPr>
                <w:rFonts w:hint="eastAsia"/>
                <w:color w:val="auto"/>
              </w:rPr>
              <w:t>2、在高处安装玻璃</w:t>
            </w:r>
            <w:r>
              <w:rPr>
                <w:color w:val="auto"/>
              </w:rPr>
              <w:t>，</w:t>
            </w:r>
            <w:r>
              <w:rPr>
                <w:rFonts w:hint="eastAsia"/>
                <w:color w:val="auto"/>
              </w:rPr>
              <w:t>应将玻璃放置平稳</w:t>
            </w:r>
            <w:r>
              <w:rPr>
                <w:color w:val="auto"/>
              </w:rPr>
              <w:t>，</w:t>
            </w:r>
            <w:r>
              <w:rPr>
                <w:rFonts w:hint="eastAsia"/>
                <w:color w:val="auto"/>
              </w:rPr>
              <w:t>垂直下方禁止通行，安装采光玻璃</w:t>
            </w:r>
            <w:r>
              <w:rPr>
                <w:color w:val="auto"/>
              </w:rPr>
              <w:t>，</w:t>
            </w:r>
            <w:r>
              <w:rPr>
                <w:rFonts w:hint="eastAsia"/>
                <w:color w:val="auto"/>
              </w:rPr>
              <w:t>应铺设脚手板或其它安全措施。</w:t>
            </w:r>
          </w:p>
          <w:p w14:paraId="35982502">
            <w:pPr>
              <w:pStyle w:val="74"/>
              <w:rPr>
                <w:color w:val="auto"/>
              </w:rPr>
            </w:pPr>
            <w:r>
              <w:rPr>
                <w:rFonts w:hint="eastAsia"/>
                <w:color w:val="auto"/>
              </w:rPr>
              <w:t>3、使用的工具放入袋内，不准口含铁钉</w:t>
            </w:r>
            <w:r>
              <w:rPr>
                <w:color w:val="auto"/>
              </w:rPr>
              <w:t>.</w:t>
            </w:r>
            <w:r>
              <w:rPr>
                <w:rFonts w:hint="eastAsia"/>
                <w:color w:val="auto"/>
              </w:rPr>
              <w:t>玻璃安装完即将风钩挂好。</w:t>
            </w:r>
          </w:p>
        </w:tc>
      </w:tr>
      <w:tr w14:paraId="74EBF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60D94BEE">
            <w:pPr>
              <w:pStyle w:val="74"/>
              <w:rPr>
                <w:color w:val="auto"/>
              </w:rPr>
            </w:pPr>
            <w:r>
              <w:rPr>
                <w:rFonts w:hint="eastAsia"/>
                <w:color w:val="auto"/>
              </w:rPr>
              <w:t>11</w:t>
            </w:r>
          </w:p>
        </w:tc>
        <w:tc>
          <w:tcPr>
            <w:tcW w:w="762" w:type="pct"/>
            <w:shd w:val="clear" w:color="auto" w:fill="FFFFFF" w:themeFill="background1"/>
            <w:tcMar>
              <w:left w:w="28" w:type="dxa"/>
              <w:right w:w="28" w:type="dxa"/>
            </w:tcMar>
            <w:vAlign w:val="center"/>
          </w:tcPr>
          <w:p w14:paraId="7530F7DF">
            <w:pPr>
              <w:pStyle w:val="74"/>
              <w:rPr>
                <w:color w:val="auto"/>
              </w:rPr>
            </w:pPr>
            <w:r>
              <w:rPr>
                <w:rFonts w:hint="eastAsia"/>
                <w:color w:val="auto"/>
              </w:rPr>
              <w:t>收尾施工中</w:t>
            </w:r>
          </w:p>
        </w:tc>
        <w:tc>
          <w:tcPr>
            <w:tcW w:w="3882" w:type="pct"/>
            <w:shd w:val="clear" w:color="auto" w:fill="FFFFFF" w:themeFill="background1"/>
            <w:tcMar>
              <w:left w:w="28" w:type="dxa"/>
              <w:right w:w="28" w:type="dxa"/>
            </w:tcMar>
            <w:vAlign w:val="center"/>
          </w:tcPr>
          <w:p w14:paraId="66DB7E37">
            <w:pPr>
              <w:pStyle w:val="74"/>
              <w:rPr>
                <w:color w:val="auto"/>
              </w:rPr>
            </w:pPr>
            <w:r>
              <w:rPr>
                <w:rFonts w:hint="eastAsia"/>
                <w:color w:val="auto"/>
              </w:rPr>
              <w:t>1、本工程施工要流水作业，特别是立体交叉施工易造成安全隐患，所以要采取相应预防措施。</w:t>
            </w:r>
          </w:p>
          <w:p w14:paraId="74D0DC60">
            <w:pPr>
              <w:pStyle w:val="74"/>
              <w:rPr>
                <w:color w:val="auto"/>
              </w:rPr>
            </w:pPr>
            <w:r>
              <w:rPr>
                <w:rFonts w:hint="eastAsia"/>
                <w:color w:val="auto"/>
              </w:rPr>
              <w:t>2、工序上尽量不安排或少安排立体交叉作业，特别是夜间不要在同一平网保护层内排交叉作业。使用安全立网隔离不同工序作业区。挂好警告标志。</w:t>
            </w:r>
          </w:p>
          <w:p w14:paraId="031C0E87">
            <w:pPr>
              <w:pStyle w:val="74"/>
              <w:rPr>
                <w:color w:val="auto"/>
              </w:rPr>
            </w:pPr>
            <w:r>
              <w:rPr>
                <w:rFonts w:hint="eastAsia"/>
                <w:color w:val="auto"/>
              </w:rPr>
              <w:t>3、督促和教育工人遵守安全生产纪律、制度，尤其不能向下抛掷物品、材料、工具，必须正确佩带安全帽，在各自的作业区域内作业。</w:t>
            </w:r>
          </w:p>
        </w:tc>
      </w:tr>
      <w:tr w14:paraId="2E7C5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439BBC90">
            <w:pPr>
              <w:pStyle w:val="74"/>
              <w:rPr>
                <w:color w:val="auto"/>
              </w:rPr>
            </w:pPr>
            <w:r>
              <w:rPr>
                <w:rFonts w:hint="eastAsia"/>
                <w:color w:val="auto"/>
              </w:rPr>
              <w:t>1</w:t>
            </w:r>
            <w:r>
              <w:rPr>
                <w:color w:val="auto"/>
              </w:rPr>
              <w:t>2</w:t>
            </w:r>
          </w:p>
        </w:tc>
        <w:tc>
          <w:tcPr>
            <w:tcW w:w="762" w:type="pct"/>
            <w:shd w:val="clear" w:color="auto" w:fill="FFFFFF" w:themeFill="background1"/>
            <w:tcMar>
              <w:left w:w="28" w:type="dxa"/>
              <w:right w:w="28" w:type="dxa"/>
            </w:tcMar>
            <w:vAlign w:val="center"/>
          </w:tcPr>
          <w:p w14:paraId="42A67D2C">
            <w:pPr>
              <w:pStyle w:val="74"/>
              <w:rPr>
                <w:color w:val="auto"/>
              </w:rPr>
            </w:pPr>
            <w:r>
              <w:rPr>
                <w:rFonts w:hint="eastAsia"/>
                <w:color w:val="auto"/>
              </w:rPr>
              <w:t>施工电器</w:t>
            </w:r>
          </w:p>
          <w:p w14:paraId="24962667">
            <w:pPr>
              <w:pStyle w:val="74"/>
              <w:rPr>
                <w:color w:val="auto"/>
              </w:rPr>
            </w:pPr>
            <w:r>
              <w:rPr>
                <w:rFonts w:hint="eastAsia"/>
                <w:color w:val="auto"/>
              </w:rPr>
              <w:t>火灾</w:t>
            </w:r>
          </w:p>
        </w:tc>
        <w:tc>
          <w:tcPr>
            <w:tcW w:w="3882" w:type="pct"/>
            <w:shd w:val="clear" w:color="auto" w:fill="FFFFFF" w:themeFill="background1"/>
            <w:tcMar>
              <w:left w:w="28" w:type="dxa"/>
              <w:right w:w="28" w:type="dxa"/>
            </w:tcMar>
            <w:vAlign w:val="center"/>
          </w:tcPr>
          <w:p w14:paraId="38C2FD47">
            <w:pPr>
              <w:pStyle w:val="74"/>
              <w:rPr>
                <w:color w:val="auto"/>
              </w:rPr>
            </w:pPr>
            <w:r>
              <w:rPr>
                <w:color w:val="auto"/>
              </w:rPr>
              <w:t>1</w:t>
            </w:r>
            <w:r>
              <w:rPr>
                <w:rFonts w:hint="eastAsia"/>
                <w:color w:val="auto"/>
              </w:rPr>
              <w:t>、根据现场电路及用电设备的特点取合理配置，对电路和设备可能发生的短路、过载进行可靠的保护；</w:t>
            </w:r>
          </w:p>
          <w:p w14:paraId="3D7B9985">
            <w:pPr>
              <w:pStyle w:val="74"/>
              <w:rPr>
                <w:color w:val="auto"/>
              </w:rPr>
            </w:pPr>
            <w:r>
              <w:rPr>
                <w:color w:val="auto"/>
              </w:rPr>
              <w:t>2</w:t>
            </w:r>
            <w:r>
              <w:rPr>
                <w:rFonts w:hint="eastAsia"/>
                <w:color w:val="auto"/>
              </w:rPr>
              <w:t>、在电器装置和线路周围部不允许堆放易燃、易爆物品和强腐蚀介质；</w:t>
            </w:r>
          </w:p>
          <w:p w14:paraId="06EE1ADA">
            <w:pPr>
              <w:pStyle w:val="74"/>
              <w:rPr>
                <w:color w:val="auto"/>
              </w:rPr>
            </w:pPr>
            <w:r>
              <w:rPr>
                <w:color w:val="auto"/>
              </w:rPr>
              <w:t>3</w:t>
            </w:r>
            <w:r>
              <w:rPr>
                <w:rFonts w:hint="eastAsia"/>
                <w:color w:val="auto"/>
              </w:rPr>
              <w:t>、使用火源应远离电器设备和供电线路；</w:t>
            </w:r>
          </w:p>
          <w:p w14:paraId="14909A70">
            <w:pPr>
              <w:pStyle w:val="74"/>
              <w:rPr>
                <w:color w:val="auto"/>
              </w:rPr>
            </w:pPr>
            <w:r>
              <w:rPr>
                <w:color w:val="auto"/>
              </w:rPr>
              <w:t>4</w:t>
            </w:r>
            <w:r>
              <w:rPr>
                <w:rFonts w:hint="eastAsia"/>
                <w:color w:val="auto"/>
              </w:rPr>
              <w:t>、在电器设备和线路相对集中的场所应设置灭火器材并禁止烟火；</w:t>
            </w:r>
          </w:p>
          <w:p w14:paraId="59AE81FD">
            <w:pPr>
              <w:pStyle w:val="74"/>
              <w:rPr>
                <w:color w:val="auto"/>
              </w:rPr>
            </w:pPr>
            <w:r>
              <w:rPr>
                <w:color w:val="auto"/>
              </w:rPr>
              <w:t>5</w:t>
            </w:r>
            <w:r>
              <w:rPr>
                <w:rFonts w:hint="eastAsia"/>
                <w:color w:val="auto"/>
              </w:rPr>
              <w:t>、加强电器设备相间绝缘和相地绝缘并合理设置电器防雷装置。</w:t>
            </w:r>
          </w:p>
        </w:tc>
      </w:tr>
      <w:tr w14:paraId="77EE3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41E1DD7C">
            <w:pPr>
              <w:pStyle w:val="74"/>
              <w:rPr>
                <w:color w:val="auto"/>
              </w:rPr>
            </w:pPr>
            <w:r>
              <w:rPr>
                <w:rFonts w:hint="eastAsia"/>
                <w:color w:val="auto"/>
              </w:rPr>
              <w:t>1</w:t>
            </w:r>
            <w:r>
              <w:rPr>
                <w:color w:val="auto"/>
              </w:rPr>
              <w:t>3</w:t>
            </w:r>
          </w:p>
        </w:tc>
        <w:tc>
          <w:tcPr>
            <w:tcW w:w="762" w:type="pct"/>
            <w:shd w:val="clear" w:color="auto" w:fill="FFFFFF" w:themeFill="background1"/>
            <w:tcMar>
              <w:left w:w="28" w:type="dxa"/>
              <w:right w:w="28" w:type="dxa"/>
            </w:tcMar>
            <w:vAlign w:val="center"/>
          </w:tcPr>
          <w:p w14:paraId="515C6D34">
            <w:pPr>
              <w:pStyle w:val="74"/>
              <w:rPr>
                <w:color w:val="auto"/>
              </w:rPr>
            </w:pPr>
            <w:r>
              <w:rPr>
                <w:rFonts w:hint="eastAsia"/>
                <w:color w:val="auto"/>
              </w:rPr>
              <w:t>施工现场</w:t>
            </w:r>
          </w:p>
          <w:p w14:paraId="2E16FF8D">
            <w:pPr>
              <w:pStyle w:val="74"/>
              <w:rPr>
                <w:color w:val="auto"/>
              </w:rPr>
            </w:pPr>
            <w:r>
              <w:rPr>
                <w:rFonts w:hint="eastAsia"/>
                <w:color w:val="auto"/>
              </w:rPr>
              <w:t>临时用电</w:t>
            </w:r>
          </w:p>
        </w:tc>
        <w:tc>
          <w:tcPr>
            <w:tcW w:w="3882" w:type="pct"/>
            <w:shd w:val="clear" w:color="auto" w:fill="FFFFFF" w:themeFill="background1"/>
            <w:tcMar>
              <w:left w:w="28" w:type="dxa"/>
              <w:right w:w="28" w:type="dxa"/>
            </w:tcMar>
            <w:vAlign w:val="center"/>
          </w:tcPr>
          <w:p w14:paraId="16A979CF">
            <w:pPr>
              <w:pStyle w:val="74"/>
              <w:rPr>
                <w:color w:val="auto"/>
              </w:rPr>
            </w:pPr>
            <w:r>
              <w:rPr>
                <w:color w:val="auto"/>
              </w:rPr>
              <w:t>1</w:t>
            </w:r>
            <w:r>
              <w:rPr>
                <w:rFonts w:hint="eastAsia"/>
                <w:color w:val="auto"/>
              </w:rPr>
              <w:t>、现场所有用电线路必须由专业持证电工进行拆接；</w:t>
            </w:r>
          </w:p>
          <w:p w14:paraId="3AAE320D">
            <w:pPr>
              <w:pStyle w:val="74"/>
              <w:rPr>
                <w:color w:val="auto"/>
              </w:rPr>
            </w:pPr>
            <w:r>
              <w:rPr>
                <w:color w:val="auto"/>
              </w:rPr>
              <w:t>2</w:t>
            </w:r>
            <w:r>
              <w:rPr>
                <w:rFonts w:hint="eastAsia"/>
                <w:color w:val="auto"/>
              </w:rPr>
              <w:t>、施工现场所有一、二级配电箱、盘必须由项目动力部所属专业电工进行装拆；各分包单位人员严禁私自拆接，违者处以</w:t>
            </w:r>
            <w:r>
              <w:rPr>
                <w:color w:val="auto"/>
              </w:rPr>
              <w:t>100-200</w:t>
            </w:r>
            <w:r>
              <w:rPr>
                <w:rFonts w:hint="eastAsia"/>
                <w:color w:val="auto"/>
              </w:rPr>
              <w:t>元的罚款；</w:t>
            </w:r>
          </w:p>
          <w:p w14:paraId="2C5FA25B">
            <w:pPr>
              <w:pStyle w:val="74"/>
              <w:rPr>
                <w:color w:val="auto"/>
              </w:rPr>
            </w:pPr>
            <w:r>
              <w:rPr>
                <w:color w:val="auto"/>
              </w:rPr>
              <w:t>3</w:t>
            </w:r>
            <w:r>
              <w:rPr>
                <w:rFonts w:hint="eastAsia"/>
                <w:color w:val="auto"/>
              </w:rPr>
              <w:t>、现场电工及机电操作人员必须正确穿戴安全保护用品；</w:t>
            </w:r>
          </w:p>
          <w:p w14:paraId="12B63158">
            <w:pPr>
              <w:pStyle w:val="74"/>
              <w:rPr>
                <w:color w:val="auto"/>
              </w:rPr>
            </w:pPr>
            <w:r>
              <w:rPr>
                <w:color w:val="auto"/>
              </w:rPr>
              <w:t>4</w:t>
            </w:r>
            <w:r>
              <w:rPr>
                <w:rFonts w:hint="eastAsia"/>
                <w:color w:val="auto"/>
              </w:rPr>
              <w:t>、严格执行</w:t>
            </w:r>
            <w:r>
              <w:rPr>
                <w:color w:val="auto"/>
              </w:rPr>
              <w:t>“</w:t>
            </w:r>
            <w:r>
              <w:rPr>
                <w:rFonts w:hint="eastAsia"/>
                <w:color w:val="auto"/>
              </w:rPr>
              <w:t>一机一闸</w:t>
            </w:r>
            <w:r>
              <w:rPr>
                <w:color w:val="auto"/>
              </w:rPr>
              <w:t>”</w:t>
            </w:r>
            <w:r>
              <w:rPr>
                <w:rFonts w:hint="eastAsia"/>
                <w:color w:val="auto"/>
              </w:rPr>
              <w:t>，</w:t>
            </w:r>
            <w:r>
              <w:rPr>
                <w:color w:val="auto"/>
              </w:rPr>
              <w:t>“</w:t>
            </w:r>
            <w:r>
              <w:rPr>
                <w:rFonts w:hint="eastAsia"/>
                <w:color w:val="auto"/>
              </w:rPr>
              <w:t>两级漏电保护</w:t>
            </w:r>
            <w:r>
              <w:rPr>
                <w:color w:val="auto"/>
              </w:rPr>
              <w:t>”“</w:t>
            </w:r>
            <w:r>
              <w:rPr>
                <w:rFonts w:hint="eastAsia"/>
                <w:color w:val="auto"/>
              </w:rPr>
              <w:t>三级配电</w:t>
            </w:r>
            <w:r>
              <w:rPr>
                <w:color w:val="auto"/>
              </w:rPr>
              <w:t>”“</w:t>
            </w:r>
            <w:r>
              <w:rPr>
                <w:rFonts w:hint="eastAsia"/>
                <w:color w:val="auto"/>
              </w:rPr>
              <w:t>三相五线</w:t>
            </w:r>
            <w:r>
              <w:rPr>
                <w:color w:val="auto"/>
              </w:rPr>
              <w:t>”</w:t>
            </w:r>
            <w:r>
              <w:rPr>
                <w:rFonts w:hint="eastAsia"/>
                <w:color w:val="auto"/>
              </w:rPr>
              <w:t>制；</w:t>
            </w:r>
          </w:p>
          <w:p w14:paraId="5F406CAA">
            <w:pPr>
              <w:pStyle w:val="74"/>
              <w:rPr>
                <w:color w:val="auto"/>
              </w:rPr>
            </w:pPr>
            <w:r>
              <w:rPr>
                <w:color w:val="auto"/>
              </w:rPr>
              <w:t>5</w:t>
            </w:r>
            <w:r>
              <w:rPr>
                <w:rFonts w:hint="eastAsia"/>
                <w:color w:val="auto"/>
              </w:rPr>
              <w:t>、必须使用合格的</w:t>
            </w:r>
            <w:r>
              <w:rPr>
                <w:color w:val="auto"/>
              </w:rPr>
              <w:t>“</w:t>
            </w:r>
            <w:r>
              <w:rPr>
                <w:rFonts w:hint="eastAsia"/>
                <w:color w:val="auto"/>
              </w:rPr>
              <w:t>三箱</w:t>
            </w:r>
            <w:r>
              <w:rPr>
                <w:color w:val="auto"/>
              </w:rPr>
              <w:t>”</w:t>
            </w:r>
            <w:r>
              <w:rPr>
                <w:rFonts w:hint="eastAsia"/>
                <w:color w:val="auto"/>
              </w:rPr>
              <w:t>，并严格执行关门用电制；</w:t>
            </w:r>
          </w:p>
          <w:p w14:paraId="57D3CC4D">
            <w:pPr>
              <w:pStyle w:val="74"/>
              <w:rPr>
                <w:color w:val="auto"/>
              </w:rPr>
            </w:pPr>
            <w:r>
              <w:rPr>
                <w:color w:val="auto"/>
              </w:rPr>
              <w:t>6</w:t>
            </w:r>
            <w:r>
              <w:rPr>
                <w:rFonts w:hint="eastAsia"/>
                <w:color w:val="auto"/>
              </w:rPr>
              <w:t>、所有电动工具、开关、电器、插头、插座、电线、电缆、熔丝的负荷容量必须与所控制的机电设备负荷容量相适应，严禁超负荷使用；</w:t>
            </w:r>
          </w:p>
          <w:p w14:paraId="7C934C21">
            <w:pPr>
              <w:pStyle w:val="74"/>
              <w:rPr>
                <w:color w:val="auto"/>
              </w:rPr>
            </w:pPr>
            <w:r>
              <w:rPr>
                <w:color w:val="auto"/>
              </w:rPr>
              <w:t>7</w:t>
            </w:r>
            <w:r>
              <w:rPr>
                <w:rFonts w:hint="eastAsia"/>
                <w:color w:val="auto"/>
              </w:rPr>
              <w:t>、所有露天使用的电气设备应有必需的防雨、防雷措施；</w:t>
            </w:r>
          </w:p>
          <w:p w14:paraId="0D310BBF">
            <w:pPr>
              <w:pStyle w:val="74"/>
              <w:rPr>
                <w:color w:val="auto"/>
              </w:rPr>
            </w:pPr>
            <w:r>
              <w:rPr>
                <w:color w:val="auto"/>
              </w:rPr>
              <w:t>8</w:t>
            </w:r>
            <w:r>
              <w:rPr>
                <w:rFonts w:hint="eastAsia"/>
                <w:color w:val="auto"/>
              </w:rPr>
              <w:t>、分配电箱与末级开关箱选用的两级漏电保护的漏电动作电流和漏电动作时间合理配合，使之具有分级分段保护能力；</w:t>
            </w:r>
          </w:p>
          <w:p w14:paraId="552CDCE4">
            <w:pPr>
              <w:pStyle w:val="74"/>
              <w:rPr>
                <w:color w:val="auto"/>
              </w:rPr>
            </w:pPr>
            <w:r>
              <w:rPr>
                <w:color w:val="auto"/>
              </w:rPr>
              <w:t>9</w:t>
            </w:r>
            <w:r>
              <w:rPr>
                <w:rFonts w:hint="eastAsia"/>
                <w:color w:val="auto"/>
              </w:rPr>
              <w:t>、手持电动工具、移动电器械及潜水泵必须配有专用的漏电保护器；</w:t>
            </w:r>
          </w:p>
          <w:p w14:paraId="22FF2926">
            <w:pPr>
              <w:pStyle w:val="74"/>
              <w:rPr>
                <w:color w:val="auto"/>
              </w:rPr>
            </w:pPr>
            <w:r>
              <w:rPr>
                <w:color w:val="auto"/>
              </w:rPr>
              <w:t>10</w:t>
            </w:r>
            <w:r>
              <w:rPr>
                <w:rFonts w:hint="eastAsia"/>
                <w:color w:val="auto"/>
              </w:rPr>
              <w:t>、额定容量在</w:t>
            </w:r>
            <w:r>
              <w:rPr>
                <w:color w:val="auto"/>
              </w:rPr>
              <w:t>5.5KW</w:t>
            </w:r>
            <w:r>
              <w:rPr>
                <w:rFonts w:hint="eastAsia"/>
                <w:color w:val="auto"/>
              </w:rPr>
              <w:t>以上的电气设备禁止直接启动；</w:t>
            </w:r>
          </w:p>
          <w:p w14:paraId="6715BC40">
            <w:pPr>
              <w:pStyle w:val="74"/>
              <w:rPr>
                <w:color w:val="auto"/>
              </w:rPr>
            </w:pPr>
            <w:r>
              <w:rPr>
                <w:color w:val="auto"/>
              </w:rPr>
              <w:t>11</w:t>
            </w:r>
            <w:r>
              <w:rPr>
                <w:rFonts w:hint="eastAsia"/>
                <w:color w:val="auto"/>
              </w:rPr>
              <w:t>、电气设备或线路有故障时，应由两名以上电工进行检修，并在相应的开关箱上悬挂</w:t>
            </w:r>
            <w:r>
              <w:rPr>
                <w:color w:val="auto"/>
              </w:rPr>
              <w:t>“</w:t>
            </w:r>
            <w:r>
              <w:rPr>
                <w:rFonts w:hint="eastAsia"/>
                <w:color w:val="auto"/>
              </w:rPr>
              <w:t>禁止合闸</w:t>
            </w:r>
            <w:r>
              <w:rPr>
                <w:color w:val="auto"/>
              </w:rPr>
              <w:t>”</w:t>
            </w:r>
            <w:r>
              <w:rPr>
                <w:rFonts w:hint="eastAsia"/>
                <w:color w:val="auto"/>
              </w:rPr>
              <w:t>的标示牌；</w:t>
            </w:r>
          </w:p>
          <w:p w14:paraId="037E331C">
            <w:pPr>
              <w:pStyle w:val="74"/>
              <w:rPr>
                <w:color w:val="auto"/>
              </w:rPr>
            </w:pPr>
            <w:r>
              <w:rPr>
                <w:color w:val="auto"/>
              </w:rPr>
              <w:t>12</w:t>
            </w:r>
            <w:r>
              <w:rPr>
                <w:rFonts w:hint="eastAsia"/>
                <w:color w:val="auto"/>
              </w:rPr>
              <w:t>、施工配电线路不得乱拉乱扯，线路不得随地走；电线电缆应绑在绝缘子上或其他绝缘物体上，不得绑在钢管或铁件上；</w:t>
            </w:r>
          </w:p>
          <w:p w14:paraId="64E9540C">
            <w:pPr>
              <w:pStyle w:val="74"/>
              <w:rPr>
                <w:color w:val="auto"/>
              </w:rPr>
            </w:pPr>
            <w:r>
              <w:rPr>
                <w:color w:val="auto"/>
              </w:rPr>
              <w:t>13</w:t>
            </w:r>
            <w:r>
              <w:rPr>
                <w:rFonts w:hint="eastAsia"/>
                <w:color w:val="auto"/>
              </w:rPr>
              <w:t>、电气设备应定期检查其绝缘状况；每次使用前必须仔细检查其所配电缆是否破损，发现问题立即包扎或更换；</w:t>
            </w:r>
          </w:p>
          <w:p w14:paraId="3ED8D019">
            <w:pPr>
              <w:pStyle w:val="74"/>
              <w:rPr>
                <w:color w:val="auto"/>
              </w:rPr>
            </w:pPr>
            <w:r>
              <w:rPr>
                <w:color w:val="auto"/>
              </w:rPr>
              <w:t>14</w:t>
            </w:r>
            <w:r>
              <w:rPr>
                <w:rFonts w:hint="eastAsia"/>
                <w:color w:val="auto"/>
              </w:rPr>
              <w:t>、定期检查漏电保护器是否有效保护动作，否则立即更换；</w:t>
            </w:r>
          </w:p>
          <w:p w14:paraId="59E661A0">
            <w:pPr>
              <w:pStyle w:val="74"/>
              <w:rPr>
                <w:color w:val="auto"/>
              </w:rPr>
            </w:pPr>
            <w:r>
              <w:rPr>
                <w:color w:val="auto"/>
              </w:rPr>
              <w:t>15</w:t>
            </w:r>
            <w:r>
              <w:rPr>
                <w:rFonts w:hint="eastAsia"/>
                <w:color w:val="auto"/>
              </w:rPr>
              <w:t>、照明与动力应分路设置，照明回路应配专用漏电保护器；</w:t>
            </w:r>
          </w:p>
          <w:p w14:paraId="1A035B6E">
            <w:pPr>
              <w:pStyle w:val="74"/>
              <w:rPr>
                <w:color w:val="auto"/>
              </w:rPr>
            </w:pPr>
            <w:r>
              <w:rPr>
                <w:color w:val="auto"/>
              </w:rPr>
              <w:t>16</w:t>
            </w:r>
            <w:r>
              <w:rPr>
                <w:rFonts w:hint="eastAsia"/>
                <w:color w:val="auto"/>
              </w:rPr>
              <w:t>、灯具悬挂室内应大于2.5米，室外大于</w:t>
            </w:r>
            <w:r>
              <w:rPr>
                <w:color w:val="auto"/>
              </w:rPr>
              <w:t>3</w:t>
            </w:r>
            <w:r>
              <w:rPr>
                <w:rFonts w:hint="eastAsia"/>
                <w:color w:val="auto"/>
              </w:rPr>
              <w:t>米，并距可燃物</w:t>
            </w:r>
            <w:r>
              <w:rPr>
                <w:color w:val="auto"/>
              </w:rPr>
              <w:t>1</w:t>
            </w:r>
            <w:r>
              <w:rPr>
                <w:rFonts w:hint="eastAsia"/>
                <w:color w:val="auto"/>
              </w:rPr>
              <w:t>米以上；</w:t>
            </w:r>
          </w:p>
          <w:p w14:paraId="6E8CE329">
            <w:pPr>
              <w:pStyle w:val="74"/>
              <w:rPr>
                <w:color w:val="auto"/>
              </w:rPr>
            </w:pPr>
            <w:r>
              <w:rPr>
                <w:color w:val="auto"/>
              </w:rPr>
              <w:t>17</w:t>
            </w:r>
            <w:r>
              <w:rPr>
                <w:rFonts w:hint="eastAsia"/>
                <w:color w:val="auto"/>
              </w:rPr>
              <w:t>、手持照明灯具和潮湿环境使用的照明灯具应使用</w:t>
            </w:r>
            <w:r>
              <w:rPr>
                <w:color w:val="auto"/>
              </w:rPr>
              <w:t>36V</w:t>
            </w:r>
            <w:r>
              <w:rPr>
                <w:rFonts w:hint="eastAsia"/>
                <w:color w:val="auto"/>
              </w:rPr>
              <w:t>安全电压供电。</w:t>
            </w:r>
          </w:p>
        </w:tc>
      </w:tr>
      <w:tr w14:paraId="7E4AF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rPr>
          <w:jc w:val="center"/>
        </w:trPr>
        <w:tc>
          <w:tcPr>
            <w:tcW w:w="356" w:type="pct"/>
            <w:shd w:val="clear" w:color="auto" w:fill="FFFFFF" w:themeFill="background1"/>
            <w:tcMar>
              <w:left w:w="28" w:type="dxa"/>
              <w:right w:w="28" w:type="dxa"/>
            </w:tcMar>
            <w:vAlign w:val="center"/>
          </w:tcPr>
          <w:p w14:paraId="235A4D66">
            <w:pPr>
              <w:pStyle w:val="74"/>
              <w:rPr>
                <w:color w:val="auto"/>
              </w:rPr>
            </w:pPr>
            <w:r>
              <w:rPr>
                <w:rFonts w:hint="eastAsia"/>
                <w:color w:val="auto"/>
              </w:rPr>
              <w:t>1</w:t>
            </w:r>
            <w:r>
              <w:rPr>
                <w:color w:val="auto"/>
              </w:rPr>
              <w:t>4</w:t>
            </w:r>
          </w:p>
        </w:tc>
        <w:tc>
          <w:tcPr>
            <w:tcW w:w="762" w:type="pct"/>
            <w:shd w:val="clear" w:color="auto" w:fill="FFFFFF" w:themeFill="background1"/>
            <w:tcMar>
              <w:left w:w="28" w:type="dxa"/>
              <w:right w:w="28" w:type="dxa"/>
            </w:tcMar>
            <w:vAlign w:val="center"/>
          </w:tcPr>
          <w:p w14:paraId="2E3137ED">
            <w:pPr>
              <w:pStyle w:val="74"/>
              <w:rPr>
                <w:color w:val="auto"/>
              </w:rPr>
            </w:pPr>
            <w:r>
              <w:rPr>
                <w:rFonts w:hint="eastAsia"/>
                <w:color w:val="auto"/>
              </w:rPr>
              <w:t>立体交叉作业</w:t>
            </w:r>
          </w:p>
        </w:tc>
        <w:tc>
          <w:tcPr>
            <w:tcW w:w="3882" w:type="pct"/>
            <w:shd w:val="clear" w:color="auto" w:fill="FFFFFF" w:themeFill="background1"/>
            <w:tcMar>
              <w:left w:w="28" w:type="dxa"/>
              <w:right w:w="28" w:type="dxa"/>
            </w:tcMar>
            <w:vAlign w:val="center"/>
          </w:tcPr>
          <w:p w14:paraId="678DFEC5">
            <w:pPr>
              <w:pStyle w:val="74"/>
              <w:rPr>
                <w:color w:val="auto"/>
              </w:rPr>
            </w:pPr>
            <w:r>
              <w:rPr>
                <w:rFonts w:hint="eastAsia"/>
                <w:color w:val="auto"/>
              </w:rPr>
              <w:t>1、编制高处坠落施工应急救援预案并演练。</w:t>
            </w:r>
          </w:p>
          <w:p w14:paraId="41B5DD4A">
            <w:pPr>
              <w:pStyle w:val="74"/>
              <w:rPr>
                <w:color w:val="auto"/>
              </w:rPr>
            </w:pPr>
            <w:r>
              <w:rPr>
                <w:rFonts w:hint="eastAsia"/>
                <w:color w:val="auto"/>
              </w:rPr>
              <w:t>2、工长合理安排作业顺序，尽可能避免交叉作业，若必须交叉作业，应采取安全可靠的隔离措施；</w:t>
            </w:r>
          </w:p>
          <w:p w14:paraId="45586504">
            <w:pPr>
              <w:pStyle w:val="74"/>
              <w:rPr>
                <w:color w:val="auto"/>
              </w:rPr>
            </w:pPr>
            <w:r>
              <w:rPr>
                <w:rFonts w:hint="eastAsia"/>
                <w:color w:val="auto"/>
              </w:rPr>
              <w:t>3、给每位搭拆作业的人员配备合格的安全带、安全帽、防滑鞋和工具袋。根据外脚手架防护需求，配备足够数量的安全网和脚手板。</w:t>
            </w:r>
          </w:p>
          <w:p w14:paraId="4F4358EF">
            <w:pPr>
              <w:pStyle w:val="74"/>
              <w:rPr>
                <w:color w:val="auto"/>
              </w:rPr>
            </w:pPr>
            <w:r>
              <w:rPr>
                <w:rFonts w:hint="eastAsia"/>
                <w:color w:val="auto"/>
              </w:rPr>
              <w:t>4、搭设作业前，进行安全技术交底，并履行签字手续。现场设安全围护和警示标志，禁止无关人员进入危险区域，地面上的配合人员避开可能落物的区域。</w:t>
            </w:r>
          </w:p>
          <w:p w14:paraId="44DAD49F">
            <w:pPr>
              <w:pStyle w:val="74"/>
              <w:rPr>
                <w:color w:val="auto"/>
              </w:rPr>
            </w:pPr>
            <w:r>
              <w:rPr>
                <w:rFonts w:hint="eastAsia"/>
                <w:color w:val="auto"/>
              </w:rPr>
              <w:t>5、作业面外侧设防护栏杆满挂安全网，脚手架底座封闭层挂设18cm挡脚手板。</w:t>
            </w:r>
          </w:p>
          <w:p w14:paraId="02543FCE">
            <w:pPr>
              <w:pStyle w:val="74"/>
              <w:rPr>
                <w:color w:val="auto"/>
              </w:rPr>
            </w:pPr>
            <w:r>
              <w:rPr>
                <w:rFonts w:hint="eastAsia"/>
                <w:color w:val="auto"/>
              </w:rPr>
              <w:t>6、下方回填土人员、其它任何作业人员应避免在同一立面同时作业。</w:t>
            </w:r>
          </w:p>
          <w:p w14:paraId="053BB150">
            <w:pPr>
              <w:pStyle w:val="74"/>
              <w:rPr>
                <w:color w:val="auto"/>
              </w:rPr>
            </w:pPr>
            <w:r>
              <w:rPr>
                <w:rFonts w:hint="eastAsia"/>
                <w:color w:val="auto"/>
              </w:rPr>
              <w:t>7、加强过程控制，发现问题及时停止作业，隐患排除后方可恢复作业；</w:t>
            </w:r>
          </w:p>
          <w:p w14:paraId="3FEA603D">
            <w:pPr>
              <w:pStyle w:val="74"/>
              <w:rPr>
                <w:color w:val="auto"/>
              </w:rPr>
            </w:pPr>
            <w:r>
              <w:rPr>
                <w:rFonts w:hint="eastAsia"/>
                <w:color w:val="auto"/>
              </w:rPr>
              <w:t>8、加强对施工人员的安全技术交底，开展各种形式的安全教育活动，提高职工安全意识。</w:t>
            </w:r>
          </w:p>
        </w:tc>
      </w:tr>
    </w:tbl>
    <w:p w14:paraId="3AE08643">
      <w:pPr>
        <w:pStyle w:val="5"/>
        <w:rPr>
          <w:color w:val="auto"/>
        </w:rPr>
      </w:pPr>
      <w:bookmarkStart w:id="411" w:name="_Toc26498"/>
      <w:r>
        <w:rPr>
          <w:rFonts w:hint="eastAsia"/>
          <w:color w:val="auto"/>
        </w:rPr>
        <w:t>防火、防坠安全措施</w:t>
      </w:r>
      <w:bookmarkEnd w:id="411"/>
    </w:p>
    <w:p w14:paraId="5D27258B">
      <w:pPr>
        <w:rPr>
          <w:color w:val="auto"/>
        </w:rPr>
      </w:pPr>
      <w:r>
        <w:rPr>
          <w:rFonts w:hint="eastAsia"/>
          <w:color w:val="auto"/>
        </w:rPr>
        <w:t>1、在施工过程建立以项目经理牵头，项目全员参加的消防防火管理体系，结合工程施工特点，对每位员工进行消防保卫方面的教育培训，做到每个人在思想上的重视。</w:t>
      </w:r>
    </w:p>
    <w:p w14:paraId="549FA5E6">
      <w:pPr>
        <w:rPr>
          <w:color w:val="auto"/>
        </w:rPr>
      </w:pPr>
      <w:r>
        <w:rPr>
          <w:rFonts w:hint="eastAsia"/>
          <w:color w:val="auto"/>
        </w:rPr>
        <w:t>2、实行逐级防火责任制，明确各级的职责，组建消防小组，负责日常的消防工作。分包单位在总包方的监督检查下，建立分包内部的逐级防火责任制，加强劳务队伍的消防教育。</w:t>
      </w:r>
    </w:p>
    <w:p w14:paraId="6C51D216">
      <w:pPr>
        <w:rPr>
          <w:color w:val="auto"/>
        </w:rPr>
      </w:pPr>
      <w:r>
        <w:rPr>
          <w:rFonts w:hint="eastAsia"/>
          <w:color w:val="auto"/>
        </w:rPr>
        <w:t>3、施工现场及生活区不允许吸烟，在生活、办公区设置吸烟处，不允许使用电炉，并且在生活区、办公区及现场设足够消防器材。</w:t>
      </w:r>
    </w:p>
    <w:p w14:paraId="7DB09A86">
      <w:pPr>
        <w:rPr>
          <w:color w:val="auto"/>
        </w:rPr>
      </w:pPr>
      <w:r>
        <w:rPr>
          <w:rFonts w:hint="eastAsia"/>
          <w:color w:val="auto"/>
        </w:rPr>
        <w:t>4、加强对易燃、易爆物品的管理，设立专用仓库存放，在存放处挂明显警示牌，对于此类材料严格执行限额领料制度。</w:t>
      </w:r>
    </w:p>
    <w:p w14:paraId="1B147EA9">
      <w:pPr>
        <w:rPr>
          <w:color w:val="auto"/>
        </w:rPr>
      </w:pPr>
      <w:r>
        <w:rPr>
          <w:rFonts w:hint="eastAsia"/>
          <w:color w:val="auto"/>
        </w:rPr>
        <w:t>5、加强对电气焊的管理，操作人员必须持证上岗，严格按规程进行操作。</w:t>
      </w:r>
    </w:p>
    <w:p w14:paraId="44A1D9A1">
      <w:pPr>
        <w:rPr>
          <w:color w:val="auto"/>
        </w:rPr>
      </w:pPr>
      <w:r>
        <w:rPr>
          <w:rFonts w:hint="eastAsia"/>
          <w:color w:val="auto"/>
        </w:rPr>
        <w:t>6、加强对生活区的消防防火管理，配置一定数量的消防器材，责令专人负责，定期进行检查，发现问题及时整改。</w:t>
      </w:r>
    </w:p>
    <w:p w14:paraId="77CCB951">
      <w:pPr>
        <w:rPr>
          <w:color w:val="auto"/>
        </w:rPr>
      </w:pPr>
      <w:r>
        <w:rPr>
          <w:rFonts w:hint="eastAsia"/>
          <w:color w:val="auto"/>
        </w:rPr>
        <w:t>7、支、拆模板时应保证作业人员有可靠立足点，作业面应按规定设置安全防护设施。模板及其支撑体系的施工荷载应均匀堆置，并不得超过设计计算要求。</w:t>
      </w:r>
    </w:p>
    <w:p w14:paraId="5DF6CAC3">
      <w:pPr>
        <w:rPr>
          <w:color w:val="auto"/>
        </w:rPr>
      </w:pPr>
      <w:r>
        <w:rPr>
          <w:rFonts w:hint="eastAsia"/>
          <w:color w:val="auto"/>
        </w:rPr>
        <w:t>8、所有高处作业人员应接受高处作业安全知识的教育；特种高处作业人员应持证上岗，上岗前应依据有关规定进行专门的安全技术签字交底。采用新工艺、新技术、新材料和新设备的，应按规定对作业人员进行相关安全技术签字交底。</w:t>
      </w:r>
    </w:p>
    <w:p w14:paraId="315ECDC9">
      <w:pPr>
        <w:rPr>
          <w:color w:val="auto"/>
        </w:rPr>
      </w:pPr>
      <w:r>
        <w:rPr>
          <w:rFonts w:hint="eastAsia"/>
          <w:color w:val="auto"/>
        </w:rPr>
        <w:t>9、高处作业人员应经过体检，合格后方可上岗。施工单位应为作业人员提供合格的安全帽、安全带等必备的安全防护用具，作业人员应按规定正确佩戴和使用。</w:t>
      </w:r>
    </w:p>
    <w:p w14:paraId="600FDD5B">
      <w:pPr>
        <w:rPr>
          <w:color w:val="auto"/>
        </w:rPr>
      </w:pPr>
      <w:r>
        <w:rPr>
          <w:rFonts w:hint="eastAsia"/>
          <w:color w:val="auto"/>
        </w:rPr>
        <w:t>10、安全带使用前必须经过检查合格。安全带的系扣点应就高不就低，扣环应悬挂在腰部的上方，并要注意带子不能与锋利或毛刺的地方接触，以防摩擦割断。</w:t>
      </w:r>
    </w:p>
    <w:p w14:paraId="6D4B46A8">
      <w:pPr>
        <w:rPr>
          <w:color w:val="auto"/>
        </w:rPr>
      </w:pPr>
      <w:r>
        <w:rPr>
          <w:rFonts w:hint="eastAsia"/>
          <w:color w:val="auto"/>
        </w:rPr>
        <w:t>11、项目部应按类别，有针对性地将各类安全警示标志悬挂于施工现场各相应部位，夜间应设红灯示警。</w:t>
      </w:r>
    </w:p>
    <w:p w14:paraId="6C8A01DF">
      <w:pPr>
        <w:rPr>
          <w:color w:val="auto"/>
        </w:rPr>
      </w:pPr>
      <w:r>
        <w:rPr>
          <w:rFonts w:hint="eastAsia"/>
          <w:color w:val="auto"/>
        </w:rPr>
        <w:t>12、安装楼面模板时，在工作面下1m处满挂兜网作为水平防护措施，以确保安全，超过8m的架体每6m满挂一道水平安全兜网。</w:t>
      </w:r>
    </w:p>
    <w:p w14:paraId="57933898">
      <w:pPr>
        <w:pStyle w:val="5"/>
        <w:rPr>
          <w:color w:val="auto"/>
        </w:rPr>
      </w:pPr>
      <w:bookmarkStart w:id="412" w:name="_Toc30432"/>
      <w:r>
        <w:rPr>
          <w:rFonts w:hint="eastAsia"/>
          <w:color w:val="auto"/>
        </w:rPr>
        <w:t>基坑施工安全管理</w:t>
      </w:r>
      <w:bookmarkEnd w:id="412"/>
    </w:p>
    <w:p w14:paraId="0F355AB7">
      <w:pPr>
        <w:pStyle w:val="6"/>
        <w:ind w:firstLine="480"/>
        <w:rPr>
          <w:rFonts w:hint="eastAsia"/>
          <w:color w:val="auto"/>
        </w:rPr>
      </w:pPr>
      <w:r>
        <w:rPr>
          <w:rFonts w:hint="eastAsia"/>
          <w:color w:val="auto"/>
        </w:rPr>
        <w:t>基本规定</w:t>
      </w:r>
    </w:p>
    <w:tbl>
      <w:tblPr>
        <w:tblStyle w:val="29"/>
        <w:tblW w:w="5000" w:type="pct"/>
        <w:tblInd w:w="0" w:type="dxa"/>
        <w:tblLayout w:type="fixed"/>
        <w:tblCellMar>
          <w:top w:w="0" w:type="dxa"/>
          <w:left w:w="108" w:type="dxa"/>
          <w:bottom w:w="0" w:type="dxa"/>
          <w:right w:w="108" w:type="dxa"/>
        </w:tblCellMar>
      </w:tblPr>
      <w:tblGrid>
        <w:gridCol w:w="688"/>
        <w:gridCol w:w="8372"/>
      </w:tblGrid>
      <w:tr w14:paraId="79A00180">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7B73E69">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2287467C">
            <w:pPr>
              <w:spacing w:line="240" w:lineRule="auto"/>
              <w:ind w:firstLine="0" w:firstLineChars="0"/>
              <w:jc w:val="center"/>
              <w:rPr>
                <w:rFonts w:hint="eastAsia"/>
                <w:color w:val="auto"/>
                <w:sz w:val="21"/>
              </w:rPr>
            </w:pPr>
            <w:r>
              <w:rPr>
                <w:rFonts w:hint="eastAsia"/>
                <w:color w:val="auto"/>
                <w:sz w:val="21"/>
              </w:rPr>
              <w:t>规定</w:t>
            </w:r>
          </w:p>
        </w:tc>
      </w:tr>
      <w:tr w14:paraId="377CB6D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7AA3932">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26FB4987">
            <w:pPr>
              <w:spacing w:line="240" w:lineRule="auto"/>
              <w:ind w:firstLine="420"/>
              <w:jc w:val="left"/>
              <w:rPr>
                <w:rFonts w:hint="eastAsia"/>
                <w:color w:val="auto"/>
                <w:sz w:val="21"/>
              </w:rPr>
            </w:pPr>
            <w:r>
              <w:rPr>
                <w:rFonts w:hint="eastAsia"/>
                <w:color w:val="auto"/>
                <w:sz w:val="21"/>
              </w:rPr>
              <w:t>深基坑工程设计与施工组织设计时，应将开挖影响范围内的各种荷载等纳入设计计算范围，并应满足现行行业标准有关安全技术规定的要求。</w:t>
            </w:r>
          </w:p>
        </w:tc>
      </w:tr>
      <w:tr w14:paraId="3E71AB2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398AEE5">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0A0ECDDD">
            <w:pPr>
              <w:spacing w:line="240" w:lineRule="auto"/>
              <w:ind w:firstLine="420"/>
              <w:jc w:val="left"/>
              <w:rPr>
                <w:rFonts w:hint="eastAsia"/>
                <w:color w:val="auto"/>
                <w:sz w:val="21"/>
              </w:rPr>
            </w:pPr>
            <w:r>
              <w:rPr>
                <w:rFonts w:hint="eastAsia"/>
                <w:color w:val="auto"/>
                <w:sz w:val="21"/>
              </w:rPr>
              <w:t>对施工安全等级为一级的基坑工程，应进行基坑安全监测方案的评审；对特别需要或特殊条件下的施工安全等级为一级的基坑工程宜进行基坑安全风险评估；对设计文件中明确提出变形控制要求的基坑工程，监测单位应将编制的监测方案经过基坑工程设计单位审查后实施。</w:t>
            </w:r>
          </w:p>
        </w:tc>
      </w:tr>
      <w:tr w14:paraId="76602A73">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D2F08C5">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2D0114D9">
            <w:pPr>
              <w:spacing w:line="240" w:lineRule="auto"/>
              <w:ind w:firstLine="420"/>
              <w:jc w:val="left"/>
              <w:rPr>
                <w:rFonts w:hint="eastAsia"/>
                <w:color w:val="auto"/>
                <w:sz w:val="21"/>
              </w:rPr>
            </w:pPr>
            <w:r>
              <w:rPr>
                <w:rFonts w:hint="eastAsia"/>
                <w:color w:val="auto"/>
                <w:sz w:val="21"/>
              </w:rPr>
              <w:t>建设单位应组织基坑工程设计、工程总承包及基坑工程施工与基坑安全监测单位进行图纸会审和技术交底，并应留存记录。</w:t>
            </w:r>
          </w:p>
        </w:tc>
      </w:tr>
      <w:tr w14:paraId="3BCE643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D1E2C20">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2A9EBCD0">
            <w:pPr>
              <w:spacing w:line="240" w:lineRule="auto"/>
              <w:ind w:firstLine="420"/>
              <w:jc w:val="left"/>
              <w:rPr>
                <w:rFonts w:hint="eastAsia"/>
                <w:color w:val="auto"/>
                <w:sz w:val="21"/>
              </w:rPr>
            </w:pPr>
            <w:r>
              <w:rPr>
                <w:rFonts w:hint="eastAsia"/>
                <w:color w:val="auto"/>
                <w:sz w:val="21"/>
              </w:rPr>
              <w:t>基坑工程实施前应进行下列工作：</w:t>
            </w:r>
          </w:p>
          <w:p w14:paraId="5C1AD27C">
            <w:pPr>
              <w:spacing w:line="240" w:lineRule="auto"/>
              <w:ind w:firstLine="420"/>
              <w:jc w:val="left"/>
              <w:rPr>
                <w:rFonts w:hint="eastAsia"/>
                <w:color w:val="auto"/>
                <w:sz w:val="21"/>
              </w:rPr>
            </w:pPr>
            <w:r>
              <w:rPr>
                <w:rFonts w:hint="eastAsia"/>
                <w:color w:val="auto"/>
                <w:sz w:val="21"/>
              </w:rPr>
              <w:t>1、组织所有施工技术人员熟悉设计文件、工程地质与水文地质报告、安全监测方案和相关技术标准，并参与基坑工程图纸会审和技术交底；</w:t>
            </w:r>
          </w:p>
          <w:p w14:paraId="3D5C12A7">
            <w:pPr>
              <w:spacing w:line="240" w:lineRule="auto"/>
              <w:ind w:firstLine="420"/>
              <w:jc w:val="left"/>
              <w:rPr>
                <w:rFonts w:hint="eastAsia"/>
                <w:color w:val="auto"/>
                <w:sz w:val="21"/>
              </w:rPr>
            </w:pPr>
            <w:r>
              <w:rPr>
                <w:rFonts w:hint="eastAsia"/>
                <w:color w:val="auto"/>
                <w:sz w:val="21"/>
              </w:rPr>
              <w:t>2、进行施工现场勘查和环境调查，进一步了解施工现场、基坑影响范围内地下管线情况，必要时制定预先加固方案；</w:t>
            </w:r>
          </w:p>
          <w:p w14:paraId="21A11642">
            <w:pPr>
              <w:spacing w:line="240" w:lineRule="auto"/>
              <w:ind w:firstLine="420"/>
              <w:jc w:val="left"/>
              <w:rPr>
                <w:rFonts w:hint="eastAsia"/>
                <w:color w:val="auto"/>
                <w:sz w:val="21"/>
              </w:rPr>
            </w:pPr>
            <w:r>
              <w:rPr>
                <w:rFonts w:hint="eastAsia"/>
                <w:color w:val="auto"/>
                <w:sz w:val="21"/>
              </w:rPr>
              <w:t>3、掌握地下水控制、土方开挖、安全监测的重点与难点，明确施工与设计和监测进行配合的义务与责任；</w:t>
            </w:r>
          </w:p>
          <w:p w14:paraId="2103C9A1">
            <w:pPr>
              <w:spacing w:line="240" w:lineRule="auto"/>
              <w:ind w:firstLine="420"/>
              <w:jc w:val="left"/>
              <w:rPr>
                <w:rFonts w:hint="eastAsia"/>
                <w:color w:val="auto"/>
                <w:sz w:val="21"/>
              </w:rPr>
            </w:pPr>
            <w:r>
              <w:rPr>
                <w:rFonts w:hint="eastAsia"/>
                <w:color w:val="auto"/>
                <w:sz w:val="21"/>
              </w:rPr>
              <w:t>4、按照评审通过的基坑工程设计施工图、基坑工程安全监测方案、施工勘查与环境调查报告等文件，编制基坑工程施工组织设计，并应按照有关规定组织施工开挖方案的专家论证；施工安全等级为一级的基坑工程尚应编制施工安全专项方案。</w:t>
            </w:r>
          </w:p>
        </w:tc>
      </w:tr>
      <w:tr w14:paraId="6F39297E">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CB08491">
            <w:pPr>
              <w:spacing w:line="240" w:lineRule="auto"/>
              <w:ind w:firstLine="0" w:firstLineChars="0"/>
              <w:jc w:val="center"/>
              <w:rPr>
                <w:rFonts w:hint="eastAsia"/>
                <w:color w:val="auto"/>
                <w:sz w:val="21"/>
              </w:rPr>
            </w:pPr>
            <w:r>
              <w:rPr>
                <w:rFonts w:hint="eastAsia"/>
                <w:color w:val="auto"/>
                <w:sz w:val="21"/>
              </w:rPr>
              <w:t>5</w:t>
            </w:r>
          </w:p>
        </w:tc>
        <w:tc>
          <w:tcPr>
            <w:tcW w:w="7534" w:type="dxa"/>
            <w:tcBorders>
              <w:top w:val="single" w:color="auto" w:sz="4" w:space="0"/>
              <w:left w:val="nil"/>
              <w:bottom w:val="single" w:color="auto" w:sz="4" w:space="0"/>
              <w:right w:val="single" w:color="auto" w:sz="4" w:space="0"/>
            </w:tcBorders>
            <w:vAlign w:val="center"/>
          </w:tcPr>
          <w:p w14:paraId="4554D4BA">
            <w:pPr>
              <w:spacing w:line="240" w:lineRule="auto"/>
              <w:ind w:firstLine="420"/>
              <w:jc w:val="left"/>
              <w:rPr>
                <w:rFonts w:hint="eastAsia"/>
                <w:color w:val="auto"/>
                <w:sz w:val="21"/>
              </w:rPr>
            </w:pPr>
            <w:r>
              <w:rPr>
                <w:rFonts w:hint="eastAsia"/>
                <w:color w:val="auto"/>
                <w:sz w:val="21"/>
              </w:rPr>
              <w:t>基坑工程施工组织设计应包含以下主要内容：</w:t>
            </w:r>
          </w:p>
          <w:p w14:paraId="1F92346B">
            <w:pPr>
              <w:spacing w:line="240" w:lineRule="auto"/>
              <w:ind w:firstLine="420"/>
              <w:jc w:val="left"/>
              <w:rPr>
                <w:rFonts w:hint="eastAsia"/>
                <w:color w:val="auto"/>
                <w:sz w:val="21"/>
              </w:rPr>
            </w:pPr>
            <w:r>
              <w:rPr>
                <w:rFonts w:hint="eastAsia"/>
                <w:color w:val="auto"/>
                <w:sz w:val="21"/>
              </w:rPr>
              <w:t>1、基坑施工对环境的影响预测及控制措施；</w:t>
            </w:r>
          </w:p>
          <w:p w14:paraId="4A5F5118">
            <w:pPr>
              <w:spacing w:line="240" w:lineRule="auto"/>
              <w:ind w:firstLine="420"/>
              <w:jc w:val="left"/>
              <w:rPr>
                <w:rFonts w:hint="eastAsia"/>
                <w:color w:val="auto"/>
                <w:sz w:val="21"/>
              </w:rPr>
            </w:pPr>
            <w:r>
              <w:rPr>
                <w:rFonts w:hint="eastAsia"/>
                <w:color w:val="auto"/>
                <w:sz w:val="21"/>
              </w:rPr>
              <w:t>2、降水与排水系统设计；</w:t>
            </w:r>
          </w:p>
          <w:p w14:paraId="5A7DBD64">
            <w:pPr>
              <w:spacing w:line="240" w:lineRule="auto"/>
              <w:ind w:firstLine="420"/>
              <w:jc w:val="left"/>
              <w:rPr>
                <w:rFonts w:hint="eastAsia"/>
                <w:color w:val="auto"/>
                <w:sz w:val="21"/>
              </w:rPr>
            </w:pPr>
            <w:r>
              <w:rPr>
                <w:rFonts w:hint="eastAsia"/>
                <w:color w:val="auto"/>
                <w:sz w:val="21"/>
              </w:rPr>
              <w:t>3、土石方开挖与放坡、降水配合施工的流程、技术与要求；</w:t>
            </w:r>
          </w:p>
          <w:p w14:paraId="7AE6D946">
            <w:pPr>
              <w:spacing w:line="240" w:lineRule="auto"/>
              <w:ind w:firstLine="420"/>
              <w:jc w:val="left"/>
              <w:rPr>
                <w:rFonts w:hint="eastAsia"/>
                <w:color w:val="auto"/>
                <w:sz w:val="21"/>
              </w:rPr>
            </w:pPr>
            <w:r>
              <w:rPr>
                <w:rFonts w:hint="eastAsia"/>
                <w:color w:val="auto"/>
                <w:sz w:val="21"/>
              </w:rPr>
              <w:t>4、雨季期间开挖施工、地下管线渗漏等极端条件下的施工安全专项方案；</w:t>
            </w:r>
          </w:p>
          <w:p w14:paraId="744AAB74">
            <w:pPr>
              <w:spacing w:line="240" w:lineRule="auto"/>
              <w:ind w:firstLine="420"/>
              <w:jc w:val="left"/>
              <w:rPr>
                <w:rFonts w:hint="eastAsia"/>
                <w:color w:val="auto"/>
                <w:sz w:val="21"/>
              </w:rPr>
            </w:pPr>
            <w:r>
              <w:rPr>
                <w:rFonts w:hint="eastAsia"/>
                <w:color w:val="auto"/>
                <w:sz w:val="21"/>
              </w:rPr>
              <w:t>5、基坑工程安全应急预案；</w:t>
            </w:r>
          </w:p>
          <w:p w14:paraId="6A74098E">
            <w:pPr>
              <w:spacing w:line="240" w:lineRule="auto"/>
              <w:ind w:firstLine="420"/>
              <w:jc w:val="left"/>
              <w:rPr>
                <w:rFonts w:hint="eastAsia"/>
                <w:color w:val="auto"/>
                <w:sz w:val="21"/>
              </w:rPr>
            </w:pPr>
            <w:r>
              <w:rPr>
                <w:rFonts w:hint="eastAsia"/>
                <w:color w:val="auto"/>
                <w:sz w:val="21"/>
              </w:rPr>
              <w:t>6、基坑安全使用与维护要求与技术措施。</w:t>
            </w:r>
          </w:p>
        </w:tc>
      </w:tr>
      <w:tr w14:paraId="56A4C84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8C4A457">
            <w:pPr>
              <w:spacing w:line="240" w:lineRule="auto"/>
              <w:ind w:firstLine="0" w:firstLineChars="0"/>
              <w:jc w:val="center"/>
              <w:rPr>
                <w:rFonts w:hint="eastAsia"/>
                <w:color w:val="auto"/>
                <w:sz w:val="21"/>
              </w:rPr>
            </w:pPr>
            <w:r>
              <w:rPr>
                <w:rFonts w:hint="eastAsia"/>
                <w:color w:val="auto"/>
                <w:sz w:val="21"/>
              </w:rPr>
              <w:t>6</w:t>
            </w:r>
          </w:p>
        </w:tc>
        <w:tc>
          <w:tcPr>
            <w:tcW w:w="7534" w:type="dxa"/>
            <w:tcBorders>
              <w:top w:val="single" w:color="auto" w:sz="4" w:space="0"/>
              <w:left w:val="nil"/>
              <w:bottom w:val="single" w:color="auto" w:sz="4" w:space="0"/>
              <w:right w:val="single" w:color="auto" w:sz="4" w:space="0"/>
            </w:tcBorders>
            <w:vAlign w:val="center"/>
          </w:tcPr>
          <w:p w14:paraId="3ACE92DC">
            <w:pPr>
              <w:spacing w:line="240" w:lineRule="auto"/>
              <w:ind w:firstLine="420"/>
              <w:jc w:val="left"/>
              <w:rPr>
                <w:rFonts w:hint="eastAsia"/>
                <w:color w:val="auto"/>
                <w:sz w:val="21"/>
              </w:rPr>
            </w:pPr>
            <w:r>
              <w:rPr>
                <w:rFonts w:hint="eastAsia"/>
                <w:color w:val="auto"/>
                <w:sz w:val="21"/>
              </w:rPr>
              <w:t>基坑开挖过程中发现地质条件或环境条件与原地质报告、环境调查报告不相符合时，应停止施工，及时会同相关设计、勘察单位进行设计验算或设计修改后方可恢复施工。</w:t>
            </w:r>
          </w:p>
        </w:tc>
      </w:tr>
      <w:tr w14:paraId="7123EC96">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4D9E1CC">
            <w:pPr>
              <w:spacing w:line="240" w:lineRule="auto"/>
              <w:ind w:firstLine="0" w:firstLineChars="0"/>
              <w:jc w:val="center"/>
              <w:rPr>
                <w:rFonts w:hint="eastAsia"/>
                <w:color w:val="auto"/>
                <w:sz w:val="21"/>
              </w:rPr>
            </w:pPr>
            <w:r>
              <w:rPr>
                <w:rFonts w:hint="eastAsia"/>
                <w:color w:val="auto"/>
                <w:sz w:val="21"/>
              </w:rPr>
              <w:t>7</w:t>
            </w:r>
          </w:p>
        </w:tc>
        <w:tc>
          <w:tcPr>
            <w:tcW w:w="7534" w:type="dxa"/>
            <w:tcBorders>
              <w:top w:val="single" w:color="auto" w:sz="4" w:space="0"/>
              <w:left w:val="nil"/>
              <w:bottom w:val="single" w:color="auto" w:sz="4" w:space="0"/>
              <w:right w:val="single" w:color="auto" w:sz="4" w:space="0"/>
            </w:tcBorders>
            <w:vAlign w:val="center"/>
          </w:tcPr>
          <w:p w14:paraId="791136DE">
            <w:pPr>
              <w:spacing w:line="240" w:lineRule="auto"/>
              <w:ind w:firstLine="420"/>
              <w:jc w:val="left"/>
              <w:rPr>
                <w:rFonts w:hint="eastAsia"/>
                <w:color w:val="auto"/>
                <w:sz w:val="21"/>
              </w:rPr>
            </w:pPr>
            <w:r>
              <w:rPr>
                <w:rFonts w:hint="eastAsia"/>
                <w:color w:val="auto"/>
                <w:sz w:val="21"/>
              </w:rPr>
              <w:t>边坡施工应采取可靠技术手段减少对周边保护物、地下设施的影响。</w:t>
            </w:r>
          </w:p>
        </w:tc>
      </w:tr>
      <w:tr w14:paraId="523632C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91CDA20">
            <w:pPr>
              <w:spacing w:line="240" w:lineRule="auto"/>
              <w:ind w:firstLine="0" w:firstLineChars="0"/>
              <w:jc w:val="center"/>
              <w:rPr>
                <w:rFonts w:hint="eastAsia"/>
                <w:color w:val="auto"/>
                <w:sz w:val="21"/>
              </w:rPr>
            </w:pPr>
            <w:r>
              <w:rPr>
                <w:rFonts w:hint="eastAsia"/>
                <w:color w:val="auto"/>
                <w:sz w:val="21"/>
              </w:rPr>
              <w:t>8</w:t>
            </w:r>
          </w:p>
        </w:tc>
        <w:tc>
          <w:tcPr>
            <w:tcW w:w="7534" w:type="dxa"/>
            <w:tcBorders>
              <w:top w:val="single" w:color="auto" w:sz="4" w:space="0"/>
              <w:left w:val="nil"/>
              <w:bottom w:val="single" w:color="auto" w:sz="4" w:space="0"/>
              <w:right w:val="single" w:color="auto" w:sz="4" w:space="0"/>
            </w:tcBorders>
            <w:vAlign w:val="center"/>
          </w:tcPr>
          <w:p w14:paraId="4F084F7C">
            <w:pPr>
              <w:spacing w:line="240" w:lineRule="auto"/>
              <w:ind w:firstLine="420"/>
              <w:jc w:val="left"/>
              <w:rPr>
                <w:rFonts w:hint="eastAsia"/>
                <w:color w:val="auto"/>
                <w:sz w:val="21"/>
              </w:rPr>
            </w:pPr>
            <w:r>
              <w:rPr>
                <w:rFonts w:hint="eastAsia"/>
                <w:color w:val="auto"/>
                <w:sz w:val="21"/>
              </w:rPr>
              <w:t>基坑工程的降水与排水应按有关设计要求严格控制降水深度、出水含砂量，对可能产生管涌和突涌、流土、淘蚀的工程，应考虑技术措施和预案。</w:t>
            </w:r>
          </w:p>
        </w:tc>
      </w:tr>
      <w:tr w14:paraId="15D810E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48C4D5A">
            <w:pPr>
              <w:spacing w:line="240" w:lineRule="auto"/>
              <w:ind w:firstLine="0" w:firstLineChars="0"/>
              <w:jc w:val="center"/>
              <w:rPr>
                <w:rFonts w:hint="eastAsia"/>
                <w:color w:val="auto"/>
                <w:sz w:val="21"/>
              </w:rPr>
            </w:pPr>
            <w:r>
              <w:rPr>
                <w:rFonts w:hint="eastAsia"/>
                <w:color w:val="auto"/>
                <w:sz w:val="21"/>
              </w:rPr>
              <w:t>9</w:t>
            </w:r>
          </w:p>
        </w:tc>
        <w:tc>
          <w:tcPr>
            <w:tcW w:w="7534" w:type="dxa"/>
            <w:tcBorders>
              <w:top w:val="single" w:color="auto" w:sz="4" w:space="0"/>
              <w:left w:val="nil"/>
              <w:bottom w:val="single" w:color="auto" w:sz="4" w:space="0"/>
              <w:right w:val="single" w:color="auto" w:sz="4" w:space="0"/>
            </w:tcBorders>
            <w:vAlign w:val="center"/>
          </w:tcPr>
          <w:p w14:paraId="79EB79BD">
            <w:pPr>
              <w:spacing w:line="240" w:lineRule="auto"/>
              <w:ind w:firstLine="420"/>
              <w:jc w:val="left"/>
              <w:rPr>
                <w:rFonts w:hint="eastAsia"/>
                <w:color w:val="auto"/>
                <w:sz w:val="21"/>
              </w:rPr>
            </w:pPr>
            <w:r>
              <w:rPr>
                <w:rFonts w:hint="eastAsia"/>
                <w:color w:val="auto"/>
                <w:sz w:val="21"/>
              </w:rPr>
              <w:t>膨胀土、可能发生冻胀的土、高灵敏度土等场地深基坑工程的施工安全应符合规范要求。</w:t>
            </w:r>
          </w:p>
        </w:tc>
      </w:tr>
      <w:tr w14:paraId="02FF6B0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FD2564C">
            <w:pPr>
              <w:spacing w:line="240" w:lineRule="auto"/>
              <w:ind w:firstLine="0" w:firstLineChars="0"/>
              <w:jc w:val="center"/>
              <w:rPr>
                <w:rFonts w:hint="eastAsia"/>
                <w:color w:val="auto"/>
                <w:sz w:val="21"/>
              </w:rPr>
            </w:pPr>
            <w:r>
              <w:rPr>
                <w:rFonts w:hint="eastAsia"/>
                <w:color w:val="auto"/>
                <w:sz w:val="21"/>
              </w:rPr>
              <w:t>10</w:t>
            </w:r>
          </w:p>
        </w:tc>
        <w:tc>
          <w:tcPr>
            <w:tcW w:w="7534" w:type="dxa"/>
            <w:tcBorders>
              <w:top w:val="single" w:color="auto" w:sz="4" w:space="0"/>
              <w:left w:val="nil"/>
              <w:bottom w:val="single" w:color="auto" w:sz="4" w:space="0"/>
              <w:right w:val="single" w:color="auto" w:sz="4" w:space="0"/>
            </w:tcBorders>
            <w:vAlign w:val="center"/>
          </w:tcPr>
          <w:p w14:paraId="1F494FB1">
            <w:pPr>
              <w:spacing w:line="240" w:lineRule="auto"/>
              <w:ind w:firstLine="420"/>
              <w:jc w:val="left"/>
              <w:rPr>
                <w:rFonts w:hint="eastAsia"/>
                <w:color w:val="auto"/>
                <w:sz w:val="21"/>
              </w:rPr>
            </w:pPr>
            <w:r>
              <w:rPr>
                <w:rFonts w:hint="eastAsia"/>
                <w:color w:val="auto"/>
                <w:sz w:val="21"/>
              </w:rPr>
              <w:t>基坑工程施工过程中应全面落实信息化施工技术，当安全监测结果达到报警值后，应启动应急预案，组织专家会同基坑设计、监测、监理等单位，进行专门论证，查明原因后恢复施工。</w:t>
            </w:r>
          </w:p>
        </w:tc>
      </w:tr>
      <w:tr w14:paraId="45CF167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95BD89D">
            <w:pPr>
              <w:spacing w:line="240" w:lineRule="auto"/>
              <w:ind w:firstLine="0" w:firstLineChars="0"/>
              <w:jc w:val="center"/>
              <w:rPr>
                <w:rFonts w:hint="eastAsia"/>
                <w:color w:val="auto"/>
                <w:sz w:val="21"/>
              </w:rPr>
            </w:pPr>
            <w:r>
              <w:rPr>
                <w:rFonts w:hint="eastAsia"/>
                <w:color w:val="auto"/>
                <w:sz w:val="21"/>
              </w:rPr>
              <w:t>11</w:t>
            </w:r>
          </w:p>
        </w:tc>
        <w:tc>
          <w:tcPr>
            <w:tcW w:w="7534" w:type="dxa"/>
            <w:tcBorders>
              <w:top w:val="single" w:color="auto" w:sz="4" w:space="0"/>
              <w:left w:val="nil"/>
              <w:bottom w:val="single" w:color="auto" w:sz="4" w:space="0"/>
              <w:right w:val="single" w:color="auto" w:sz="4" w:space="0"/>
            </w:tcBorders>
            <w:vAlign w:val="center"/>
          </w:tcPr>
          <w:p w14:paraId="40ADFD81">
            <w:pPr>
              <w:spacing w:line="240" w:lineRule="auto"/>
              <w:ind w:firstLine="420"/>
              <w:jc w:val="left"/>
              <w:rPr>
                <w:rFonts w:hint="eastAsia"/>
                <w:color w:val="auto"/>
                <w:sz w:val="21"/>
              </w:rPr>
            </w:pPr>
            <w:r>
              <w:rPr>
                <w:rFonts w:hint="eastAsia"/>
                <w:color w:val="auto"/>
                <w:sz w:val="21"/>
              </w:rPr>
              <w:t>当施工过程中发生安全事故时，必须采取有效措施，首先确保施工人员及保护物内人员的生命安全、保护好事故现场，按规定程序立即上报，并及时分析原因，采取有效措施避免再次发生事故。</w:t>
            </w:r>
          </w:p>
        </w:tc>
      </w:tr>
    </w:tbl>
    <w:p w14:paraId="52882992">
      <w:pPr>
        <w:pStyle w:val="6"/>
        <w:ind w:firstLine="480"/>
        <w:rPr>
          <w:rFonts w:hint="eastAsia"/>
          <w:color w:val="auto"/>
        </w:rPr>
      </w:pPr>
      <w:r>
        <w:rPr>
          <w:rFonts w:hint="eastAsia"/>
          <w:color w:val="auto"/>
        </w:rPr>
        <w:t>现场勘查与环境调查</w:t>
      </w:r>
    </w:p>
    <w:p w14:paraId="645DA1E3">
      <w:pPr>
        <w:rPr>
          <w:rFonts w:hint="eastAsia"/>
          <w:color w:val="auto"/>
        </w:rPr>
      </w:pPr>
      <w:r>
        <w:rPr>
          <w:rFonts w:hint="eastAsia"/>
          <w:color w:val="auto"/>
        </w:rPr>
        <w:t>1、一般规定</w:t>
      </w:r>
    </w:p>
    <w:tbl>
      <w:tblPr>
        <w:tblStyle w:val="29"/>
        <w:tblW w:w="5000" w:type="pct"/>
        <w:tblInd w:w="0" w:type="dxa"/>
        <w:tblLayout w:type="fixed"/>
        <w:tblCellMar>
          <w:top w:w="0" w:type="dxa"/>
          <w:left w:w="108" w:type="dxa"/>
          <w:bottom w:w="0" w:type="dxa"/>
          <w:right w:w="108" w:type="dxa"/>
        </w:tblCellMar>
      </w:tblPr>
      <w:tblGrid>
        <w:gridCol w:w="688"/>
        <w:gridCol w:w="8372"/>
      </w:tblGrid>
      <w:tr w14:paraId="3EAA8D30">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D485674">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048C7763">
            <w:pPr>
              <w:spacing w:line="240" w:lineRule="auto"/>
              <w:ind w:firstLine="0" w:firstLineChars="0"/>
              <w:jc w:val="center"/>
              <w:rPr>
                <w:rFonts w:hint="eastAsia"/>
                <w:color w:val="auto"/>
                <w:sz w:val="21"/>
              </w:rPr>
            </w:pPr>
            <w:r>
              <w:rPr>
                <w:rFonts w:hint="eastAsia"/>
                <w:color w:val="auto"/>
                <w:sz w:val="21"/>
              </w:rPr>
              <w:t>具体内容</w:t>
            </w:r>
          </w:p>
        </w:tc>
      </w:tr>
      <w:tr w14:paraId="5AB95D6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CB112E5">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5976BB1B">
            <w:pPr>
              <w:spacing w:line="240" w:lineRule="auto"/>
              <w:ind w:firstLine="420"/>
              <w:jc w:val="left"/>
              <w:rPr>
                <w:rFonts w:hint="eastAsia"/>
                <w:color w:val="auto"/>
                <w:sz w:val="21"/>
              </w:rPr>
            </w:pPr>
            <w:r>
              <w:rPr>
                <w:rFonts w:hint="eastAsia"/>
                <w:color w:val="auto"/>
                <w:sz w:val="21"/>
              </w:rPr>
              <w:t>基坑工程现场勘查与环境调查应在已有勘察报告和基坑设计文件的基础上，根据工程条件及可能采用的施工方法、工艺，初步判定需要补充的岩土工程参数及周边条件。</w:t>
            </w:r>
          </w:p>
        </w:tc>
      </w:tr>
      <w:tr w14:paraId="1F286980">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28DE553">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0E05674D">
            <w:pPr>
              <w:spacing w:line="240" w:lineRule="auto"/>
              <w:ind w:firstLine="420"/>
              <w:jc w:val="left"/>
              <w:rPr>
                <w:rFonts w:hint="eastAsia"/>
                <w:color w:val="auto"/>
                <w:sz w:val="21"/>
              </w:rPr>
            </w:pPr>
            <w:r>
              <w:rPr>
                <w:rFonts w:hint="eastAsia"/>
                <w:color w:val="auto"/>
                <w:sz w:val="21"/>
              </w:rPr>
              <w:t>在现场勘查与环境调查之前应取得以下资料：</w:t>
            </w:r>
          </w:p>
          <w:p w14:paraId="1B735BCA">
            <w:pPr>
              <w:spacing w:line="240" w:lineRule="auto"/>
              <w:ind w:firstLine="420"/>
              <w:jc w:val="left"/>
              <w:rPr>
                <w:rFonts w:hint="eastAsia"/>
                <w:color w:val="auto"/>
                <w:sz w:val="21"/>
              </w:rPr>
            </w:pPr>
            <w:r>
              <w:rPr>
                <w:rFonts w:hint="eastAsia"/>
                <w:color w:val="auto"/>
                <w:sz w:val="21"/>
              </w:rPr>
              <w:t>1、工程勘察报告和基坑工程设计文件；</w:t>
            </w:r>
          </w:p>
          <w:p w14:paraId="6333DB3C">
            <w:pPr>
              <w:spacing w:line="240" w:lineRule="auto"/>
              <w:ind w:firstLine="420"/>
              <w:jc w:val="left"/>
              <w:rPr>
                <w:rFonts w:hint="eastAsia"/>
                <w:color w:val="auto"/>
                <w:sz w:val="21"/>
              </w:rPr>
            </w:pPr>
            <w:r>
              <w:rPr>
                <w:rFonts w:hint="eastAsia"/>
                <w:color w:val="auto"/>
                <w:sz w:val="21"/>
              </w:rPr>
              <w:t>2、附有坐标和周边已有建（构）筑物的总平面布置图；</w:t>
            </w:r>
          </w:p>
          <w:p w14:paraId="193F3BD4">
            <w:pPr>
              <w:spacing w:line="240" w:lineRule="auto"/>
              <w:ind w:firstLine="420"/>
              <w:jc w:val="left"/>
              <w:rPr>
                <w:rFonts w:hint="eastAsia"/>
                <w:color w:val="auto"/>
                <w:sz w:val="21"/>
              </w:rPr>
            </w:pPr>
            <w:r>
              <w:rPr>
                <w:rFonts w:hint="eastAsia"/>
                <w:color w:val="auto"/>
                <w:sz w:val="21"/>
              </w:rPr>
              <w:t>3、基坑及周边地下管线及其他地下构筑物、障碍物分布图；</w:t>
            </w:r>
          </w:p>
          <w:p w14:paraId="43AAD95B">
            <w:pPr>
              <w:spacing w:line="240" w:lineRule="auto"/>
              <w:ind w:firstLine="420"/>
              <w:jc w:val="left"/>
              <w:rPr>
                <w:rFonts w:hint="eastAsia"/>
                <w:color w:val="auto"/>
                <w:sz w:val="21"/>
              </w:rPr>
            </w:pPr>
            <w:r>
              <w:rPr>
                <w:rFonts w:hint="eastAsia"/>
                <w:color w:val="auto"/>
                <w:sz w:val="21"/>
              </w:rPr>
              <w:t>4、拟建建（构）筑物相对应的标高、结构类型、荷载情况、地下结构平面布置图；</w:t>
            </w:r>
          </w:p>
          <w:p w14:paraId="7D57A47E">
            <w:pPr>
              <w:spacing w:line="240" w:lineRule="auto"/>
              <w:ind w:firstLine="420"/>
              <w:jc w:val="left"/>
              <w:rPr>
                <w:rFonts w:hint="eastAsia"/>
                <w:color w:val="auto"/>
                <w:sz w:val="21"/>
              </w:rPr>
            </w:pPr>
            <w:r>
              <w:rPr>
                <w:rFonts w:hint="eastAsia"/>
                <w:color w:val="auto"/>
                <w:sz w:val="21"/>
              </w:rPr>
              <w:t>5、基坑平面尺寸及场地自然地面标高、坑底标高及其变化情况；</w:t>
            </w:r>
          </w:p>
          <w:p w14:paraId="4DD70311">
            <w:pPr>
              <w:spacing w:line="240" w:lineRule="auto"/>
              <w:ind w:firstLine="420"/>
              <w:jc w:val="left"/>
              <w:rPr>
                <w:rFonts w:hint="eastAsia"/>
                <w:color w:val="auto"/>
                <w:sz w:val="21"/>
              </w:rPr>
            </w:pPr>
            <w:r>
              <w:rPr>
                <w:rFonts w:hint="eastAsia"/>
                <w:color w:val="auto"/>
                <w:sz w:val="21"/>
              </w:rPr>
              <w:t>6、当地常用的降水方法和施工资料等。</w:t>
            </w:r>
          </w:p>
        </w:tc>
      </w:tr>
    </w:tbl>
    <w:p w14:paraId="2AEE8002">
      <w:pPr>
        <w:rPr>
          <w:rFonts w:hint="eastAsia"/>
          <w:color w:val="auto"/>
        </w:rPr>
      </w:pPr>
      <w:r>
        <w:rPr>
          <w:rFonts w:hint="eastAsia"/>
          <w:color w:val="auto"/>
        </w:rPr>
        <w:t>2、现场勘查及环境调查要求</w:t>
      </w:r>
    </w:p>
    <w:p w14:paraId="0295E476">
      <w:pPr>
        <w:rPr>
          <w:rFonts w:hint="eastAsia"/>
          <w:color w:val="auto"/>
        </w:rPr>
      </w:pPr>
      <w:r>
        <w:rPr>
          <w:rFonts w:hint="eastAsia"/>
          <w:color w:val="auto"/>
        </w:rPr>
        <w:t>（1）基坑周边环境调查应查明以下内容</w:t>
      </w:r>
    </w:p>
    <w:tbl>
      <w:tblPr>
        <w:tblStyle w:val="29"/>
        <w:tblW w:w="5000" w:type="pct"/>
        <w:tblInd w:w="0" w:type="dxa"/>
        <w:tblLayout w:type="fixed"/>
        <w:tblCellMar>
          <w:top w:w="0" w:type="dxa"/>
          <w:left w:w="108" w:type="dxa"/>
          <w:bottom w:w="0" w:type="dxa"/>
          <w:right w:w="108" w:type="dxa"/>
        </w:tblCellMar>
      </w:tblPr>
      <w:tblGrid>
        <w:gridCol w:w="688"/>
        <w:gridCol w:w="8372"/>
      </w:tblGrid>
      <w:tr w14:paraId="0C687D5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55C1273">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767D11D1">
            <w:pPr>
              <w:spacing w:line="240" w:lineRule="auto"/>
              <w:ind w:firstLine="0" w:firstLineChars="0"/>
              <w:jc w:val="center"/>
              <w:rPr>
                <w:rFonts w:hint="eastAsia"/>
                <w:color w:val="auto"/>
                <w:sz w:val="21"/>
              </w:rPr>
            </w:pPr>
            <w:r>
              <w:rPr>
                <w:rFonts w:hint="eastAsia"/>
                <w:color w:val="auto"/>
                <w:sz w:val="21"/>
              </w:rPr>
              <w:t>具体内容</w:t>
            </w:r>
          </w:p>
        </w:tc>
      </w:tr>
      <w:tr w14:paraId="6432C07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4B3529C">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470AAF42">
            <w:pPr>
              <w:spacing w:line="240" w:lineRule="auto"/>
              <w:ind w:firstLine="420"/>
              <w:jc w:val="left"/>
              <w:rPr>
                <w:rFonts w:hint="eastAsia"/>
                <w:color w:val="auto"/>
                <w:sz w:val="21"/>
              </w:rPr>
            </w:pPr>
            <w:r>
              <w:rPr>
                <w:rFonts w:hint="eastAsia"/>
                <w:color w:val="auto"/>
                <w:sz w:val="21"/>
              </w:rPr>
              <w:t>周围2-3倍基坑深度范围内建（构）筑物的高度、结构类型、基础型式、尺寸、埋深、地基处理情况和建成时间、沉降变形、损坏情况等使用现状。</w:t>
            </w:r>
          </w:p>
        </w:tc>
      </w:tr>
      <w:tr w14:paraId="18EE5B0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962398C">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594D4954">
            <w:pPr>
              <w:spacing w:line="240" w:lineRule="auto"/>
              <w:ind w:firstLine="420"/>
              <w:jc w:val="left"/>
              <w:rPr>
                <w:rFonts w:hint="eastAsia"/>
                <w:color w:val="auto"/>
                <w:sz w:val="21"/>
              </w:rPr>
            </w:pPr>
            <w:r>
              <w:rPr>
                <w:rFonts w:hint="eastAsia"/>
                <w:color w:val="auto"/>
                <w:sz w:val="21"/>
              </w:rPr>
              <w:t>周围2-3倍基坑深度范围内各类地下管线的类型、材质、分布、重要性、使用情况、对施工振动和变形的承受能力，地面和地下贮水、输水等用水设施的渗漏情况及其对基坑工程的影响程度。</w:t>
            </w:r>
          </w:p>
        </w:tc>
      </w:tr>
      <w:tr w14:paraId="5F9B514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08AE0EF">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3771E622">
            <w:pPr>
              <w:spacing w:line="240" w:lineRule="auto"/>
              <w:ind w:firstLine="420"/>
              <w:jc w:val="left"/>
              <w:rPr>
                <w:rFonts w:hint="eastAsia"/>
                <w:color w:val="auto"/>
                <w:sz w:val="21"/>
              </w:rPr>
            </w:pPr>
            <w:r>
              <w:rPr>
                <w:rFonts w:hint="eastAsia"/>
                <w:color w:val="auto"/>
                <w:sz w:val="21"/>
              </w:rPr>
              <w:t>对基坑及周围2-3倍基坑深度范围内存在的旧基础、人防工程、其他洞穴、地裂缝、河流水渠、人工填土、边坡等不良工程地质现象，应查明其空间分布特征和对基坑工程的影响。</w:t>
            </w:r>
          </w:p>
        </w:tc>
      </w:tr>
      <w:tr w14:paraId="2AE72130">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3F54E3C">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3A8F2B90">
            <w:pPr>
              <w:spacing w:line="240" w:lineRule="auto"/>
              <w:ind w:firstLine="420"/>
              <w:jc w:val="left"/>
              <w:rPr>
                <w:rFonts w:hint="eastAsia"/>
                <w:color w:val="auto"/>
                <w:sz w:val="21"/>
              </w:rPr>
            </w:pPr>
            <w:r>
              <w:rPr>
                <w:rFonts w:hint="eastAsia"/>
                <w:color w:val="auto"/>
                <w:sz w:val="21"/>
              </w:rPr>
              <w:t>基坑周边道路及运行车辆载重情况。</w:t>
            </w:r>
          </w:p>
        </w:tc>
      </w:tr>
      <w:tr w14:paraId="2032044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17630A2">
            <w:pPr>
              <w:spacing w:line="240" w:lineRule="auto"/>
              <w:ind w:firstLine="0" w:firstLineChars="0"/>
              <w:jc w:val="center"/>
              <w:rPr>
                <w:rFonts w:hint="eastAsia"/>
                <w:color w:val="auto"/>
                <w:sz w:val="21"/>
              </w:rPr>
            </w:pPr>
            <w:r>
              <w:rPr>
                <w:rFonts w:hint="eastAsia"/>
                <w:color w:val="auto"/>
                <w:sz w:val="21"/>
              </w:rPr>
              <w:t>5</w:t>
            </w:r>
          </w:p>
        </w:tc>
        <w:tc>
          <w:tcPr>
            <w:tcW w:w="7534" w:type="dxa"/>
            <w:tcBorders>
              <w:top w:val="single" w:color="auto" w:sz="4" w:space="0"/>
              <w:left w:val="nil"/>
              <w:bottom w:val="single" w:color="auto" w:sz="4" w:space="0"/>
              <w:right w:val="single" w:color="auto" w:sz="4" w:space="0"/>
            </w:tcBorders>
            <w:vAlign w:val="center"/>
          </w:tcPr>
          <w:p w14:paraId="794DF415">
            <w:pPr>
              <w:spacing w:line="240" w:lineRule="auto"/>
              <w:ind w:firstLine="420"/>
              <w:jc w:val="left"/>
              <w:rPr>
                <w:rFonts w:hint="eastAsia"/>
                <w:color w:val="auto"/>
                <w:sz w:val="21"/>
              </w:rPr>
            </w:pPr>
            <w:r>
              <w:rPr>
                <w:rFonts w:hint="eastAsia"/>
                <w:color w:val="auto"/>
                <w:sz w:val="21"/>
              </w:rPr>
              <w:t>基坑周边地表水的汇集和排泄情况。</w:t>
            </w:r>
          </w:p>
        </w:tc>
      </w:tr>
      <w:tr w14:paraId="12C84C20">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0CB6E33">
            <w:pPr>
              <w:spacing w:line="240" w:lineRule="auto"/>
              <w:ind w:firstLine="0" w:firstLineChars="0"/>
              <w:jc w:val="center"/>
              <w:rPr>
                <w:rFonts w:hint="eastAsia"/>
                <w:color w:val="auto"/>
                <w:sz w:val="21"/>
              </w:rPr>
            </w:pPr>
            <w:r>
              <w:rPr>
                <w:rFonts w:hint="eastAsia"/>
                <w:color w:val="auto"/>
                <w:sz w:val="21"/>
              </w:rPr>
              <w:t>6</w:t>
            </w:r>
          </w:p>
        </w:tc>
        <w:tc>
          <w:tcPr>
            <w:tcW w:w="7534" w:type="dxa"/>
            <w:tcBorders>
              <w:top w:val="single" w:color="auto" w:sz="4" w:space="0"/>
              <w:left w:val="nil"/>
              <w:bottom w:val="single" w:color="auto" w:sz="4" w:space="0"/>
              <w:right w:val="single" w:color="auto" w:sz="4" w:space="0"/>
            </w:tcBorders>
            <w:vAlign w:val="center"/>
          </w:tcPr>
          <w:p w14:paraId="6A6C0C1B">
            <w:pPr>
              <w:spacing w:line="240" w:lineRule="auto"/>
              <w:ind w:firstLine="420"/>
              <w:jc w:val="left"/>
              <w:rPr>
                <w:rFonts w:hint="eastAsia"/>
                <w:color w:val="auto"/>
                <w:sz w:val="21"/>
              </w:rPr>
            </w:pPr>
            <w:r>
              <w:rPr>
                <w:rFonts w:hint="eastAsia"/>
                <w:color w:val="auto"/>
                <w:sz w:val="21"/>
              </w:rPr>
              <w:t>基坑周边正在进行抽降地下水施工时，应查明降深、影响范围和可能的停抽时间，以及对基坑侧壁土性指标的影响。</w:t>
            </w:r>
          </w:p>
        </w:tc>
      </w:tr>
      <w:tr w14:paraId="3398352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1A898DD">
            <w:pPr>
              <w:spacing w:line="240" w:lineRule="auto"/>
              <w:ind w:firstLine="0" w:firstLineChars="0"/>
              <w:jc w:val="center"/>
              <w:rPr>
                <w:rFonts w:hint="eastAsia"/>
                <w:color w:val="auto"/>
                <w:sz w:val="21"/>
              </w:rPr>
            </w:pPr>
            <w:r>
              <w:rPr>
                <w:rFonts w:hint="eastAsia"/>
                <w:color w:val="auto"/>
                <w:sz w:val="21"/>
              </w:rPr>
              <w:t>7</w:t>
            </w:r>
          </w:p>
        </w:tc>
        <w:tc>
          <w:tcPr>
            <w:tcW w:w="7534" w:type="dxa"/>
            <w:tcBorders>
              <w:top w:val="single" w:color="auto" w:sz="4" w:space="0"/>
              <w:left w:val="nil"/>
              <w:bottom w:val="single" w:color="auto" w:sz="4" w:space="0"/>
              <w:right w:val="single" w:color="auto" w:sz="4" w:space="0"/>
            </w:tcBorders>
            <w:vAlign w:val="center"/>
          </w:tcPr>
          <w:p w14:paraId="1AEEDCF5">
            <w:pPr>
              <w:spacing w:line="240" w:lineRule="auto"/>
              <w:ind w:firstLine="420"/>
              <w:jc w:val="left"/>
              <w:rPr>
                <w:rFonts w:hint="eastAsia"/>
                <w:color w:val="auto"/>
                <w:sz w:val="21"/>
              </w:rPr>
            </w:pPr>
            <w:r>
              <w:rPr>
                <w:rFonts w:hint="eastAsia"/>
                <w:color w:val="auto"/>
                <w:sz w:val="21"/>
              </w:rPr>
              <w:t>基坑周边有振动荷载时，应查明其影响范围和程度。</w:t>
            </w:r>
          </w:p>
        </w:tc>
      </w:tr>
      <w:tr w14:paraId="00FF0FB1">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D404DBF">
            <w:pPr>
              <w:spacing w:line="240" w:lineRule="auto"/>
              <w:ind w:firstLine="0" w:firstLineChars="0"/>
              <w:jc w:val="center"/>
              <w:rPr>
                <w:rFonts w:hint="eastAsia"/>
                <w:color w:val="auto"/>
                <w:sz w:val="21"/>
              </w:rPr>
            </w:pPr>
            <w:r>
              <w:rPr>
                <w:rFonts w:hint="eastAsia"/>
                <w:color w:val="auto"/>
                <w:sz w:val="21"/>
              </w:rPr>
              <w:t>8</w:t>
            </w:r>
          </w:p>
        </w:tc>
        <w:tc>
          <w:tcPr>
            <w:tcW w:w="7534" w:type="dxa"/>
            <w:tcBorders>
              <w:top w:val="single" w:color="auto" w:sz="4" w:space="0"/>
              <w:left w:val="nil"/>
              <w:bottom w:val="single" w:color="auto" w:sz="4" w:space="0"/>
              <w:right w:val="single" w:color="auto" w:sz="4" w:space="0"/>
            </w:tcBorders>
            <w:vAlign w:val="center"/>
          </w:tcPr>
          <w:p w14:paraId="409BC773">
            <w:pPr>
              <w:spacing w:line="240" w:lineRule="auto"/>
              <w:ind w:firstLine="420"/>
              <w:jc w:val="left"/>
              <w:rPr>
                <w:rFonts w:hint="eastAsia"/>
                <w:color w:val="auto"/>
                <w:sz w:val="21"/>
              </w:rPr>
            </w:pPr>
            <w:r>
              <w:rPr>
                <w:rFonts w:hint="eastAsia"/>
                <w:color w:val="auto"/>
                <w:sz w:val="21"/>
              </w:rPr>
              <w:t>相邻已有基坑工程的支护方法、开挖和使用对本基坑工程安全的影响。</w:t>
            </w:r>
          </w:p>
        </w:tc>
      </w:tr>
      <w:tr w14:paraId="0E554C7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764C350">
            <w:pPr>
              <w:spacing w:line="240" w:lineRule="auto"/>
              <w:ind w:firstLine="0" w:firstLineChars="0"/>
              <w:jc w:val="center"/>
              <w:rPr>
                <w:rFonts w:hint="eastAsia"/>
                <w:color w:val="auto"/>
                <w:sz w:val="21"/>
              </w:rPr>
            </w:pPr>
            <w:r>
              <w:rPr>
                <w:rFonts w:hint="eastAsia"/>
                <w:color w:val="auto"/>
                <w:sz w:val="21"/>
              </w:rPr>
              <w:t>9</w:t>
            </w:r>
          </w:p>
        </w:tc>
        <w:tc>
          <w:tcPr>
            <w:tcW w:w="7534" w:type="dxa"/>
            <w:tcBorders>
              <w:top w:val="single" w:color="auto" w:sz="4" w:space="0"/>
              <w:left w:val="nil"/>
              <w:bottom w:val="single" w:color="auto" w:sz="4" w:space="0"/>
              <w:right w:val="single" w:color="auto" w:sz="4" w:space="0"/>
            </w:tcBorders>
            <w:vAlign w:val="center"/>
          </w:tcPr>
          <w:p w14:paraId="297D3063">
            <w:pPr>
              <w:spacing w:line="240" w:lineRule="auto"/>
              <w:ind w:firstLine="420"/>
              <w:jc w:val="left"/>
              <w:rPr>
                <w:rFonts w:hint="eastAsia"/>
                <w:color w:val="auto"/>
                <w:sz w:val="21"/>
              </w:rPr>
            </w:pPr>
            <w:r>
              <w:rPr>
                <w:rFonts w:hint="eastAsia"/>
                <w:color w:val="auto"/>
                <w:sz w:val="21"/>
              </w:rPr>
              <w:t>相邻工程施工作业对本基坑安全的影响。</w:t>
            </w:r>
          </w:p>
        </w:tc>
      </w:tr>
    </w:tbl>
    <w:p w14:paraId="089FE526">
      <w:pPr>
        <w:rPr>
          <w:rFonts w:hint="eastAsia"/>
          <w:color w:val="auto"/>
        </w:rPr>
      </w:pPr>
      <w:r>
        <w:rPr>
          <w:rFonts w:hint="eastAsia"/>
          <w:color w:val="auto"/>
        </w:rPr>
        <w:t>（2）对施工安全等级为一级、周边分布有地下管网的基坑工程应采用以物探为主、坑探为辅的勘查调查方法，查明地下管网的分布情况；对安全等级为二级的基坑工程应采用坑探方法予以查明。</w:t>
      </w:r>
    </w:p>
    <w:p w14:paraId="7C4FF3AF">
      <w:pPr>
        <w:rPr>
          <w:rFonts w:hint="eastAsia"/>
          <w:color w:val="auto"/>
        </w:rPr>
      </w:pPr>
      <w:r>
        <w:rPr>
          <w:rFonts w:hint="eastAsia"/>
          <w:color w:val="auto"/>
        </w:rPr>
        <w:t>（3）现场勘查的勘探点间距应根据地层复杂程度，结合原勘察报告和设计支护类型确定，宜为20m-35m，地层复杂时应加密勘探点。</w:t>
      </w:r>
    </w:p>
    <w:p w14:paraId="4E9F0CF9">
      <w:pPr>
        <w:rPr>
          <w:rFonts w:hint="eastAsia"/>
          <w:color w:val="auto"/>
        </w:rPr>
      </w:pPr>
      <w:r>
        <w:rPr>
          <w:rFonts w:hint="eastAsia"/>
          <w:color w:val="auto"/>
        </w:rPr>
        <w:t>（4）勘探深度应根据支护结构设计深度和降水井设计深度确定；当开挖深度范围内遇到岩石时，可根据岩石类别和支护要求适当减少勘查深度。</w:t>
      </w:r>
    </w:p>
    <w:p w14:paraId="4812787E">
      <w:pPr>
        <w:rPr>
          <w:rFonts w:hint="eastAsia"/>
          <w:color w:val="auto"/>
        </w:rPr>
      </w:pPr>
      <w:r>
        <w:rPr>
          <w:rFonts w:hint="eastAsia"/>
          <w:color w:val="auto"/>
        </w:rPr>
        <w:t>（5）勘探孔及探井施工结束后，应及时回填密实，回填质量应满足相关规定。</w:t>
      </w:r>
    </w:p>
    <w:p w14:paraId="284A90EC">
      <w:pPr>
        <w:rPr>
          <w:rFonts w:hint="eastAsia"/>
          <w:color w:val="auto"/>
        </w:rPr>
      </w:pPr>
      <w:r>
        <w:rPr>
          <w:rFonts w:hint="eastAsia"/>
          <w:color w:val="auto"/>
        </w:rPr>
        <w:t>（6）当支护土层存在大于2m的填土时，应通过实验提供填土的重度和抗剪强度实验结果。</w:t>
      </w:r>
    </w:p>
    <w:p w14:paraId="6B8FB31B">
      <w:pPr>
        <w:rPr>
          <w:rFonts w:hint="eastAsia"/>
          <w:color w:val="auto"/>
        </w:rPr>
      </w:pPr>
      <w:r>
        <w:rPr>
          <w:rFonts w:hint="eastAsia"/>
          <w:color w:val="auto"/>
        </w:rPr>
        <w:t>（7）基坑工程勘查与环境调查中的安全防护应按现行国家标准《岩土工程勘察安全规范》（GB50585-2019）的有关规定执行。</w:t>
      </w:r>
    </w:p>
    <w:p w14:paraId="121B1E56">
      <w:pPr>
        <w:rPr>
          <w:rFonts w:hint="eastAsia"/>
          <w:color w:val="auto"/>
        </w:rPr>
      </w:pPr>
      <w:r>
        <w:rPr>
          <w:rFonts w:hint="eastAsia"/>
          <w:color w:val="auto"/>
        </w:rPr>
        <w:t>3、现场勘查与环境调查成果</w:t>
      </w:r>
    </w:p>
    <w:tbl>
      <w:tblPr>
        <w:tblStyle w:val="29"/>
        <w:tblW w:w="5000" w:type="pct"/>
        <w:tblInd w:w="0" w:type="dxa"/>
        <w:tblLayout w:type="fixed"/>
        <w:tblCellMar>
          <w:top w:w="0" w:type="dxa"/>
          <w:left w:w="108" w:type="dxa"/>
          <w:bottom w:w="0" w:type="dxa"/>
          <w:right w:w="108" w:type="dxa"/>
        </w:tblCellMar>
      </w:tblPr>
      <w:tblGrid>
        <w:gridCol w:w="685"/>
        <w:gridCol w:w="1539"/>
        <w:gridCol w:w="6836"/>
      </w:tblGrid>
      <w:tr w14:paraId="1F183681">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52BBBF51">
            <w:pPr>
              <w:spacing w:line="240" w:lineRule="auto"/>
              <w:ind w:firstLine="0" w:firstLineChars="0"/>
              <w:jc w:val="center"/>
              <w:rPr>
                <w:rFonts w:hint="eastAsia"/>
                <w:color w:val="auto"/>
                <w:sz w:val="21"/>
              </w:rPr>
            </w:pPr>
            <w:r>
              <w:rPr>
                <w:rFonts w:hint="eastAsia"/>
                <w:color w:val="auto"/>
                <w:sz w:val="21"/>
              </w:rPr>
              <w:t>序号</w:t>
            </w:r>
          </w:p>
        </w:tc>
        <w:tc>
          <w:tcPr>
            <w:tcW w:w="1385" w:type="dxa"/>
            <w:tcBorders>
              <w:top w:val="single" w:color="auto" w:sz="4" w:space="0"/>
              <w:left w:val="nil"/>
              <w:bottom w:val="single" w:color="auto" w:sz="4" w:space="0"/>
              <w:right w:val="single" w:color="auto" w:sz="4" w:space="0"/>
            </w:tcBorders>
            <w:vAlign w:val="center"/>
          </w:tcPr>
          <w:p w14:paraId="5A08FCCF">
            <w:pPr>
              <w:spacing w:line="240" w:lineRule="auto"/>
              <w:ind w:firstLine="0" w:firstLineChars="0"/>
              <w:jc w:val="center"/>
              <w:rPr>
                <w:rFonts w:hint="eastAsia"/>
                <w:color w:val="auto"/>
                <w:sz w:val="21"/>
              </w:rPr>
            </w:pPr>
            <w:r>
              <w:rPr>
                <w:rFonts w:hint="eastAsia"/>
                <w:color w:val="auto"/>
                <w:sz w:val="21"/>
              </w:rPr>
              <w:t>类别</w:t>
            </w:r>
          </w:p>
        </w:tc>
        <w:tc>
          <w:tcPr>
            <w:tcW w:w="6151" w:type="dxa"/>
            <w:tcBorders>
              <w:top w:val="single" w:color="auto" w:sz="4" w:space="0"/>
              <w:left w:val="nil"/>
              <w:bottom w:val="single" w:color="auto" w:sz="4" w:space="0"/>
              <w:right w:val="single" w:color="auto" w:sz="4" w:space="0"/>
            </w:tcBorders>
            <w:vAlign w:val="center"/>
          </w:tcPr>
          <w:p w14:paraId="7439F7E3">
            <w:pPr>
              <w:spacing w:line="240" w:lineRule="auto"/>
              <w:ind w:firstLine="0" w:firstLineChars="0"/>
              <w:jc w:val="center"/>
              <w:rPr>
                <w:rFonts w:hint="eastAsia"/>
                <w:color w:val="auto"/>
                <w:sz w:val="21"/>
              </w:rPr>
            </w:pPr>
            <w:r>
              <w:rPr>
                <w:rFonts w:hint="eastAsia"/>
                <w:color w:val="auto"/>
                <w:sz w:val="21"/>
              </w:rPr>
              <w:t>主要内容</w:t>
            </w:r>
          </w:p>
        </w:tc>
      </w:tr>
      <w:tr w14:paraId="515DF874">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35EAD861">
            <w:pPr>
              <w:spacing w:line="240" w:lineRule="auto"/>
              <w:ind w:firstLine="0" w:firstLineChars="0"/>
              <w:jc w:val="center"/>
              <w:rPr>
                <w:rFonts w:hint="eastAsia"/>
                <w:color w:val="auto"/>
                <w:sz w:val="21"/>
              </w:rPr>
            </w:pPr>
            <w:r>
              <w:rPr>
                <w:rFonts w:hint="eastAsia"/>
                <w:color w:val="auto"/>
                <w:sz w:val="21"/>
              </w:rPr>
              <w:t>1</w:t>
            </w:r>
          </w:p>
        </w:tc>
        <w:tc>
          <w:tcPr>
            <w:tcW w:w="1385" w:type="dxa"/>
            <w:vMerge w:val="restart"/>
            <w:tcBorders>
              <w:top w:val="nil"/>
              <w:left w:val="nil"/>
              <w:bottom w:val="single" w:color="auto" w:sz="4" w:space="0"/>
              <w:right w:val="single" w:color="auto" w:sz="4" w:space="0"/>
            </w:tcBorders>
            <w:vAlign w:val="center"/>
          </w:tcPr>
          <w:p w14:paraId="7D13AD35">
            <w:pPr>
              <w:spacing w:line="240" w:lineRule="auto"/>
              <w:ind w:firstLine="0" w:firstLineChars="0"/>
              <w:jc w:val="center"/>
              <w:rPr>
                <w:rFonts w:hint="eastAsia"/>
                <w:color w:val="auto"/>
                <w:sz w:val="21"/>
              </w:rPr>
            </w:pPr>
            <w:r>
              <w:rPr>
                <w:rFonts w:hint="eastAsia"/>
                <w:color w:val="auto"/>
                <w:sz w:val="21"/>
              </w:rPr>
              <w:t>现场勘查与环境调查报告</w:t>
            </w:r>
          </w:p>
        </w:tc>
        <w:tc>
          <w:tcPr>
            <w:tcW w:w="6151" w:type="dxa"/>
            <w:tcBorders>
              <w:top w:val="single" w:color="auto" w:sz="4" w:space="0"/>
              <w:left w:val="nil"/>
              <w:bottom w:val="single" w:color="auto" w:sz="4" w:space="0"/>
              <w:right w:val="single" w:color="auto" w:sz="4" w:space="0"/>
            </w:tcBorders>
            <w:vAlign w:val="center"/>
          </w:tcPr>
          <w:p w14:paraId="10551E1D">
            <w:pPr>
              <w:spacing w:line="240" w:lineRule="auto"/>
              <w:ind w:firstLine="420"/>
              <w:jc w:val="left"/>
              <w:rPr>
                <w:rFonts w:hint="eastAsia"/>
                <w:color w:val="auto"/>
                <w:sz w:val="21"/>
              </w:rPr>
            </w:pPr>
            <w:r>
              <w:rPr>
                <w:rFonts w:hint="eastAsia"/>
                <w:color w:val="auto"/>
                <w:sz w:val="21"/>
              </w:rPr>
              <w:t>勘查与环境调查目的、方法。</w:t>
            </w:r>
          </w:p>
        </w:tc>
      </w:tr>
      <w:tr w14:paraId="6F38CFA2">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2446CFA8">
            <w:pPr>
              <w:spacing w:line="240" w:lineRule="auto"/>
              <w:ind w:firstLine="0" w:firstLineChars="0"/>
              <w:jc w:val="center"/>
              <w:rPr>
                <w:rFonts w:hint="eastAsia"/>
                <w:color w:val="auto"/>
                <w:sz w:val="21"/>
              </w:rPr>
            </w:pPr>
            <w:r>
              <w:rPr>
                <w:rFonts w:hint="eastAsia"/>
                <w:color w:val="auto"/>
                <w:sz w:val="21"/>
              </w:rPr>
              <w:t>2</w:t>
            </w:r>
          </w:p>
        </w:tc>
        <w:tc>
          <w:tcPr>
            <w:tcW w:w="1385" w:type="dxa"/>
            <w:vMerge w:val="continue"/>
            <w:tcBorders>
              <w:top w:val="nil"/>
              <w:left w:val="nil"/>
              <w:bottom w:val="single" w:color="auto" w:sz="4" w:space="0"/>
              <w:right w:val="single" w:color="auto" w:sz="4" w:space="0"/>
            </w:tcBorders>
            <w:vAlign w:val="center"/>
          </w:tcPr>
          <w:p w14:paraId="76B5A8EB">
            <w:pPr>
              <w:spacing w:line="240" w:lineRule="auto"/>
              <w:ind w:firstLine="0" w:firstLineChars="0"/>
              <w:jc w:val="center"/>
              <w:rPr>
                <w:color w:val="auto"/>
                <w:sz w:val="21"/>
              </w:rPr>
            </w:pPr>
          </w:p>
        </w:tc>
        <w:tc>
          <w:tcPr>
            <w:tcW w:w="6151" w:type="dxa"/>
            <w:tcBorders>
              <w:top w:val="single" w:color="auto" w:sz="4" w:space="0"/>
              <w:left w:val="nil"/>
              <w:bottom w:val="single" w:color="auto" w:sz="4" w:space="0"/>
              <w:right w:val="single" w:color="auto" w:sz="4" w:space="0"/>
            </w:tcBorders>
            <w:vAlign w:val="center"/>
          </w:tcPr>
          <w:p w14:paraId="654D706F">
            <w:pPr>
              <w:spacing w:line="240" w:lineRule="auto"/>
              <w:ind w:firstLine="420"/>
              <w:jc w:val="left"/>
              <w:rPr>
                <w:rFonts w:hint="eastAsia"/>
                <w:color w:val="auto"/>
                <w:sz w:val="21"/>
              </w:rPr>
            </w:pPr>
            <w:r>
              <w:rPr>
                <w:rFonts w:hint="eastAsia"/>
                <w:color w:val="auto"/>
                <w:sz w:val="21"/>
              </w:rPr>
              <w:t>拟采用的支护结构设计类型、基坑平面尺寸及深度。</w:t>
            </w:r>
          </w:p>
        </w:tc>
      </w:tr>
      <w:tr w14:paraId="44CCA732">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18DCF416">
            <w:pPr>
              <w:spacing w:line="240" w:lineRule="auto"/>
              <w:ind w:firstLine="0" w:firstLineChars="0"/>
              <w:jc w:val="center"/>
              <w:rPr>
                <w:rFonts w:hint="eastAsia"/>
                <w:color w:val="auto"/>
                <w:sz w:val="21"/>
              </w:rPr>
            </w:pPr>
            <w:r>
              <w:rPr>
                <w:rFonts w:hint="eastAsia"/>
                <w:color w:val="auto"/>
                <w:sz w:val="21"/>
              </w:rPr>
              <w:t>3</w:t>
            </w:r>
          </w:p>
        </w:tc>
        <w:tc>
          <w:tcPr>
            <w:tcW w:w="1385" w:type="dxa"/>
            <w:vMerge w:val="continue"/>
            <w:tcBorders>
              <w:top w:val="nil"/>
              <w:left w:val="nil"/>
              <w:bottom w:val="single" w:color="auto" w:sz="4" w:space="0"/>
              <w:right w:val="single" w:color="auto" w:sz="4" w:space="0"/>
            </w:tcBorders>
            <w:vAlign w:val="center"/>
          </w:tcPr>
          <w:p w14:paraId="28C391B7">
            <w:pPr>
              <w:spacing w:line="240" w:lineRule="auto"/>
              <w:ind w:firstLine="0" w:firstLineChars="0"/>
              <w:jc w:val="center"/>
              <w:rPr>
                <w:color w:val="auto"/>
                <w:sz w:val="21"/>
              </w:rPr>
            </w:pPr>
          </w:p>
        </w:tc>
        <w:tc>
          <w:tcPr>
            <w:tcW w:w="6151" w:type="dxa"/>
            <w:tcBorders>
              <w:top w:val="single" w:color="auto" w:sz="4" w:space="0"/>
              <w:left w:val="nil"/>
              <w:bottom w:val="single" w:color="auto" w:sz="4" w:space="0"/>
              <w:right w:val="single" w:color="auto" w:sz="4" w:space="0"/>
            </w:tcBorders>
            <w:vAlign w:val="center"/>
          </w:tcPr>
          <w:p w14:paraId="6EA856B0">
            <w:pPr>
              <w:spacing w:line="240" w:lineRule="auto"/>
              <w:ind w:firstLine="420"/>
              <w:jc w:val="left"/>
              <w:rPr>
                <w:rFonts w:hint="eastAsia"/>
                <w:color w:val="auto"/>
                <w:sz w:val="21"/>
              </w:rPr>
            </w:pPr>
            <w:r>
              <w:rPr>
                <w:rFonts w:hint="eastAsia"/>
                <w:color w:val="auto"/>
                <w:sz w:val="21"/>
              </w:rPr>
              <w:t>调查方法、实验方法、检测方法及调查结果与结论。</w:t>
            </w:r>
          </w:p>
        </w:tc>
      </w:tr>
      <w:tr w14:paraId="73C9F12E">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7B0DEF99">
            <w:pPr>
              <w:spacing w:line="240" w:lineRule="auto"/>
              <w:ind w:firstLine="0" w:firstLineChars="0"/>
              <w:jc w:val="center"/>
              <w:rPr>
                <w:rFonts w:hint="eastAsia"/>
                <w:color w:val="auto"/>
                <w:sz w:val="21"/>
              </w:rPr>
            </w:pPr>
            <w:r>
              <w:rPr>
                <w:rFonts w:hint="eastAsia"/>
                <w:color w:val="auto"/>
                <w:sz w:val="21"/>
              </w:rPr>
              <w:t>4</w:t>
            </w:r>
          </w:p>
        </w:tc>
        <w:tc>
          <w:tcPr>
            <w:tcW w:w="1385" w:type="dxa"/>
            <w:vMerge w:val="restart"/>
            <w:tcBorders>
              <w:top w:val="nil"/>
              <w:left w:val="nil"/>
              <w:bottom w:val="single" w:color="auto" w:sz="4" w:space="0"/>
              <w:right w:val="single" w:color="auto" w:sz="4" w:space="0"/>
            </w:tcBorders>
            <w:vAlign w:val="center"/>
          </w:tcPr>
          <w:p w14:paraId="0864B92E">
            <w:pPr>
              <w:spacing w:line="240" w:lineRule="auto"/>
              <w:ind w:firstLine="0" w:firstLineChars="0"/>
              <w:jc w:val="center"/>
              <w:rPr>
                <w:rFonts w:hint="eastAsia"/>
                <w:color w:val="auto"/>
                <w:sz w:val="21"/>
              </w:rPr>
            </w:pPr>
            <w:r>
              <w:rPr>
                <w:rFonts w:hint="eastAsia"/>
                <w:color w:val="auto"/>
                <w:sz w:val="21"/>
              </w:rPr>
              <w:t>现场勘查与环境调查报告</w:t>
            </w:r>
          </w:p>
        </w:tc>
        <w:tc>
          <w:tcPr>
            <w:tcW w:w="6151" w:type="dxa"/>
            <w:tcBorders>
              <w:top w:val="single" w:color="auto" w:sz="4" w:space="0"/>
              <w:left w:val="nil"/>
              <w:bottom w:val="single" w:color="auto" w:sz="4" w:space="0"/>
              <w:right w:val="single" w:color="auto" w:sz="4" w:space="0"/>
            </w:tcBorders>
            <w:vAlign w:val="center"/>
          </w:tcPr>
          <w:p w14:paraId="2101CCEA">
            <w:pPr>
              <w:spacing w:line="240" w:lineRule="auto"/>
              <w:ind w:firstLine="420"/>
              <w:jc w:val="left"/>
              <w:rPr>
                <w:rFonts w:hint="eastAsia"/>
                <w:color w:val="auto"/>
                <w:sz w:val="21"/>
              </w:rPr>
            </w:pPr>
            <w:r>
              <w:rPr>
                <w:rFonts w:hint="eastAsia"/>
                <w:color w:val="auto"/>
                <w:sz w:val="21"/>
              </w:rPr>
              <w:t>现场勘查与环境调查平面布置图，平面布置图应包括：</w:t>
            </w:r>
          </w:p>
          <w:p w14:paraId="3093A7AC">
            <w:pPr>
              <w:spacing w:line="240" w:lineRule="auto"/>
              <w:ind w:firstLine="420"/>
              <w:jc w:val="left"/>
              <w:rPr>
                <w:rFonts w:hint="eastAsia"/>
                <w:color w:val="auto"/>
                <w:sz w:val="21"/>
              </w:rPr>
            </w:pPr>
            <w:r>
              <w:rPr>
                <w:rFonts w:hint="eastAsia"/>
                <w:color w:val="auto"/>
                <w:sz w:val="21"/>
              </w:rPr>
              <w:t>1、勘查点（含原勘察报告的勘探点）平面位置图；</w:t>
            </w:r>
          </w:p>
          <w:p w14:paraId="6036C46B">
            <w:pPr>
              <w:spacing w:line="240" w:lineRule="auto"/>
              <w:ind w:firstLine="420"/>
              <w:jc w:val="left"/>
              <w:rPr>
                <w:rFonts w:hint="eastAsia"/>
                <w:color w:val="auto"/>
                <w:sz w:val="21"/>
              </w:rPr>
            </w:pPr>
            <w:r>
              <w:rPr>
                <w:rFonts w:hint="eastAsia"/>
                <w:color w:val="auto"/>
                <w:sz w:val="21"/>
              </w:rPr>
              <w:t>2、拟建建（构）筑物轮廓线和周围已有建（构）筑物荷载、基础类型、埋深、地基处理深度等；</w:t>
            </w:r>
          </w:p>
          <w:p w14:paraId="596AA9BD">
            <w:pPr>
              <w:spacing w:line="240" w:lineRule="auto"/>
              <w:ind w:firstLine="420"/>
              <w:jc w:val="left"/>
              <w:rPr>
                <w:rFonts w:hint="eastAsia"/>
                <w:color w:val="auto"/>
                <w:sz w:val="21"/>
              </w:rPr>
            </w:pPr>
            <w:r>
              <w:rPr>
                <w:rFonts w:hint="eastAsia"/>
                <w:color w:val="auto"/>
                <w:sz w:val="21"/>
              </w:rPr>
              <w:t>3、相关地下管线的分布、埋深及分布情况；</w:t>
            </w:r>
          </w:p>
          <w:p w14:paraId="61D6192B">
            <w:pPr>
              <w:spacing w:line="240" w:lineRule="auto"/>
              <w:ind w:firstLine="420"/>
              <w:jc w:val="left"/>
              <w:rPr>
                <w:rFonts w:hint="eastAsia"/>
                <w:color w:val="auto"/>
                <w:sz w:val="21"/>
              </w:rPr>
            </w:pPr>
            <w:r>
              <w:rPr>
                <w:rFonts w:hint="eastAsia"/>
                <w:color w:val="auto"/>
                <w:sz w:val="21"/>
              </w:rPr>
              <w:t>周边道路的分布及动荷载情况。</w:t>
            </w:r>
          </w:p>
        </w:tc>
      </w:tr>
      <w:tr w14:paraId="48E64019">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5440E791">
            <w:pPr>
              <w:spacing w:line="240" w:lineRule="auto"/>
              <w:ind w:firstLine="0" w:firstLineChars="0"/>
              <w:jc w:val="center"/>
              <w:rPr>
                <w:rFonts w:hint="eastAsia"/>
                <w:color w:val="auto"/>
                <w:sz w:val="21"/>
              </w:rPr>
            </w:pPr>
            <w:r>
              <w:rPr>
                <w:rFonts w:hint="eastAsia"/>
                <w:color w:val="auto"/>
                <w:sz w:val="21"/>
              </w:rPr>
              <w:t>5</w:t>
            </w:r>
          </w:p>
        </w:tc>
        <w:tc>
          <w:tcPr>
            <w:tcW w:w="1385" w:type="dxa"/>
            <w:vMerge w:val="continue"/>
            <w:tcBorders>
              <w:top w:val="nil"/>
              <w:left w:val="nil"/>
              <w:bottom w:val="single" w:color="auto" w:sz="4" w:space="0"/>
              <w:right w:val="single" w:color="auto" w:sz="4" w:space="0"/>
            </w:tcBorders>
            <w:vAlign w:val="center"/>
          </w:tcPr>
          <w:p w14:paraId="0A4723C1">
            <w:pPr>
              <w:spacing w:line="240" w:lineRule="auto"/>
              <w:ind w:firstLine="0" w:firstLineChars="0"/>
              <w:jc w:val="center"/>
              <w:rPr>
                <w:color w:val="auto"/>
                <w:sz w:val="21"/>
              </w:rPr>
            </w:pPr>
          </w:p>
        </w:tc>
        <w:tc>
          <w:tcPr>
            <w:tcW w:w="6151" w:type="dxa"/>
            <w:tcBorders>
              <w:top w:val="single" w:color="auto" w:sz="4" w:space="0"/>
              <w:left w:val="nil"/>
              <w:bottom w:val="single" w:color="auto" w:sz="4" w:space="0"/>
              <w:right w:val="single" w:color="auto" w:sz="4" w:space="0"/>
            </w:tcBorders>
            <w:vAlign w:val="center"/>
          </w:tcPr>
          <w:p w14:paraId="483628EC">
            <w:pPr>
              <w:spacing w:line="240" w:lineRule="auto"/>
              <w:ind w:firstLine="420"/>
              <w:jc w:val="left"/>
              <w:rPr>
                <w:rFonts w:hint="eastAsia"/>
                <w:color w:val="auto"/>
                <w:sz w:val="21"/>
              </w:rPr>
            </w:pPr>
            <w:r>
              <w:rPr>
                <w:rFonts w:hint="eastAsia"/>
                <w:color w:val="auto"/>
                <w:sz w:val="21"/>
              </w:rPr>
              <w:t>沿基坑边线的工程地质剖面图和垂直基坑边线的工程地质剖面图。</w:t>
            </w:r>
          </w:p>
        </w:tc>
      </w:tr>
      <w:tr w14:paraId="3FBB7B7A">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2BE0CEBA">
            <w:pPr>
              <w:spacing w:line="240" w:lineRule="auto"/>
              <w:ind w:firstLine="0" w:firstLineChars="0"/>
              <w:jc w:val="center"/>
              <w:rPr>
                <w:rFonts w:hint="eastAsia"/>
                <w:color w:val="auto"/>
                <w:sz w:val="21"/>
              </w:rPr>
            </w:pPr>
            <w:r>
              <w:rPr>
                <w:rFonts w:hint="eastAsia"/>
                <w:color w:val="auto"/>
                <w:sz w:val="21"/>
              </w:rPr>
              <w:t>6</w:t>
            </w:r>
          </w:p>
        </w:tc>
        <w:tc>
          <w:tcPr>
            <w:tcW w:w="1385" w:type="dxa"/>
            <w:vMerge w:val="continue"/>
            <w:tcBorders>
              <w:top w:val="nil"/>
              <w:left w:val="nil"/>
              <w:bottom w:val="single" w:color="auto" w:sz="4" w:space="0"/>
              <w:right w:val="single" w:color="auto" w:sz="4" w:space="0"/>
            </w:tcBorders>
            <w:vAlign w:val="center"/>
          </w:tcPr>
          <w:p w14:paraId="4FDBB057">
            <w:pPr>
              <w:spacing w:line="240" w:lineRule="auto"/>
              <w:ind w:firstLine="0" w:firstLineChars="0"/>
              <w:jc w:val="center"/>
              <w:rPr>
                <w:color w:val="auto"/>
                <w:sz w:val="21"/>
              </w:rPr>
            </w:pPr>
          </w:p>
        </w:tc>
        <w:tc>
          <w:tcPr>
            <w:tcW w:w="6151" w:type="dxa"/>
            <w:tcBorders>
              <w:top w:val="single" w:color="auto" w:sz="4" w:space="0"/>
              <w:left w:val="nil"/>
              <w:bottom w:val="single" w:color="auto" w:sz="4" w:space="0"/>
              <w:right w:val="single" w:color="auto" w:sz="4" w:space="0"/>
            </w:tcBorders>
            <w:vAlign w:val="center"/>
          </w:tcPr>
          <w:p w14:paraId="3D06725B">
            <w:pPr>
              <w:spacing w:line="240" w:lineRule="auto"/>
              <w:ind w:firstLine="420"/>
              <w:jc w:val="left"/>
              <w:rPr>
                <w:rFonts w:hint="eastAsia"/>
                <w:color w:val="auto"/>
                <w:sz w:val="21"/>
              </w:rPr>
            </w:pPr>
            <w:r>
              <w:rPr>
                <w:rFonts w:hint="eastAsia"/>
                <w:color w:val="auto"/>
                <w:sz w:val="21"/>
              </w:rPr>
              <w:t>室内试验和原位测试成果有关图表。</w:t>
            </w:r>
          </w:p>
        </w:tc>
      </w:tr>
      <w:tr w14:paraId="345C7A02">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17280050">
            <w:pPr>
              <w:spacing w:line="240" w:lineRule="auto"/>
              <w:ind w:firstLine="0" w:firstLineChars="0"/>
              <w:jc w:val="center"/>
              <w:rPr>
                <w:rFonts w:hint="eastAsia"/>
                <w:color w:val="auto"/>
                <w:sz w:val="21"/>
              </w:rPr>
            </w:pPr>
            <w:r>
              <w:rPr>
                <w:rFonts w:hint="eastAsia"/>
                <w:color w:val="auto"/>
                <w:sz w:val="21"/>
              </w:rPr>
              <w:t>7</w:t>
            </w:r>
          </w:p>
        </w:tc>
        <w:tc>
          <w:tcPr>
            <w:tcW w:w="1385" w:type="dxa"/>
            <w:vMerge w:val="continue"/>
            <w:tcBorders>
              <w:top w:val="nil"/>
              <w:left w:val="nil"/>
              <w:bottom w:val="single" w:color="auto" w:sz="4" w:space="0"/>
              <w:right w:val="single" w:color="auto" w:sz="4" w:space="0"/>
            </w:tcBorders>
            <w:vAlign w:val="center"/>
          </w:tcPr>
          <w:p w14:paraId="08EF004E">
            <w:pPr>
              <w:spacing w:line="240" w:lineRule="auto"/>
              <w:ind w:firstLine="0" w:firstLineChars="0"/>
              <w:jc w:val="center"/>
              <w:rPr>
                <w:color w:val="auto"/>
                <w:sz w:val="21"/>
              </w:rPr>
            </w:pPr>
          </w:p>
        </w:tc>
        <w:tc>
          <w:tcPr>
            <w:tcW w:w="6151" w:type="dxa"/>
            <w:tcBorders>
              <w:top w:val="single" w:color="auto" w:sz="4" w:space="0"/>
              <w:left w:val="nil"/>
              <w:bottom w:val="single" w:color="auto" w:sz="4" w:space="0"/>
              <w:right w:val="single" w:color="auto" w:sz="4" w:space="0"/>
            </w:tcBorders>
            <w:vAlign w:val="center"/>
          </w:tcPr>
          <w:p w14:paraId="39B690B0">
            <w:pPr>
              <w:spacing w:line="240" w:lineRule="auto"/>
              <w:ind w:firstLine="420"/>
              <w:jc w:val="left"/>
              <w:rPr>
                <w:rFonts w:hint="eastAsia"/>
                <w:color w:val="auto"/>
                <w:sz w:val="21"/>
              </w:rPr>
            </w:pPr>
            <w:r>
              <w:rPr>
                <w:rFonts w:hint="eastAsia"/>
                <w:color w:val="auto"/>
                <w:sz w:val="21"/>
              </w:rPr>
              <w:t>必要的地层层面等值线图。</w:t>
            </w:r>
          </w:p>
        </w:tc>
      </w:tr>
      <w:tr w14:paraId="7098772E">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1A854C67">
            <w:pPr>
              <w:spacing w:line="240" w:lineRule="auto"/>
              <w:ind w:firstLine="0" w:firstLineChars="0"/>
              <w:jc w:val="center"/>
              <w:rPr>
                <w:rFonts w:hint="eastAsia"/>
                <w:color w:val="auto"/>
                <w:sz w:val="21"/>
              </w:rPr>
            </w:pPr>
            <w:r>
              <w:rPr>
                <w:rFonts w:hint="eastAsia"/>
                <w:color w:val="auto"/>
                <w:sz w:val="21"/>
              </w:rPr>
              <w:t>8</w:t>
            </w:r>
          </w:p>
        </w:tc>
        <w:tc>
          <w:tcPr>
            <w:tcW w:w="1385" w:type="dxa"/>
            <w:vMerge w:val="continue"/>
            <w:tcBorders>
              <w:top w:val="nil"/>
              <w:left w:val="nil"/>
              <w:bottom w:val="single" w:color="auto" w:sz="4" w:space="0"/>
              <w:right w:val="single" w:color="auto" w:sz="4" w:space="0"/>
            </w:tcBorders>
            <w:vAlign w:val="center"/>
          </w:tcPr>
          <w:p w14:paraId="71D3C376">
            <w:pPr>
              <w:spacing w:line="240" w:lineRule="auto"/>
              <w:ind w:firstLine="0" w:firstLineChars="0"/>
              <w:jc w:val="center"/>
              <w:rPr>
                <w:color w:val="auto"/>
                <w:sz w:val="21"/>
              </w:rPr>
            </w:pPr>
          </w:p>
        </w:tc>
        <w:tc>
          <w:tcPr>
            <w:tcW w:w="6151" w:type="dxa"/>
            <w:tcBorders>
              <w:top w:val="single" w:color="auto" w:sz="4" w:space="0"/>
              <w:left w:val="nil"/>
              <w:bottom w:val="single" w:color="auto" w:sz="4" w:space="0"/>
              <w:right w:val="single" w:color="auto" w:sz="4" w:space="0"/>
            </w:tcBorders>
            <w:vAlign w:val="center"/>
          </w:tcPr>
          <w:p w14:paraId="484F7272">
            <w:pPr>
              <w:spacing w:line="240" w:lineRule="auto"/>
              <w:ind w:firstLine="420"/>
              <w:jc w:val="left"/>
              <w:rPr>
                <w:rFonts w:hint="eastAsia"/>
                <w:color w:val="auto"/>
                <w:sz w:val="21"/>
              </w:rPr>
            </w:pPr>
            <w:r>
              <w:rPr>
                <w:rFonts w:hint="eastAsia"/>
                <w:color w:val="auto"/>
                <w:sz w:val="21"/>
              </w:rPr>
              <w:t>现场勘查与环境调查报告应明确载明引用原有《岩土工程勘察》报告的内容及核查变化情况，对设计文件的修改意见和建议，以及基坑工程施工和使用过程中的注意事项。</w:t>
            </w:r>
          </w:p>
        </w:tc>
      </w:tr>
    </w:tbl>
    <w:p w14:paraId="32F55899">
      <w:pPr>
        <w:pStyle w:val="6"/>
        <w:ind w:firstLine="480"/>
        <w:rPr>
          <w:rFonts w:hint="eastAsia"/>
          <w:color w:val="auto"/>
        </w:rPr>
      </w:pPr>
      <w:r>
        <w:rPr>
          <w:rFonts w:hint="eastAsia"/>
          <w:color w:val="auto"/>
        </w:rPr>
        <w:t>施工安全专项方案设计</w:t>
      </w:r>
    </w:p>
    <w:p w14:paraId="531B7D2C">
      <w:pPr>
        <w:rPr>
          <w:rFonts w:hint="eastAsia"/>
          <w:color w:val="auto"/>
        </w:rPr>
      </w:pPr>
      <w:r>
        <w:rPr>
          <w:rFonts w:hint="eastAsia"/>
          <w:color w:val="auto"/>
        </w:rPr>
        <w:t>1、根据环境条件、地质条件、设计文件等基础性资料和相关工程建设标准，结合自身施工经验，针对各级风险工程编制施工安全专项方案，经施工单位技术负责人签认后，报监理审查。</w:t>
      </w:r>
    </w:p>
    <w:p w14:paraId="58AC656E">
      <w:pPr>
        <w:rPr>
          <w:rFonts w:hint="eastAsia"/>
          <w:color w:val="auto"/>
        </w:rPr>
      </w:pPr>
      <w:r>
        <w:rPr>
          <w:rFonts w:hint="eastAsia"/>
          <w:color w:val="auto"/>
        </w:rPr>
        <w:t>2、监理单位应组织对施工安全专项方案的审查，填报施工方案安全性评估表和施工组织合理性评估表，对施工安全专项方案的审查应邀请专家、相关单位和人员参加。</w:t>
      </w:r>
    </w:p>
    <w:p w14:paraId="7147506B">
      <w:pPr>
        <w:rPr>
          <w:rFonts w:hint="eastAsia"/>
          <w:color w:val="auto"/>
        </w:rPr>
      </w:pPr>
      <w:r>
        <w:rPr>
          <w:rFonts w:hint="eastAsia"/>
          <w:color w:val="auto"/>
        </w:rPr>
        <w:t>3、基坑工程施工安全专项方案设计应满足下列要求：</w:t>
      </w:r>
    </w:p>
    <w:tbl>
      <w:tblPr>
        <w:tblStyle w:val="29"/>
        <w:tblW w:w="5000" w:type="pct"/>
        <w:tblInd w:w="0" w:type="dxa"/>
        <w:tblLayout w:type="fixed"/>
        <w:tblCellMar>
          <w:top w:w="0" w:type="dxa"/>
          <w:left w:w="108" w:type="dxa"/>
          <w:bottom w:w="0" w:type="dxa"/>
          <w:right w:w="108" w:type="dxa"/>
        </w:tblCellMar>
      </w:tblPr>
      <w:tblGrid>
        <w:gridCol w:w="688"/>
        <w:gridCol w:w="8372"/>
      </w:tblGrid>
      <w:tr w14:paraId="1612E61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2746D6F">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2B87456B">
            <w:pPr>
              <w:spacing w:line="240" w:lineRule="auto"/>
              <w:ind w:firstLine="0" w:firstLineChars="0"/>
              <w:jc w:val="center"/>
              <w:rPr>
                <w:rFonts w:hint="eastAsia"/>
                <w:color w:val="auto"/>
                <w:sz w:val="21"/>
              </w:rPr>
            </w:pPr>
            <w:r>
              <w:rPr>
                <w:rFonts w:hint="eastAsia"/>
                <w:color w:val="auto"/>
                <w:sz w:val="21"/>
              </w:rPr>
              <w:t>要求</w:t>
            </w:r>
          </w:p>
        </w:tc>
      </w:tr>
      <w:tr w14:paraId="34213A6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77B2B39">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11379F64">
            <w:pPr>
              <w:spacing w:line="240" w:lineRule="auto"/>
              <w:ind w:firstLine="420"/>
              <w:jc w:val="left"/>
              <w:rPr>
                <w:rFonts w:hint="eastAsia"/>
                <w:color w:val="auto"/>
                <w:sz w:val="21"/>
              </w:rPr>
            </w:pPr>
            <w:r>
              <w:rPr>
                <w:rFonts w:hint="eastAsia"/>
                <w:color w:val="auto"/>
                <w:sz w:val="21"/>
              </w:rPr>
              <w:t>应有针对危险源及其特征和安全等级的具体安全技术应对措施；</w:t>
            </w:r>
          </w:p>
        </w:tc>
      </w:tr>
      <w:tr w14:paraId="0615FDB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DC26F16">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20C6A51E">
            <w:pPr>
              <w:spacing w:line="240" w:lineRule="auto"/>
              <w:ind w:firstLine="420"/>
              <w:jc w:val="left"/>
              <w:rPr>
                <w:rFonts w:hint="eastAsia"/>
                <w:color w:val="auto"/>
                <w:sz w:val="21"/>
              </w:rPr>
            </w:pPr>
            <w:r>
              <w:rPr>
                <w:rFonts w:hint="eastAsia"/>
                <w:color w:val="auto"/>
                <w:sz w:val="21"/>
              </w:rPr>
              <w:t>应按照消除、隔离、减弱危险源的顺序选择基坑工程安全技术措施；</w:t>
            </w:r>
          </w:p>
        </w:tc>
      </w:tr>
      <w:tr w14:paraId="198212BB">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D344AE1">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181FA909">
            <w:pPr>
              <w:spacing w:line="240" w:lineRule="auto"/>
              <w:ind w:firstLine="420"/>
              <w:jc w:val="left"/>
              <w:rPr>
                <w:rFonts w:hint="eastAsia"/>
                <w:color w:val="auto"/>
                <w:sz w:val="21"/>
              </w:rPr>
            </w:pPr>
            <w:r>
              <w:rPr>
                <w:rFonts w:hint="eastAsia"/>
                <w:color w:val="auto"/>
                <w:sz w:val="21"/>
              </w:rPr>
              <w:t>应采用有可靠依据和科学的分析方法确定安全技术方案的可靠性和可行性；</w:t>
            </w:r>
          </w:p>
        </w:tc>
      </w:tr>
      <w:tr w14:paraId="1604885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50FA485">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7AD49F9A">
            <w:pPr>
              <w:spacing w:line="240" w:lineRule="auto"/>
              <w:ind w:firstLine="420"/>
              <w:jc w:val="left"/>
              <w:rPr>
                <w:rFonts w:hint="eastAsia"/>
                <w:color w:val="auto"/>
                <w:sz w:val="21"/>
              </w:rPr>
            </w:pPr>
            <w:r>
              <w:rPr>
                <w:rFonts w:hint="eastAsia"/>
                <w:color w:val="auto"/>
                <w:sz w:val="21"/>
              </w:rPr>
              <w:t>应根据工程施工特点提出安全技术方案实施过程中的控制原则、明确重点监控部位和最低监控指标要求。</w:t>
            </w:r>
          </w:p>
        </w:tc>
      </w:tr>
    </w:tbl>
    <w:p w14:paraId="01FE2D56">
      <w:pPr>
        <w:rPr>
          <w:rFonts w:hint="eastAsia"/>
          <w:color w:val="auto"/>
        </w:rPr>
      </w:pPr>
      <w:r>
        <w:rPr>
          <w:rFonts w:hint="eastAsia"/>
          <w:color w:val="auto"/>
        </w:rPr>
        <w:t>4、应根据施工图设计文件、风险评估结果、周边环境与地质条件、施工工艺设备、施工经验等选择相应的安全分析、安全控制、监测预警、应急救援技术。</w:t>
      </w:r>
    </w:p>
    <w:p w14:paraId="0229D932">
      <w:pPr>
        <w:rPr>
          <w:rFonts w:hint="eastAsia"/>
          <w:color w:val="auto"/>
        </w:rPr>
      </w:pPr>
      <w:r>
        <w:rPr>
          <w:rFonts w:hint="eastAsia"/>
          <w:color w:val="auto"/>
        </w:rPr>
        <w:t>5、应根据事故发生的可能性设定报警指标，提出可行的抢险方案和加固措施；对施工现场的临时堆土，应进行包括稳定性在内的计算复核。</w:t>
      </w:r>
    </w:p>
    <w:p w14:paraId="3919D214">
      <w:pPr>
        <w:rPr>
          <w:rFonts w:hint="eastAsia"/>
          <w:color w:val="auto"/>
        </w:rPr>
      </w:pPr>
      <w:r>
        <w:rPr>
          <w:rFonts w:hint="eastAsia"/>
          <w:color w:val="auto"/>
        </w:rPr>
        <w:t>6、安全专项方案应包括下列内容：</w:t>
      </w:r>
    </w:p>
    <w:tbl>
      <w:tblPr>
        <w:tblStyle w:val="29"/>
        <w:tblW w:w="5000" w:type="pct"/>
        <w:tblInd w:w="0" w:type="dxa"/>
        <w:tblLayout w:type="fixed"/>
        <w:tblCellMar>
          <w:top w:w="0" w:type="dxa"/>
          <w:left w:w="108" w:type="dxa"/>
          <w:bottom w:w="0" w:type="dxa"/>
          <w:right w:w="108" w:type="dxa"/>
        </w:tblCellMar>
      </w:tblPr>
      <w:tblGrid>
        <w:gridCol w:w="1586"/>
        <w:gridCol w:w="7474"/>
      </w:tblGrid>
      <w:tr w14:paraId="27D9858B">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43FB8BF3">
            <w:pPr>
              <w:spacing w:line="240" w:lineRule="auto"/>
              <w:ind w:firstLine="0" w:firstLineChars="0"/>
              <w:jc w:val="center"/>
              <w:rPr>
                <w:rFonts w:hint="eastAsia"/>
                <w:color w:val="auto"/>
                <w:sz w:val="21"/>
              </w:rPr>
            </w:pPr>
            <w:r>
              <w:rPr>
                <w:rFonts w:hint="eastAsia"/>
                <w:color w:val="auto"/>
                <w:sz w:val="21"/>
              </w:rPr>
              <w:t>序号</w:t>
            </w:r>
          </w:p>
        </w:tc>
        <w:tc>
          <w:tcPr>
            <w:tcW w:w="6726" w:type="dxa"/>
            <w:tcBorders>
              <w:top w:val="single" w:color="auto" w:sz="4" w:space="0"/>
              <w:left w:val="nil"/>
              <w:bottom w:val="single" w:color="auto" w:sz="4" w:space="0"/>
              <w:right w:val="single" w:color="auto" w:sz="4" w:space="0"/>
            </w:tcBorders>
            <w:vAlign w:val="center"/>
          </w:tcPr>
          <w:p w14:paraId="6770E09D">
            <w:pPr>
              <w:spacing w:line="240" w:lineRule="auto"/>
              <w:ind w:firstLine="0" w:firstLineChars="0"/>
              <w:jc w:val="center"/>
              <w:rPr>
                <w:rFonts w:hint="eastAsia"/>
                <w:color w:val="auto"/>
                <w:sz w:val="21"/>
              </w:rPr>
            </w:pPr>
            <w:r>
              <w:rPr>
                <w:rFonts w:hint="eastAsia"/>
                <w:color w:val="auto"/>
                <w:sz w:val="21"/>
              </w:rPr>
              <w:t>专项方案内容</w:t>
            </w:r>
          </w:p>
        </w:tc>
      </w:tr>
      <w:tr w14:paraId="358907DE">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035EFA8F">
            <w:pPr>
              <w:spacing w:line="240" w:lineRule="auto"/>
              <w:ind w:firstLine="0" w:firstLineChars="0"/>
              <w:jc w:val="center"/>
              <w:rPr>
                <w:rFonts w:hint="eastAsia"/>
                <w:color w:val="auto"/>
                <w:sz w:val="21"/>
              </w:rPr>
            </w:pPr>
            <w:r>
              <w:rPr>
                <w:rFonts w:hint="eastAsia"/>
                <w:color w:val="auto"/>
                <w:sz w:val="21"/>
              </w:rPr>
              <w:t>1</w:t>
            </w:r>
          </w:p>
        </w:tc>
        <w:tc>
          <w:tcPr>
            <w:tcW w:w="6726" w:type="dxa"/>
            <w:tcBorders>
              <w:top w:val="single" w:color="auto" w:sz="4" w:space="0"/>
              <w:left w:val="nil"/>
              <w:bottom w:val="single" w:color="auto" w:sz="4" w:space="0"/>
              <w:right w:val="single" w:color="auto" w:sz="4" w:space="0"/>
            </w:tcBorders>
            <w:vAlign w:val="center"/>
          </w:tcPr>
          <w:p w14:paraId="49872CD5">
            <w:pPr>
              <w:spacing w:line="240" w:lineRule="auto"/>
              <w:ind w:firstLine="0" w:firstLineChars="0"/>
              <w:jc w:val="center"/>
              <w:rPr>
                <w:rFonts w:hint="eastAsia"/>
                <w:color w:val="auto"/>
                <w:sz w:val="21"/>
              </w:rPr>
            </w:pPr>
            <w:r>
              <w:rPr>
                <w:rFonts w:hint="eastAsia"/>
                <w:color w:val="auto"/>
                <w:sz w:val="21"/>
              </w:rPr>
              <w:t>工程概况</w:t>
            </w:r>
          </w:p>
        </w:tc>
      </w:tr>
      <w:tr w14:paraId="7C895132">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06E1A4C0">
            <w:pPr>
              <w:spacing w:line="240" w:lineRule="auto"/>
              <w:ind w:firstLine="0" w:firstLineChars="0"/>
              <w:jc w:val="center"/>
              <w:rPr>
                <w:rFonts w:hint="eastAsia"/>
                <w:color w:val="auto"/>
                <w:sz w:val="21"/>
              </w:rPr>
            </w:pPr>
            <w:r>
              <w:rPr>
                <w:rFonts w:hint="eastAsia"/>
                <w:color w:val="auto"/>
                <w:sz w:val="21"/>
              </w:rPr>
              <w:t>2</w:t>
            </w:r>
          </w:p>
        </w:tc>
        <w:tc>
          <w:tcPr>
            <w:tcW w:w="6726" w:type="dxa"/>
            <w:tcBorders>
              <w:top w:val="single" w:color="auto" w:sz="4" w:space="0"/>
              <w:left w:val="nil"/>
              <w:bottom w:val="single" w:color="auto" w:sz="4" w:space="0"/>
              <w:right w:val="single" w:color="auto" w:sz="4" w:space="0"/>
            </w:tcBorders>
            <w:vAlign w:val="center"/>
          </w:tcPr>
          <w:p w14:paraId="6964259E">
            <w:pPr>
              <w:spacing w:line="240" w:lineRule="auto"/>
              <w:ind w:firstLine="0" w:firstLineChars="0"/>
              <w:jc w:val="center"/>
              <w:rPr>
                <w:rFonts w:hint="eastAsia"/>
                <w:color w:val="auto"/>
                <w:sz w:val="21"/>
              </w:rPr>
            </w:pPr>
            <w:r>
              <w:rPr>
                <w:rFonts w:hint="eastAsia"/>
                <w:color w:val="auto"/>
                <w:sz w:val="21"/>
              </w:rPr>
              <w:t>工程地质与水文地质条件</w:t>
            </w:r>
          </w:p>
        </w:tc>
      </w:tr>
      <w:tr w14:paraId="613396C0">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78391A9E">
            <w:pPr>
              <w:spacing w:line="240" w:lineRule="auto"/>
              <w:ind w:firstLine="0" w:firstLineChars="0"/>
              <w:jc w:val="center"/>
              <w:rPr>
                <w:rFonts w:hint="eastAsia"/>
                <w:color w:val="auto"/>
                <w:sz w:val="21"/>
              </w:rPr>
            </w:pPr>
            <w:r>
              <w:rPr>
                <w:rFonts w:hint="eastAsia"/>
                <w:color w:val="auto"/>
                <w:sz w:val="21"/>
              </w:rPr>
              <w:t>3</w:t>
            </w:r>
          </w:p>
        </w:tc>
        <w:tc>
          <w:tcPr>
            <w:tcW w:w="6726" w:type="dxa"/>
            <w:tcBorders>
              <w:top w:val="single" w:color="auto" w:sz="4" w:space="0"/>
              <w:left w:val="nil"/>
              <w:bottom w:val="single" w:color="auto" w:sz="4" w:space="0"/>
              <w:right w:val="single" w:color="auto" w:sz="4" w:space="0"/>
            </w:tcBorders>
            <w:vAlign w:val="center"/>
          </w:tcPr>
          <w:p w14:paraId="336708E3">
            <w:pPr>
              <w:spacing w:line="240" w:lineRule="auto"/>
              <w:ind w:firstLine="0" w:firstLineChars="0"/>
              <w:jc w:val="center"/>
              <w:rPr>
                <w:rFonts w:hint="eastAsia"/>
                <w:color w:val="auto"/>
                <w:sz w:val="21"/>
              </w:rPr>
            </w:pPr>
            <w:r>
              <w:rPr>
                <w:rFonts w:hint="eastAsia"/>
                <w:color w:val="auto"/>
                <w:sz w:val="21"/>
              </w:rPr>
              <w:t>风险因素分析</w:t>
            </w:r>
          </w:p>
        </w:tc>
      </w:tr>
      <w:tr w14:paraId="19B4D752">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0C5D5E8F">
            <w:pPr>
              <w:spacing w:line="240" w:lineRule="auto"/>
              <w:ind w:firstLine="0" w:firstLineChars="0"/>
              <w:jc w:val="center"/>
              <w:rPr>
                <w:rFonts w:hint="eastAsia"/>
                <w:color w:val="auto"/>
                <w:sz w:val="21"/>
              </w:rPr>
            </w:pPr>
            <w:r>
              <w:rPr>
                <w:rFonts w:hint="eastAsia"/>
                <w:color w:val="auto"/>
                <w:sz w:val="21"/>
              </w:rPr>
              <w:t>4</w:t>
            </w:r>
          </w:p>
        </w:tc>
        <w:tc>
          <w:tcPr>
            <w:tcW w:w="6726" w:type="dxa"/>
            <w:tcBorders>
              <w:top w:val="single" w:color="auto" w:sz="4" w:space="0"/>
              <w:left w:val="nil"/>
              <w:bottom w:val="single" w:color="auto" w:sz="4" w:space="0"/>
              <w:right w:val="single" w:color="auto" w:sz="4" w:space="0"/>
            </w:tcBorders>
            <w:vAlign w:val="center"/>
          </w:tcPr>
          <w:p w14:paraId="2D4860C4">
            <w:pPr>
              <w:spacing w:line="240" w:lineRule="auto"/>
              <w:ind w:firstLine="0" w:firstLineChars="0"/>
              <w:jc w:val="center"/>
              <w:rPr>
                <w:rFonts w:hint="eastAsia"/>
                <w:color w:val="auto"/>
                <w:sz w:val="21"/>
              </w:rPr>
            </w:pPr>
            <w:r>
              <w:rPr>
                <w:rFonts w:hint="eastAsia"/>
                <w:color w:val="auto"/>
                <w:sz w:val="21"/>
              </w:rPr>
              <w:t>工程危险控制重点与难点</w:t>
            </w:r>
          </w:p>
        </w:tc>
      </w:tr>
      <w:tr w14:paraId="652019C9">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032C21B1">
            <w:pPr>
              <w:spacing w:line="240" w:lineRule="auto"/>
              <w:ind w:firstLine="0" w:firstLineChars="0"/>
              <w:jc w:val="center"/>
              <w:rPr>
                <w:rFonts w:hint="eastAsia"/>
                <w:color w:val="auto"/>
                <w:sz w:val="21"/>
              </w:rPr>
            </w:pPr>
            <w:r>
              <w:rPr>
                <w:rFonts w:hint="eastAsia"/>
                <w:color w:val="auto"/>
                <w:sz w:val="21"/>
              </w:rPr>
              <w:t>5</w:t>
            </w:r>
          </w:p>
        </w:tc>
        <w:tc>
          <w:tcPr>
            <w:tcW w:w="6726" w:type="dxa"/>
            <w:tcBorders>
              <w:top w:val="single" w:color="auto" w:sz="4" w:space="0"/>
              <w:left w:val="nil"/>
              <w:bottom w:val="single" w:color="auto" w:sz="4" w:space="0"/>
              <w:right w:val="single" w:color="auto" w:sz="4" w:space="0"/>
            </w:tcBorders>
            <w:vAlign w:val="center"/>
          </w:tcPr>
          <w:p w14:paraId="09370608">
            <w:pPr>
              <w:spacing w:line="240" w:lineRule="auto"/>
              <w:ind w:firstLine="0" w:firstLineChars="0"/>
              <w:jc w:val="center"/>
              <w:rPr>
                <w:rFonts w:hint="eastAsia"/>
                <w:color w:val="auto"/>
                <w:sz w:val="21"/>
              </w:rPr>
            </w:pPr>
            <w:r>
              <w:rPr>
                <w:rFonts w:hint="eastAsia"/>
                <w:color w:val="auto"/>
                <w:sz w:val="21"/>
              </w:rPr>
              <w:t>施工方法和主要施工工艺</w:t>
            </w:r>
          </w:p>
        </w:tc>
      </w:tr>
      <w:tr w14:paraId="6D171CE8">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32EED548">
            <w:pPr>
              <w:spacing w:line="240" w:lineRule="auto"/>
              <w:ind w:firstLine="0" w:firstLineChars="0"/>
              <w:jc w:val="center"/>
              <w:rPr>
                <w:rFonts w:hint="eastAsia"/>
                <w:color w:val="auto"/>
                <w:sz w:val="21"/>
              </w:rPr>
            </w:pPr>
            <w:r>
              <w:rPr>
                <w:rFonts w:hint="eastAsia"/>
                <w:color w:val="auto"/>
                <w:sz w:val="21"/>
              </w:rPr>
              <w:t>6</w:t>
            </w:r>
          </w:p>
        </w:tc>
        <w:tc>
          <w:tcPr>
            <w:tcW w:w="6726" w:type="dxa"/>
            <w:tcBorders>
              <w:top w:val="single" w:color="auto" w:sz="4" w:space="0"/>
              <w:left w:val="nil"/>
              <w:bottom w:val="single" w:color="auto" w:sz="4" w:space="0"/>
              <w:right w:val="single" w:color="auto" w:sz="4" w:space="0"/>
            </w:tcBorders>
            <w:vAlign w:val="center"/>
          </w:tcPr>
          <w:p w14:paraId="78A7C087">
            <w:pPr>
              <w:spacing w:line="240" w:lineRule="auto"/>
              <w:ind w:firstLine="0" w:firstLineChars="0"/>
              <w:jc w:val="center"/>
              <w:rPr>
                <w:rFonts w:hint="eastAsia"/>
                <w:color w:val="auto"/>
                <w:sz w:val="21"/>
              </w:rPr>
            </w:pPr>
            <w:r>
              <w:rPr>
                <w:rFonts w:hint="eastAsia"/>
                <w:color w:val="auto"/>
                <w:sz w:val="21"/>
              </w:rPr>
              <w:t>基坑与周边环境安全保护要求</w:t>
            </w:r>
          </w:p>
        </w:tc>
      </w:tr>
      <w:tr w14:paraId="6E0E8C89">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36FD8EF4">
            <w:pPr>
              <w:spacing w:line="240" w:lineRule="auto"/>
              <w:ind w:firstLine="0" w:firstLineChars="0"/>
              <w:jc w:val="center"/>
              <w:rPr>
                <w:rFonts w:hint="eastAsia"/>
                <w:color w:val="auto"/>
                <w:sz w:val="21"/>
              </w:rPr>
            </w:pPr>
            <w:r>
              <w:rPr>
                <w:rFonts w:hint="eastAsia"/>
                <w:color w:val="auto"/>
                <w:sz w:val="21"/>
              </w:rPr>
              <w:t>7</w:t>
            </w:r>
          </w:p>
        </w:tc>
        <w:tc>
          <w:tcPr>
            <w:tcW w:w="6726" w:type="dxa"/>
            <w:tcBorders>
              <w:top w:val="single" w:color="auto" w:sz="4" w:space="0"/>
              <w:left w:val="nil"/>
              <w:bottom w:val="single" w:color="auto" w:sz="4" w:space="0"/>
              <w:right w:val="single" w:color="auto" w:sz="4" w:space="0"/>
            </w:tcBorders>
            <w:vAlign w:val="center"/>
          </w:tcPr>
          <w:p w14:paraId="3D8ADDC9">
            <w:pPr>
              <w:spacing w:line="240" w:lineRule="auto"/>
              <w:ind w:firstLine="0" w:firstLineChars="0"/>
              <w:jc w:val="center"/>
              <w:rPr>
                <w:rFonts w:hint="eastAsia"/>
                <w:color w:val="auto"/>
                <w:sz w:val="21"/>
              </w:rPr>
            </w:pPr>
            <w:r>
              <w:rPr>
                <w:rFonts w:hint="eastAsia"/>
                <w:color w:val="auto"/>
                <w:sz w:val="21"/>
              </w:rPr>
              <w:t>监测实施要求</w:t>
            </w:r>
          </w:p>
        </w:tc>
      </w:tr>
      <w:tr w14:paraId="147E72FA">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2E12C6AE">
            <w:pPr>
              <w:spacing w:line="240" w:lineRule="auto"/>
              <w:ind w:firstLine="0" w:firstLineChars="0"/>
              <w:jc w:val="center"/>
              <w:rPr>
                <w:rFonts w:hint="eastAsia"/>
                <w:color w:val="auto"/>
                <w:sz w:val="21"/>
              </w:rPr>
            </w:pPr>
            <w:r>
              <w:rPr>
                <w:rFonts w:hint="eastAsia"/>
                <w:color w:val="auto"/>
                <w:sz w:val="21"/>
              </w:rPr>
              <w:t>8</w:t>
            </w:r>
          </w:p>
        </w:tc>
        <w:tc>
          <w:tcPr>
            <w:tcW w:w="6726" w:type="dxa"/>
            <w:tcBorders>
              <w:top w:val="single" w:color="auto" w:sz="4" w:space="0"/>
              <w:left w:val="nil"/>
              <w:bottom w:val="single" w:color="auto" w:sz="4" w:space="0"/>
              <w:right w:val="single" w:color="auto" w:sz="4" w:space="0"/>
            </w:tcBorders>
            <w:vAlign w:val="center"/>
          </w:tcPr>
          <w:p w14:paraId="78BD2008">
            <w:pPr>
              <w:spacing w:line="240" w:lineRule="auto"/>
              <w:ind w:firstLine="0" w:firstLineChars="0"/>
              <w:jc w:val="center"/>
              <w:rPr>
                <w:rFonts w:hint="eastAsia"/>
                <w:color w:val="auto"/>
                <w:sz w:val="21"/>
              </w:rPr>
            </w:pPr>
            <w:r>
              <w:rPr>
                <w:rFonts w:hint="eastAsia"/>
                <w:color w:val="auto"/>
                <w:sz w:val="21"/>
              </w:rPr>
              <w:t>变形控制指标与报警值</w:t>
            </w:r>
          </w:p>
        </w:tc>
      </w:tr>
      <w:tr w14:paraId="31F4651F">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42037754">
            <w:pPr>
              <w:spacing w:line="240" w:lineRule="auto"/>
              <w:ind w:firstLine="0" w:firstLineChars="0"/>
              <w:jc w:val="center"/>
              <w:rPr>
                <w:rFonts w:hint="eastAsia"/>
                <w:color w:val="auto"/>
                <w:sz w:val="21"/>
              </w:rPr>
            </w:pPr>
            <w:r>
              <w:rPr>
                <w:rFonts w:hint="eastAsia"/>
                <w:color w:val="auto"/>
                <w:sz w:val="21"/>
              </w:rPr>
              <w:t>9</w:t>
            </w:r>
          </w:p>
        </w:tc>
        <w:tc>
          <w:tcPr>
            <w:tcW w:w="6726" w:type="dxa"/>
            <w:tcBorders>
              <w:top w:val="single" w:color="auto" w:sz="4" w:space="0"/>
              <w:left w:val="nil"/>
              <w:bottom w:val="single" w:color="auto" w:sz="4" w:space="0"/>
              <w:right w:val="single" w:color="auto" w:sz="4" w:space="0"/>
            </w:tcBorders>
            <w:vAlign w:val="center"/>
          </w:tcPr>
          <w:p w14:paraId="14F0B8FC">
            <w:pPr>
              <w:spacing w:line="240" w:lineRule="auto"/>
              <w:ind w:firstLine="0" w:firstLineChars="0"/>
              <w:jc w:val="center"/>
              <w:rPr>
                <w:rFonts w:hint="eastAsia"/>
                <w:color w:val="auto"/>
                <w:sz w:val="21"/>
              </w:rPr>
            </w:pPr>
            <w:r>
              <w:rPr>
                <w:rFonts w:hint="eastAsia"/>
                <w:color w:val="auto"/>
                <w:sz w:val="21"/>
              </w:rPr>
              <w:t>施工安全技术措施</w:t>
            </w:r>
          </w:p>
        </w:tc>
      </w:tr>
      <w:tr w14:paraId="6FDA346D">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11B90624">
            <w:pPr>
              <w:spacing w:line="240" w:lineRule="auto"/>
              <w:ind w:firstLine="0" w:firstLineChars="0"/>
              <w:jc w:val="center"/>
              <w:rPr>
                <w:rFonts w:hint="eastAsia"/>
                <w:color w:val="auto"/>
                <w:sz w:val="21"/>
              </w:rPr>
            </w:pPr>
            <w:r>
              <w:rPr>
                <w:rFonts w:hint="eastAsia"/>
                <w:color w:val="auto"/>
                <w:sz w:val="21"/>
              </w:rPr>
              <w:t>10</w:t>
            </w:r>
          </w:p>
        </w:tc>
        <w:tc>
          <w:tcPr>
            <w:tcW w:w="6726" w:type="dxa"/>
            <w:tcBorders>
              <w:top w:val="single" w:color="auto" w:sz="4" w:space="0"/>
              <w:left w:val="nil"/>
              <w:bottom w:val="single" w:color="auto" w:sz="4" w:space="0"/>
              <w:right w:val="single" w:color="auto" w:sz="4" w:space="0"/>
            </w:tcBorders>
            <w:vAlign w:val="center"/>
          </w:tcPr>
          <w:p w14:paraId="1C765518">
            <w:pPr>
              <w:spacing w:line="240" w:lineRule="auto"/>
              <w:ind w:firstLine="0" w:firstLineChars="0"/>
              <w:jc w:val="center"/>
              <w:rPr>
                <w:rFonts w:hint="eastAsia"/>
                <w:color w:val="auto"/>
                <w:sz w:val="21"/>
              </w:rPr>
            </w:pPr>
            <w:r>
              <w:rPr>
                <w:rFonts w:hint="eastAsia"/>
                <w:color w:val="auto"/>
                <w:sz w:val="21"/>
              </w:rPr>
              <w:t>应急方案</w:t>
            </w:r>
          </w:p>
        </w:tc>
      </w:tr>
      <w:tr w14:paraId="295475C9">
        <w:tblPrEx>
          <w:tblCellMar>
            <w:top w:w="0" w:type="dxa"/>
            <w:left w:w="108" w:type="dxa"/>
            <w:bottom w:w="0" w:type="dxa"/>
            <w:right w:w="108" w:type="dxa"/>
          </w:tblCellMar>
        </w:tblPrEx>
        <w:trPr>
          <w:trHeight w:val="454" w:hRule="atLeast"/>
        </w:trPr>
        <w:tc>
          <w:tcPr>
            <w:tcW w:w="1427" w:type="dxa"/>
            <w:tcBorders>
              <w:top w:val="single" w:color="auto" w:sz="4" w:space="0"/>
              <w:left w:val="single" w:color="auto" w:sz="4" w:space="0"/>
              <w:bottom w:val="single" w:color="auto" w:sz="4" w:space="0"/>
              <w:right w:val="single" w:color="auto" w:sz="4" w:space="0"/>
            </w:tcBorders>
            <w:vAlign w:val="center"/>
          </w:tcPr>
          <w:p w14:paraId="384C3071">
            <w:pPr>
              <w:spacing w:line="240" w:lineRule="auto"/>
              <w:ind w:firstLine="0" w:firstLineChars="0"/>
              <w:jc w:val="center"/>
              <w:rPr>
                <w:rFonts w:hint="eastAsia"/>
                <w:color w:val="auto"/>
                <w:sz w:val="21"/>
              </w:rPr>
            </w:pPr>
            <w:r>
              <w:rPr>
                <w:rFonts w:hint="eastAsia"/>
                <w:color w:val="auto"/>
                <w:sz w:val="21"/>
              </w:rPr>
              <w:t>11</w:t>
            </w:r>
          </w:p>
        </w:tc>
        <w:tc>
          <w:tcPr>
            <w:tcW w:w="6726" w:type="dxa"/>
            <w:tcBorders>
              <w:top w:val="single" w:color="auto" w:sz="4" w:space="0"/>
              <w:left w:val="nil"/>
              <w:bottom w:val="single" w:color="auto" w:sz="4" w:space="0"/>
              <w:right w:val="single" w:color="auto" w:sz="4" w:space="0"/>
            </w:tcBorders>
            <w:vAlign w:val="center"/>
          </w:tcPr>
          <w:p w14:paraId="1D7D9D5A">
            <w:pPr>
              <w:spacing w:line="240" w:lineRule="auto"/>
              <w:ind w:firstLine="0" w:firstLineChars="0"/>
              <w:jc w:val="center"/>
              <w:rPr>
                <w:rFonts w:hint="eastAsia"/>
                <w:color w:val="auto"/>
                <w:sz w:val="21"/>
              </w:rPr>
            </w:pPr>
            <w:r>
              <w:rPr>
                <w:rFonts w:hint="eastAsia"/>
                <w:color w:val="auto"/>
                <w:sz w:val="21"/>
              </w:rPr>
              <w:t>组织管理措施</w:t>
            </w:r>
          </w:p>
        </w:tc>
      </w:tr>
    </w:tbl>
    <w:p w14:paraId="4FBE0305">
      <w:pPr>
        <w:rPr>
          <w:rFonts w:hint="eastAsia"/>
          <w:color w:val="auto"/>
        </w:rPr>
      </w:pPr>
      <w:r>
        <w:rPr>
          <w:rFonts w:hint="eastAsia"/>
          <w:color w:val="auto"/>
        </w:rPr>
        <w:t>7、根据审查意见修改完善施工安全专项方案，报监理单位审批后方可正式施工，同时报建设单位备案。</w:t>
      </w:r>
    </w:p>
    <w:p w14:paraId="38A0A267">
      <w:pPr>
        <w:pStyle w:val="6"/>
        <w:ind w:firstLine="480"/>
        <w:rPr>
          <w:rFonts w:hint="eastAsia"/>
          <w:color w:val="auto"/>
        </w:rPr>
      </w:pPr>
      <w:r>
        <w:rPr>
          <w:rFonts w:hint="eastAsia"/>
          <w:color w:val="auto"/>
        </w:rPr>
        <w:t>基坑安全风险评估与风险控制</w:t>
      </w:r>
    </w:p>
    <w:p w14:paraId="1536E8D4">
      <w:pPr>
        <w:rPr>
          <w:rFonts w:hint="eastAsia"/>
          <w:color w:val="auto"/>
        </w:rPr>
      </w:pPr>
      <w:r>
        <w:rPr>
          <w:rFonts w:hint="eastAsia"/>
          <w:color w:val="auto"/>
        </w:rPr>
        <w:t>1.一般规定</w:t>
      </w:r>
    </w:p>
    <w:p w14:paraId="788F64DD">
      <w:pPr>
        <w:rPr>
          <w:rFonts w:hint="eastAsia"/>
          <w:color w:val="auto"/>
        </w:rPr>
      </w:pPr>
      <w:r>
        <w:rPr>
          <w:rFonts w:hint="eastAsia"/>
          <w:color w:val="auto"/>
        </w:rPr>
        <w:t>（1）基坑工程安全分析与风险评估应在施工组织设计完成后、施工开展前阶段完成，基坑工程安全技术分析应符合下列规定：</w:t>
      </w:r>
    </w:p>
    <w:tbl>
      <w:tblPr>
        <w:tblStyle w:val="29"/>
        <w:tblW w:w="5000" w:type="pct"/>
        <w:tblInd w:w="0" w:type="dxa"/>
        <w:tblLayout w:type="fixed"/>
        <w:tblCellMar>
          <w:top w:w="0" w:type="dxa"/>
          <w:left w:w="108" w:type="dxa"/>
          <w:bottom w:w="0" w:type="dxa"/>
          <w:right w:w="108" w:type="dxa"/>
        </w:tblCellMar>
      </w:tblPr>
      <w:tblGrid>
        <w:gridCol w:w="688"/>
        <w:gridCol w:w="8372"/>
      </w:tblGrid>
      <w:tr w14:paraId="6E76DFE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A073C13">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5CFF0AAB">
            <w:pPr>
              <w:spacing w:line="240" w:lineRule="auto"/>
              <w:ind w:firstLine="0" w:firstLineChars="0"/>
              <w:jc w:val="center"/>
              <w:rPr>
                <w:rFonts w:hint="eastAsia"/>
                <w:color w:val="auto"/>
                <w:sz w:val="21"/>
              </w:rPr>
            </w:pPr>
            <w:r>
              <w:rPr>
                <w:rFonts w:hint="eastAsia"/>
                <w:color w:val="auto"/>
                <w:sz w:val="21"/>
              </w:rPr>
              <w:t>具体规定</w:t>
            </w:r>
          </w:p>
        </w:tc>
      </w:tr>
      <w:tr w14:paraId="0B9ECB8E">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B307442">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3F6B2D9F">
            <w:pPr>
              <w:spacing w:line="240" w:lineRule="auto"/>
              <w:ind w:firstLine="0" w:firstLineChars="0"/>
              <w:jc w:val="center"/>
              <w:rPr>
                <w:rFonts w:hint="eastAsia"/>
                <w:color w:val="auto"/>
                <w:sz w:val="21"/>
              </w:rPr>
            </w:pPr>
            <w:r>
              <w:rPr>
                <w:rFonts w:hint="eastAsia"/>
                <w:color w:val="auto"/>
                <w:sz w:val="21"/>
              </w:rPr>
              <w:t>作用效应分析，确定临时结构或构件的作用效应。</w:t>
            </w:r>
          </w:p>
        </w:tc>
      </w:tr>
      <w:tr w14:paraId="70EB868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42CC170">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20F4A8FA">
            <w:pPr>
              <w:spacing w:line="240" w:lineRule="auto"/>
              <w:ind w:firstLine="0" w:firstLineChars="0"/>
              <w:jc w:val="center"/>
              <w:rPr>
                <w:rFonts w:hint="eastAsia"/>
                <w:color w:val="auto"/>
                <w:sz w:val="21"/>
              </w:rPr>
            </w:pPr>
            <w:r>
              <w:rPr>
                <w:rFonts w:hint="eastAsia"/>
                <w:color w:val="auto"/>
                <w:sz w:val="21"/>
              </w:rPr>
              <w:t>结构抗力及其它性能分析，确定结构或构件的抗力及其它性能。</w:t>
            </w:r>
          </w:p>
        </w:tc>
      </w:tr>
      <w:tr w14:paraId="560E971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FABC826">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3C75C81C">
            <w:pPr>
              <w:spacing w:line="240" w:lineRule="auto"/>
              <w:ind w:firstLine="0" w:firstLineChars="0"/>
              <w:jc w:val="center"/>
              <w:rPr>
                <w:rFonts w:hint="eastAsia"/>
                <w:color w:val="auto"/>
                <w:sz w:val="21"/>
              </w:rPr>
            </w:pPr>
            <w:r>
              <w:rPr>
                <w:rFonts w:hint="eastAsia"/>
                <w:color w:val="auto"/>
                <w:sz w:val="21"/>
              </w:rPr>
              <w:t>材料及相关地基岩土材料的强度、弹性模量、变形模量等物理力学性能指标，应根据有关的试验方法标准经试验确定，对于多次周转使用的材料应考虑多次重复使用对其性能的影响。</w:t>
            </w:r>
          </w:p>
        </w:tc>
      </w:tr>
      <w:tr w14:paraId="177718D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8685804">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17789D7C">
            <w:pPr>
              <w:spacing w:line="240" w:lineRule="auto"/>
              <w:ind w:firstLine="0" w:firstLineChars="0"/>
              <w:jc w:val="center"/>
              <w:rPr>
                <w:rFonts w:hint="eastAsia"/>
                <w:color w:val="auto"/>
                <w:sz w:val="21"/>
              </w:rPr>
            </w:pPr>
            <w:r>
              <w:rPr>
                <w:rFonts w:hint="eastAsia"/>
                <w:color w:val="auto"/>
                <w:sz w:val="21"/>
              </w:rPr>
              <w:t>分析可采用计算、模型试验或原型试验等方法。</w:t>
            </w:r>
          </w:p>
        </w:tc>
      </w:tr>
    </w:tbl>
    <w:p w14:paraId="5C267AE8">
      <w:pPr>
        <w:rPr>
          <w:rFonts w:hint="eastAsia"/>
          <w:color w:val="auto"/>
        </w:rPr>
      </w:pPr>
      <w:r>
        <w:rPr>
          <w:rFonts w:hint="eastAsia"/>
          <w:color w:val="auto"/>
        </w:rPr>
        <w:t>（2）基坑工程在出现下列情况下，应进行基坑安全风险评估：</w:t>
      </w:r>
    </w:p>
    <w:tbl>
      <w:tblPr>
        <w:tblStyle w:val="29"/>
        <w:tblW w:w="5000" w:type="pct"/>
        <w:tblInd w:w="0" w:type="dxa"/>
        <w:tblLayout w:type="autofit"/>
        <w:tblCellMar>
          <w:top w:w="0" w:type="dxa"/>
          <w:left w:w="108" w:type="dxa"/>
          <w:bottom w:w="0" w:type="dxa"/>
          <w:right w:w="108" w:type="dxa"/>
        </w:tblCellMar>
      </w:tblPr>
      <w:tblGrid>
        <w:gridCol w:w="694"/>
        <w:gridCol w:w="8366"/>
      </w:tblGrid>
      <w:tr w14:paraId="0C6F5782">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3FA67ACC">
            <w:pPr>
              <w:spacing w:line="240" w:lineRule="auto"/>
              <w:ind w:firstLine="0" w:firstLineChars="0"/>
              <w:jc w:val="center"/>
              <w:rPr>
                <w:rFonts w:hint="eastAsia"/>
                <w:color w:val="auto"/>
                <w:sz w:val="21"/>
              </w:rPr>
            </w:pPr>
            <w:r>
              <w:rPr>
                <w:rFonts w:hint="eastAsia"/>
                <w:color w:val="auto"/>
                <w:sz w:val="21"/>
              </w:rPr>
              <w:t>序号</w:t>
            </w:r>
          </w:p>
        </w:tc>
        <w:tc>
          <w:tcPr>
            <w:tcW w:w="4617" w:type="pct"/>
            <w:tcBorders>
              <w:top w:val="single" w:color="auto" w:sz="4" w:space="0"/>
              <w:left w:val="nil"/>
              <w:bottom w:val="single" w:color="auto" w:sz="4" w:space="0"/>
              <w:right w:val="single" w:color="auto" w:sz="4" w:space="0"/>
            </w:tcBorders>
            <w:vAlign w:val="center"/>
          </w:tcPr>
          <w:p w14:paraId="794487A0">
            <w:pPr>
              <w:spacing w:line="240" w:lineRule="auto"/>
              <w:ind w:firstLine="0" w:firstLineChars="0"/>
              <w:jc w:val="center"/>
              <w:rPr>
                <w:rFonts w:hint="eastAsia"/>
                <w:color w:val="auto"/>
                <w:sz w:val="21"/>
              </w:rPr>
            </w:pPr>
            <w:r>
              <w:rPr>
                <w:rFonts w:hint="eastAsia"/>
                <w:color w:val="auto"/>
                <w:sz w:val="21"/>
              </w:rPr>
              <w:t>具体情况</w:t>
            </w:r>
          </w:p>
        </w:tc>
      </w:tr>
      <w:tr w14:paraId="7F8D1831">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26DB1EBB">
            <w:pPr>
              <w:spacing w:line="240" w:lineRule="auto"/>
              <w:ind w:firstLine="0" w:firstLineChars="0"/>
              <w:jc w:val="center"/>
              <w:rPr>
                <w:rFonts w:hint="eastAsia"/>
                <w:color w:val="auto"/>
                <w:sz w:val="21"/>
              </w:rPr>
            </w:pPr>
            <w:r>
              <w:rPr>
                <w:rFonts w:hint="eastAsia"/>
                <w:color w:val="auto"/>
                <w:sz w:val="21"/>
              </w:rPr>
              <w:t>1</w:t>
            </w:r>
          </w:p>
        </w:tc>
        <w:tc>
          <w:tcPr>
            <w:tcW w:w="4617" w:type="pct"/>
            <w:tcBorders>
              <w:top w:val="single" w:color="auto" w:sz="4" w:space="0"/>
              <w:left w:val="nil"/>
              <w:bottom w:val="single" w:color="auto" w:sz="4" w:space="0"/>
              <w:right w:val="single" w:color="auto" w:sz="4" w:space="0"/>
            </w:tcBorders>
            <w:vAlign w:val="center"/>
          </w:tcPr>
          <w:p w14:paraId="2C642A2B">
            <w:pPr>
              <w:spacing w:line="240" w:lineRule="auto"/>
              <w:ind w:firstLine="0" w:firstLineChars="0"/>
              <w:jc w:val="center"/>
              <w:rPr>
                <w:rFonts w:hint="eastAsia"/>
                <w:color w:val="auto"/>
                <w:sz w:val="21"/>
              </w:rPr>
            </w:pPr>
            <w:r>
              <w:rPr>
                <w:rFonts w:hint="eastAsia"/>
                <w:color w:val="auto"/>
                <w:sz w:val="21"/>
              </w:rPr>
              <w:t>存在影响基坑工程安全性的材料低劣、质量缺陷、构件损伤或其它不利状态。</w:t>
            </w:r>
          </w:p>
        </w:tc>
      </w:tr>
      <w:tr w14:paraId="6D7781A3">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4BD1B7EA">
            <w:pPr>
              <w:spacing w:line="240" w:lineRule="auto"/>
              <w:ind w:firstLine="0" w:firstLineChars="0"/>
              <w:jc w:val="center"/>
              <w:rPr>
                <w:rFonts w:hint="eastAsia"/>
                <w:color w:val="auto"/>
                <w:sz w:val="21"/>
              </w:rPr>
            </w:pPr>
            <w:r>
              <w:rPr>
                <w:rFonts w:hint="eastAsia"/>
                <w:color w:val="auto"/>
                <w:sz w:val="21"/>
              </w:rPr>
              <w:t>2</w:t>
            </w:r>
          </w:p>
        </w:tc>
        <w:tc>
          <w:tcPr>
            <w:tcW w:w="4617" w:type="pct"/>
            <w:tcBorders>
              <w:top w:val="single" w:color="auto" w:sz="4" w:space="0"/>
              <w:left w:val="nil"/>
              <w:bottom w:val="single" w:color="auto" w:sz="4" w:space="0"/>
              <w:right w:val="single" w:color="auto" w:sz="4" w:space="0"/>
            </w:tcBorders>
            <w:vAlign w:val="center"/>
          </w:tcPr>
          <w:p w14:paraId="363A2B59">
            <w:pPr>
              <w:spacing w:line="240" w:lineRule="auto"/>
              <w:ind w:firstLine="0" w:firstLineChars="0"/>
              <w:jc w:val="center"/>
              <w:rPr>
                <w:rFonts w:hint="eastAsia"/>
                <w:color w:val="auto"/>
                <w:sz w:val="21"/>
              </w:rPr>
            </w:pPr>
            <w:r>
              <w:rPr>
                <w:rFonts w:hint="eastAsia"/>
                <w:color w:val="auto"/>
                <w:sz w:val="21"/>
              </w:rPr>
              <w:t>改变现行设计方案，进行加深、扩大及使用条件改变的基坑。</w:t>
            </w:r>
          </w:p>
        </w:tc>
      </w:tr>
      <w:tr w14:paraId="0E299040">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14529340">
            <w:pPr>
              <w:spacing w:line="240" w:lineRule="auto"/>
              <w:ind w:firstLine="0" w:firstLineChars="0"/>
              <w:jc w:val="center"/>
              <w:rPr>
                <w:rFonts w:hint="eastAsia"/>
                <w:color w:val="auto"/>
                <w:sz w:val="21"/>
              </w:rPr>
            </w:pPr>
            <w:r>
              <w:rPr>
                <w:rFonts w:hint="eastAsia"/>
                <w:color w:val="auto"/>
                <w:sz w:val="21"/>
              </w:rPr>
              <w:t>3</w:t>
            </w:r>
          </w:p>
        </w:tc>
        <w:tc>
          <w:tcPr>
            <w:tcW w:w="4617" w:type="pct"/>
            <w:tcBorders>
              <w:top w:val="single" w:color="auto" w:sz="4" w:space="0"/>
              <w:left w:val="nil"/>
              <w:bottom w:val="single" w:color="auto" w:sz="4" w:space="0"/>
              <w:right w:val="single" w:color="auto" w:sz="4" w:space="0"/>
            </w:tcBorders>
            <w:vAlign w:val="center"/>
          </w:tcPr>
          <w:p w14:paraId="14E7817C">
            <w:pPr>
              <w:spacing w:line="240" w:lineRule="auto"/>
              <w:ind w:firstLine="0" w:firstLineChars="0"/>
              <w:jc w:val="center"/>
              <w:rPr>
                <w:rFonts w:hint="eastAsia"/>
                <w:color w:val="auto"/>
                <w:sz w:val="21"/>
              </w:rPr>
            </w:pPr>
            <w:r>
              <w:rPr>
                <w:rFonts w:hint="eastAsia"/>
                <w:color w:val="auto"/>
                <w:sz w:val="21"/>
              </w:rPr>
              <w:t>遭受自然灾害、事故或其它突发事件影响的基坑。</w:t>
            </w:r>
          </w:p>
        </w:tc>
      </w:tr>
      <w:tr w14:paraId="236054DC">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3196F316">
            <w:pPr>
              <w:spacing w:line="240" w:lineRule="auto"/>
              <w:ind w:firstLine="0" w:firstLineChars="0"/>
              <w:jc w:val="center"/>
              <w:rPr>
                <w:rFonts w:hint="eastAsia"/>
                <w:color w:val="auto"/>
                <w:sz w:val="21"/>
              </w:rPr>
            </w:pPr>
            <w:r>
              <w:rPr>
                <w:rFonts w:hint="eastAsia"/>
                <w:color w:val="auto"/>
                <w:sz w:val="21"/>
              </w:rPr>
              <w:t>4</w:t>
            </w:r>
          </w:p>
        </w:tc>
        <w:tc>
          <w:tcPr>
            <w:tcW w:w="4617" w:type="pct"/>
            <w:tcBorders>
              <w:top w:val="single" w:color="auto" w:sz="4" w:space="0"/>
              <w:left w:val="nil"/>
              <w:bottom w:val="single" w:color="auto" w:sz="4" w:space="0"/>
              <w:right w:val="single" w:color="auto" w:sz="4" w:space="0"/>
            </w:tcBorders>
            <w:vAlign w:val="center"/>
          </w:tcPr>
          <w:p w14:paraId="42A0371A">
            <w:pPr>
              <w:spacing w:line="240" w:lineRule="auto"/>
              <w:ind w:firstLine="0" w:firstLineChars="0"/>
              <w:jc w:val="center"/>
              <w:rPr>
                <w:rFonts w:hint="eastAsia"/>
                <w:color w:val="auto"/>
                <w:sz w:val="21"/>
              </w:rPr>
            </w:pPr>
            <w:r>
              <w:rPr>
                <w:rFonts w:hint="eastAsia"/>
                <w:color w:val="auto"/>
                <w:sz w:val="21"/>
              </w:rPr>
              <w:t>其他有特殊使用要求和规定的基坑。</w:t>
            </w:r>
          </w:p>
        </w:tc>
      </w:tr>
    </w:tbl>
    <w:p w14:paraId="25DF5ACD">
      <w:pPr>
        <w:rPr>
          <w:rFonts w:hint="eastAsia"/>
          <w:color w:val="auto"/>
        </w:rPr>
      </w:pPr>
      <w:r>
        <w:rPr>
          <w:rFonts w:hint="eastAsia"/>
          <w:color w:val="auto"/>
        </w:rPr>
        <w:t>（3）基坑施工时和使用中应采取多种方式进行安全监测，有特殊要求的安全等级为一级的基坑工程宜结合监测数据建立基坑安全风险动态预警系统。</w:t>
      </w:r>
    </w:p>
    <w:p w14:paraId="053C3F6F">
      <w:pPr>
        <w:rPr>
          <w:rFonts w:hint="eastAsia"/>
          <w:color w:val="auto"/>
        </w:rPr>
      </w:pPr>
      <w:r>
        <w:rPr>
          <w:rFonts w:hint="eastAsia"/>
          <w:color w:val="auto"/>
        </w:rPr>
        <w:t>（4）周边环境安全分析与评估应遵循不影响建（构）筑物及设施等的正常使用、不破坏景观、不造成环境污染的基本原则。安全分析应包括施工危险源辨识、施工安全风险评价和施工技术方案对基坑工程的安全分析。危险源辨识应包含所有和基坑工程施工相关的场所、环境、设备、车辆、施工工艺及人员及活动中存在的危险源，并应确定危险源可能产生的严重性及其后果。</w:t>
      </w:r>
    </w:p>
    <w:p w14:paraId="23D69664">
      <w:pPr>
        <w:rPr>
          <w:rFonts w:hint="eastAsia"/>
          <w:color w:val="auto"/>
        </w:rPr>
      </w:pPr>
      <w:r>
        <w:rPr>
          <w:rFonts w:hint="eastAsia"/>
          <w:color w:val="auto"/>
        </w:rPr>
        <w:t>（5）基坑周边变形控制应符合下列要求：</w:t>
      </w:r>
    </w:p>
    <w:tbl>
      <w:tblPr>
        <w:tblStyle w:val="29"/>
        <w:tblW w:w="5000" w:type="pct"/>
        <w:tblInd w:w="0" w:type="dxa"/>
        <w:tblLayout w:type="autofit"/>
        <w:tblCellMar>
          <w:top w:w="0" w:type="dxa"/>
          <w:left w:w="108" w:type="dxa"/>
          <w:bottom w:w="0" w:type="dxa"/>
          <w:right w:w="108" w:type="dxa"/>
        </w:tblCellMar>
      </w:tblPr>
      <w:tblGrid>
        <w:gridCol w:w="694"/>
        <w:gridCol w:w="8366"/>
      </w:tblGrid>
      <w:tr w14:paraId="555C53A6">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74FE8BA3">
            <w:pPr>
              <w:spacing w:line="240" w:lineRule="auto"/>
              <w:ind w:firstLine="0" w:firstLineChars="0"/>
              <w:jc w:val="center"/>
              <w:rPr>
                <w:rFonts w:hint="eastAsia"/>
                <w:color w:val="auto"/>
                <w:sz w:val="21"/>
              </w:rPr>
            </w:pPr>
            <w:r>
              <w:rPr>
                <w:rFonts w:hint="eastAsia"/>
                <w:color w:val="auto"/>
                <w:sz w:val="21"/>
              </w:rPr>
              <w:t>序号</w:t>
            </w:r>
          </w:p>
        </w:tc>
        <w:tc>
          <w:tcPr>
            <w:tcW w:w="4617" w:type="pct"/>
            <w:tcBorders>
              <w:top w:val="single" w:color="auto" w:sz="4" w:space="0"/>
              <w:left w:val="nil"/>
              <w:bottom w:val="single" w:color="auto" w:sz="4" w:space="0"/>
              <w:right w:val="single" w:color="auto" w:sz="4" w:space="0"/>
            </w:tcBorders>
            <w:vAlign w:val="center"/>
          </w:tcPr>
          <w:p w14:paraId="31F885D7">
            <w:pPr>
              <w:spacing w:line="240" w:lineRule="auto"/>
              <w:ind w:firstLine="0" w:firstLineChars="0"/>
              <w:jc w:val="center"/>
              <w:rPr>
                <w:rFonts w:hint="eastAsia"/>
                <w:color w:val="auto"/>
                <w:sz w:val="21"/>
              </w:rPr>
            </w:pPr>
            <w:r>
              <w:rPr>
                <w:rFonts w:hint="eastAsia"/>
                <w:color w:val="auto"/>
                <w:sz w:val="21"/>
              </w:rPr>
              <w:t>要求</w:t>
            </w:r>
          </w:p>
        </w:tc>
      </w:tr>
      <w:tr w14:paraId="3BCE6790">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4769E6E1">
            <w:pPr>
              <w:spacing w:line="240" w:lineRule="auto"/>
              <w:ind w:firstLine="0" w:firstLineChars="0"/>
              <w:jc w:val="center"/>
              <w:rPr>
                <w:rFonts w:hint="eastAsia"/>
                <w:color w:val="auto"/>
                <w:sz w:val="21"/>
              </w:rPr>
            </w:pPr>
            <w:r>
              <w:rPr>
                <w:rFonts w:hint="eastAsia"/>
                <w:color w:val="auto"/>
                <w:sz w:val="21"/>
              </w:rPr>
              <w:t>1</w:t>
            </w:r>
          </w:p>
        </w:tc>
        <w:tc>
          <w:tcPr>
            <w:tcW w:w="4617" w:type="pct"/>
            <w:tcBorders>
              <w:top w:val="single" w:color="auto" w:sz="4" w:space="0"/>
              <w:left w:val="nil"/>
              <w:bottom w:val="single" w:color="auto" w:sz="4" w:space="0"/>
              <w:right w:val="single" w:color="auto" w:sz="4" w:space="0"/>
            </w:tcBorders>
            <w:vAlign w:val="center"/>
          </w:tcPr>
          <w:p w14:paraId="7B38AF6E">
            <w:pPr>
              <w:spacing w:line="240" w:lineRule="auto"/>
              <w:ind w:firstLine="0" w:firstLineChars="0"/>
              <w:jc w:val="center"/>
              <w:rPr>
                <w:rFonts w:hint="eastAsia"/>
                <w:color w:val="auto"/>
                <w:sz w:val="21"/>
              </w:rPr>
            </w:pPr>
            <w:r>
              <w:rPr>
                <w:rFonts w:hint="eastAsia"/>
                <w:color w:val="auto"/>
                <w:sz w:val="21"/>
              </w:rPr>
              <w:t>基坑周边地面沉降不得影响相邻建（构）筑物的正常使用，所产生的差异沉降不得大于建（构）筑物地基变形的允许值。</w:t>
            </w:r>
          </w:p>
        </w:tc>
      </w:tr>
      <w:tr w14:paraId="2E35804E">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28A32EC5">
            <w:pPr>
              <w:spacing w:line="240" w:lineRule="auto"/>
              <w:ind w:firstLine="0" w:firstLineChars="0"/>
              <w:jc w:val="center"/>
              <w:rPr>
                <w:rFonts w:hint="eastAsia"/>
                <w:color w:val="auto"/>
                <w:sz w:val="21"/>
              </w:rPr>
            </w:pPr>
            <w:r>
              <w:rPr>
                <w:rFonts w:hint="eastAsia"/>
                <w:color w:val="auto"/>
                <w:sz w:val="21"/>
              </w:rPr>
              <w:t>2</w:t>
            </w:r>
          </w:p>
        </w:tc>
        <w:tc>
          <w:tcPr>
            <w:tcW w:w="4617" w:type="pct"/>
            <w:tcBorders>
              <w:top w:val="single" w:color="auto" w:sz="4" w:space="0"/>
              <w:left w:val="nil"/>
              <w:bottom w:val="single" w:color="auto" w:sz="4" w:space="0"/>
              <w:right w:val="single" w:color="auto" w:sz="4" w:space="0"/>
            </w:tcBorders>
            <w:vAlign w:val="center"/>
          </w:tcPr>
          <w:p w14:paraId="7055C384">
            <w:pPr>
              <w:spacing w:line="240" w:lineRule="auto"/>
              <w:ind w:firstLine="0" w:firstLineChars="0"/>
              <w:jc w:val="center"/>
              <w:rPr>
                <w:rFonts w:hint="eastAsia"/>
                <w:color w:val="auto"/>
                <w:sz w:val="21"/>
              </w:rPr>
            </w:pPr>
            <w:r>
              <w:rPr>
                <w:rFonts w:hint="eastAsia"/>
                <w:color w:val="auto"/>
                <w:sz w:val="21"/>
              </w:rPr>
              <w:t>基坑周边土体沉降和侧向变形不影响邻近各类管线的正常使用，不超过管线变形的允许值。</w:t>
            </w:r>
          </w:p>
        </w:tc>
      </w:tr>
      <w:tr w14:paraId="23B6EA81">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6CD23AE1">
            <w:pPr>
              <w:spacing w:line="240" w:lineRule="auto"/>
              <w:ind w:firstLine="0" w:firstLineChars="0"/>
              <w:jc w:val="center"/>
              <w:rPr>
                <w:rFonts w:hint="eastAsia"/>
                <w:color w:val="auto"/>
                <w:sz w:val="21"/>
              </w:rPr>
            </w:pPr>
            <w:r>
              <w:rPr>
                <w:rFonts w:hint="eastAsia"/>
                <w:color w:val="auto"/>
                <w:sz w:val="21"/>
              </w:rPr>
              <w:t>3</w:t>
            </w:r>
          </w:p>
        </w:tc>
        <w:tc>
          <w:tcPr>
            <w:tcW w:w="4617" w:type="pct"/>
            <w:tcBorders>
              <w:top w:val="single" w:color="auto" w:sz="4" w:space="0"/>
              <w:left w:val="nil"/>
              <w:bottom w:val="single" w:color="auto" w:sz="4" w:space="0"/>
              <w:right w:val="single" w:color="auto" w:sz="4" w:space="0"/>
            </w:tcBorders>
            <w:vAlign w:val="center"/>
          </w:tcPr>
          <w:p w14:paraId="2B3E2CE8">
            <w:pPr>
              <w:spacing w:line="240" w:lineRule="auto"/>
              <w:ind w:firstLine="0" w:firstLineChars="0"/>
              <w:jc w:val="center"/>
              <w:rPr>
                <w:rFonts w:hint="eastAsia"/>
                <w:color w:val="auto"/>
                <w:sz w:val="21"/>
              </w:rPr>
            </w:pPr>
            <w:r>
              <w:rPr>
                <w:rFonts w:hint="eastAsia"/>
                <w:color w:val="auto"/>
                <w:sz w:val="21"/>
              </w:rPr>
              <w:t>基坑周边土体沉降不造成周边既有城市道路等重要设施发生结构破坏、渗漏或影响其正常运行。</w:t>
            </w:r>
          </w:p>
        </w:tc>
      </w:tr>
    </w:tbl>
    <w:p w14:paraId="1663BCCA">
      <w:pPr>
        <w:rPr>
          <w:rFonts w:hint="eastAsia"/>
          <w:color w:val="auto"/>
        </w:rPr>
      </w:pPr>
      <w:r>
        <w:rPr>
          <w:rFonts w:hint="eastAsia"/>
          <w:color w:val="auto"/>
        </w:rPr>
        <w:t>（6）基坑开挖导致邻近建（构）筑物的允许变形应按设计要求控制，无具体指标时可按《地基基础设计规范》中要求进行控制。应综合建（构）筑物的修建年代、维修改造加固等因素，考虑已发生的沉降量初始值对控制指标进行修正，并应注意地基产生不均匀沉降对结构造成的不利影响。</w:t>
      </w:r>
    </w:p>
    <w:p w14:paraId="5EA593F7">
      <w:pPr>
        <w:rPr>
          <w:rFonts w:hint="eastAsia"/>
          <w:color w:val="auto"/>
        </w:rPr>
      </w:pPr>
      <w:r>
        <w:rPr>
          <w:rFonts w:hint="eastAsia"/>
          <w:color w:val="auto"/>
        </w:rPr>
        <w:t>（7）基坑邻近管线采用承插式接头的铸铁水管、钢筋混凝土水管两个接头之间的局部倾斜值不应大于2.5‰；采用焊接接头的水管两个接头之间的局部倾斜值不应大于6‰；采用焊接接头的煤气管两个接头之间的局部倾斜值不应大于2‰。</w:t>
      </w:r>
    </w:p>
    <w:p w14:paraId="113C5A20">
      <w:pPr>
        <w:rPr>
          <w:rFonts w:hint="eastAsia"/>
          <w:color w:val="auto"/>
        </w:rPr>
      </w:pPr>
      <w:r>
        <w:rPr>
          <w:rFonts w:hint="eastAsia"/>
          <w:color w:val="auto"/>
        </w:rPr>
        <w:t>（8）应根据基坑现场施工作业特点，对施工时和使用中中可能存在的风险，制定风险控制措施和基坑事故应急救援专项预案。</w:t>
      </w:r>
    </w:p>
    <w:p w14:paraId="2439EA76">
      <w:pPr>
        <w:rPr>
          <w:rFonts w:hint="eastAsia"/>
          <w:color w:val="auto"/>
        </w:rPr>
      </w:pPr>
      <w:r>
        <w:rPr>
          <w:rFonts w:hint="eastAsia"/>
          <w:color w:val="auto"/>
        </w:rPr>
        <w:t>2、安全分析与风险评估</w:t>
      </w:r>
    </w:p>
    <w:p w14:paraId="7B472EE1">
      <w:pPr>
        <w:rPr>
          <w:rFonts w:hint="eastAsia"/>
          <w:color w:val="auto"/>
        </w:rPr>
      </w:pPr>
      <w:r>
        <w:rPr>
          <w:rFonts w:hint="eastAsia"/>
          <w:color w:val="auto"/>
        </w:rPr>
        <w:t>（1）基坑工程安全风险评估内容和程序应符合下列规定：</w:t>
      </w:r>
    </w:p>
    <w:p w14:paraId="3A917226">
      <w:pPr>
        <w:rPr>
          <w:rFonts w:hint="eastAsia"/>
          <w:color w:val="auto"/>
        </w:rPr>
      </w:pPr>
      <w:r>
        <w:rPr>
          <w:rFonts w:hint="eastAsia"/>
          <w:color w:val="auto"/>
        </w:rPr>
        <w:t>基坑工程安全风险评估内容和程序</w:t>
      </w:r>
    </w:p>
    <w:tbl>
      <w:tblPr>
        <w:tblStyle w:val="29"/>
        <w:tblW w:w="5000" w:type="pct"/>
        <w:tblInd w:w="0" w:type="dxa"/>
        <w:tblLayout w:type="autofit"/>
        <w:tblCellMar>
          <w:top w:w="0" w:type="dxa"/>
          <w:left w:w="108" w:type="dxa"/>
          <w:bottom w:w="0" w:type="dxa"/>
          <w:right w:w="108" w:type="dxa"/>
        </w:tblCellMar>
      </w:tblPr>
      <w:tblGrid>
        <w:gridCol w:w="692"/>
        <w:gridCol w:w="1270"/>
        <w:gridCol w:w="7098"/>
      </w:tblGrid>
      <w:tr w14:paraId="7637E083">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12C6296A">
            <w:pPr>
              <w:spacing w:line="240" w:lineRule="auto"/>
              <w:ind w:firstLine="0" w:firstLineChars="0"/>
              <w:jc w:val="center"/>
              <w:rPr>
                <w:rFonts w:hint="eastAsia"/>
                <w:color w:val="auto"/>
                <w:sz w:val="21"/>
              </w:rPr>
            </w:pPr>
            <w:r>
              <w:rPr>
                <w:rFonts w:hint="eastAsia"/>
                <w:color w:val="auto"/>
                <w:sz w:val="21"/>
              </w:rPr>
              <w:t>序号</w:t>
            </w:r>
          </w:p>
        </w:tc>
        <w:tc>
          <w:tcPr>
            <w:tcW w:w="701" w:type="pct"/>
            <w:tcBorders>
              <w:top w:val="single" w:color="auto" w:sz="4" w:space="0"/>
              <w:left w:val="nil"/>
              <w:bottom w:val="single" w:color="auto" w:sz="4" w:space="0"/>
              <w:right w:val="single" w:color="auto" w:sz="4" w:space="0"/>
            </w:tcBorders>
            <w:vAlign w:val="center"/>
          </w:tcPr>
          <w:p w14:paraId="60304395">
            <w:pPr>
              <w:spacing w:line="240" w:lineRule="auto"/>
              <w:ind w:firstLine="0" w:firstLineChars="0"/>
              <w:jc w:val="center"/>
              <w:rPr>
                <w:rFonts w:hint="eastAsia"/>
                <w:color w:val="auto"/>
                <w:sz w:val="21"/>
              </w:rPr>
            </w:pPr>
            <w:r>
              <w:rPr>
                <w:rFonts w:hint="eastAsia"/>
                <w:color w:val="auto"/>
                <w:sz w:val="21"/>
              </w:rPr>
              <w:t>辨识步骤</w:t>
            </w:r>
          </w:p>
        </w:tc>
        <w:tc>
          <w:tcPr>
            <w:tcW w:w="3917" w:type="pct"/>
            <w:tcBorders>
              <w:top w:val="single" w:color="auto" w:sz="4" w:space="0"/>
              <w:left w:val="nil"/>
              <w:bottom w:val="single" w:color="auto" w:sz="4" w:space="0"/>
              <w:right w:val="single" w:color="auto" w:sz="4" w:space="0"/>
            </w:tcBorders>
            <w:vAlign w:val="center"/>
          </w:tcPr>
          <w:p w14:paraId="39592D2A">
            <w:pPr>
              <w:spacing w:line="240" w:lineRule="auto"/>
              <w:ind w:firstLine="0" w:firstLineChars="0"/>
              <w:jc w:val="center"/>
              <w:rPr>
                <w:rFonts w:hint="eastAsia"/>
                <w:color w:val="auto"/>
                <w:sz w:val="21"/>
              </w:rPr>
            </w:pPr>
            <w:r>
              <w:rPr>
                <w:rFonts w:hint="eastAsia"/>
                <w:color w:val="auto"/>
                <w:sz w:val="21"/>
              </w:rPr>
              <w:t>评估内容</w:t>
            </w:r>
          </w:p>
        </w:tc>
      </w:tr>
      <w:tr w14:paraId="6CB14A47">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7E098768">
            <w:pPr>
              <w:spacing w:line="240" w:lineRule="auto"/>
              <w:ind w:firstLine="0" w:firstLineChars="0"/>
              <w:jc w:val="center"/>
              <w:rPr>
                <w:rFonts w:hint="eastAsia"/>
                <w:color w:val="auto"/>
                <w:sz w:val="21"/>
              </w:rPr>
            </w:pPr>
            <w:r>
              <w:rPr>
                <w:rFonts w:hint="eastAsia"/>
                <w:color w:val="auto"/>
                <w:sz w:val="21"/>
              </w:rPr>
              <w:t>1</w:t>
            </w:r>
          </w:p>
        </w:tc>
        <w:tc>
          <w:tcPr>
            <w:tcW w:w="701" w:type="pct"/>
            <w:vMerge w:val="restart"/>
            <w:tcBorders>
              <w:top w:val="nil"/>
              <w:left w:val="nil"/>
              <w:bottom w:val="single" w:color="auto" w:sz="4" w:space="0"/>
              <w:right w:val="single" w:color="auto" w:sz="4" w:space="0"/>
            </w:tcBorders>
            <w:vAlign w:val="center"/>
          </w:tcPr>
          <w:p w14:paraId="208453D0">
            <w:pPr>
              <w:spacing w:line="240" w:lineRule="auto"/>
              <w:ind w:firstLine="0" w:firstLineChars="0"/>
              <w:jc w:val="center"/>
              <w:rPr>
                <w:rFonts w:hint="eastAsia"/>
                <w:color w:val="auto"/>
                <w:sz w:val="21"/>
              </w:rPr>
            </w:pPr>
            <w:r>
              <w:rPr>
                <w:rFonts w:hint="eastAsia"/>
                <w:color w:val="auto"/>
                <w:sz w:val="21"/>
              </w:rPr>
              <w:t>初步调查与风险辨识</w:t>
            </w:r>
          </w:p>
        </w:tc>
        <w:tc>
          <w:tcPr>
            <w:tcW w:w="3917" w:type="pct"/>
            <w:tcBorders>
              <w:top w:val="single" w:color="auto" w:sz="4" w:space="0"/>
              <w:left w:val="nil"/>
              <w:bottom w:val="single" w:color="auto" w:sz="4" w:space="0"/>
              <w:right w:val="single" w:color="auto" w:sz="4" w:space="0"/>
            </w:tcBorders>
            <w:vAlign w:val="center"/>
          </w:tcPr>
          <w:p w14:paraId="69B7BE4D">
            <w:pPr>
              <w:spacing w:line="240" w:lineRule="auto"/>
              <w:ind w:firstLine="0" w:firstLineChars="0"/>
              <w:jc w:val="center"/>
              <w:rPr>
                <w:rFonts w:hint="eastAsia"/>
                <w:color w:val="auto"/>
                <w:sz w:val="21"/>
              </w:rPr>
            </w:pPr>
            <w:r>
              <w:rPr>
                <w:rFonts w:hint="eastAsia"/>
                <w:color w:val="auto"/>
                <w:sz w:val="21"/>
              </w:rPr>
              <w:t>查阅基坑工程相关资料，包括基坑工程勘察、周边状况评估、设计图及变更、现场检测和监测、地基处理和加固、施工竣工等资料。</w:t>
            </w:r>
          </w:p>
        </w:tc>
      </w:tr>
      <w:tr w14:paraId="0550ABCC">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465A3D51">
            <w:pPr>
              <w:spacing w:line="240" w:lineRule="auto"/>
              <w:ind w:firstLine="0" w:firstLineChars="0"/>
              <w:jc w:val="center"/>
              <w:rPr>
                <w:rFonts w:hint="eastAsia"/>
                <w:color w:val="auto"/>
                <w:sz w:val="21"/>
              </w:rPr>
            </w:pPr>
            <w:r>
              <w:rPr>
                <w:rFonts w:hint="eastAsia"/>
                <w:color w:val="auto"/>
                <w:sz w:val="21"/>
              </w:rPr>
              <w:t>2</w:t>
            </w:r>
          </w:p>
        </w:tc>
        <w:tc>
          <w:tcPr>
            <w:tcW w:w="701" w:type="pct"/>
            <w:vMerge w:val="continue"/>
            <w:tcBorders>
              <w:top w:val="nil"/>
              <w:left w:val="nil"/>
              <w:bottom w:val="single" w:color="auto" w:sz="4" w:space="0"/>
              <w:right w:val="single" w:color="auto" w:sz="4" w:space="0"/>
            </w:tcBorders>
            <w:vAlign w:val="center"/>
          </w:tcPr>
          <w:p w14:paraId="10BB6561">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29B19299">
            <w:pPr>
              <w:spacing w:line="240" w:lineRule="auto"/>
              <w:ind w:firstLine="0" w:firstLineChars="0"/>
              <w:jc w:val="center"/>
              <w:rPr>
                <w:rFonts w:hint="eastAsia"/>
                <w:color w:val="auto"/>
                <w:sz w:val="21"/>
              </w:rPr>
            </w:pPr>
            <w:r>
              <w:rPr>
                <w:rFonts w:hint="eastAsia"/>
                <w:color w:val="auto"/>
                <w:sz w:val="21"/>
              </w:rPr>
              <w:t>调查基坑工程历史，包括施工、维护、用途和使用条件改变、加固处理及受灾等情况。</w:t>
            </w:r>
          </w:p>
        </w:tc>
      </w:tr>
      <w:tr w14:paraId="002279B7">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334359B7">
            <w:pPr>
              <w:spacing w:line="240" w:lineRule="auto"/>
              <w:ind w:firstLine="0" w:firstLineChars="0"/>
              <w:jc w:val="center"/>
              <w:rPr>
                <w:rFonts w:hint="eastAsia"/>
                <w:color w:val="auto"/>
                <w:sz w:val="21"/>
              </w:rPr>
            </w:pPr>
            <w:r>
              <w:rPr>
                <w:rFonts w:hint="eastAsia"/>
                <w:color w:val="auto"/>
                <w:sz w:val="21"/>
              </w:rPr>
              <w:t>3</w:t>
            </w:r>
          </w:p>
        </w:tc>
        <w:tc>
          <w:tcPr>
            <w:tcW w:w="701" w:type="pct"/>
            <w:vMerge w:val="continue"/>
            <w:tcBorders>
              <w:top w:val="nil"/>
              <w:left w:val="nil"/>
              <w:bottom w:val="single" w:color="auto" w:sz="4" w:space="0"/>
              <w:right w:val="single" w:color="auto" w:sz="4" w:space="0"/>
            </w:tcBorders>
            <w:vAlign w:val="center"/>
          </w:tcPr>
          <w:p w14:paraId="02DC4DAD">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3A2A8E35">
            <w:pPr>
              <w:spacing w:line="240" w:lineRule="auto"/>
              <w:ind w:firstLine="0" w:firstLineChars="0"/>
              <w:jc w:val="center"/>
              <w:rPr>
                <w:rFonts w:hint="eastAsia"/>
                <w:color w:val="auto"/>
                <w:sz w:val="21"/>
              </w:rPr>
            </w:pPr>
            <w:r>
              <w:rPr>
                <w:rFonts w:hint="eastAsia"/>
                <w:color w:val="auto"/>
                <w:sz w:val="21"/>
              </w:rPr>
              <w:t>现场踏勘，根据资料核对实物，调查基坑工程实际使用情况、查看已发现的问题，听取有关人员的意见等。</w:t>
            </w:r>
          </w:p>
        </w:tc>
      </w:tr>
      <w:tr w14:paraId="4ED947E1">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3C36C0F8">
            <w:pPr>
              <w:spacing w:line="240" w:lineRule="auto"/>
              <w:ind w:firstLine="0" w:firstLineChars="0"/>
              <w:jc w:val="center"/>
              <w:rPr>
                <w:rFonts w:hint="eastAsia"/>
                <w:color w:val="auto"/>
                <w:sz w:val="21"/>
              </w:rPr>
            </w:pPr>
            <w:r>
              <w:rPr>
                <w:rFonts w:hint="eastAsia"/>
                <w:color w:val="auto"/>
                <w:sz w:val="21"/>
              </w:rPr>
              <w:t>4</w:t>
            </w:r>
          </w:p>
        </w:tc>
        <w:tc>
          <w:tcPr>
            <w:tcW w:w="701" w:type="pct"/>
            <w:vMerge w:val="continue"/>
            <w:tcBorders>
              <w:top w:val="nil"/>
              <w:left w:val="nil"/>
              <w:bottom w:val="single" w:color="auto" w:sz="4" w:space="0"/>
              <w:right w:val="single" w:color="auto" w:sz="4" w:space="0"/>
            </w:tcBorders>
            <w:vAlign w:val="center"/>
          </w:tcPr>
          <w:p w14:paraId="3A9CB5F7">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297D7ABE">
            <w:pPr>
              <w:spacing w:line="240" w:lineRule="auto"/>
              <w:ind w:firstLine="0" w:firstLineChars="0"/>
              <w:jc w:val="center"/>
              <w:rPr>
                <w:rFonts w:hint="eastAsia"/>
                <w:color w:val="auto"/>
                <w:sz w:val="21"/>
              </w:rPr>
            </w:pPr>
            <w:r>
              <w:rPr>
                <w:rFonts w:hint="eastAsia"/>
                <w:color w:val="auto"/>
                <w:sz w:val="21"/>
              </w:rPr>
              <w:t>进行风险界定与风险识别，确定风险清单。</w:t>
            </w:r>
          </w:p>
        </w:tc>
      </w:tr>
      <w:tr w14:paraId="55E61A97">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6B5E0F34">
            <w:pPr>
              <w:spacing w:line="240" w:lineRule="auto"/>
              <w:ind w:firstLine="0" w:firstLineChars="0"/>
              <w:jc w:val="center"/>
              <w:rPr>
                <w:rFonts w:hint="eastAsia"/>
                <w:color w:val="auto"/>
                <w:sz w:val="21"/>
              </w:rPr>
            </w:pPr>
            <w:r>
              <w:rPr>
                <w:rFonts w:hint="eastAsia"/>
                <w:color w:val="auto"/>
                <w:sz w:val="21"/>
              </w:rPr>
              <w:t>5</w:t>
            </w:r>
          </w:p>
        </w:tc>
        <w:tc>
          <w:tcPr>
            <w:tcW w:w="701" w:type="pct"/>
            <w:vMerge w:val="restart"/>
            <w:tcBorders>
              <w:top w:val="nil"/>
              <w:left w:val="nil"/>
              <w:bottom w:val="single" w:color="auto" w:sz="4" w:space="0"/>
              <w:right w:val="single" w:color="auto" w:sz="4" w:space="0"/>
            </w:tcBorders>
            <w:vAlign w:val="center"/>
          </w:tcPr>
          <w:p w14:paraId="1337B4D1">
            <w:pPr>
              <w:spacing w:line="240" w:lineRule="auto"/>
              <w:ind w:firstLine="0" w:firstLineChars="0"/>
              <w:jc w:val="center"/>
              <w:rPr>
                <w:rFonts w:hint="eastAsia"/>
                <w:color w:val="auto"/>
                <w:sz w:val="21"/>
              </w:rPr>
            </w:pPr>
            <w:r>
              <w:rPr>
                <w:rFonts w:hint="eastAsia"/>
                <w:color w:val="auto"/>
                <w:sz w:val="21"/>
              </w:rPr>
              <w:t>根据初步调查结果及风险评估要求，制定风险评估方案</w:t>
            </w:r>
          </w:p>
        </w:tc>
        <w:tc>
          <w:tcPr>
            <w:tcW w:w="3917" w:type="pct"/>
            <w:tcBorders>
              <w:top w:val="single" w:color="auto" w:sz="4" w:space="0"/>
              <w:left w:val="nil"/>
              <w:bottom w:val="single" w:color="auto" w:sz="4" w:space="0"/>
              <w:right w:val="single" w:color="auto" w:sz="4" w:space="0"/>
            </w:tcBorders>
            <w:vAlign w:val="center"/>
          </w:tcPr>
          <w:p w14:paraId="71C4FD2F">
            <w:pPr>
              <w:spacing w:line="240" w:lineRule="auto"/>
              <w:ind w:firstLine="0" w:firstLineChars="0"/>
              <w:jc w:val="center"/>
              <w:rPr>
                <w:rFonts w:hint="eastAsia"/>
                <w:color w:val="auto"/>
                <w:sz w:val="21"/>
              </w:rPr>
            </w:pPr>
            <w:r>
              <w:rPr>
                <w:rFonts w:hint="eastAsia"/>
                <w:color w:val="auto"/>
                <w:sz w:val="21"/>
              </w:rPr>
              <w:t>工程概况，包括工程等级、深度、周边环境，基坑形成时间等。</w:t>
            </w:r>
          </w:p>
        </w:tc>
      </w:tr>
      <w:tr w14:paraId="29E520C7">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720AE864">
            <w:pPr>
              <w:spacing w:line="240" w:lineRule="auto"/>
              <w:ind w:firstLine="0" w:firstLineChars="0"/>
              <w:jc w:val="center"/>
              <w:rPr>
                <w:rFonts w:hint="eastAsia"/>
                <w:color w:val="auto"/>
                <w:sz w:val="21"/>
              </w:rPr>
            </w:pPr>
            <w:r>
              <w:rPr>
                <w:rFonts w:hint="eastAsia"/>
                <w:color w:val="auto"/>
                <w:sz w:val="21"/>
              </w:rPr>
              <w:t>6</w:t>
            </w:r>
          </w:p>
        </w:tc>
        <w:tc>
          <w:tcPr>
            <w:tcW w:w="701" w:type="pct"/>
            <w:vMerge w:val="continue"/>
            <w:tcBorders>
              <w:top w:val="nil"/>
              <w:left w:val="nil"/>
              <w:bottom w:val="single" w:color="auto" w:sz="4" w:space="0"/>
              <w:right w:val="single" w:color="auto" w:sz="4" w:space="0"/>
            </w:tcBorders>
            <w:vAlign w:val="center"/>
          </w:tcPr>
          <w:p w14:paraId="31D924E6">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4280BCB9">
            <w:pPr>
              <w:spacing w:line="240" w:lineRule="auto"/>
              <w:ind w:firstLine="0" w:firstLineChars="0"/>
              <w:jc w:val="center"/>
              <w:rPr>
                <w:rFonts w:hint="eastAsia"/>
                <w:color w:val="auto"/>
                <w:sz w:val="21"/>
              </w:rPr>
            </w:pPr>
            <w:r>
              <w:rPr>
                <w:rFonts w:hint="eastAsia"/>
                <w:color w:val="auto"/>
                <w:sz w:val="21"/>
              </w:rPr>
              <w:t>风险评估的目的、范围、内容和要求。</w:t>
            </w:r>
          </w:p>
        </w:tc>
      </w:tr>
      <w:tr w14:paraId="50657E54">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08C634AD">
            <w:pPr>
              <w:spacing w:line="240" w:lineRule="auto"/>
              <w:ind w:firstLine="0" w:firstLineChars="0"/>
              <w:jc w:val="center"/>
              <w:rPr>
                <w:rFonts w:hint="eastAsia"/>
                <w:color w:val="auto"/>
                <w:sz w:val="21"/>
              </w:rPr>
            </w:pPr>
            <w:r>
              <w:rPr>
                <w:rFonts w:hint="eastAsia"/>
                <w:color w:val="auto"/>
                <w:sz w:val="21"/>
              </w:rPr>
              <w:t>7</w:t>
            </w:r>
          </w:p>
        </w:tc>
        <w:tc>
          <w:tcPr>
            <w:tcW w:w="701" w:type="pct"/>
            <w:vMerge w:val="continue"/>
            <w:tcBorders>
              <w:top w:val="nil"/>
              <w:left w:val="nil"/>
              <w:bottom w:val="single" w:color="auto" w:sz="4" w:space="0"/>
              <w:right w:val="single" w:color="auto" w:sz="4" w:space="0"/>
            </w:tcBorders>
            <w:vAlign w:val="center"/>
          </w:tcPr>
          <w:p w14:paraId="66E53387">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48786130">
            <w:pPr>
              <w:spacing w:line="240" w:lineRule="auto"/>
              <w:ind w:firstLine="0" w:firstLineChars="0"/>
              <w:jc w:val="center"/>
              <w:rPr>
                <w:rFonts w:hint="eastAsia"/>
                <w:color w:val="auto"/>
                <w:sz w:val="21"/>
              </w:rPr>
            </w:pPr>
            <w:r>
              <w:rPr>
                <w:rFonts w:hint="eastAsia"/>
                <w:color w:val="auto"/>
                <w:sz w:val="21"/>
              </w:rPr>
              <w:t>风险评估依据和标准，主要包括风险评估所依据的标准及有关的技术资料等。</w:t>
            </w:r>
          </w:p>
        </w:tc>
      </w:tr>
      <w:tr w14:paraId="1D0F69CA">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1F9CE36C">
            <w:pPr>
              <w:spacing w:line="240" w:lineRule="auto"/>
              <w:ind w:firstLine="0" w:firstLineChars="0"/>
              <w:jc w:val="center"/>
              <w:rPr>
                <w:rFonts w:hint="eastAsia"/>
                <w:color w:val="auto"/>
                <w:sz w:val="21"/>
              </w:rPr>
            </w:pPr>
            <w:r>
              <w:rPr>
                <w:rFonts w:hint="eastAsia"/>
                <w:color w:val="auto"/>
                <w:sz w:val="21"/>
              </w:rPr>
              <w:t>8</w:t>
            </w:r>
          </w:p>
        </w:tc>
        <w:tc>
          <w:tcPr>
            <w:tcW w:w="701" w:type="pct"/>
            <w:vMerge w:val="continue"/>
            <w:tcBorders>
              <w:top w:val="nil"/>
              <w:left w:val="nil"/>
              <w:bottom w:val="single" w:color="auto" w:sz="4" w:space="0"/>
              <w:right w:val="single" w:color="auto" w:sz="4" w:space="0"/>
            </w:tcBorders>
            <w:vAlign w:val="center"/>
          </w:tcPr>
          <w:p w14:paraId="6E85D236">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7A92E5FE">
            <w:pPr>
              <w:spacing w:line="240" w:lineRule="auto"/>
              <w:ind w:firstLine="0" w:firstLineChars="0"/>
              <w:jc w:val="center"/>
              <w:rPr>
                <w:rFonts w:hint="eastAsia"/>
                <w:color w:val="auto"/>
                <w:sz w:val="21"/>
              </w:rPr>
            </w:pPr>
            <w:r>
              <w:rPr>
                <w:rFonts w:hint="eastAsia"/>
                <w:color w:val="auto"/>
                <w:sz w:val="21"/>
              </w:rPr>
              <w:t>检测项目和选用的检测方法以及抽样检测的数量。</w:t>
            </w:r>
          </w:p>
        </w:tc>
      </w:tr>
      <w:tr w14:paraId="28519BC5">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647949E0">
            <w:pPr>
              <w:spacing w:line="240" w:lineRule="auto"/>
              <w:ind w:firstLine="0" w:firstLineChars="0"/>
              <w:jc w:val="center"/>
              <w:rPr>
                <w:rFonts w:hint="eastAsia"/>
                <w:color w:val="auto"/>
                <w:sz w:val="21"/>
              </w:rPr>
            </w:pPr>
            <w:r>
              <w:rPr>
                <w:rFonts w:hint="eastAsia"/>
                <w:color w:val="auto"/>
                <w:sz w:val="21"/>
              </w:rPr>
              <w:t>9</w:t>
            </w:r>
          </w:p>
        </w:tc>
        <w:tc>
          <w:tcPr>
            <w:tcW w:w="701" w:type="pct"/>
            <w:vMerge w:val="continue"/>
            <w:tcBorders>
              <w:top w:val="nil"/>
              <w:left w:val="nil"/>
              <w:bottom w:val="single" w:color="auto" w:sz="4" w:space="0"/>
              <w:right w:val="single" w:color="auto" w:sz="4" w:space="0"/>
            </w:tcBorders>
            <w:vAlign w:val="center"/>
          </w:tcPr>
          <w:p w14:paraId="6E6DA0CC">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7DD10095">
            <w:pPr>
              <w:spacing w:line="240" w:lineRule="auto"/>
              <w:ind w:firstLine="0" w:firstLineChars="0"/>
              <w:jc w:val="center"/>
              <w:rPr>
                <w:rFonts w:hint="eastAsia"/>
                <w:color w:val="auto"/>
                <w:sz w:val="21"/>
              </w:rPr>
            </w:pPr>
            <w:r>
              <w:rPr>
                <w:rFonts w:hint="eastAsia"/>
                <w:color w:val="auto"/>
                <w:sz w:val="21"/>
              </w:rPr>
              <w:t>风险评估人员、仪器设备情况和工作进度计划及所需要的配合工作。</w:t>
            </w:r>
          </w:p>
        </w:tc>
      </w:tr>
      <w:tr w14:paraId="1FF2B5A2">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321040AF">
            <w:pPr>
              <w:spacing w:line="240" w:lineRule="auto"/>
              <w:ind w:firstLine="0" w:firstLineChars="0"/>
              <w:jc w:val="center"/>
              <w:rPr>
                <w:rFonts w:hint="eastAsia"/>
                <w:color w:val="auto"/>
                <w:sz w:val="21"/>
              </w:rPr>
            </w:pPr>
            <w:r>
              <w:rPr>
                <w:rFonts w:hint="eastAsia"/>
                <w:color w:val="auto"/>
                <w:sz w:val="21"/>
              </w:rPr>
              <w:t>10</w:t>
            </w:r>
          </w:p>
        </w:tc>
        <w:tc>
          <w:tcPr>
            <w:tcW w:w="701" w:type="pct"/>
            <w:vMerge w:val="continue"/>
            <w:tcBorders>
              <w:top w:val="nil"/>
              <w:left w:val="nil"/>
              <w:bottom w:val="single" w:color="auto" w:sz="4" w:space="0"/>
              <w:right w:val="single" w:color="auto" w:sz="4" w:space="0"/>
            </w:tcBorders>
            <w:vAlign w:val="center"/>
          </w:tcPr>
          <w:p w14:paraId="2498F71B">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047697F0">
            <w:pPr>
              <w:spacing w:line="240" w:lineRule="auto"/>
              <w:ind w:firstLine="0" w:firstLineChars="0"/>
              <w:jc w:val="center"/>
              <w:rPr>
                <w:rFonts w:hint="eastAsia"/>
                <w:color w:val="auto"/>
                <w:sz w:val="21"/>
              </w:rPr>
            </w:pPr>
            <w:r>
              <w:rPr>
                <w:rFonts w:hint="eastAsia"/>
                <w:color w:val="auto"/>
                <w:sz w:val="21"/>
              </w:rPr>
              <w:t>现场施工安全措施和环保措施。</w:t>
            </w:r>
          </w:p>
        </w:tc>
      </w:tr>
      <w:tr w14:paraId="122BA959">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292B72D2">
            <w:pPr>
              <w:spacing w:line="240" w:lineRule="auto"/>
              <w:ind w:firstLine="0" w:firstLineChars="0"/>
              <w:jc w:val="center"/>
              <w:rPr>
                <w:rFonts w:hint="eastAsia"/>
                <w:color w:val="auto"/>
                <w:sz w:val="21"/>
              </w:rPr>
            </w:pPr>
            <w:r>
              <w:rPr>
                <w:rFonts w:hint="eastAsia"/>
                <w:color w:val="auto"/>
                <w:sz w:val="21"/>
              </w:rPr>
              <w:t>11</w:t>
            </w:r>
          </w:p>
        </w:tc>
        <w:tc>
          <w:tcPr>
            <w:tcW w:w="701" w:type="pct"/>
            <w:vMerge w:val="restart"/>
            <w:tcBorders>
              <w:top w:val="nil"/>
              <w:left w:val="nil"/>
              <w:bottom w:val="single" w:color="auto" w:sz="4" w:space="0"/>
              <w:right w:val="single" w:color="auto" w:sz="4" w:space="0"/>
            </w:tcBorders>
            <w:vAlign w:val="center"/>
          </w:tcPr>
          <w:p w14:paraId="20F046E3">
            <w:pPr>
              <w:spacing w:line="240" w:lineRule="auto"/>
              <w:ind w:firstLine="0" w:firstLineChars="0"/>
              <w:jc w:val="center"/>
              <w:rPr>
                <w:rFonts w:hint="eastAsia"/>
                <w:color w:val="auto"/>
                <w:sz w:val="21"/>
              </w:rPr>
            </w:pPr>
            <w:r>
              <w:rPr>
                <w:rFonts w:hint="eastAsia"/>
                <w:color w:val="auto"/>
                <w:sz w:val="21"/>
              </w:rPr>
              <w:t>现场调查与工程检测</w:t>
            </w:r>
          </w:p>
          <w:p w14:paraId="44E2A49F">
            <w:pPr>
              <w:spacing w:line="240" w:lineRule="auto"/>
              <w:ind w:firstLine="0" w:firstLineChars="0"/>
              <w:jc w:val="center"/>
              <w:rPr>
                <w:rFonts w:hint="eastAsia"/>
                <w:color w:val="auto"/>
                <w:sz w:val="21"/>
              </w:rPr>
            </w:pPr>
          </w:p>
        </w:tc>
        <w:tc>
          <w:tcPr>
            <w:tcW w:w="3917" w:type="pct"/>
            <w:tcBorders>
              <w:top w:val="single" w:color="auto" w:sz="4" w:space="0"/>
              <w:left w:val="nil"/>
              <w:bottom w:val="single" w:color="auto" w:sz="4" w:space="0"/>
              <w:right w:val="single" w:color="auto" w:sz="4" w:space="0"/>
            </w:tcBorders>
            <w:vAlign w:val="center"/>
          </w:tcPr>
          <w:p w14:paraId="1D7F584F">
            <w:pPr>
              <w:spacing w:line="240" w:lineRule="auto"/>
              <w:ind w:firstLine="0" w:firstLineChars="0"/>
              <w:jc w:val="center"/>
              <w:rPr>
                <w:rFonts w:hint="eastAsia"/>
                <w:color w:val="auto"/>
                <w:sz w:val="21"/>
              </w:rPr>
            </w:pPr>
            <w:r>
              <w:rPr>
                <w:rFonts w:hint="eastAsia"/>
                <w:color w:val="auto"/>
                <w:sz w:val="21"/>
              </w:rPr>
              <w:t>详细研究相关资料，当基坑工程地质勘察资料不完整或检测过程中发现其它工程地质问题时，应按规范执行。</w:t>
            </w:r>
          </w:p>
        </w:tc>
      </w:tr>
      <w:tr w14:paraId="418E77ED">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0D3A52C5">
            <w:pPr>
              <w:spacing w:line="240" w:lineRule="auto"/>
              <w:ind w:firstLine="0" w:firstLineChars="0"/>
              <w:jc w:val="center"/>
              <w:rPr>
                <w:rFonts w:hint="eastAsia"/>
                <w:color w:val="auto"/>
                <w:sz w:val="21"/>
              </w:rPr>
            </w:pPr>
            <w:r>
              <w:rPr>
                <w:rFonts w:hint="eastAsia"/>
                <w:color w:val="auto"/>
                <w:sz w:val="21"/>
              </w:rPr>
              <w:t>12</w:t>
            </w:r>
          </w:p>
        </w:tc>
        <w:tc>
          <w:tcPr>
            <w:tcW w:w="701" w:type="pct"/>
            <w:vMerge w:val="continue"/>
            <w:tcBorders>
              <w:top w:val="nil"/>
              <w:left w:val="nil"/>
              <w:bottom w:val="single" w:color="auto" w:sz="4" w:space="0"/>
              <w:right w:val="single" w:color="auto" w:sz="4" w:space="0"/>
            </w:tcBorders>
            <w:vAlign w:val="center"/>
          </w:tcPr>
          <w:p w14:paraId="79C59F8F">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36379A1F">
            <w:pPr>
              <w:spacing w:line="240" w:lineRule="auto"/>
              <w:ind w:firstLine="0" w:firstLineChars="0"/>
              <w:jc w:val="center"/>
              <w:rPr>
                <w:rFonts w:hint="eastAsia"/>
                <w:color w:val="auto"/>
                <w:sz w:val="21"/>
              </w:rPr>
            </w:pPr>
            <w:r>
              <w:rPr>
                <w:rFonts w:hint="eastAsia"/>
                <w:color w:val="auto"/>
                <w:sz w:val="21"/>
              </w:rPr>
              <w:t>对设计和施工、使用和维护、加固和处理等过程以及基坑的恒定荷载、活动荷载及偶然荷载作用和其他间接作用进行调查核实。</w:t>
            </w:r>
          </w:p>
        </w:tc>
      </w:tr>
      <w:tr w14:paraId="5955C5D8">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41A2E720">
            <w:pPr>
              <w:spacing w:line="240" w:lineRule="auto"/>
              <w:ind w:firstLine="0" w:firstLineChars="0"/>
              <w:jc w:val="center"/>
              <w:rPr>
                <w:rFonts w:hint="eastAsia"/>
                <w:color w:val="auto"/>
                <w:sz w:val="21"/>
              </w:rPr>
            </w:pPr>
            <w:r>
              <w:rPr>
                <w:rFonts w:hint="eastAsia"/>
                <w:color w:val="auto"/>
                <w:sz w:val="21"/>
              </w:rPr>
              <w:t>13</w:t>
            </w:r>
          </w:p>
        </w:tc>
        <w:tc>
          <w:tcPr>
            <w:tcW w:w="701" w:type="pct"/>
            <w:vMerge w:val="continue"/>
            <w:tcBorders>
              <w:top w:val="nil"/>
              <w:left w:val="nil"/>
              <w:bottom w:val="single" w:color="auto" w:sz="4" w:space="0"/>
              <w:right w:val="single" w:color="auto" w:sz="4" w:space="0"/>
            </w:tcBorders>
            <w:vAlign w:val="center"/>
          </w:tcPr>
          <w:p w14:paraId="18BF890E">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60171432">
            <w:pPr>
              <w:spacing w:line="240" w:lineRule="auto"/>
              <w:ind w:firstLine="0" w:firstLineChars="0"/>
              <w:jc w:val="center"/>
              <w:rPr>
                <w:rFonts w:hint="eastAsia"/>
                <w:color w:val="auto"/>
                <w:sz w:val="21"/>
              </w:rPr>
            </w:pPr>
            <w:r>
              <w:rPr>
                <w:rFonts w:hint="eastAsia"/>
                <w:color w:val="auto"/>
                <w:sz w:val="21"/>
              </w:rPr>
              <w:t>对材料性能进行检测分析，当设计有要求且不怀疑材料性能有变化时，可采用设计值，当无资料或存在问题时，应按国家现行有关检测技术标准，进行现场取样或现场测试。</w:t>
            </w:r>
          </w:p>
        </w:tc>
      </w:tr>
      <w:tr w14:paraId="3F10CDE0">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5ECC90FB">
            <w:pPr>
              <w:spacing w:line="240" w:lineRule="auto"/>
              <w:ind w:firstLine="0" w:firstLineChars="0"/>
              <w:jc w:val="center"/>
              <w:rPr>
                <w:rFonts w:hint="eastAsia"/>
                <w:color w:val="auto"/>
                <w:sz w:val="21"/>
              </w:rPr>
            </w:pPr>
            <w:r>
              <w:rPr>
                <w:rFonts w:hint="eastAsia"/>
                <w:color w:val="auto"/>
                <w:sz w:val="21"/>
              </w:rPr>
              <w:t>14</w:t>
            </w:r>
          </w:p>
        </w:tc>
        <w:tc>
          <w:tcPr>
            <w:tcW w:w="701" w:type="pct"/>
            <w:vMerge w:val="continue"/>
            <w:tcBorders>
              <w:top w:val="nil"/>
              <w:left w:val="nil"/>
              <w:bottom w:val="single" w:color="auto" w:sz="4" w:space="0"/>
              <w:right w:val="single" w:color="auto" w:sz="4" w:space="0"/>
            </w:tcBorders>
            <w:vAlign w:val="center"/>
          </w:tcPr>
          <w:p w14:paraId="125E8D7F">
            <w:pPr>
              <w:spacing w:line="240" w:lineRule="auto"/>
              <w:ind w:firstLine="0" w:firstLineChars="0"/>
              <w:jc w:val="center"/>
              <w:rPr>
                <w:color w:val="auto"/>
                <w:sz w:val="21"/>
              </w:rPr>
            </w:pPr>
          </w:p>
        </w:tc>
        <w:tc>
          <w:tcPr>
            <w:tcW w:w="3917" w:type="pct"/>
            <w:tcBorders>
              <w:top w:val="single" w:color="auto" w:sz="4" w:space="0"/>
              <w:left w:val="nil"/>
              <w:bottom w:val="single" w:color="auto" w:sz="4" w:space="0"/>
              <w:right w:val="single" w:color="auto" w:sz="4" w:space="0"/>
            </w:tcBorders>
            <w:vAlign w:val="center"/>
          </w:tcPr>
          <w:p w14:paraId="305A99D8">
            <w:pPr>
              <w:spacing w:line="240" w:lineRule="auto"/>
              <w:ind w:firstLine="0" w:firstLineChars="0"/>
              <w:jc w:val="center"/>
              <w:rPr>
                <w:rFonts w:hint="eastAsia"/>
                <w:color w:val="auto"/>
                <w:sz w:val="21"/>
              </w:rPr>
            </w:pPr>
            <w:r>
              <w:rPr>
                <w:rFonts w:hint="eastAsia"/>
                <w:color w:val="auto"/>
                <w:sz w:val="21"/>
              </w:rPr>
              <w:t>对附属工程进行检查和检测，重点检查基坑工程排水系统的设置和其使用功效，对其他影响安全的附属结构也应进行检查。</w:t>
            </w:r>
          </w:p>
        </w:tc>
      </w:tr>
      <w:tr w14:paraId="598C93EA">
        <w:tblPrEx>
          <w:tblCellMar>
            <w:top w:w="0" w:type="dxa"/>
            <w:left w:w="108" w:type="dxa"/>
            <w:bottom w:w="0" w:type="dxa"/>
            <w:right w:w="108" w:type="dxa"/>
          </w:tblCellMar>
        </w:tblPrEx>
        <w:trPr>
          <w:trHeight w:val="454" w:hRule="atLeast"/>
        </w:trPr>
        <w:tc>
          <w:tcPr>
            <w:tcW w:w="382" w:type="pct"/>
            <w:tcBorders>
              <w:top w:val="single" w:color="auto" w:sz="4" w:space="0"/>
              <w:left w:val="single" w:color="auto" w:sz="4" w:space="0"/>
              <w:bottom w:val="single" w:color="auto" w:sz="4" w:space="0"/>
              <w:right w:val="single" w:color="auto" w:sz="4" w:space="0"/>
            </w:tcBorders>
            <w:vAlign w:val="center"/>
          </w:tcPr>
          <w:p w14:paraId="70C84B7C">
            <w:pPr>
              <w:spacing w:line="240" w:lineRule="auto"/>
              <w:ind w:firstLine="0" w:firstLineChars="0"/>
              <w:jc w:val="center"/>
              <w:rPr>
                <w:rFonts w:hint="eastAsia"/>
                <w:color w:val="auto"/>
                <w:sz w:val="21"/>
              </w:rPr>
            </w:pPr>
            <w:r>
              <w:rPr>
                <w:rFonts w:hint="eastAsia"/>
                <w:color w:val="auto"/>
                <w:sz w:val="21"/>
              </w:rPr>
              <w:t>15</w:t>
            </w:r>
          </w:p>
        </w:tc>
        <w:tc>
          <w:tcPr>
            <w:tcW w:w="701" w:type="pct"/>
            <w:tcBorders>
              <w:top w:val="single" w:color="auto" w:sz="4" w:space="0"/>
              <w:left w:val="nil"/>
              <w:bottom w:val="single" w:color="auto" w:sz="4" w:space="0"/>
              <w:right w:val="single" w:color="auto" w:sz="4" w:space="0"/>
            </w:tcBorders>
            <w:vAlign w:val="center"/>
          </w:tcPr>
          <w:p w14:paraId="23E16702">
            <w:pPr>
              <w:spacing w:line="240" w:lineRule="auto"/>
              <w:ind w:firstLine="0" w:firstLineChars="0"/>
              <w:jc w:val="center"/>
              <w:rPr>
                <w:rFonts w:hint="eastAsia"/>
                <w:color w:val="auto"/>
                <w:sz w:val="21"/>
              </w:rPr>
            </w:pPr>
            <w:r>
              <w:rPr>
                <w:rFonts w:hint="eastAsia"/>
                <w:color w:val="auto"/>
                <w:sz w:val="21"/>
              </w:rPr>
              <w:t>当发现调查和检测资料不充分或不准确时，应及时补充</w:t>
            </w:r>
          </w:p>
        </w:tc>
        <w:tc>
          <w:tcPr>
            <w:tcW w:w="3917" w:type="pct"/>
            <w:tcBorders>
              <w:top w:val="single" w:color="auto" w:sz="4" w:space="0"/>
              <w:left w:val="nil"/>
              <w:bottom w:val="single" w:color="auto" w:sz="4" w:space="0"/>
              <w:right w:val="single" w:color="auto" w:sz="4" w:space="0"/>
            </w:tcBorders>
            <w:vAlign w:val="center"/>
          </w:tcPr>
          <w:p w14:paraId="6CA7F3AD">
            <w:pPr>
              <w:spacing w:line="240" w:lineRule="auto"/>
              <w:ind w:firstLine="0" w:firstLineChars="0"/>
              <w:jc w:val="center"/>
              <w:rPr>
                <w:rFonts w:hint="eastAsia"/>
                <w:color w:val="auto"/>
                <w:sz w:val="21"/>
              </w:rPr>
            </w:pPr>
            <w:r>
              <w:rPr>
                <w:rFonts w:hint="eastAsia"/>
                <w:color w:val="auto"/>
                <w:sz w:val="21"/>
              </w:rPr>
              <w:t>根据调查与检测数据，对各支护结构及构件的安全性进行分析验算，包括整体稳定性和局部稳定性分析，分析基坑风险发生原因，应对支护结构及构件的安全性、正常使用性进行分项风险评估。</w:t>
            </w:r>
          </w:p>
        </w:tc>
      </w:tr>
    </w:tbl>
    <w:p w14:paraId="0F1F43E2">
      <w:pPr>
        <w:rPr>
          <w:rFonts w:hint="eastAsia"/>
          <w:color w:val="auto"/>
        </w:rPr>
      </w:pPr>
      <w:r>
        <w:rPr>
          <w:rFonts w:hint="eastAsia"/>
          <w:color w:val="auto"/>
        </w:rPr>
        <w:t>（2）基坑工程安全风险评估标准应考虑安全风险发生的可能性及其损失。</w:t>
      </w:r>
    </w:p>
    <w:p w14:paraId="13AEEC9F">
      <w:pPr>
        <w:rPr>
          <w:rFonts w:hint="eastAsia"/>
          <w:color w:val="auto"/>
        </w:rPr>
      </w:pPr>
      <w:r>
        <w:rPr>
          <w:rFonts w:hint="eastAsia"/>
          <w:color w:val="auto"/>
        </w:rPr>
        <w:t>（3）基坑安全风险评估宜采用层次分析法、事故法和事件树法等量化风险评估方法，风险评估中应综合基坑本身安全风险和对周边环境影响风险进行评估。</w:t>
      </w:r>
    </w:p>
    <w:p w14:paraId="23494559">
      <w:pPr>
        <w:rPr>
          <w:rFonts w:hint="eastAsia"/>
          <w:color w:val="auto"/>
        </w:rPr>
      </w:pPr>
      <w:r>
        <w:rPr>
          <w:rFonts w:hint="eastAsia"/>
          <w:color w:val="auto"/>
        </w:rPr>
        <w:t>（4）根据基坑工程安全风险评估等级，应提出风险控制措施。风险控制的基本对策包括风险消除、风险降低、风险转移和风险自留。</w:t>
      </w:r>
    </w:p>
    <w:p w14:paraId="60ED4F23">
      <w:pPr>
        <w:rPr>
          <w:rFonts w:hint="eastAsia"/>
          <w:color w:val="auto"/>
        </w:rPr>
      </w:pPr>
      <w:r>
        <w:rPr>
          <w:rFonts w:hint="eastAsia"/>
          <w:color w:val="auto"/>
        </w:rPr>
        <w:t>3、风险控制</w:t>
      </w:r>
    </w:p>
    <w:p w14:paraId="6E50DD3E">
      <w:pPr>
        <w:rPr>
          <w:rFonts w:hint="eastAsia"/>
          <w:color w:val="auto"/>
        </w:rPr>
      </w:pPr>
      <w:r>
        <w:rPr>
          <w:rFonts w:hint="eastAsia"/>
          <w:color w:val="auto"/>
        </w:rPr>
        <w:t>（1）基坑工程安全风险控制应在基坑施工和使用中全过程实施，并应根据基坑工程特点和要求，制定现场事故应急抢险预案。</w:t>
      </w:r>
    </w:p>
    <w:p w14:paraId="6A0F28F1">
      <w:pPr>
        <w:rPr>
          <w:rFonts w:hint="eastAsia"/>
          <w:color w:val="auto"/>
        </w:rPr>
      </w:pPr>
      <w:r>
        <w:rPr>
          <w:rFonts w:hint="eastAsia"/>
          <w:color w:val="auto"/>
        </w:rPr>
        <w:t>（2）基坑工程安全技术控制措施的实施应符合下列规定：</w:t>
      </w:r>
    </w:p>
    <w:tbl>
      <w:tblPr>
        <w:tblStyle w:val="29"/>
        <w:tblW w:w="5000" w:type="pct"/>
        <w:tblInd w:w="0" w:type="dxa"/>
        <w:tblLayout w:type="autofit"/>
        <w:tblCellMar>
          <w:top w:w="0" w:type="dxa"/>
          <w:left w:w="108" w:type="dxa"/>
          <w:bottom w:w="0" w:type="dxa"/>
          <w:right w:w="108" w:type="dxa"/>
        </w:tblCellMar>
      </w:tblPr>
      <w:tblGrid>
        <w:gridCol w:w="694"/>
        <w:gridCol w:w="8366"/>
      </w:tblGrid>
      <w:tr w14:paraId="1A89DEE8">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00D51DB3">
            <w:pPr>
              <w:spacing w:line="240" w:lineRule="auto"/>
              <w:ind w:firstLine="0" w:firstLineChars="0"/>
              <w:jc w:val="center"/>
              <w:rPr>
                <w:rFonts w:hint="eastAsia"/>
                <w:color w:val="auto"/>
                <w:sz w:val="21"/>
              </w:rPr>
            </w:pPr>
            <w:r>
              <w:rPr>
                <w:rFonts w:hint="eastAsia"/>
                <w:color w:val="auto"/>
                <w:sz w:val="21"/>
              </w:rPr>
              <w:t>序号</w:t>
            </w:r>
          </w:p>
        </w:tc>
        <w:tc>
          <w:tcPr>
            <w:tcW w:w="4617" w:type="pct"/>
            <w:tcBorders>
              <w:top w:val="single" w:color="auto" w:sz="4" w:space="0"/>
              <w:left w:val="nil"/>
              <w:bottom w:val="single" w:color="auto" w:sz="4" w:space="0"/>
              <w:right w:val="single" w:color="auto" w:sz="4" w:space="0"/>
            </w:tcBorders>
            <w:vAlign w:val="center"/>
          </w:tcPr>
          <w:p w14:paraId="740E3389">
            <w:pPr>
              <w:spacing w:line="240" w:lineRule="auto"/>
              <w:ind w:firstLine="0" w:firstLineChars="0"/>
              <w:jc w:val="center"/>
              <w:rPr>
                <w:rFonts w:hint="eastAsia"/>
                <w:color w:val="auto"/>
                <w:sz w:val="21"/>
              </w:rPr>
            </w:pPr>
            <w:r>
              <w:rPr>
                <w:rFonts w:hint="eastAsia"/>
                <w:color w:val="auto"/>
                <w:sz w:val="21"/>
              </w:rPr>
              <w:t>具体规定</w:t>
            </w:r>
          </w:p>
        </w:tc>
      </w:tr>
      <w:tr w14:paraId="00CA487C">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18A6FBFE">
            <w:pPr>
              <w:spacing w:line="240" w:lineRule="auto"/>
              <w:ind w:firstLine="0" w:firstLineChars="0"/>
              <w:jc w:val="center"/>
              <w:rPr>
                <w:rFonts w:hint="eastAsia"/>
                <w:color w:val="auto"/>
                <w:sz w:val="21"/>
              </w:rPr>
            </w:pPr>
            <w:r>
              <w:rPr>
                <w:rFonts w:hint="eastAsia"/>
                <w:color w:val="auto"/>
                <w:sz w:val="21"/>
              </w:rPr>
              <w:t>1</w:t>
            </w:r>
          </w:p>
        </w:tc>
        <w:tc>
          <w:tcPr>
            <w:tcW w:w="4617" w:type="pct"/>
            <w:tcBorders>
              <w:top w:val="single" w:color="auto" w:sz="4" w:space="0"/>
              <w:left w:val="nil"/>
              <w:bottom w:val="single" w:color="auto" w:sz="4" w:space="0"/>
              <w:right w:val="single" w:color="auto" w:sz="4" w:space="0"/>
            </w:tcBorders>
            <w:vAlign w:val="center"/>
          </w:tcPr>
          <w:p w14:paraId="10FF5AE6">
            <w:pPr>
              <w:spacing w:line="240" w:lineRule="auto"/>
              <w:ind w:firstLine="0" w:firstLineChars="0"/>
              <w:jc w:val="center"/>
              <w:rPr>
                <w:rFonts w:hint="eastAsia"/>
                <w:color w:val="auto"/>
                <w:sz w:val="21"/>
              </w:rPr>
            </w:pPr>
            <w:r>
              <w:rPr>
                <w:rFonts w:hint="eastAsia"/>
                <w:color w:val="auto"/>
                <w:sz w:val="21"/>
              </w:rPr>
              <w:t>应根据安全等级、制定安全规划和安全技术控制措施。</w:t>
            </w:r>
          </w:p>
        </w:tc>
      </w:tr>
      <w:tr w14:paraId="0647DFC4">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6BE8FC2E">
            <w:pPr>
              <w:spacing w:line="240" w:lineRule="auto"/>
              <w:ind w:firstLine="0" w:firstLineChars="0"/>
              <w:jc w:val="center"/>
              <w:rPr>
                <w:rFonts w:hint="eastAsia"/>
                <w:color w:val="auto"/>
                <w:sz w:val="21"/>
              </w:rPr>
            </w:pPr>
            <w:r>
              <w:rPr>
                <w:rFonts w:hint="eastAsia"/>
                <w:color w:val="auto"/>
                <w:sz w:val="21"/>
              </w:rPr>
              <w:t>2</w:t>
            </w:r>
          </w:p>
        </w:tc>
        <w:tc>
          <w:tcPr>
            <w:tcW w:w="4617" w:type="pct"/>
            <w:tcBorders>
              <w:top w:val="single" w:color="auto" w:sz="4" w:space="0"/>
              <w:left w:val="nil"/>
              <w:bottom w:val="single" w:color="auto" w:sz="4" w:space="0"/>
              <w:right w:val="single" w:color="auto" w:sz="4" w:space="0"/>
            </w:tcBorders>
            <w:vAlign w:val="center"/>
          </w:tcPr>
          <w:p w14:paraId="70AF5223">
            <w:pPr>
              <w:spacing w:line="240" w:lineRule="auto"/>
              <w:ind w:firstLine="0" w:firstLineChars="0"/>
              <w:jc w:val="center"/>
              <w:rPr>
                <w:rFonts w:hint="eastAsia"/>
                <w:color w:val="auto"/>
                <w:sz w:val="21"/>
              </w:rPr>
            </w:pPr>
            <w:r>
              <w:rPr>
                <w:rFonts w:hint="eastAsia"/>
                <w:color w:val="auto"/>
                <w:sz w:val="21"/>
              </w:rPr>
              <w:t>安全技术控制措施应符合安全技术分析的要求。</w:t>
            </w:r>
          </w:p>
        </w:tc>
      </w:tr>
      <w:tr w14:paraId="4B098712">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54FEDFF6">
            <w:pPr>
              <w:spacing w:line="240" w:lineRule="auto"/>
              <w:ind w:firstLine="0" w:firstLineChars="0"/>
              <w:jc w:val="center"/>
              <w:rPr>
                <w:rFonts w:hint="eastAsia"/>
                <w:color w:val="auto"/>
                <w:sz w:val="21"/>
              </w:rPr>
            </w:pPr>
            <w:r>
              <w:rPr>
                <w:rFonts w:hint="eastAsia"/>
                <w:color w:val="auto"/>
                <w:sz w:val="21"/>
              </w:rPr>
              <w:t>3</w:t>
            </w:r>
          </w:p>
        </w:tc>
        <w:tc>
          <w:tcPr>
            <w:tcW w:w="4617" w:type="pct"/>
            <w:tcBorders>
              <w:top w:val="single" w:color="auto" w:sz="4" w:space="0"/>
              <w:left w:val="nil"/>
              <w:bottom w:val="single" w:color="auto" w:sz="4" w:space="0"/>
              <w:right w:val="single" w:color="auto" w:sz="4" w:space="0"/>
            </w:tcBorders>
            <w:vAlign w:val="center"/>
          </w:tcPr>
          <w:p w14:paraId="02C87DAC">
            <w:pPr>
              <w:spacing w:line="240" w:lineRule="auto"/>
              <w:ind w:firstLine="0" w:firstLineChars="0"/>
              <w:jc w:val="center"/>
              <w:rPr>
                <w:rFonts w:hint="eastAsia"/>
                <w:color w:val="auto"/>
                <w:sz w:val="21"/>
              </w:rPr>
            </w:pPr>
            <w:r>
              <w:rPr>
                <w:rFonts w:hint="eastAsia"/>
                <w:color w:val="auto"/>
                <w:sz w:val="21"/>
              </w:rPr>
              <w:t>安全技术控制措施实施程序的更改应处于控制之中。</w:t>
            </w:r>
          </w:p>
        </w:tc>
      </w:tr>
      <w:tr w14:paraId="348E7378">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629A9441">
            <w:pPr>
              <w:spacing w:line="240" w:lineRule="auto"/>
              <w:ind w:firstLine="0" w:firstLineChars="0"/>
              <w:jc w:val="center"/>
              <w:rPr>
                <w:rFonts w:hint="eastAsia"/>
                <w:color w:val="auto"/>
                <w:sz w:val="21"/>
              </w:rPr>
            </w:pPr>
            <w:r>
              <w:rPr>
                <w:rFonts w:hint="eastAsia"/>
                <w:color w:val="auto"/>
                <w:sz w:val="21"/>
              </w:rPr>
              <w:t>4</w:t>
            </w:r>
          </w:p>
        </w:tc>
        <w:tc>
          <w:tcPr>
            <w:tcW w:w="4617" w:type="pct"/>
            <w:tcBorders>
              <w:top w:val="single" w:color="auto" w:sz="4" w:space="0"/>
              <w:left w:val="nil"/>
              <w:bottom w:val="single" w:color="auto" w:sz="4" w:space="0"/>
              <w:right w:val="single" w:color="auto" w:sz="4" w:space="0"/>
            </w:tcBorders>
            <w:vAlign w:val="center"/>
          </w:tcPr>
          <w:p w14:paraId="50BF542E">
            <w:pPr>
              <w:spacing w:line="240" w:lineRule="auto"/>
              <w:ind w:firstLine="0" w:firstLineChars="0"/>
              <w:jc w:val="center"/>
              <w:rPr>
                <w:rFonts w:hint="eastAsia"/>
                <w:color w:val="auto"/>
                <w:sz w:val="21"/>
              </w:rPr>
            </w:pPr>
            <w:r>
              <w:rPr>
                <w:rFonts w:hint="eastAsia"/>
                <w:color w:val="auto"/>
                <w:sz w:val="21"/>
              </w:rPr>
              <w:t>安全技术控制措施应按施工流程及工序、施工工艺进行实施。</w:t>
            </w:r>
          </w:p>
        </w:tc>
      </w:tr>
      <w:tr w14:paraId="22B685D0">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1F2E4400">
            <w:pPr>
              <w:spacing w:line="240" w:lineRule="auto"/>
              <w:ind w:firstLine="0" w:firstLineChars="0"/>
              <w:jc w:val="center"/>
              <w:rPr>
                <w:rFonts w:hint="eastAsia"/>
                <w:color w:val="auto"/>
                <w:sz w:val="21"/>
              </w:rPr>
            </w:pPr>
            <w:r>
              <w:rPr>
                <w:rFonts w:hint="eastAsia"/>
                <w:color w:val="auto"/>
                <w:sz w:val="21"/>
              </w:rPr>
              <w:t>5</w:t>
            </w:r>
          </w:p>
        </w:tc>
        <w:tc>
          <w:tcPr>
            <w:tcW w:w="4617" w:type="pct"/>
            <w:tcBorders>
              <w:top w:val="single" w:color="auto" w:sz="4" w:space="0"/>
              <w:left w:val="nil"/>
              <w:bottom w:val="single" w:color="auto" w:sz="4" w:space="0"/>
              <w:right w:val="single" w:color="auto" w:sz="4" w:space="0"/>
            </w:tcBorders>
            <w:vAlign w:val="center"/>
          </w:tcPr>
          <w:p w14:paraId="4AA9A0B8">
            <w:pPr>
              <w:spacing w:line="240" w:lineRule="auto"/>
              <w:ind w:firstLine="0" w:firstLineChars="0"/>
              <w:jc w:val="center"/>
              <w:rPr>
                <w:rFonts w:hint="eastAsia"/>
                <w:color w:val="auto"/>
                <w:sz w:val="21"/>
              </w:rPr>
            </w:pPr>
            <w:r>
              <w:rPr>
                <w:rFonts w:hint="eastAsia"/>
                <w:color w:val="auto"/>
                <w:sz w:val="21"/>
              </w:rPr>
              <w:t>应以数据分析、信息分析以及过程监测反馈设计为基础，控制安全技术措施实施的过程、过程之间的相互作用。</w:t>
            </w:r>
          </w:p>
        </w:tc>
      </w:tr>
    </w:tbl>
    <w:p w14:paraId="2C697979">
      <w:pPr>
        <w:rPr>
          <w:rFonts w:hint="eastAsia"/>
          <w:color w:val="auto"/>
        </w:rPr>
      </w:pPr>
      <w:r>
        <w:rPr>
          <w:rFonts w:hint="eastAsia"/>
          <w:color w:val="auto"/>
        </w:rPr>
        <w:t>（3）基坑工程施工现场应按应急预案做好下列抢险准备：</w:t>
      </w:r>
    </w:p>
    <w:tbl>
      <w:tblPr>
        <w:tblStyle w:val="29"/>
        <w:tblW w:w="5000" w:type="pct"/>
        <w:tblInd w:w="0" w:type="dxa"/>
        <w:tblLayout w:type="autofit"/>
        <w:tblCellMar>
          <w:top w:w="0" w:type="dxa"/>
          <w:left w:w="108" w:type="dxa"/>
          <w:bottom w:w="0" w:type="dxa"/>
          <w:right w:w="108" w:type="dxa"/>
        </w:tblCellMar>
      </w:tblPr>
      <w:tblGrid>
        <w:gridCol w:w="694"/>
        <w:gridCol w:w="8366"/>
      </w:tblGrid>
      <w:tr w14:paraId="75818492">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2E30E027">
            <w:pPr>
              <w:spacing w:line="240" w:lineRule="auto"/>
              <w:ind w:firstLine="0" w:firstLineChars="0"/>
              <w:jc w:val="center"/>
              <w:rPr>
                <w:rFonts w:hint="eastAsia"/>
                <w:color w:val="auto"/>
                <w:sz w:val="21"/>
              </w:rPr>
            </w:pPr>
            <w:r>
              <w:rPr>
                <w:rFonts w:hint="eastAsia"/>
                <w:color w:val="auto"/>
                <w:sz w:val="21"/>
              </w:rPr>
              <w:t>序号</w:t>
            </w:r>
          </w:p>
        </w:tc>
        <w:tc>
          <w:tcPr>
            <w:tcW w:w="4617" w:type="pct"/>
            <w:tcBorders>
              <w:top w:val="single" w:color="auto" w:sz="4" w:space="0"/>
              <w:left w:val="nil"/>
              <w:bottom w:val="single" w:color="auto" w:sz="4" w:space="0"/>
              <w:right w:val="single" w:color="auto" w:sz="4" w:space="0"/>
            </w:tcBorders>
            <w:vAlign w:val="center"/>
          </w:tcPr>
          <w:p w14:paraId="1EB8A9D0">
            <w:pPr>
              <w:spacing w:line="240" w:lineRule="auto"/>
              <w:ind w:firstLine="0" w:firstLineChars="0"/>
              <w:jc w:val="center"/>
              <w:rPr>
                <w:rFonts w:hint="eastAsia"/>
                <w:color w:val="auto"/>
                <w:sz w:val="21"/>
              </w:rPr>
            </w:pPr>
            <w:r>
              <w:rPr>
                <w:rFonts w:hint="eastAsia"/>
                <w:color w:val="auto"/>
                <w:sz w:val="21"/>
              </w:rPr>
              <w:t>准备内容</w:t>
            </w:r>
          </w:p>
        </w:tc>
      </w:tr>
      <w:tr w14:paraId="46784ACE">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21642FDB">
            <w:pPr>
              <w:spacing w:line="240" w:lineRule="auto"/>
              <w:ind w:firstLine="0" w:firstLineChars="0"/>
              <w:jc w:val="center"/>
              <w:rPr>
                <w:rFonts w:hint="eastAsia"/>
                <w:color w:val="auto"/>
                <w:sz w:val="21"/>
              </w:rPr>
            </w:pPr>
            <w:r>
              <w:rPr>
                <w:rFonts w:hint="eastAsia"/>
                <w:color w:val="auto"/>
                <w:sz w:val="21"/>
              </w:rPr>
              <w:t>1</w:t>
            </w:r>
          </w:p>
        </w:tc>
        <w:tc>
          <w:tcPr>
            <w:tcW w:w="4617" w:type="pct"/>
            <w:tcBorders>
              <w:top w:val="single" w:color="auto" w:sz="4" w:space="0"/>
              <w:left w:val="nil"/>
              <w:bottom w:val="single" w:color="auto" w:sz="4" w:space="0"/>
              <w:right w:val="single" w:color="auto" w:sz="4" w:space="0"/>
            </w:tcBorders>
            <w:vAlign w:val="center"/>
          </w:tcPr>
          <w:p w14:paraId="203551DC">
            <w:pPr>
              <w:spacing w:line="240" w:lineRule="auto"/>
              <w:ind w:firstLine="0" w:firstLineChars="0"/>
              <w:jc w:val="center"/>
              <w:rPr>
                <w:rFonts w:hint="eastAsia"/>
                <w:color w:val="auto"/>
                <w:sz w:val="21"/>
              </w:rPr>
            </w:pPr>
            <w:r>
              <w:rPr>
                <w:rFonts w:hint="eastAsia"/>
                <w:color w:val="auto"/>
                <w:sz w:val="21"/>
              </w:rPr>
              <w:t>增加基坑变形监测手段与频次的措施。</w:t>
            </w:r>
          </w:p>
        </w:tc>
      </w:tr>
      <w:tr w14:paraId="02B31DF8">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0A3F339B">
            <w:pPr>
              <w:spacing w:line="240" w:lineRule="auto"/>
              <w:ind w:firstLine="0" w:firstLineChars="0"/>
              <w:jc w:val="center"/>
              <w:rPr>
                <w:rFonts w:hint="eastAsia"/>
                <w:color w:val="auto"/>
                <w:sz w:val="21"/>
              </w:rPr>
            </w:pPr>
            <w:r>
              <w:rPr>
                <w:rFonts w:hint="eastAsia"/>
                <w:color w:val="auto"/>
                <w:sz w:val="21"/>
              </w:rPr>
              <w:t>2</w:t>
            </w:r>
          </w:p>
        </w:tc>
        <w:tc>
          <w:tcPr>
            <w:tcW w:w="4617" w:type="pct"/>
            <w:tcBorders>
              <w:top w:val="single" w:color="auto" w:sz="4" w:space="0"/>
              <w:left w:val="nil"/>
              <w:bottom w:val="single" w:color="auto" w:sz="4" w:space="0"/>
              <w:right w:val="single" w:color="auto" w:sz="4" w:space="0"/>
            </w:tcBorders>
            <w:vAlign w:val="center"/>
          </w:tcPr>
          <w:p w14:paraId="240A4A7E">
            <w:pPr>
              <w:spacing w:line="240" w:lineRule="auto"/>
              <w:ind w:firstLine="0" w:firstLineChars="0"/>
              <w:jc w:val="center"/>
              <w:rPr>
                <w:rFonts w:hint="eastAsia"/>
                <w:color w:val="auto"/>
                <w:sz w:val="21"/>
              </w:rPr>
            </w:pPr>
            <w:r>
              <w:rPr>
                <w:rFonts w:hint="eastAsia"/>
                <w:color w:val="auto"/>
                <w:sz w:val="21"/>
              </w:rPr>
              <w:t>储备截水堵漏的必要器材。</w:t>
            </w:r>
          </w:p>
        </w:tc>
      </w:tr>
      <w:tr w14:paraId="13EE68B1">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7572D4B4">
            <w:pPr>
              <w:spacing w:line="240" w:lineRule="auto"/>
              <w:ind w:firstLine="0" w:firstLineChars="0"/>
              <w:jc w:val="center"/>
              <w:rPr>
                <w:rFonts w:hint="eastAsia"/>
                <w:color w:val="auto"/>
                <w:sz w:val="21"/>
              </w:rPr>
            </w:pPr>
            <w:r>
              <w:rPr>
                <w:rFonts w:hint="eastAsia"/>
                <w:color w:val="auto"/>
                <w:sz w:val="21"/>
              </w:rPr>
              <w:t>3</w:t>
            </w:r>
          </w:p>
        </w:tc>
        <w:tc>
          <w:tcPr>
            <w:tcW w:w="4617" w:type="pct"/>
            <w:tcBorders>
              <w:top w:val="single" w:color="auto" w:sz="4" w:space="0"/>
              <w:left w:val="nil"/>
              <w:bottom w:val="single" w:color="auto" w:sz="4" w:space="0"/>
              <w:right w:val="single" w:color="auto" w:sz="4" w:space="0"/>
            </w:tcBorders>
            <w:vAlign w:val="center"/>
          </w:tcPr>
          <w:p w14:paraId="491C6EF9">
            <w:pPr>
              <w:spacing w:line="240" w:lineRule="auto"/>
              <w:ind w:firstLine="0" w:firstLineChars="0"/>
              <w:jc w:val="center"/>
              <w:rPr>
                <w:rFonts w:hint="eastAsia"/>
                <w:color w:val="auto"/>
                <w:sz w:val="21"/>
              </w:rPr>
            </w:pPr>
            <w:r>
              <w:rPr>
                <w:rFonts w:hint="eastAsia"/>
                <w:color w:val="auto"/>
                <w:sz w:val="21"/>
              </w:rPr>
              <w:t>抢险所需的钢材、水泥、草袋及堵漏材料等。</w:t>
            </w:r>
          </w:p>
        </w:tc>
      </w:tr>
      <w:tr w14:paraId="189822BC">
        <w:tblPrEx>
          <w:tblCellMar>
            <w:top w:w="0" w:type="dxa"/>
            <w:left w:w="108" w:type="dxa"/>
            <w:bottom w:w="0" w:type="dxa"/>
            <w:right w:w="108" w:type="dxa"/>
          </w:tblCellMar>
        </w:tblPrEx>
        <w:trPr>
          <w:trHeight w:val="454" w:hRule="atLeast"/>
        </w:trPr>
        <w:tc>
          <w:tcPr>
            <w:tcW w:w="383" w:type="pct"/>
            <w:tcBorders>
              <w:top w:val="single" w:color="auto" w:sz="4" w:space="0"/>
              <w:left w:val="single" w:color="auto" w:sz="4" w:space="0"/>
              <w:bottom w:val="single" w:color="auto" w:sz="4" w:space="0"/>
              <w:right w:val="single" w:color="auto" w:sz="4" w:space="0"/>
            </w:tcBorders>
            <w:vAlign w:val="center"/>
          </w:tcPr>
          <w:p w14:paraId="3E036836">
            <w:pPr>
              <w:spacing w:line="240" w:lineRule="auto"/>
              <w:ind w:firstLine="0" w:firstLineChars="0"/>
              <w:jc w:val="center"/>
              <w:rPr>
                <w:rFonts w:hint="eastAsia"/>
                <w:color w:val="auto"/>
                <w:sz w:val="21"/>
              </w:rPr>
            </w:pPr>
            <w:r>
              <w:rPr>
                <w:rFonts w:hint="eastAsia"/>
                <w:color w:val="auto"/>
                <w:sz w:val="21"/>
              </w:rPr>
              <w:t>4</w:t>
            </w:r>
          </w:p>
        </w:tc>
        <w:tc>
          <w:tcPr>
            <w:tcW w:w="4617" w:type="pct"/>
            <w:tcBorders>
              <w:top w:val="single" w:color="auto" w:sz="4" w:space="0"/>
              <w:left w:val="nil"/>
              <w:bottom w:val="single" w:color="auto" w:sz="4" w:space="0"/>
              <w:right w:val="single" w:color="auto" w:sz="4" w:space="0"/>
            </w:tcBorders>
            <w:vAlign w:val="center"/>
          </w:tcPr>
          <w:p w14:paraId="1B64A125">
            <w:pPr>
              <w:spacing w:line="240" w:lineRule="auto"/>
              <w:ind w:firstLine="0" w:firstLineChars="0"/>
              <w:jc w:val="center"/>
              <w:rPr>
                <w:rFonts w:hint="eastAsia"/>
                <w:color w:val="auto"/>
                <w:sz w:val="21"/>
              </w:rPr>
            </w:pPr>
            <w:r>
              <w:rPr>
                <w:rFonts w:hint="eastAsia"/>
                <w:color w:val="auto"/>
                <w:sz w:val="21"/>
              </w:rPr>
              <w:t>应急通道畅通。</w:t>
            </w:r>
          </w:p>
        </w:tc>
      </w:tr>
    </w:tbl>
    <w:p w14:paraId="623A3D8E">
      <w:pPr>
        <w:rPr>
          <w:rFonts w:hint="eastAsia"/>
          <w:color w:val="auto"/>
        </w:rPr>
      </w:pPr>
      <w:r>
        <w:rPr>
          <w:rFonts w:hint="eastAsia"/>
          <w:color w:val="auto"/>
        </w:rPr>
        <w:t>（4）当出现下列情况之一时，应立即停止施工，并对基坑边坡和周边环境保护对象采取风险处置措施：</w:t>
      </w:r>
    </w:p>
    <w:tbl>
      <w:tblPr>
        <w:tblStyle w:val="29"/>
        <w:tblW w:w="5000" w:type="pct"/>
        <w:tblInd w:w="0" w:type="dxa"/>
        <w:tblLayout w:type="autofit"/>
        <w:tblCellMar>
          <w:top w:w="0" w:type="dxa"/>
          <w:left w:w="108" w:type="dxa"/>
          <w:bottom w:w="0" w:type="dxa"/>
          <w:right w:w="108" w:type="dxa"/>
        </w:tblCellMar>
      </w:tblPr>
      <w:tblGrid>
        <w:gridCol w:w="689"/>
        <w:gridCol w:w="8371"/>
      </w:tblGrid>
      <w:tr w14:paraId="50889496">
        <w:tblPrEx>
          <w:tblCellMar>
            <w:top w:w="0" w:type="dxa"/>
            <w:left w:w="108" w:type="dxa"/>
            <w:bottom w:w="0" w:type="dxa"/>
            <w:right w:w="108" w:type="dxa"/>
          </w:tblCellMar>
        </w:tblPrEx>
        <w:trPr>
          <w:trHeight w:val="454" w:hRule="atLeast"/>
        </w:trPr>
        <w:tc>
          <w:tcPr>
            <w:tcW w:w="380" w:type="pct"/>
            <w:tcBorders>
              <w:top w:val="single" w:color="auto" w:sz="4" w:space="0"/>
              <w:left w:val="single" w:color="auto" w:sz="4" w:space="0"/>
              <w:bottom w:val="single" w:color="auto" w:sz="4" w:space="0"/>
              <w:right w:val="single" w:color="auto" w:sz="4" w:space="0"/>
            </w:tcBorders>
            <w:vAlign w:val="center"/>
          </w:tcPr>
          <w:p w14:paraId="7E0E2E04">
            <w:pPr>
              <w:spacing w:line="240" w:lineRule="auto"/>
              <w:ind w:firstLine="0" w:firstLineChars="0"/>
              <w:jc w:val="center"/>
              <w:rPr>
                <w:rFonts w:hint="eastAsia"/>
                <w:color w:val="auto"/>
                <w:sz w:val="21"/>
              </w:rPr>
            </w:pPr>
            <w:r>
              <w:rPr>
                <w:rFonts w:hint="eastAsia"/>
                <w:color w:val="auto"/>
                <w:sz w:val="21"/>
              </w:rPr>
              <w:t>序号</w:t>
            </w:r>
          </w:p>
        </w:tc>
        <w:tc>
          <w:tcPr>
            <w:tcW w:w="4620" w:type="pct"/>
            <w:tcBorders>
              <w:top w:val="single" w:color="auto" w:sz="4" w:space="0"/>
              <w:left w:val="nil"/>
              <w:bottom w:val="single" w:color="auto" w:sz="4" w:space="0"/>
              <w:right w:val="single" w:color="auto" w:sz="4" w:space="0"/>
            </w:tcBorders>
            <w:vAlign w:val="center"/>
          </w:tcPr>
          <w:p w14:paraId="495007FD">
            <w:pPr>
              <w:spacing w:line="240" w:lineRule="auto"/>
              <w:ind w:firstLine="0" w:firstLineChars="0"/>
              <w:jc w:val="center"/>
              <w:rPr>
                <w:rFonts w:hint="eastAsia"/>
                <w:color w:val="auto"/>
                <w:sz w:val="21"/>
              </w:rPr>
            </w:pPr>
            <w:r>
              <w:rPr>
                <w:rFonts w:hint="eastAsia"/>
                <w:color w:val="auto"/>
                <w:sz w:val="21"/>
              </w:rPr>
              <w:t>具体情况</w:t>
            </w:r>
          </w:p>
        </w:tc>
      </w:tr>
      <w:tr w14:paraId="124DE3C3">
        <w:tblPrEx>
          <w:tblCellMar>
            <w:top w:w="0" w:type="dxa"/>
            <w:left w:w="108" w:type="dxa"/>
            <w:bottom w:w="0" w:type="dxa"/>
            <w:right w:w="108" w:type="dxa"/>
          </w:tblCellMar>
        </w:tblPrEx>
        <w:trPr>
          <w:trHeight w:val="454" w:hRule="atLeast"/>
        </w:trPr>
        <w:tc>
          <w:tcPr>
            <w:tcW w:w="380" w:type="pct"/>
            <w:tcBorders>
              <w:top w:val="single" w:color="auto" w:sz="4" w:space="0"/>
              <w:left w:val="single" w:color="auto" w:sz="4" w:space="0"/>
              <w:bottom w:val="single" w:color="auto" w:sz="4" w:space="0"/>
              <w:right w:val="single" w:color="auto" w:sz="4" w:space="0"/>
            </w:tcBorders>
            <w:vAlign w:val="center"/>
          </w:tcPr>
          <w:p w14:paraId="0CE60E88">
            <w:pPr>
              <w:spacing w:line="240" w:lineRule="auto"/>
              <w:ind w:firstLine="0" w:firstLineChars="0"/>
              <w:jc w:val="center"/>
              <w:rPr>
                <w:rFonts w:hint="eastAsia"/>
                <w:color w:val="auto"/>
                <w:sz w:val="21"/>
              </w:rPr>
            </w:pPr>
            <w:r>
              <w:rPr>
                <w:rFonts w:hint="eastAsia"/>
                <w:color w:val="auto"/>
                <w:sz w:val="21"/>
              </w:rPr>
              <w:t>1</w:t>
            </w:r>
          </w:p>
        </w:tc>
        <w:tc>
          <w:tcPr>
            <w:tcW w:w="4620" w:type="pct"/>
            <w:tcBorders>
              <w:top w:val="single" w:color="auto" w:sz="4" w:space="0"/>
              <w:left w:val="nil"/>
              <w:bottom w:val="single" w:color="auto" w:sz="4" w:space="0"/>
              <w:right w:val="single" w:color="auto" w:sz="4" w:space="0"/>
            </w:tcBorders>
            <w:vAlign w:val="center"/>
          </w:tcPr>
          <w:p w14:paraId="7731D440">
            <w:pPr>
              <w:spacing w:line="240" w:lineRule="auto"/>
              <w:ind w:firstLine="0" w:firstLineChars="0"/>
              <w:jc w:val="center"/>
              <w:rPr>
                <w:rFonts w:hint="eastAsia"/>
                <w:color w:val="auto"/>
                <w:sz w:val="21"/>
              </w:rPr>
            </w:pPr>
            <w:r>
              <w:rPr>
                <w:rFonts w:hint="eastAsia"/>
                <w:color w:val="auto"/>
                <w:sz w:val="21"/>
              </w:rPr>
              <w:t>当现场监测数据达到基坑环境变形限值。</w:t>
            </w:r>
          </w:p>
        </w:tc>
      </w:tr>
      <w:tr w14:paraId="3E583FCB">
        <w:tblPrEx>
          <w:tblCellMar>
            <w:top w:w="0" w:type="dxa"/>
            <w:left w:w="108" w:type="dxa"/>
            <w:bottom w:w="0" w:type="dxa"/>
            <w:right w:w="108" w:type="dxa"/>
          </w:tblCellMar>
        </w:tblPrEx>
        <w:trPr>
          <w:trHeight w:val="454" w:hRule="atLeast"/>
        </w:trPr>
        <w:tc>
          <w:tcPr>
            <w:tcW w:w="380" w:type="pct"/>
            <w:tcBorders>
              <w:top w:val="single" w:color="auto" w:sz="4" w:space="0"/>
              <w:left w:val="single" w:color="auto" w:sz="4" w:space="0"/>
              <w:bottom w:val="single" w:color="auto" w:sz="4" w:space="0"/>
              <w:right w:val="single" w:color="auto" w:sz="4" w:space="0"/>
            </w:tcBorders>
            <w:vAlign w:val="center"/>
          </w:tcPr>
          <w:p w14:paraId="01AA95B3">
            <w:pPr>
              <w:spacing w:line="240" w:lineRule="auto"/>
              <w:ind w:firstLine="0" w:firstLineChars="0"/>
              <w:jc w:val="center"/>
              <w:rPr>
                <w:rFonts w:hint="eastAsia"/>
                <w:color w:val="auto"/>
                <w:sz w:val="21"/>
              </w:rPr>
            </w:pPr>
            <w:r>
              <w:rPr>
                <w:rFonts w:hint="eastAsia"/>
                <w:color w:val="auto"/>
                <w:sz w:val="21"/>
              </w:rPr>
              <w:t>2</w:t>
            </w:r>
          </w:p>
        </w:tc>
        <w:tc>
          <w:tcPr>
            <w:tcW w:w="4620" w:type="pct"/>
            <w:tcBorders>
              <w:top w:val="single" w:color="auto" w:sz="4" w:space="0"/>
              <w:left w:val="nil"/>
              <w:bottom w:val="single" w:color="auto" w:sz="4" w:space="0"/>
              <w:right w:val="single" w:color="auto" w:sz="4" w:space="0"/>
            </w:tcBorders>
            <w:vAlign w:val="center"/>
          </w:tcPr>
          <w:p w14:paraId="17A2430D">
            <w:pPr>
              <w:spacing w:line="240" w:lineRule="auto"/>
              <w:ind w:firstLine="0" w:firstLineChars="0"/>
              <w:jc w:val="center"/>
              <w:rPr>
                <w:rFonts w:hint="eastAsia"/>
                <w:color w:val="auto"/>
                <w:sz w:val="21"/>
              </w:rPr>
            </w:pPr>
            <w:r>
              <w:rPr>
                <w:rFonts w:hint="eastAsia"/>
                <w:color w:val="auto"/>
                <w:sz w:val="21"/>
              </w:rPr>
              <w:t>基坑边坡或周边土体的位移出现异常情况或基坑出现渗漏、流砂、管涌、隆起或陷落等。</w:t>
            </w:r>
          </w:p>
        </w:tc>
      </w:tr>
      <w:tr w14:paraId="0275DD5F">
        <w:tblPrEx>
          <w:tblCellMar>
            <w:top w:w="0" w:type="dxa"/>
            <w:left w:w="108" w:type="dxa"/>
            <w:bottom w:w="0" w:type="dxa"/>
            <w:right w:w="108" w:type="dxa"/>
          </w:tblCellMar>
        </w:tblPrEx>
        <w:trPr>
          <w:trHeight w:val="454" w:hRule="atLeast"/>
        </w:trPr>
        <w:tc>
          <w:tcPr>
            <w:tcW w:w="380" w:type="pct"/>
            <w:tcBorders>
              <w:top w:val="single" w:color="auto" w:sz="4" w:space="0"/>
              <w:left w:val="single" w:color="auto" w:sz="4" w:space="0"/>
              <w:bottom w:val="single" w:color="auto" w:sz="4" w:space="0"/>
              <w:right w:val="single" w:color="auto" w:sz="4" w:space="0"/>
            </w:tcBorders>
            <w:vAlign w:val="center"/>
          </w:tcPr>
          <w:p w14:paraId="021C6633">
            <w:pPr>
              <w:spacing w:line="240" w:lineRule="auto"/>
              <w:ind w:firstLine="0" w:firstLineChars="0"/>
              <w:jc w:val="center"/>
              <w:rPr>
                <w:rFonts w:hint="eastAsia"/>
                <w:color w:val="auto"/>
                <w:sz w:val="21"/>
              </w:rPr>
            </w:pPr>
            <w:r>
              <w:rPr>
                <w:rFonts w:hint="eastAsia"/>
                <w:color w:val="auto"/>
                <w:sz w:val="21"/>
              </w:rPr>
              <w:t>3</w:t>
            </w:r>
          </w:p>
        </w:tc>
        <w:tc>
          <w:tcPr>
            <w:tcW w:w="4620" w:type="pct"/>
            <w:tcBorders>
              <w:top w:val="single" w:color="auto" w:sz="4" w:space="0"/>
              <w:left w:val="nil"/>
              <w:bottom w:val="single" w:color="auto" w:sz="4" w:space="0"/>
              <w:right w:val="single" w:color="auto" w:sz="4" w:space="0"/>
            </w:tcBorders>
            <w:vAlign w:val="center"/>
          </w:tcPr>
          <w:p w14:paraId="3B018199">
            <w:pPr>
              <w:spacing w:line="240" w:lineRule="auto"/>
              <w:ind w:firstLine="0" w:firstLineChars="0"/>
              <w:jc w:val="center"/>
              <w:rPr>
                <w:rFonts w:hint="eastAsia"/>
                <w:color w:val="auto"/>
                <w:sz w:val="21"/>
              </w:rPr>
            </w:pPr>
            <w:r>
              <w:rPr>
                <w:rFonts w:hint="eastAsia"/>
                <w:color w:val="auto"/>
                <w:sz w:val="21"/>
              </w:rPr>
              <w:t>基坑边坡或周边土体的位移出现异常情况或基坑出现渗漏、流砂、管涌、隆起或陷落等。</w:t>
            </w:r>
          </w:p>
        </w:tc>
      </w:tr>
      <w:tr w14:paraId="58C00D93">
        <w:tblPrEx>
          <w:tblCellMar>
            <w:top w:w="0" w:type="dxa"/>
            <w:left w:w="108" w:type="dxa"/>
            <w:bottom w:w="0" w:type="dxa"/>
            <w:right w:w="108" w:type="dxa"/>
          </w:tblCellMar>
        </w:tblPrEx>
        <w:trPr>
          <w:trHeight w:val="454" w:hRule="atLeast"/>
        </w:trPr>
        <w:tc>
          <w:tcPr>
            <w:tcW w:w="380" w:type="pct"/>
            <w:tcBorders>
              <w:top w:val="single" w:color="auto" w:sz="4" w:space="0"/>
              <w:left w:val="single" w:color="auto" w:sz="4" w:space="0"/>
              <w:bottom w:val="single" w:color="auto" w:sz="4" w:space="0"/>
              <w:right w:val="single" w:color="auto" w:sz="4" w:space="0"/>
            </w:tcBorders>
            <w:vAlign w:val="center"/>
          </w:tcPr>
          <w:p w14:paraId="48896D16">
            <w:pPr>
              <w:spacing w:line="240" w:lineRule="auto"/>
              <w:ind w:firstLine="0" w:firstLineChars="0"/>
              <w:jc w:val="center"/>
              <w:rPr>
                <w:rFonts w:hint="eastAsia"/>
                <w:color w:val="auto"/>
                <w:sz w:val="21"/>
              </w:rPr>
            </w:pPr>
            <w:r>
              <w:rPr>
                <w:rFonts w:hint="eastAsia"/>
                <w:color w:val="auto"/>
                <w:sz w:val="21"/>
              </w:rPr>
              <w:t>4</w:t>
            </w:r>
          </w:p>
        </w:tc>
        <w:tc>
          <w:tcPr>
            <w:tcW w:w="4620" w:type="pct"/>
            <w:tcBorders>
              <w:top w:val="single" w:color="auto" w:sz="4" w:space="0"/>
              <w:left w:val="nil"/>
              <w:bottom w:val="single" w:color="auto" w:sz="4" w:space="0"/>
              <w:right w:val="single" w:color="auto" w:sz="4" w:space="0"/>
            </w:tcBorders>
            <w:vAlign w:val="center"/>
          </w:tcPr>
          <w:p w14:paraId="2151B435">
            <w:pPr>
              <w:spacing w:line="240" w:lineRule="auto"/>
              <w:ind w:firstLine="0" w:firstLineChars="0"/>
              <w:jc w:val="center"/>
              <w:rPr>
                <w:rFonts w:hint="eastAsia"/>
                <w:color w:val="auto"/>
                <w:sz w:val="21"/>
              </w:rPr>
            </w:pPr>
            <w:r>
              <w:rPr>
                <w:rFonts w:hint="eastAsia"/>
                <w:color w:val="auto"/>
                <w:sz w:val="21"/>
              </w:rPr>
              <w:t>边坡出现过大变形、压屈、断裂、松弛或拔出的迹象。</w:t>
            </w:r>
          </w:p>
        </w:tc>
      </w:tr>
      <w:tr w14:paraId="2FDA2617">
        <w:tblPrEx>
          <w:tblCellMar>
            <w:top w:w="0" w:type="dxa"/>
            <w:left w:w="108" w:type="dxa"/>
            <w:bottom w:w="0" w:type="dxa"/>
            <w:right w:w="108" w:type="dxa"/>
          </w:tblCellMar>
        </w:tblPrEx>
        <w:trPr>
          <w:trHeight w:val="454" w:hRule="atLeast"/>
        </w:trPr>
        <w:tc>
          <w:tcPr>
            <w:tcW w:w="380" w:type="pct"/>
            <w:tcBorders>
              <w:top w:val="single" w:color="auto" w:sz="4" w:space="0"/>
              <w:left w:val="single" w:color="auto" w:sz="4" w:space="0"/>
              <w:bottom w:val="single" w:color="auto" w:sz="4" w:space="0"/>
              <w:right w:val="single" w:color="auto" w:sz="4" w:space="0"/>
            </w:tcBorders>
            <w:vAlign w:val="center"/>
          </w:tcPr>
          <w:p w14:paraId="26631E25">
            <w:pPr>
              <w:spacing w:line="240" w:lineRule="auto"/>
              <w:ind w:firstLine="0" w:firstLineChars="0"/>
              <w:jc w:val="center"/>
              <w:rPr>
                <w:rFonts w:hint="eastAsia"/>
                <w:color w:val="auto"/>
                <w:sz w:val="21"/>
              </w:rPr>
            </w:pPr>
            <w:r>
              <w:rPr>
                <w:rFonts w:hint="eastAsia"/>
                <w:color w:val="auto"/>
                <w:sz w:val="21"/>
              </w:rPr>
              <w:t>5</w:t>
            </w:r>
          </w:p>
        </w:tc>
        <w:tc>
          <w:tcPr>
            <w:tcW w:w="4620" w:type="pct"/>
            <w:tcBorders>
              <w:top w:val="single" w:color="auto" w:sz="4" w:space="0"/>
              <w:left w:val="nil"/>
              <w:bottom w:val="single" w:color="auto" w:sz="4" w:space="0"/>
              <w:right w:val="single" w:color="auto" w:sz="4" w:space="0"/>
            </w:tcBorders>
            <w:vAlign w:val="center"/>
          </w:tcPr>
          <w:p w14:paraId="24ACCF62">
            <w:pPr>
              <w:spacing w:line="240" w:lineRule="auto"/>
              <w:ind w:firstLine="0" w:firstLineChars="0"/>
              <w:jc w:val="center"/>
              <w:rPr>
                <w:rFonts w:hint="eastAsia"/>
                <w:color w:val="auto"/>
                <w:sz w:val="21"/>
              </w:rPr>
            </w:pPr>
            <w:r>
              <w:rPr>
                <w:rFonts w:hint="eastAsia"/>
                <w:color w:val="auto"/>
                <w:sz w:val="21"/>
              </w:rPr>
              <w:t>根据当地工程经验判断，出现其它事故征兆必须应急处理的情况。</w:t>
            </w:r>
          </w:p>
        </w:tc>
      </w:tr>
    </w:tbl>
    <w:p w14:paraId="6F28BD9B">
      <w:pPr>
        <w:rPr>
          <w:rFonts w:hint="eastAsia"/>
          <w:color w:val="auto"/>
        </w:rPr>
      </w:pPr>
      <w:r>
        <w:rPr>
          <w:rFonts w:hint="eastAsia"/>
          <w:color w:val="auto"/>
        </w:rPr>
        <w:t>（5）因土方开挖引起流砂、涌土或坑底隆起失稳时，应立即停止基坑挖土，进行堆料反压。如周围环境条件允许时，可配合进行坑外降水。</w:t>
      </w:r>
    </w:p>
    <w:p w14:paraId="636F8EC7">
      <w:pPr>
        <w:rPr>
          <w:rFonts w:hint="eastAsia"/>
          <w:color w:val="auto"/>
        </w:rPr>
      </w:pPr>
      <w:r>
        <w:rPr>
          <w:rFonts w:hint="eastAsia"/>
          <w:color w:val="auto"/>
        </w:rPr>
        <w:t>4.8.4.5基坑降排水工程安全文明施工管理措施</w:t>
      </w:r>
    </w:p>
    <w:tbl>
      <w:tblPr>
        <w:tblStyle w:val="29"/>
        <w:tblW w:w="5000" w:type="pct"/>
        <w:tblInd w:w="0" w:type="dxa"/>
        <w:tblLayout w:type="autofit"/>
        <w:tblCellMar>
          <w:top w:w="0" w:type="dxa"/>
          <w:left w:w="108" w:type="dxa"/>
          <w:bottom w:w="0" w:type="dxa"/>
          <w:right w:w="108" w:type="dxa"/>
        </w:tblCellMar>
      </w:tblPr>
      <w:tblGrid>
        <w:gridCol w:w="685"/>
        <w:gridCol w:w="1129"/>
        <w:gridCol w:w="7246"/>
      </w:tblGrid>
      <w:tr w14:paraId="5053E0B2">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46B30D23">
            <w:pPr>
              <w:spacing w:line="240" w:lineRule="auto"/>
              <w:ind w:firstLine="0" w:firstLineChars="0"/>
              <w:jc w:val="center"/>
              <w:rPr>
                <w:rFonts w:hint="eastAsia"/>
                <w:color w:val="auto"/>
                <w:sz w:val="21"/>
              </w:rPr>
            </w:pPr>
            <w:r>
              <w:rPr>
                <w:rFonts w:hint="eastAsia"/>
                <w:color w:val="auto"/>
                <w:sz w:val="21"/>
              </w:rPr>
              <w:t>序号</w:t>
            </w:r>
          </w:p>
        </w:tc>
        <w:tc>
          <w:tcPr>
            <w:tcW w:w="623" w:type="pct"/>
            <w:tcBorders>
              <w:top w:val="single" w:color="auto" w:sz="4" w:space="0"/>
              <w:left w:val="nil"/>
              <w:bottom w:val="single" w:color="auto" w:sz="4" w:space="0"/>
              <w:right w:val="single" w:color="auto" w:sz="4" w:space="0"/>
            </w:tcBorders>
            <w:vAlign w:val="center"/>
          </w:tcPr>
          <w:p w14:paraId="701DFBC8">
            <w:pPr>
              <w:spacing w:line="240" w:lineRule="auto"/>
              <w:ind w:firstLine="0" w:firstLineChars="0"/>
              <w:jc w:val="center"/>
              <w:rPr>
                <w:rFonts w:hint="eastAsia"/>
                <w:color w:val="auto"/>
                <w:sz w:val="21"/>
              </w:rPr>
            </w:pPr>
            <w:r>
              <w:rPr>
                <w:rFonts w:hint="eastAsia"/>
                <w:color w:val="auto"/>
                <w:sz w:val="21"/>
              </w:rPr>
              <w:t>管理类型</w:t>
            </w:r>
          </w:p>
        </w:tc>
        <w:tc>
          <w:tcPr>
            <w:tcW w:w="3999" w:type="pct"/>
            <w:tcBorders>
              <w:top w:val="single" w:color="auto" w:sz="4" w:space="0"/>
              <w:left w:val="nil"/>
              <w:bottom w:val="single" w:color="auto" w:sz="4" w:space="0"/>
              <w:right w:val="single" w:color="auto" w:sz="4" w:space="0"/>
            </w:tcBorders>
            <w:vAlign w:val="center"/>
          </w:tcPr>
          <w:p w14:paraId="3D14C18A">
            <w:pPr>
              <w:spacing w:line="240" w:lineRule="auto"/>
              <w:ind w:firstLine="0" w:firstLineChars="0"/>
              <w:jc w:val="center"/>
              <w:rPr>
                <w:rFonts w:hint="eastAsia"/>
                <w:color w:val="auto"/>
                <w:sz w:val="21"/>
              </w:rPr>
            </w:pPr>
            <w:r>
              <w:rPr>
                <w:rFonts w:hint="eastAsia"/>
                <w:color w:val="auto"/>
                <w:sz w:val="21"/>
              </w:rPr>
              <w:t>内容</w:t>
            </w:r>
          </w:p>
        </w:tc>
      </w:tr>
      <w:tr w14:paraId="6CAFF6D6">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3DF04801">
            <w:pPr>
              <w:spacing w:line="240" w:lineRule="auto"/>
              <w:ind w:firstLine="0" w:firstLineChars="0"/>
              <w:jc w:val="center"/>
              <w:rPr>
                <w:rFonts w:hint="eastAsia"/>
                <w:color w:val="auto"/>
                <w:sz w:val="21"/>
              </w:rPr>
            </w:pPr>
            <w:r>
              <w:rPr>
                <w:rFonts w:hint="eastAsia"/>
                <w:color w:val="auto"/>
                <w:sz w:val="21"/>
              </w:rPr>
              <w:t>1</w:t>
            </w:r>
          </w:p>
        </w:tc>
        <w:tc>
          <w:tcPr>
            <w:tcW w:w="623" w:type="pct"/>
            <w:vMerge w:val="restart"/>
            <w:tcBorders>
              <w:top w:val="nil"/>
              <w:left w:val="nil"/>
              <w:bottom w:val="single" w:color="auto" w:sz="4" w:space="0"/>
              <w:right w:val="single" w:color="auto" w:sz="4" w:space="0"/>
            </w:tcBorders>
            <w:vAlign w:val="center"/>
          </w:tcPr>
          <w:p w14:paraId="75AAE74E">
            <w:pPr>
              <w:spacing w:line="240" w:lineRule="auto"/>
              <w:ind w:firstLine="0" w:firstLineChars="0"/>
              <w:jc w:val="center"/>
              <w:rPr>
                <w:rFonts w:hint="eastAsia"/>
                <w:color w:val="auto"/>
                <w:sz w:val="21"/>
              </w:rPr>
            </w:pPr>
            <w:r>
              <w:rPr>
                <w:rFonts w:hint="eastAsia"/>
                <w:color w:val="auto"/>
                <w:sz w:val="21"/>
              </w:rPr>
              <w:t>安全施工</w:t>
            </w:r>
          </w:p>
        </w:tc>
        <w:tc>
          <w:tcPr>
            <w:tcW w:w="3999" w:type="pct"/>
            <w:tcBorders>
              <w:top w:val="single" w:color="auto" w:sz="4" w:space="0"/>
              <w:left w:val="nil"/>
              <w:bottom w:val="single" w:color="auto" w:sz="4" w:space="0"/>
              <w:right w:val="single" w:color="auto" w:sz="4" w:space="0"/>
            </w:tcBorders>
            <w:vAlign w:val="center"/>
          </w:tcPr>
          <w:p w14:paraId="21E19E3E">
            <w:pPr>
              <w:spacing w:line="240" w:lineRule="auto"/>
              <w:ind w:firstLine="0" w:firstLineChars="0"/>
              <w:jc w:val="center"/>
              <w:rPr>
                <w:rFonts w:hint="eastAsia"/>
                <w:color w:val="auto"/>
                <w:sz w:val="21"/>
              </w:rPr>
            </w:pPr>
            <w:r>
              <w:rPr>
                <w:rFonts w:hint="eastAsia"/>
                <w:color w:val="auto"/>
                <w:sz w:val="21"/>
              </w:rPr>
              <w:t>施工区域应设警示标志，严禁非工作人员出入。</w:t>
            </w:r>
          </w:p>
        </w:tc>
      </w:tr>
      <w:tr w14:paraId="1CC3D038">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3AB25F70">
            <w:pPr>
              <w:spacing w:line="240" w:lineRule="auto"/>
              <w:ind w:firstLine="0" w:firstLineChars="0"/>
              <w:jc w:val="center"/>
              <w:rPr>
                <w:rFonts w:hint="eastAsia"/>
                <w:color w:val="auto"/>
                <w:sz w:val="21"/>
              </w:rPr>
            </w:pPr>
            <w:r>
              <w:rPr>
                <w:rFonts w:hint="eastAsia"/>
                <w:color w:val="auto"/>
                <w:sz w:val="21"/>
              </w:rPr>
              <w:t>2</w:t>
            </w:r>
          </w:p>
        </w:tc>
        <w:tc>
          <w:tcPr>
            <w:tcW w:w="623" w:type="pct"/>
            <w:vMerge w:val="continue"/>
            <w:tcBorders>
              <w:top w:val="nil"/>
              <w:left w:val="nil"/>
              <w:bottom w:val="single" w:color="auto" w:sz="4" w:space="0"/>
              <w:right w:val="single" w:color="auto" w:sz="4" w:space="0"/>
            </w:tcBorders>
            <w:vAlign w:val="center"/>
          </w:tcPr>
          <w:p w14:paraId="5097AF5A">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7477101D">
            <w:pPr>
              <w:spacing w:line="240" w:lineRule="auto"/>
              <w:ind w:firstLine="0" w:firstLineChars="0"/>
              <w:jc w:val="center"/>
              <w:rPr>
                <w:rFonts w:hint="eastAsia"/>
                <w:color w:val="auto"/>
                <w:sz w:val="21"/>
              </w:rPr>
            </w:pPr>
            <w:r>
              <w:rPr>
                <w:rFonts w:hint="eastAsia"/>
                <w:color w:val="auto"/>
                <w:sz w:val="21"/>
              </w:rPr>
              <w:t>施工中应对机械设备进行定期检查、养护、维修。</w:t>
            </w:r>
          </w:p>
        </w:tc>
      </w:tr>
      <w:tr w14:paraId="72F85843">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4BFD1D12">
            <w:pPr>
              <w:spacing w:line="240" w:lineRule="auto"/>
              <w:ind w:firstLine="0" w:firstLineChars="0"/>
              <w:jc w:val="center"/>
              <w:rPr>
                <w:rFonts w:hint="eastAsia"/>
                <w:color w:val="auto"/>
                <w:sz w:val="21"/>
              </w:rPr>
            </w:pPr>
            <w:r>
              <w:rPr>
                <w:rFonts w:hint="eastAsia"/>
                <w:color w:val="auto"/>
                <w:sz w:val="21"/>
              </w:rPr>
              <w:t>3</w:t>
            </w:r>
          </w:p>
        </w:tc>
        <w:tc>
          <w:tcPr>
            <w:tcW w:w="623" w:type="pct"/>
            <w:vMerge w:val="continue"/>
            <w:tcBorders>
              <w:top w:val="nil"/>
              <w:left w:val="nil"/>
              <w:bottom w:val="single" w:color="auto" w:sz="4" w:space="0"/>
              <w:right w:val="single" w:color="auto" w:sz="4" w:space="0"/>
            </w:tcBorders>
            <w:vAlign w:val="center"/>
          </w:tcPr>
          <w:p w14:paraId="1372BF80">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30269209">
            <w:pPr>
              <w:spacing w:line="240" w:lineRule="auto"/>
              <w:ind w:firstLine="0" w:firstLineChars="0"/>
              <w:jc w:val="center"/>
              <w:rPr>
                <w:rFonts w:hint="eastAsia"/>
                <w:color w:val="auto"/>
                <w:sz w:val="21"/>
              </w:rPr>
            </w:pPr>
            <w:r>
              <w:rPr>
                <w:rFonts w:hint="eastAsia"/>
                <w:color w:val="auto"/>
                <w:sz w:val="21"/>
              </w:rPr>
              <w:t>为保证施工安全，现场施工人员必须配戴安全帽，现场设有专人统一指挥，并设一名专职安全员负责现场的安全工作，坚持班前进行安全教育制度。</w:t>
            </w:r>
          </w:p>
        </w:tc>
      </w:tr>
      <w:tr w14:paraId="045C6E38">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7EF2AB68">
            <w:pPr>
              <w:spacing w:line="240" w:lineRule="auto"/>
              <w:ind w:firstLine="0" w:firstLineChars="0"/>
              <w:jc w:val="center"/>
              <w:rPr>
                <w:rFonts w:hint="eastAsia"/>
                <w:color w:val="auto"/>
                <w:sz w:val="21"/>
              </w:rPr>
            </w:pPr>
            <w:r>
              <w:rPr>
                <w:rFonts w:hint="eastAsia"/>
                <w:color w:val="auto"/>
                <w:sz w:val="21"/>
              </w:rPr>
              <w:t>4</w:t>
            </w:r>
          </w:p>
        </w:tc>
        <w:tc>
          <w:tcPr>
            <w:tcW w:w="623" w:type="pct"/>
            <w:vMerge w:val="continue"/>
            <w:tcBorders>
              <w:top w:val="nil"/>
              <w:left w:val="nil"/>
              <w:bottom w:val="single" w:color="auto" w:sz="4" w:space="0"/>
              <w:right w:val="single" w:color="auto" w:sz="4" w:space="0"/>
            </w:tcBorders>
            <w:vAlign w:val="center"/>
          </w:tcPr>
          <w:p w14:paraId="47B94DB1">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0CD87276">
            <w:pPr>
              <w:spacing w:line="240" w:lineRule="auto"/>
              <w:ind w:firstLine="0" w:firstLineChars="0"/>
              <w:jc w:val="center"/>
              <w:rPr>
                <w:rFonts w:hint="eastAsia"/>
                <w:color w:val="auto"/>
                <w:sz w:val="21"/>
              </w:rPr>
            </w:pPr>
            <w:r>
              <w:rPr>
                <w:rFonts w:hint="eastAsia"/>
                <w:color w:val="auto"/>
                <w:sz w:val="21"/>
              </w:rPr>
              <w:t>基坑降水施工中，制定合理的作业程序和机械车辆走行路线，现场设专人指挥、调度，并设立明显标志，防止相互干扰碰撞，机械作业要留有安全距离，确保协调、安全施工。</w:t>
            </w:r>
          </w:p>
        </w:tc>
      </w:tr>
      <w:tr w14:paraId="7A2D239B">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28C4A3E7">
            <w:pPr>
              <w:spacing w:line="240" w:lineRule="auto"/>
              <w:ind w:firstLine="0" w:firstLineChars="0"/>
              <w:jc w:val="center"/>
              <w:rPr>
                <w:rFonts w:hint="eastAsia"/>
                <w:color w:val="auto"/>
                <w:sz w:val="21"/>
              </w:rPr>
            </w:pPr>
            <w:r>
              <w:rPr>
                <w:rFonts w:hint="eastAsia"/>
                <w:color w:val="auto"/>
                <w:sz w:val="21"/>
              </w:rPr>
              <w:t>5</w:t>
            </w:r>
          </w:p>
        </w:tc>
        <w:tc>
          <w:tcPr>
            <w:tcW w:w="623" w:type="pct"/>
            <w:vMerge w:val="continue"/>
            <w:tcBorders>
              <w:top w:val="nil"/>
              <w:left w:val="nil"/>
              <w:bottom w:val="single" w:color="auto" w:sz="4" w:space="0"/>
              <w:right w:val="single" w:color="auto" w:sz="4" w:space="0"/>
            </w:tcBorders>
            <w:vAlign w:val="center"/>
          </w:tcPr>
          <w:p w14:paraId="41CF4F0A">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6619501D">
            <w:pPr>
              <w:spacing w:line="240" w:lineRule="auto"/>
              <w:ind w:firstLine="0" w:firstLineChars="0"/>
              <w:jc w:val="center"/>
              <w:rPr>
                <w:rFonts w:hint="eastAsia"/>
                <w:color w:val="auto"/>
                <w:sz w:val="21"/>
              </w:rPr>
            </w:pPr>
            <w:r>
              <w:rPr>
                <w:rFonts w:hint="eastAsia"/>
                <w:color w:val="auto"/>
                <w:sz w:val="21"/>
              </w:rPr>
              <w:t>施工现场保证照明充足，需补充电源及时补充。</w:t>
            </w:r>
          </w:p>
        </w:tc>
      </w:tr>
      <w:tr w14:paraId="366F022F">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29D92A60">
            <w:pPr>
              <w:spacing w:line="240" w:lineRule="auto"/>
              <w:ind w:firstLine="0" w:firstLineChars="0"/>
              <w:jc w:val="center"/>
              <w:rPr>
                <w:rFonts w:hint="eastAsia"/>
                <w:color w:val="auto"/>
                <w:sz w:val="21"/>
              </w:rPr>
            </w:pPr>
            <w:r>
              <w:rPr>
                <w:rFonts w:hint="eastAsia"/>
                <w:color w:val="auto"/>
                <w:sz w:val="21"/>
              </w:rPr>
              <w:t>6</w:t>
            </w:r>
          </w:p>
        </w:tc>
        <w:tc>
          <w:tcPr>
            <w:tcW w:w="623" w:type="pct"/>
            <w:vMerge w:val="continue"/>
            <w:tcBorders>
              <w:top w:val="nil"/>
              <w:left w:val="nil"/>
              <w:bottom w:val="single" w:color="auto" w:sz="4" w:space="0"/>
              <w:right w:val="single" w:color="auto" w:sz="4" w:space="0"/>
            </w:tcBorders>
            <w:vAlign w:val="center"/>
          </w:tcPr>
          <w:p w14:paraId="3A3358AD">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5412D5CA">
            <w:pPr>
              <w:spacing w:line="240" w:lineRule="auto"/>
              <w:ind w:firstLine="0" w:firstLineChars="0"/>
              <w:jc w:val="center"/>
              <w:rPr>
                <w:rFonts w:hint="eastAsia"/>
                <w:color w:val="auto"/>
                <w:sz w:val="21"/>
              </w:rPr>
            </w:pPr>
            <w:r>
              <w:rPr>
                <w:rFonts w:hint="eastAsia"/>
                <w:color w:val="auto"/>
                <w:sz w:val="21"/>
              </w:rPr>
              <w:t>现场施工用电不允许私搭乱接，拆、接电源线及电闸箱时必须由带电工证的专业电工进行操作。</w:t>
            </w:r>
          </w:p>
        </w:tc>
      </w:tr>
      <w:tr w14:paraId="627877B8">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08112465">
            <w:pPr>
              <w:spacing w:line="240" w:lineRule="auto"/>
              <w:ind w:firstLine="0" w:firstLineChars="0"/>
              <w:jc w:val="center"/>
              <w:rPr>
                <w:rFonts w:hint="eastAsia"/>
                <w:color w:val="auto"/>
                <w:sz w:val="21"/>
              </w:rPr>
            </w:pPr>
            <w:r>
              <w:rPr>
                <w:rFonts w:hint="eastAsia"/>
                <w:color w:val="auto"/>
                <w:sz w:val="21"/>
              </w:rPr>
              <w:t>7</w:t>
            </w:r>
          </w:p>
        </w:tc>
        <w:tc>
          <w:tcPr>
            <w:tcW w:w="623" w:type="pct"/>
            <w:vMerge w:val="continue"/>
            <w:tcBorders>
              <w:top w:val="nil"/>
              <w:left w:val="nil"/>
              <w:bottom w:val="single" w:color="auto" w:sz="4" w:space="0"/>
              <w:right w:val="single" w:color="auto" w:sz="4" w:space="0"/>
            </w:tcBorders>
            <w:vAlign w:val="center"/>
          </w:tcPr>
          <w:p w14:paraId="065A0ED0">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1852DB51">
            <w:pPr>
              <w:spacing w:line="240" w:lineRule="auto"/>
              <w:ind w:firstLine="0" w:firstLineChars="0"/>
              <w:jc w:val="center"/>
              <w:rPr>
                <w:rFonts w:hint="eastAsia"/>
                <w:color w:val="auto"/>
                <w:sz w:val="21"/>
              </w:rPr>
            </w:pPr>
            <w:r>
              <w:rPr>
                <w:rFonts w:hint="eastAsia"/>
                <w:color w:val="auto"/>
                <w:sz w:val="21"/>
              </w:rPr>
              <w:t>降水井、观测井应做好标记并用钢管围起来，做好保护及防护措施。</w:t>
            </w:r>
          </w:p>
        </w:tc>
      </w:tr>
      <w:tr w14:paraId="70B5D5E2">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2A22A22B">
            <w:pPr>
              <w:spacing w:line="240" w:lineRule="auto"/>
              <w:ind w:firstLine="0" w:firstLineChars="0"/>
              <w:jc w:val="center"/>
              <w:rPr>
                <w:rFonts w:hint="eastAsia"/>
                <w:color w:val="auto"/>
                <w:sz w:val="21"/>
              </w:rPr>
            </w:pPr>
            <w:r>
              <w:rPr>
                <w:rFonts w:hint="eastAsia"/>
                <w:color w:val="auto"/>
                <w:sz w:val="21"/>
              </w:rPr>
              <w:t>8</w:t>
            </w:r>
          </w:p>
        </w:tc>
        <w:tc>
          <w:tcPr>
            <w:tcW w:w="623" w:type="pct"/>
            <w:vMerge w:val="restart"/>
            <w:tcBorders>
              <w:top w:val="nil"/>
              <w:left w:val="nil"/>
              <w:bottom w:val="single" w:color="auto" w:sz="4" w:space="0"/>
              <w:right w:val="single" w:color="auto" w:sz="4" w:space="0"/>
            </w:tcBorders>
            <w:vAlign w:val="center"/>
          </w:tcPr>
          <w:p w14:paraId="6709F46C">
            <w:pPr>
              <w:spacing w:line="240" w:lineRule="auto"/>
              <w:ind w:firstLine="0" w:firstLineChars="0"/>
              <w:jc w:val="center"/>
              <w:rPr>
                <w:rFonts w:hint="eastAsia"/>
                <w:color w:val="auto"/>
                <w:sz w:val="21"/>
              </w:rPr>
            </w:pPr>
            <w:r>
              <w:rPr>
                <w:rFonts w:hint="eastAsia"/>
                <w:color w:val="auto"/>
                <w:sz w:val="21"/>
              </w:rPr>
              <w:t>文明施工</w:t>
            </w:r>
          </w:p>
        </w:tc>
        <w:tc>
          <w:tcPr>
            <w:tcW w:w="3999" w:type="pct"/>
            <w:tcBorders>
              <w:top w:val="single" w:color="auto" w:sz="4" w:space="0"/>
              <w:left w:val="nil"/>
              <w:bottom w:val="single" w:color="auto" w:sz="4" w:space="0"/>
              <w:right w:val="single" w:color="auto" w:sz="4" w:space="0"/>
            </w:tcBorders>
            <w:vAlign w:val="center"/>
          </w:tcPr>
          <w:p w14:paraId="0C60EC47">
            <w:pPr>
              <w:spacing w:line="240" w:lineRule="auto"/>
              <w:ind w:firstLine="0" w:firstLineChars="0"/>
              <w:jc w:val="center"/>
              <w:rPr>
                <w:rFonts w:hint="eastAsia"/>
                <w:color w:val="auto"/>
                <w:sz w:val="21"/>
              </w:rPr>
            </w:pPr>
            <w:r>
              <w:rPr>
                <w:rFonts w:hint="eastAsia"/>
                <w:color w:val="auto"/>
                <w:sz w:val="21"/>
              </w:rPr>
              <w:t>所有施工、生活废水在排放前必须取得相关部门的批准、同意。</w:t>
            </w:r>
          </w:p>
        </w:tc>
      </w:tr>
      <w:tr w14:paraId="4D2118E6">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14BB9E6C">
            <w:pPr>
              <w:spacing w:line="240" w:lineRule="auto"/>
              <w:ind w:firstLine="0" w:firstLineChars="0"/>
              <w:jc w:val="center"/>
              <w:rPr>
                <w:rFonts w:hint="eastAsia"/>
                <w:color w:val="auto"/>
                <w:sz w:val="21"/>
              </w:rPr>
            </w:pPr>
            <w:r>
              <w:rPr>
                <w:rFonts w:hint="eastAsia"/>
                <w:color w:val="auto"/>
                <w:sz w:val="21"/>
              </w:rPr>
              <w:t>9</w:t>
            </w:r>
          </w:p>
        </w:tc>
        <w:tc>
          <w:tcPr>
            <w:tcW w:w="623" w:type="pct"/>
            <w:vMerge w:val="continue"/>
            <w:tcBorders>
              <w:top w:val="nil"/>
              <w:left w:val="nil"/>
              <w:bottom w:val="single" w:color="auto" w:sz="4" w:space="0"/>
              <w:right w:val="single" w:color="auto" w:sz="4" w:space="0"/>
            </w:tcBorders>
            <w:vAlign w:val="center"/>
          </w:tcPr>
          <w:p w14:paraId="42988A71">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0E9C9251">
            <w:pPr>
              <w:spacing w:line="240" w:lineRule="auto"/>
              <w:ind w:firstLine="0" w:firstLineChars="0"/>
              <w:jc w:val="center"/>
              <w:rPr>
                <w:rFonts w:hint="eastAsia"/>
                <w:color w:val="auto"/>
                <w:sz w:val="21"/>
              </w:rPr>
            </w:pPr>
            <w:r>
              <w:rPr>
                <w:rFonts w:hint="eastAsia"/>
                <w:color w:val="auto"/>
                <w:sz w:val="21"/>
              </w:rPr>
              <w:t>施工中产生的废弃泥浆必须经过三级沉淀池沉淀处理后，方可排入市政污水管，严禁直接排入市政污水管。废浆沉碴必须用密封的槽车外运，送到指定地点处置。</w:t>
            </w:r>
          </w:p>
        </w:tc>
      </w:tr>
      <w:tr w14:paraId="3C4F21DA">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20ABDD44">
            <w:pPr>
              <w:spacing w:line="240" w:lineRule="auto"/>
              <w:ind w:firstLine="0" w:firstLineChars="0"/>
              <w:jc w:val="center"/>
              <w:rPr>
                <w:rFonts w:hint="eastAsia"/>
                <w:color w:val="auto"/>
                <w:sz w:val="21"/>
              </w:rPr>
            </w:pPr>
            <w:r>
              <w:rPr>
                <w:rFonts w:hint="eastAsia"/>
                <w:color w:val="auto"/>
                <w:sz w:val="21"/>
              </w:rPr>
              <w:t>10</w:t>
            </w:r>
          </w:p>
        </w:tc>
        <w:tc>
          <w:tcPr>
            <w:tcW w:w="623" w:type="pct"/>
            <w:vMerge w:val="continue"/>
            <w:tcBorders>
              <w:top w:val="nil"/>
              <w:left w:val="nil"/>
              <w:bottom w:val="single" w:color="auto" w:sz="4" w:space="0"/>
              <w:right w:val="single" w:color="auto" w:sz="4" w:space="0"/>
            </w:tcBorders>
            <w:vAlign w:val="center"/>
          </w:tcPr>
          <w:p w14:paraId="5D349003">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6121445E">
            <w:pPr>
              <w:spacing w:line="240" w:lineRule="auto"/>
              <w:ind w:firstLine="0" w:firstLineChars="0"/>
              <w:jc w:val="center"/>
              <w:rPr>
                <w:rFonts w:hint="eastAsia"/>
                <w:color w:val="auto"/>
                <w:sz w:val="21"/>
              </w:rPr>
            </w:pPr>
            <w:r>
              <w:rPr>
                <w:rFonts w:hint="eastAsia"/>
                <w:color w:val="auto"/>
                <w:sz w:val="21"/>
              </w:rPr>
              <w:t>各类土方、建筑材料运输车辆在离开施工现场时，为保持车容应清洗车辆轮胎及车厢，清洗废水应接入施工现场的临时排水系统。</w:t>
            </w:r>
          </w:p>
        </w:tc>
      </w:tr>
      <w:tr w14:paraId="1DC6CA44">
        <w:tblPrEx>
          <w:tblCellMar>
            <w:top w:w="0" w:type="dxa"/>
            <w:left w:w="108" w:type="dxa"/>
            <w:bottom w:w="0" w:type="dxa"/>
            <w:right w:w="108" w:type="dxa"/>
          </w:tblCellMar>
        </w:tblPrEx>
        <w:trPr>
          <w:trHeight w:val="454" w:hRule="atLeast"/>
        </w:trPr>
        <w:tc>
          <w:tcPr>
            <w:tcW w:w="378" w:type="pct"/>
            <w:tcBorders>
              <w:top w:val="single" w:color="auto" w:sz="4" w:space="0"/>
              <w:left w:val="single" w:color="auto" w:sz="4" w:space="0"/>
              <w:bottom w:val="single" w:color="auto" w:sz="4" w:space="0"/>
              <w:right w:val="single" w:color="auto" w:sz="4" w:space="0"/>
            </w:tcBorders>
            <w:vAlign w:val="center"/>
          </w:tcPr>
          <w:p w14:paraId="015F35C6">
            <w:pPr>
              <w:spacing w:line="240" w:lineRule="auto"/>
              <w:ind w:firstLine="0" w:firstLineChars="0"/>
              <w:jc w:val="center"/>
              <w:rPr>
                <w:rFonts w:hint="eastAsia"/>
                <w:color w:val="auto"/>
                <w:sz w:val="21"/>
              </w:rPr>
            </w:pPr>
            <w:r>
              <w:rPr>
                <w:rFonts w:hint="eastAsia"/>
                <w:color w:val="auto"/>
                <w:sz w:val="21"/>
              </w:rPr>
              <w:t>11</w:t>
            </w:r>
          </w:p>
        </w:tc>
        <w:tc>
          <w:tcPr>
            <w:tcW w:w="623" w:type="pct"/>
            <w:vMerge w:val="continue"/>
            <w:tcBorders>
              <w:top w:val="nil"/>
              <w:left w:val="nil"/>
              <w:bottom w:val="single" w:color="auto" w:sz="4" w:space="0"/>
              <w:right w:val="single" w:color="auto" w:sz="4" w:space="0"/>
            </w:tcBorders>
            <w:vAlign w:val="center"/>
          </w:tcPr>
          <w:p w14:paraId="317A0C40">
            <w:pPr>
              <w:spacing w:line="240" w:lineRule="auto"/>
              <w:ind w:firstLine="0" w:firstLineChars="0"/>
              <w:jc w:val="center"/>
              <w:rPr>
                <w:color w:val="auto"/>
                <w:sz w:val="21"/>
              </w:rPr>
            </w:pPr>
          </w:p>
        </w:tc>
        <w:tc>
          <w:tcPr>
            <w:tcW w:w="3999" w:type="pct"/>
            <w:tcBorders>
              <w:top w:val="single" w:color="auto" w:sz="4" w:space="0"/>
              <w:left w:val="nil"/>
              <w:bottom w:val="single" w:color="auto" w:sz="4" w:space="0"/>
              <w:right w:val="single" w:color="auto" w:sz="4" w:space="0"/>
            </w:tcBorders>
            <w:vAlign w:val="center"/>
          </w:tcPr>
          <w:p w14:paraId="48751AAE">
            <w:pPr>
              <w:spacing w:line="240" w:lineRule="auto"/>
              <w:ind w:firstLine="0" w:firstLineChars="0"/>
              <w:jc w:val="center"/>
              <w:rPr>
                <w:rFonts w:hint="eastAsia"/>
                <w:color w:val="auto"/>
                <w:sz w:val="21"/>
              </w:rPr>
            </w:pPr>
            <w:r>
              <w:rPr>
                <w:rFonts w:hint="eastAsia"/>
                <w:color w:val="auto"/>
                <w:sz w:val="21"/>
              </w:rPr>
              <w:t>保持场内排水系统处于良好的使用状态，保持场地的整洁、道路畅通，随时清理生产、生活垃圾。</w:t>
            </w:r>
          </w:p>
        </w:tc>
      </w:tr>
    </w:tbl>
    <w:p w14:paraId="47E98362">
      <w:pPr>
        <w:pStyle w:val="6"/>
        <w:ind w:firstLine="480"/>
        <w:rPr>
          <w:rFonts w:hint="eastAsia"/>
          <w:color w:val="auto"/>
        </w:rPr>
      </w:pPr>
      <w:r>
        <w:rPr>
          <w:rFonts w:hint="eastAsia"/>
          <w:color w:val="auto"/>
        </w:rPr>
        <w:t>基坑临边防护强制措施</w:t>
      </w:r>
    </w:p>
    <w:p w14:paraId="67FEDD22">
      <w:pPr>
        <w:rPr>
          <w:rFonts w:hint="eastAsia"/>
          <w:color w:val="auto"/>
        </w:rPr>
      </w:pPr>
      <w:r>
        <w:rPr>
          <w:rFonts w:hint="eastAsia"/>
          <w:color w:val="auto"/>
        </w:rPr>
        <w:t>1、挖出的泥土和坑边堆放的材料，至少距离基坑边2m，高度不超过1.5m。基坑壁应根据土质情况确定分段分层支护开挖，每层开挖深度不宜超过1.5m，边挖边支，当发现支撑变形或折断时，应立即加固。</w:t>
      </w:r>
    </w:p>
    <w:p w14:paraId="1296C028">
      <w:pPr>
        <w:rPr>
          <w:rFonts w:hint="eastAsia"/>
          <w:color w:val="auto"/>
        </w:rPr>
      </w:pPr>
      <w:r>
        <w:rPr>
          <w:rFonts w:hint="eastAsia"/>
          <w:color w:val="auto"/>
        </w:rPr>
        <w:t>2、基坑施工深度不超过2m的临边采用1.2m高栏杆式防护，深度超过2m的基坑施工还须采用密目式安全网做封闭式防护，防护栏杆还需设置挡脚板；栏杆须安装牢固，材料应有足够的强度。临边防护栏杆离基坑边口的距离不得小于50cm。</w:t>
      </w:r>
    </w:p>
    <w:p w14:paraId="689312D4">
      <w:pPr>
        <w:rPr>
          <w:rFonts w:hint="eastAsia"/>
          <w:color w:val="auto"/>
        </w:rPr>
      </w:pPr>
      <w:r>
        <w:rPr>
          <w:rFonts w:hint="eastAsia"/>
          <w:color w:val="auto"/>
        </w:rPr>
        <w:t>3、基坑内须设置供施工人员上下的专用梯道。梯道应设置扶手栏杆，梯道的宽度不应小于1m，梯道搭设应符合规范要求。</w:t>
      </w:r>
    </w:p>
    <w:p w14:paraId="37D7E829">
      <w:pPr>
        <w:rPr>
          <w:rFonts w:hint="eastAsia"/>
          <w:color w:val="auto"/>
        </w:rPr>
      </w:pPr>
      <w:r>
        <w:rPr>
          <w:rFonts w:hint="eastAsia"/>
          <w:color w:val="auto"/>
        </w:rPr>
        <w:t>4、边坡顶应设置硬质防护或反光警示柱以及“边坡危险，请勿靠近”等警示牌。</w:t>
      </w:r>
    </w:p>
    <w:p w14:paraId="479C53B5">
      <w:pPr>
        <w:rPr>
          <w:rFonts w:hint="eastAsia"/>
          <w:color w:val="auto"/>
        </w:rPr>
      </w:pPr>
      <w:r>
        <w:rPr>
          <w:rFonts w:hint="eastAsia"/>
          <w:color w:val="auto"/>
        </w:rPr>
        <w:t>5、施工便道两边为边坡的，起点处应设置“非施工车辆禁止通行”、“进入施工现场，请减速慢行”等警示牌和限速标志。限速警示牌尺寸为60cm×100cm，使用方钢焊铁皮架子，用反光材料制作标志面；立柱使用方钢或者钢管单立柱，总高度2.5m，其中埋入地下50cm并用水泥或者混凝土固定，警示牌距离地面应不低于180cm。</w:t>
      </w:r>
    </w:p>
    <w:p w14:paraId="2E827028">
      <w:pPr>
        <w:rPr>
          <w:rFonts w:hint="eastAsia"/>
          <w:color w:val="auto"/>
        </w:rPr>
      </w:pPr>
      <w:r>
        <w:rPr>
          <w:rFonts w:hint="eastAsia"/>
          <w:color w:val="auto"/>
        </w:rPr>
        <w:t>6、施工便道拐弯部位应设有拐弯、急弯指向标志，并设置防撞墩、防撞柱等防护措施，反光警示柱长度1.2m，其中埋地0.2cm，露出地面1m，直径48mm，材质采用钢管或者PVC管（直径不小于100mm）并贴红白反光膜制作。</w:t>
      </w:r>
    </w:p>
    <w:p w14:paraId="164E0508">
      <w:pPr>
        <w:pStyle w:val="5"/>
        <w:rPr>
          <w:rFonts w:hint="eastAsia"/>
          <w:color w:val="auto"/>
        </w:rPr>
      </w:pPr>
      <w:bookmarkStart w:id="413" w:name="_Toc202510610"/>
      <w:bookmarkEnd w:id="413"/>
      <w:bookmarkStart w:id="414" w:name="_Toc30908"/>
      <w:r>
        <w:rPr>
          <w:rFonts w:hint="eastAsia"/>
          <w:color w:val="auto"/>
        </w:rPr>
        <w:t>脚手架安全管理</w:t>
      </w:r>
      <w:bookmarkEnd w:id="414"/>
    </w:p>
    <w:tbl>
      <w:tblPr>
        <w:tblStyle w:val="29"/>
        <w:tblW w:w="5000" w:type="pct"/>
        <w:tblInd w:w="0" w:type="dxa"/>
        <w:tblLayout w:type="fixed"/>
        <w:tblCellMar>
          <w:top w:w="0" w:type="dxa"/>
          <w:left w:w="108" w:type="dxa"/>
          <w:bottom w:w="0" w:type="dxa"/>
          <w:right w:w="108" w:type="dxa"/>
        </w:tblCellMar>
      </w:tblPr>
      <w:tblGrid>
        <w:gridCol w:w="688"/>
        <w:gridCol w:w="8372"/>
      </w:tblGrid>
      <w:tr w14:paraId="0EB7016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62B8F63">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084DF22D">
            <w:pPr>
              <w:spacing w:line="240" w:lineRule="auto"/>
              <w:ind w:firstLine="0" w:firstLineChars="0"/>
              <w:jc w:val="center"/>
              <w:rPr>
                <w:rFonts w:hint="eastAsia"/>
                <w:color w:val="auto"/>
                <w:sz w:val="21"/>
              </w:rPr>
            </w:pPr>
            <w:r>
              <w:rPr>
                <w:rFonts w:hint="eastAsia"/>
                <w:color w:val="auto"/>
                <w:sz w:val="21"/>
              </w:rPr>
              <w:t>保证措施</w:t>
            </w:r>
          </w:p>
        </w:tc>
      </w:tr>
      <w:tr w14:paraId="4CF77CDB">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10721CD">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64FC04D4">
            <w:pPr>
              <w:spacing w:line="240" w:lineRule="auto"/>
              <w:ind w:firstLine="420"/>
              <w:jc w:val="left"/>
              <w:rPr>
                <w:rFonts w:hint="eastAsia"/>
                <w:color w:val="auto"/>
                <w:sz w:val="21"/>
              </w:rPr>
            </w:pPr>
            <w:r>
              <w:rPr>
                <w:rFonts w:hint="eastAsia"/>
                <w:color w:val="auto"/>
                <w:sz w:val="21"/>
              </w:rPr>
              <w:t>要重点抓好对架子工队伍的安全管理，把好脚手架的安全防护关。架子工必须严格遵守本工种的安全技术操作规程。严格执行国家颁发的架子搭设规范，严禁工人翻爬脚手架，使用钢管和扣件的质量必须达到国家标准。</w:t>
            </w:r>
          </w:p>
        </w:tc>
      </w:tr>
      <w:tr w14:paraId="3711804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979F6E1">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6208E481">
            <w:pPr>
              <w:spacing w:line="240" w:lineRule="auto"/>
              <w:ind w:firstLine="420"/>
              <w:jc w:val="left"/>
              <w:rPr>
                <w:rFonts w:hint="eastAsia"/>
                <w:color w:val="auto"/>
                <w:sz w:val="21"/>
              </w:rPr>
            </w:pPr>
            <w:r>
              <w:rPr>
                <w:rFonts w:hint="eastAsia"/>
                <w:color w:val="auto"/>
                <w:sz w:val="21"/>
              </w:rPr>
              <w:t>架子工必须经过培训，并取得架子工操作证方可上岗操作。要经常教育职工坚持正确使用安全帽，安全带和工作鞋，把好个人防护用品使用关。</w:t>
            </w:r>
          </w:p>
        </w:tc>
      </w:tr>
      <w:tr w14:paraId="29FDF5D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F2CCE2D">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2FCCB9D5">
            <w:pPr>
              <w:spacing w:line="240" w:lineRule="auto"/>
              <w:ind w:firstLine="420"/>
              <w:jc w:val="left"/>
              <w:rPr>
                <w:rFonts w:hint="eastAsia"/>
                <w:color w:val="auto"/>
                <w:sz w:val="21"/>
              </w:rPr>
            </w:pPr>
            <w:r>
              <w:rPr>
                <w:rFonts w:hint="eastAsia"/>
                <w:color w:val="auto"/>
                <w:sz w:val="21"/>
              </w:rPr>
              <w:t>要加强对工人的操作技术和知识的教育，特别要把好新工人的三级安全教育关。</w:t>
            </w:r>
          </w:p>
        </w:tc>
      </w:tr>
      <w:tr w14:paraId="7F12297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AEF9CDC">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3DFD3716">
            <w:pPr>
              <w:spacing w:line="240" w:lineRule="auto"/>
              <w:ind w:firstLine="420"/>
              <w:jc w:val="left"/>
              <w:rPr>
                <w:rFonts w:hint="eastAsia"/>
                <w:color w:val="auto"/>
                <w:sz w:val="21"/>
              </w:rPr>
            </w:pPr>
            <w:r>
              <w:rPr>
                <w:rFonts w:hint="eastAsia"/>
                <w:color w:val="auto"/>
                <w:sz w:val="21"/>
              </w:rPr>
              <w:t>要切实加强对施工现场的安全检查和技术指导，及时发现和消除事故隐患。</w:t>
            </w:r>
          </w:p>
        </w:tc>
      </w:tr>
      <w:tr w14:paraId="3AEFA25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ABA9730">
            <w:pPr>
              <w:spacing w:line="240" w:lineRule="auto"/>
              <w:ind w:firstLine="0" w:firstLineChars="0"/>
              <w:jc w:val="center"/>
              <w:rPr>
                <w:rFonts w:hint="eastAsia"/>
                <w:color w:val="auto"/>
                <w:sz w:val="21"/>
              </w:rPr>
            </w:pPr>
            <w:r>
              <w:rPr>
                <w:rFonts w:hint="eastAsia"/>
                <w:color w:val="auto"/>
                <w:sz w:val="21"/>
              </w:rPr>
              <w:t>5</w:t>
            </w:r>
          </w:p>
        </w:tc>
        <w:tc>
          <w:tcPr>
            <w:tcW w:w="7534" w:type="dxa"/>
            <w:tcBorders>
              <w:top w:val="single" w:color="auto" w:sz="4" w:space="0"/>
              <w:left w:val="nil"/>
              <w:bottom w:val="single" w:color="auto" w:sz="4" w:space="0"/>
              <w:right w:val="single" w:color="auto" w:sz="4" w:space="0"/>
            </w:tcBorders>
            <w:vAlign w:val="center"/>
          </w:tcPr>
          <w:p w14:paraId="0EC3D246">
            <w:pPr>
              <w:spacing w:line="240" w:lineRule="auto"/>
              <w:ind w:firstLine="420"/>
              <w:jc w:val="left"/>
              <w:rPr>
                <w:rFonts w:hint="eastAsia"/>
                <w:color w:val="auto"/>
                <w:sz w:val="21"/>
              </w:rPr>
            </w:pPr>
            <w:r>
              <w:rPr>
                <w:rFonts w:hint="eastAsia"/>
                <w:color w:val="auto"/>
                <w:sz w:val="21"/>
              </w:rPr>
              <w:t>要加强对登高作业人员的管理。对等高作业人员要定期体检，从事特种作业，但未经劳动部门培训合格的人员，不得从事高空作业。</w:t>
            </w:r>
          </w:p>
        </w:tc>
      </w:tr>
      <w:tr w14:paraId="28A74D5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A0A308B">
            <w:pPr>
              <w:spacing w:line="240" w:lineRule="auto"/>
              <w:ind w:firstLine="0" w:firstLineChars="0"/>
              <w:jc w:val="center"/>
              <w:rPr>
                <w:rFonts w:hint="eastAsia"/>
                <w:color w:val="auto"/>
                <w:sz w:val="21"/>
              </w:rPr>
            </w:pPr>
            <w:r>
              <w:rPr>
                <w:rFonts w:hint="eastAsia"/>
                <w:color w:val="auto"/>
                <w:sz w:val="21"/>
              </w:rPr>
              <w:t>6</w:t>
            </w:r>
          </w:p>
        </w:tc>
        <w:tc>
          <w:tcPr>
            <w:tcW w:w="7534" w:type="dxa"/>
            <w:tcBorders>
              <w:top w:val="single" w:color="auto" w:sz="4" w:space="0"/>
              <w:left w:val="nil"/>
              <w:bottom w:val="single" w:color="auto" w:sz="4" w:space="0"/>
              <w:right w:val="single" w:color="auto" w:sz="4" w:space="0"/>
            </w:tcBorders>
            <w:vAlign w:val="center"/>
          </w:tcPr>
          <w:p w14:paraId="31F0640E">
            <w:pPr>
              <w:spacing w:line="240" w:lineRule="auto"/>
              <w:ind w:firstLine="420"/>
              <w:jc w:val="left"/>
              <w:rPr>
                <w:rFonts w:hint="eastAsia"/>
                <w:color w:val="auto"/>
                <w:sz w:val="21"/>
              </w:rPr>
            </w:pPr>
            <w:r>
              <w:rPr>
                <w:rFonts w:hint="eastAsia"/>
                <w:color w:val="auto"/>
                <w:sz w:val="21"/>
              </w:rPr>
              <w:t>要加强反对违章作业，反对违章指挥，但对违反劳动纪律的教育，把好职工的遵章守纪关。</w:t>
            </w:r>
          </w:p>
        </w:tc>
      </w:tr>
      <w:tr w14:paraId="581CCD3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B6E3455">
            <w:pPr>
              <w:spacing w:line="240" w:lineRule="auto"/>
              <w:ind w:firstLine="0" w:firstLineChars="0"/>
              <w:jc w:val="center"/>
              <w:rPr>
                <w:rFonts w:hint="eastAsia"/>
                <w:color w:val="auto"/>
                <w:sz w:val="21"/>
              </w:rPr>
            </w:pPr>
            <w:r>
              <w:rPr>
                <w:rFonts w:hint="eastAsia"/>
                <w:color w:val="auto"/>
                <w:sz w:val="21"/>
              </w:rPr>
              <w:t>7</w:t>
            </w:r>
          </w:p>
        </w:tc>
        <w:tc>
          <w:tcPr>
            <w:tcW w:w="7534" w:type="dxa"/>
            <w:tcBorders>
              <w:top w:val="single" w:color="auto" w:sz="4" w:space="0"/>
              <w:left w:val="nil"/>
              <w:bottom w:val="single" w:color="auto" w:sz="4" w:space="0"/>
              <w:right w:val="single" w:color="auto" w:sz="4" w:space="0"/>
            </w:tcBorders>
            <w:vAlign w:val="center"/>
          </w:tcPr>
          <w:p w14:paraId="1601490F">
            <w:pPr>
              <w:spacing w:line="240" w:lineRule="auto"/>
              <w:ind w:firstLine="420"/>
              <w:jc w:val="left"/>
              <w:rPr>
                <w:rFonts w:hint="eastAsia"/>
                <w:color w:val="auto"/>
                <w:sz w:val="21"/>
              </w:rPr>
            </w:pPr>
            <w:r>
              <w:rPr>
                <w:rFonts w:hint="eastAsia"/>
                <w:color w:val="auto"/>
                <w:sz w:val="21"/>
              </w:rPr>
              <w:t>有针对性地进行安全教育和公德教育，并组织职工观看一些安全事故录像。</w:t>
            </w:r>
          </w:p>
        </w:tc>
      </w:tr>
      <w:tr w14:paraId="2D86AA0E">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14F1E87">
            <w:pPr>
              <w:spacing w:line="240" w:lineRule="auto"/>
              <w:ind w:firstLine="0" w:firstLineChars="0"/>
              <w:jc w:val="center"/>
              <w:rPr>
                <w:rFonts w:hint="eastAsia"/>
                <w:color w:val="auto"/>
                <w:sz w:val="21"/>
              </w:rPr>
            </w:pPr>
            <w:r>
              <w:rPr>
                <w:rFonts w:hint="eastAsia"/>
                <w:color w:val="auto"/>
                <w:sz w:val="21"/>
              </w:rPr>
              <w:t>8</w:t>
            </w:r>
          </w:p>
        </w:tc>
        <w:tc>
          <w:tcPr>
            <w:tcW w:w="7534" w:type="dxa"/>
            <w:tcBorders>
              <w:top w:val="single" w:color="auto" w:sz="4" w:space="0"/>
              <w:left w:val="nil"/>
              <w:bottom w:val="single" w:color="auto" w:sz="4" w:space="0"/>
              <w:right w:val="single" w:color="auto" w:sz="4" w:space="0"/>
            </w:tcBorders>
            <w:vAlign w:val="center"/>
          </w:tcPr>
          <w:p w14:paraId="6D92A5A3">
            <w:pPr>
              <w:spacing w:line="240" w:lineRule="auto"/>
              <w:ind w:firstLine="420"/>
              <w:jc w:val="left"/>
              <w:rPr>
                <w:rFonts w:hint="eastAsia"/>
                <w:color w:val="auto"/>
                <w:sz w:val="21"/>
              </w:rPr>
            </w:pPr>
            <w:r>
              <w:rPr>
                <w:rFonts w:hint="eastAsia"/>
                <w:color w:val="auto"/>
                <w:sz w:val="21"/>
              </w:rPr>
              <w:t>凡患有高血压、心脏病、年老体弱，不适于高空作业的人，禁止从事架子工作业。</w:t>
            </w:r>
          </w:p>
        </w:tc>
      </w:tr>
      <w:tr w14:paraId="3515652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F6FA29C">
            <w:pPr>
              <w:spacing w:line="240" w:lineRule="auto"/>
              <w:ind w:firstLine="0" w:firstLineChars="0"/>
              <w:jc w:val="center"/>
              <w:rPr>
                <w:rFonts w:hint="eastAsia"/>
                <w:color w:val="auto"/>
                <w:sz w:val="21"/>
              </w:rPr>
            </w:pPr>
            <w:r>
              <w:rPr>
                <w:rFonts w:hint="eastAsia"/>
                <w:color w:val="auto"/>
                <w:sz w:val="21"/>
              </w:rPr>
              <w:t>9</w:t>
            </w:r>
          </w:p>
        </w:tc>
        <w:tc>
          <w:tcPr>
            <w:tcW w:w="7534" w:type="dxa"/>
            <w:tcBorders>
              <w:top w:val="single" w:color="auto" w:sz="4" w:space="0"/>
              <w:left w:val="nil"/>
              <w:bottom w:val="single" w:color="auto" w:sz="4" w:space="0"/>
              <w:right w:val="single" w:color="auto" w:sz="4" w:space="0"/>
            </w:tcBorders>
            <w:vAlign w:val="center"/>
          </w:tcPr>
          <w:p w14:paraId="29DAD20E">
            <w:pPr>
              <w:spacing w:line="240" w:lineRule="auto"/>
              <w:ind w:firstLine="420"/>
              <w:jc w:val="left"/>
              <w:rPr>
                <w:rFonts w:hint="eastAsia"/>
                <w:color w:val="auto"/>
                <w:sz w:val="21"/>
              </w:rPr>
            </w:pPr>
            <w:r>
              <w:rPr>
                <w:rFonts w:hint="eastAsia"/>
                <w:color w:val="auto"/>
                <w:sz w:val="21"/>
              </w:rPr>
              <w:t>架子工生病未愈或酒后不得上架子操作。</w:t>
            </w:r>
          </w:p>
        </w:tc>
      </w:tr>
      <w:tr w14:paraId="18D530A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2D202B2">
            <w:pPr>
              <w:spacing w:line="240" w:lineRule="auto"/>
              <w:ind w:firstLine="0" w:firstLineChars="0"/>
              <w:jc w:val="center"/>
              <w:rPr>
                <w:rFonts w:hint="eastAsia"/>
                <w:color w:val="auto"/>
                <w:sz w:val="21"/>
              </w:rPr>
            </w:pPr>
            <w:r>
              <w:rPr>
                <w:rFonts w:hint="eastAsia"/>
                <w:color w:val="auto"/>
                <w:sz w:val="21"/>
              </w:rPr>
              <w:t>10</w:t>
            </w:r>
          </w:p>
        </w:tc>
        <w:tc>
          <w:tcPr>
            <w:tcW w:w="7534" w:type="dxa"/>
            <w:tcBorders>
              <w:top w:val="single" w:color="auto" w:sz="4" w:space="0"/>
              <w:left w:val="nil"/>
              <w:bottom w:val="single" w:color="auto" w:sz="4" w:space="0"/>
              <w:right w:val="single" w:color="auto" w:sz="4" w:space="0"/>
            </w:tcBorders>
            <w:vAlign w:val="center"/>
          </w:tcPr>
          <w:p w14:paraId="4AE4CD2A">
            <w:pPr>
              <w:spacing w:line="240" w:lineRule="auto"/>
              <w:ind w:firstLine="420"/>
              <w:jc w:val="left"/>
              <w:rPr>
                <w:rFonts w:hint="eastAsia"/>
                <w:color w:val="auto"/>
                <w:sz w:val="21"/>
              </w:rPr>
            </w:pPr>
            <w:r>
              <w:rPr>
                <w:rFonts w:hint="eastAsia"/>
                <w:color w:val="auto"/>
                <w:sz w:val="21"/>
              </w:rPr>
              <w:t>架子工上岗应袖口扎紧，不得穿硬底鞋或拖鞋及其它易滑鞋。</w:t>
            </w:r>
          </w:p>
        </w:tc>
      </w:tr>
      <w:tr w14:paraId="4447DC8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B5D4B46">
            <w:pPr>
              <w:spacing w:line="240" w:lineRule="auto"/>
              <w:ind w:firstLine="0" w:firstLineChars="0"/>
              <w:jc w:val="center"/>
              <w:rPr>
                <w:rFonts w:hint="eastAsia"/>
                <w:color w:val="auto"/>
                <w:sz w:val="21"/>
              </w:rPr>
            </w:pPr>
            <w:r>
              <w:rPr>
                <w:rFonts w:hint="eastAsia"/>
                <w:color w:val="auto"/>
                <w:sz w:val="21"/>
              </w:rPr>
              <w:t>11</w:t>
            </w:r>
          </w:p>
        </w:tc>
        <w:tc>
          <w:tcPr>
            <w:tcW w:w="7534" w:type="dxa"/>
            <w:tcBorders>
              <w:top w:val="single" w:color="auto" w:sz="4" w:space="0"/>
              <w:left w:val="nil"/>
              <w:bottom w:val="single" w:color="auto" w:sz="4" w:space="0"/>
              <w:right w:val="single" w:color="auto" w:sz="4" w:space="0"/>
            </w:tcBorders>
            <w:vAlign w:val="center"/>
          </w:tcPr>
          <w:p w14:paraId="658ADE4B">
            <w:pPr>
              <w:spacing w:line="240" w:lineRule="auto"/>
              <w:ind w:firstLine="420"/>
              <w:jc w:val="left"/>
              <w:rPr>
                <w:rFonts w:hint="eastAsia"/>
                <w:color w:val="auto"/>
                <w:sz w:val="21"/>
              </w:rPr>
            </w:pPr>
            <w:r>
              <w:rPr>
                <w:rFonts w:hint="eastAsia"/>
                <w:color w:val="auto"/>
                <w:sz w:val="21"/>
              </w:rPr>
              <w:t>架子工操作时，必须戴安全帽，系安全带。</w:t>
            </w:r>
          </w:p>
        </w:tc>
      </w:tr>
      <w:tr w14:paraId="3DAF935E">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846B794">
            <w:pPr>
              <w:spacing w:line="240" w:lineRule="auto"/>
              <w:ind w:firstLine="0" w:firstLineChars="0"/>
              <w:jc w:val="center"/>
              <w:rPr>
                <w:rFonts w:hint="eastAsia"/>
                <w:color w:val="auto"/>
                <w:sz w:val="21"/>
              </w:rPr>
            </w:pPr>
            <w:r>
              <w:rPr>
                <w:rFonts w:hint="eastAsia"/>
                <w:color w:val="auto"/>
                <w:sz w:val="21"/>
              </w:rPr>
              <w:t>12</w:t>
            </w:r>
          </w:p>
        </w:tc>
        <w:tc>
          <w:tcPr>
            <w:tcW w:w="7534" w:type="dxa"/>
            <w:tcBorders>
              <w:top w:val="single" w:color="auto" w:sz="4" w:space="0"/>
              <w:left w:val="nil"/>
              <w:bottom w:val="single" w:color="auto" w:sz="4" w:space="0"/>
              <w:right w:val="single" w:color="auto" w:sz="4" w:space="0"/>
            </w:tcBorders>
            <w:vAlign w:val="center"/>
          </w:tcPr>
          <w:p w14:paraId="302D858A">
            <w:pPr>
              <w:spacing w:line="240" w:lineRule="auto"/>
              <w:ind w:firstLine="420"/>
              <w:jc w:val="left"/>
              <w:rPr>
                <w:rFonts w:hint="eastAsia"/>
                <w:color w:val="auto"/>
                <w:sz w:val="21"/>
              </w:rPr>
            </w:pPr>
            <w:r>
              <w:rPr>
                <w:rFonts w:hint="eastAsia"/>
                <w:color w:val="auto"/>
                <w:sz w:val="21"/>
              </w:rPr>
              <w:t>安全带应高挂低用，工具及小零件必须放在工具袋内。</w:t>
            </w:r>
          </w:p>
        </w:tc>
      </w:tr>
      <w:tr w14:paraId="7B2E858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B1BA551">
            <w:pPr>
              <w:spacing w:line="240" w:lineRule="auto"/>
              <w:ind w:firstLine="0" w:firstLineChars="0"/>
              <w:jc w:val="center"/>
              <w:rPr>
                <w:rFonts w:hint="eastAsia"/>
                <w:color w:val="auto"/>
                <w:sz w:val="21"/>
              </w:rPr>
            </w:pPr>
            <w:r>
              <w:rPr>
                <w:rFonts w:hint="eastAsia"/>
                <w:color w:val="auto"/>
                <w:sz w:val="21"/>
              </w:rPr>
              <w:t>13</w:t>
            </w:r>
          </w:p>
        </w:tc>
        <w:tc>
          <w:tcPr>
            <w:tcW w:w="7534" w:type="dxa"/>
            <w:tcBorders>
              <w:top w:val="single" w:color="auto" w:sz="4" w:space="0"/>
              <w:left w:val="nil"/>
              <w:bottom w:val="single" w:color="auto" w:sz="4" w:space="0"/>
              <w:right w:val="single" w:color="auto" w:sz="4" w:space="0"/>
            </w:tcBorders>
            <w:vAlign w:val="center"/>
          </w:tcPr>
          <w:p w14:paraId="3C3D89A7">
            <w:pPr>
              <w:spacing w:line="240" w:lineRule="auto"/>
              <w:ind w:firstLine="420"/>
              <w:jc w:val="left"/>
              <w:rPr>
                <w:rFonts w:hint="eastAsia"/>
                <w:color w:val="auto"/>
                <w:sz w:val="21"/>
              </w:rPr>
            </w:pPr>
            <w:r>
              <w:rPr>
                <w:rFonts w:hint="eastAsia"/>
                <w:color w:val="auto"/>
                <w:sz w:val="21"/>
              </w:rPr>
              <w:t>脚手架上人员不得过分集中，严禁打闹、跑跳。</w:t>
            </w:r>
          </w:p>
        </w:tc>
      </w:tr>
      <w:tr w14:paraId="5AE2F24B">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BB06175">
            <w:pPr>
              <w:spacing w:line="240" w:lineRule="auto"/>
              <w:ind w:firstLine="0" w:firstLineChars="0"/>
              <w:jc w:val="center"/>
              <w:rPr>
                <w:rFonts w:hint="eastAsia"/>
                <w:color w:val="auto"/>
                <w:sz w:val="21"/>
              </w:rPr>
            </w:pPr>
            <w:r>
              <w:rPr>
                <w:rFonts w:hint="eastAsia"/>
                <w:color w:val="auto"/>
                <w:sz w:val="21"/>
              </w:rPr>
              <w:t>14</w:t>
            </w:r>
          </w:p>
        </w:tc>
        <w:tc>
          <w:tcPr>
            <w:tcW w:w="7534" w:type="dxa"/>
            <w:tcBorders>
              <w:top w:val="single" w:color="auto" w:sz="4" w:space="0"/>
              <w:left w:val="nil"/>
              <w:bottom w:val="single" w:color="auto" w:sz="4" w:space="0"/>
              <w:right w:val="single" w:color="auto" w:sz="4" w:space="0"/>
            </w:tcBorders>
            <w:vAlign w:val="center"/>
          </w:tcPr>
          <w:p w14:paraId="6D5C102C">
            <w:pPr>
              <w:spacing w:line="240" w:lineRule="auto"/>
              <w:ind w:firstLine="420"/>
              <w:jc w:val="left"/>
              <w:rPr>
                <w:rFonts w:hint="eastAsia"/>
                <w:color w:val="auto"/>
                <w:sz w:val="21"/>
              </w:rPr>
            </w:pPr>
            <w:r>
              <w:rPr>
                <w:rFonts w:hint="eastAsia"/>
                <w:color w:val="auto"/>
                <w:sz w:val="21"/>
              </w:rPr>
              <w:t>六级以上大风、大雾、暴雨等恶劣天气，严禁在架上操作。</w:t>
            </w:r>
          </w:p>
        </w:tc>
      </w:tr>
      <w:tr w14:paraId="32691427">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84E516B">
            <w:pPr>
              <w:spacing w:line="240" w:lineRule="auto"/>
              <w:ind w:firstLine="0" w:firstLineChars="0"/>
              <w:jc w:val="center"/>
              <w:rPr>
                <w:rFonts w:hint="eastAsia"/>
                <w:color w:val="auto"/>
                <w:sz w:val="21"/>
              </w:rPr>
            </w:pPr>
            <w:r>
              <w:rPr>
                <w:rFonts w:hint="eastAsia"/>
                <w:color w:val="auto"/>
                <w:sz w:val="21"/>
              </w:rPr>
              <w:t>15</w:t>
            </w:r>
          </w:p>
        </w:tc>
        <w:tc>
          <w:tcPr>
            <w:tcW w:w="7534" w:type="dxa"/>
            <w:tcBorders>
              <w:top w:val="single" w:color="auto" w:sz="4" w:space="0"/>
              <w:left w:val="nil"/>
              <w:bottom w:val="single" w:color="auto" w:sz="4" w:space="0"/>
              <w:right w:val="single" w:color="auto" w:sz="4" w:space="0"/>
            </w:tcBorders>
            <w:vAlign w:val="center"/>
          </w:tcPr>
          <w:p w14:paraId="0E962ACD">
            <w:pPr>
              <w:spacing w:line="240" w:lineRule="auto"/>
              <w:ind w:firstLine="420"/>
              <w:jc w:val="left"/>
              <w:rPr>
                <w:rFonts w:hint="eastAsia"/>
                <w:color w:val="auto"/>
                <w:sz w:val="21"/>
              </w:rPr>
            </w:pPr>
            <w:r>
              <w:rPr>
                <w:rFonts w:hint="eastAsia"/>
                <w:color w:val="auto"/>
                <w:sz w:val="21"/>
              </w:rPr>
              <w:t>脚手架搭设过程中，若杆件尚未绑稳、未扣紧时，严禁中途停止作业。</w:t>
            </w:r>
          </w:p>
        </w:tc>
      </w:tr>
      <w:tr w14:paraId="6607AE6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5204C1D">
            <w:pPr>
              <w:spacing w:line="240" w:lineRule="auto"/>
              <w:ind w:firstLine="0" w:firstLineChars="0"/>
              <w:jc w:val="center"/>
              <w:rPr>
                <w:rFonts w:hint="eastAsia"/>
                <w:color w:val="auto"/>
                <w:sz w:val="21"/>
              </w:rPr>
            </w:pPr>
            <w:r>
              <w:rPr>
                <w:rFonts w:hint="eastAsia"/>
                <w:color w:val="auto"/>
                <w:sz w:val="21"/>
              </w:rPr>
              <w:t>16</w:t>
            </w:r>
          </w:p>
        </w:tc>
        <w:tc>
          <w:tcPr>
            <w:tcW w:w="7534" w:type="dxa"/>
            <w:tcBorders>
              <w:top w:val="single" w:color="auto" w:sz="4" w:space="0"/>
              <w:left w:val="nil"/>
              <w:bottom w:val="single" w:color="auto" w:sz="4" w:space="0"/>
              <w:right w:val="single" w:color="auto" w:sz="4" w:space="0"/>
            </w:tcBorders>
            <w:vAlign w:val="center"/>
          </w:tcPr>
          <w:p w14:paraId="7433E5EF">
            <w:pPr>
              <w:spacing w:line="240" w:lineRule="auto"/>
              <w:ind w:firstLine="420"/>
              <w:jc w:val="left"/>
              <w:rPr>
                <w:rFonts w:hint="eastAsia"/>
                <w:color w:val="auto"/>
                <w:sz w:val="21"/>
              </w:rPr>
            </w:pPr>
            <w:r>
              <w:rPr>
                <w:rFonts w:hint="eastAsia"/>
                <w:color w:val="auto"/>
                <w:sz w:val="21"/>
              </w:rPr>
              <w:t>脚手架每隔50M设一处接地装置，接地采用1.5M长ø48钢管打入地下不少于500mm，接地线用ø8钢筋与接地件焊接，焊接长度不小于50mm。</w:t>
            </w:r>
          </w:p>
        </w:tc>
      </w:tr>
      <w:tr w14:paraId="3E4B5E2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6604AA4">
            <w:pPr>
              <w:spacing w:line="240" w:lineRule="auto"/>
              <w:ind w:firstLine="0" w:firstLineChars="0"/>
              <w:jc w:val="center"/>
              <w:rPr>
                <w:rFonts w:hint="eastAsia"/>
                <w:color w:val="auto"/>
                <w:sz w:val="21"/>
              </w:rPr>
            </w:pPr>
            <w:r>
              <w:rPr>
                <w:rFonts w:hint="eastAsia"/>
                <w:color w:val="auto"/>
                <w:sz w:val="21"/>
              </w:rPr>
              <w:t>17</w:t>
            </w:r>
          </w:p>
        </w:tc>
        <w:tc>
          <w:tcPr>
            <w:tcW w:w="7534" w:type="dxa"/>
            <w:tcBorders>
              <w:top w:val="single" w:color="auto" w:sz="4" w:space="0"/>
              <w:left w:val="nil"/>
              <w:bottom w:val="single" w:color="auto" w:sz="4" w:space="0"/>
              <w:right w:val="single" w:color="auto" w:sz="4" w:space="0"/>
            </w:tcBorders>
            <w:vAlign w:val="center"/>
          </w:tcPr>
          <w:p w14:paraId="4BC74DF6">
            <w:pPr>
              <w:spacing w:line="240" w:lineRule="auto"/>
              <w:ind w:firstLine="420"/>
              <w:jc w:val="left"/>
              <w:rPr>
                <w:rFonts w:hint="eastAsia"/>
                <w:color w:val="auto"/>
                <w:sz w:val="21"/>
              </w:rPr>
            </w:pPr>
            <w:r>
              <w:rPr>
                <w:rFonts w:hint="eastAsia"/>
                <w:color w:val="auto"/>
                <w:sz w:val="21"/>
              </w:rPr>
              <w:t>安全网之间必须搭接牢固，不得留空隙。</w:t>
            </w:r>
          </w:p>
        </w:tc>
      </w:tr>
      <w:tr w14:paraId="25CAC009">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49B62FB">
            <w:pPr>
              <w:spacing w:line="240" w:lineRule="auto"/>
              <w:ind w:firstLine="0" w:firstLineChars="0"/>
              <w:jc w:val="center"/>
              <w:rPr>
                <w:rFonts w:hint="eastAsia"/>
                <w:color w:val="auto"/>
                <w:sz w:val="21"/>
              </w:rPr>
            </w:pPr>
            <w:r>
              <w:rPr>
                <w:rFonts w:hint="eastAsia"/>
                <w:color w:val="auto"/>
                <w:sz w:val="21"/>
              </w:rPr>
              <w:t>18</w:t>
            </w:r>
          </w:p>
        </w:tc>
        <w:tc>
          <w:tcPr>
            <w:tcW w:w="7534" w:type="dxa"/>
            <w:tcBorders>
              <w:top w:val="single" w:color="auto" w:sz="4" w:space="0"/>
              <w:left w:val="nil"/>
              <w:bottom w:val="single" w:color="auto" w:sz="4" w:space="0"/>
              <w:right w:val="single" w:color="auto" w:sz="4" w:space="0"/>
            </w:tcBorders>
            <w:vAlign w:val="center"/>
          </w:tcPr>
          <w:p w14:paraId="1124AA2B">
            <w:pPr>
              <w:spacing w:line="240" w:lineRule="auto"/>
              <w:ind w:firstLine="420"/>
              <w:jc w:val="left"/>
              <w:rPr>
                <w:rFonts w:hint="eastAsia"/>
                <w:color w:val="auto"/>
                <w:sz w:val="21"/>
              </w:rPr>
            </w:pPr>
            <w:r>
              <w:rPr>
                <w:rFonts w:hint="eastAsia"/>
                <w:color w:val="auto"/>
                <w:sz w:val="21"/>
              </w:rPr>
              <w:t>不得将模板支撑，缆风绳、泵送砼的输送管等固定在脚手架上。</w:t>
            </w:r>
          </w:p>
        </w:tc>
      </w:tr>
      <w:tr w14:paraId="1E97134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E86E9FF">
            <w:pPr>
              <w:spacing w:line="240" w:lineRule="auto"/>
              <w:ind w:firstLine="0" w:firstLineChars="0"/>
              <w:jc w:val="center"/>
              <w:rPr>
                <w:rFonts w:hint="eastAsia"/>
                <w:color w:val="auto"/>
                <w:sz w:val="21"/>
              </w:rPr>
            </w:pPr>
            <w:r>
              <w:rPr>
                <w:rFonts w:hint="eastAsia"/>
                <w:color w:val="auto"/>
                <w:sz w:val="21"/>
              </w:rPr>
              <w:t>19</w:t>
            </w:r>
          </w:p>
        </w:tc>
        <w:tc>
          <w:tcPr>
            <w:tcW w:w="7534" w:type="dxa"/>
            <w:tcBorders>
              <w:top w:val="single" w:color="auto" w:sz="4" w:space="0"/>
              <w:left w:val="nil"/>
              <w:bottom w:val="single" w:color="auto" w:sz="4" w:space="0"/>
              <w:right w:val="single" w:color="auto" w:sz="4" w:space="0"/>
            </w:tcBorders>
            <w:vAlign w:val="center"/>
          </w:tcPr>
          <w:p w14:paraId="4EE17C96">
            <w:pPr>
              <w:spacing w:line="240" w:lineRule="auto"/>
              <w:ind w:firstLine="420"/>
              <w:jc w:val="left"/>
              <w:rPr>
                <w:rFonts w:hint="eastAsia"/>
                <w:color w:val="auto"/>
                <w:sz w:val="21"/>
              </w:rPr>
            </w:pPr>
            <w:r>
              <w:rPr>
                <w:rFonts w:hint="eastAsia"/>
                <w:color w:val="auto"/>
                <w:sz w:val="21"/>
              </w:rPr>
              <w:t>脚手架拆除时现场必须设警戒区域，张挂醒目的警戒标志。警戒区域内严禁非操作人员通行或在架手下方继续组织施工。地面监护人员必须履行职责。</w:t>
            </w:r>
          </w:p>
        </w:tc>
      </w:tr>
      <w:tr w14:paraId="7BC6480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58D0349">
            <w:pPr>
              <w:spacing w:line="240" w:lineRule="auto"/>
              <w:ind w:firstLine="0" w:firstLineChars="0"/>
              <w:jc w:val="center"/>
              <w:rPr>
                <w:rFonts w:hint="eastAsia"/>
                <w:color w:val="auto"/>
                <w:sz w:val="21"/>
              </w:rPr>
            </w:pPr>
            <w:r>
              <w:rPr>
                <w:rFonts w:hint="eastAsia"/>
                <w:color w:val="auto"/>
                <w:sz w:val="21"/>
              </w:rPr>
              <w:t>20</w:t>
            </w:r>
          </w:p>
        </w:tc>
        <w:tc>
          <w:tcPr>
            <w:tcW w:w="7534" w:type="dxa"/>
            <w:tcBorders>
              <w:top w:val="single" w:color="auto" w:sz="4" w:space="0"/>
              <w:left w:val="nil"/>
              <w:bottom w:val="single" w:color="auto" w:sz="4" w:space="0"/>
              <w:right w:val="single" w:color="auto" w:sz="4" w:space="0"/>
            </w:tcBorders>
            <w:vAlign w:val="center"/>
          </w:tcPr>
          <w:p w14:paraId="08A3329B">
            <w:pPr>
              <w:spacing w:line="240" w:lineRule="auto"/>
              <w:ind w:firstLine="420"/>
              <w:jc w:val="left"/>
              <w:rPr>
                <w:rFonts w:hint="eastAsia"/>
                <w:color w:val="auto"/>
                <w:sz w:val="21"/>
              </w:rPr>
            </w:pPr>
            <w:r>
              <w:rPr>
                <w:rFonts w:hint="eastAsia"/>
                <w:color w:val="auto"/>
                <w:sz w:val="21"/>
              </w:rPr>
              <w:t>所有高处作业人员，应严格按照高处作业规定执行和遵守安全纪律及拆除工艺要求。</w:t>
            </w:r>
          </w:p>
        </w:tc>
      </w:tr>
      <w:tr w14:paraId="6D141201">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182AC3B">
            <w:pPr>
              <w:spacing w:line="240" w:lineRule="auto"/>
              <w:ind w:firstLine="0" w:firstLineChars="0"/>
              <w:jc w:val="center"/>
              <w:rPr>
                <w:rFonts w:hint="eastAsia"/>
                <w:color w:val="auto"/>
                <w:sz w:val="21"/>
              </w:rPr>
            </w:pPr>
            <w:r>
              <w:rPr>
                <w:rFonts w:hint="eastAsia"/>
                <w:color w:val="auto"/>
                <w:sz w:val="21"/>
              </w:rPr>
              <w:t>21</w:t>
            </w:r>
          </w:p>
        </w:tc>
        <w:tc>
          <w:tcPr>
            <w:tcW w:w="7534" w:type="dxa"/>
            <w:tcBorders>
              <w:top w:val="single" w:color="auto" w:sz="4" w:space="0"/>
              <w:left w:val="nil"/>
              <w:bottom w:val="single" w:color="auto" w:sz="4" w:space="0"/>
              <w:right w:val="single" w:color="auto" w:sz="4" w:space="0"/>
            </w:tcBorders>
            <w:vAlign w:val="center"/>
          </w:tcPr>
          <w:p w14:paraId="5A200BC8">
            <w:pPr>
              <w:spacing w:line="240" w:lineRule="auto"/>
              <w:ind w:firstLine="420"/>
              <w:jc w:val="left"/>
              <w:rPr>
                <w:rFonts w:hint="eastAsia"/>
                <w:color w:val="auto"/>
                <w:sz w:val="21"/>
              </w:rPr>
            </w:pPr>
            <w:r>
              <w:rPr>
                <w:rFonts w:hint="eastAsia"/>
                <w:color w:val="auto"/>
                <w:sz w:val="21"/>
              </w:rPr>
              <w:t>拆除人员进入岗位以后，先进行检查，加固松动部位，清除步层内留的材料、物件及垃圾，所有清理物应安全输送至地面，严禁高处抛掷。</w:t>
            </w:r>
          </w:p>
        </w:tc>
      </w:tr>
      <w:tr w14:paraId="2BA6FEB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6F738E1">
            <w:pPr>
              <w:spacing w:line="240" w:lineRule="auto"/>
              <w:ind w:firstLine="0" w:firstLineChars="0"/>
              <w:jc w:val="center"/>
              <w:rPr>
                <w:rFonts w:hint="eastAsia"/>
                <w:color w:val="auto"/>
                <w:sz w:val="21"/>
              </w:rPr>
            </w:pPr>
            <w:r>
              <w:rPr>
                <w:rFonts w:hint="eastAsia"/>
                <w:color w:val="auto"/>
                <w:sz w:val="21"/>
              </w:rPr>
              <w:t>22</w:t>
            </w:r>
          </w:p>
        </w:tc>
        <w:tc>
          <w:tcPr>
            <w:tcW w:w="7534" w:type="dxa"/>
            <w:tcBorders>
              <w:top w:val="single" w:color="auto" w:sz="4" w:space="0"/>
              <w:left w:val="nil"/>
              <w:bottom w:val="single" w:color="auto" w:sz="4" w:space="0"/>
              <w:right w:val="single" w:color="auto" w:sz="4" w:space="0"/>
            </w:tcBorders>
            <w:vAlign w:val="center"/>
          </w:tcPr>
          <w:p w14:paraId="3E73AAA5">
            <w:pPr>
              <w:spacing w:line="240" w:lineRule="auto"/>
              <w:ind w:firstLine="420"/>
              <w:jc w:val="left"/>
              <w:rPr>
                <w:rFonts w:hint="eastAsia"/>
                <w:color w:val="auto"/>
                <w:sz w:val="21"/>
              </w:rPr>
            </w:pPr>
            <w:r>
              <w:rPr>
                <w:rFonts w:hint="eastAsia"/>
                <w:color w:val="auto"/>
                <w:sz w:val="21"/>
              </w:rPr>
              <w:t>不允许分立面拆除或上、下步同时拆除，认真做到一步一清，一杆一清。</w:t>
            </w:r>
          </w:p>
        </w:tc>
      </w:tr>
      <w:tr w14:paraId="61489CE7">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AA568E8">
            <w:pPr>
              <w:spacing w:line="240" w:lineRule="auto"/>
              <w:ind w:firstLine="0" w:firstLineChars="0"/>
              <w:jc w:val="center"/>
              <w:rPr>
                <w:rFonts w:hint="eastAsia"/>
                <w:color w:val="auto"/>
                <w:sz w:val="21"/>
              </w:rPr>
            </w:pPr>
            <w:r>
              <w:rPr>
                <w:rFonts w:hint="eastAsia"/>
                <w:color w:val="auto"/>
                <w:sz w:val="21"/>
              </w:rPr>
              <w:t>23</w:t>
            </w:r>
          </w:p>
        </w:tc>
        <w:tc>
          <w:tcPr>
            <w:tcW w:w="7534" w:type="dxa"/>
            <w:tcBorders>
              <w:top w:val="single" w:color="auto" w:sz="4" w:space="0"/>
              <w:left w:val="nil"/>
              <w:bottom w:val="single" w:color="auto" w:sz="4" w:space="0"/>
              <w:right w:val="single" w:color="auto" w:sz="4" w:space="0"/>
            </w:tcBorders>
            <w:vAlign w:val="center"/>
          </w:tcPr>
          <w:p w14:paraId="540496D4">
            <w:pPr>
              <w:spacing w:line="240" w:lineRule="auto"/>
              <w:ind w:firstLine="420"/>
              <w:jc w:val="left"/>
              <w:rPr>
                <w:rFonts w:hint="eastAsia"/>
                <w:color w:val="auto"/>
                <w:sz w:val="21"/>
              </w:rPr>
            </w:pPr>
            <w:r>
              <w:rPr>
                <w:rFonts w:hint="eastAsia"/>
                <w:color w:val="auto"/>
                <w:sz w:val="21"/>
              </w:rPr>
              <w:t>所有杆件与扣件，在拆除时应分离，不允许杆件上附着扣件输送地面。</w:t>
            </w:r>
          </w:p>
        </w:tc>
      </w:tr>
      <w:tr w14:paraId="6693EF10">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98DC4B7">
            <w:pPr>
              <w:spacing w:line="240" w:lineRule="auto"/>
              <w:ind w:firstLine="0" w:firstLineChars="0"/>
              <w:jc w:val="center"/>
              <w:rPr>
                <w:rFonts w:hint="eastAsia"/>
                <w:color w:val="auto"/>
                <w:sz w:val="21"/>
              </w:rPr>
            </w:pPr>
            <w:r>
              <w:rPr>
                <w:rFonts w:hint="eastAsia"/>
                <w:color w:val="auto"/>
                <w:sz w:val="21"/>
              </w:rPr>
              <w:t>24</w:t>
            </w:r>
          </w:p>
        </w:tc>
        <w:tc>
          <w:tcPr>
            <w:tcW w:w="7534" w:type="dxa"/>
            <w:tcBorders>
              <w:top w:val="single" w:color="auto" w:sz="4" w:space="0"/>
              <w:left w:val="nil"/>
              <w:bottom w:val="single" w:color="auto" w:sz="4" w:space="0"/>
              <w:right w:val="single" w:color="auto" w:sz="4" w:space="0"/>
            </w:tcBorders>
            <w:vAlign w:val="center"/>
          </w:tcPr>
          <w:p w14:paraId="060D62D0">
            <w:pPr>
              <w:spacing w:line="240" w:lineRule="auto"/>
              <w:ind w:firstLine="420"/>
              <w:jc w:val="left"/>
              <w:rPr>
                <w:rFonts w:hint="eastAsia"/>
                <w:color w:val="auto"/>
                <w:sz w:val="21"/>
              </w:rPr>
            </w:pPr>
            <w:r>
              <w:rPr>
                <w:rFonts w:hint="eastAsia"/>
                <w:color w:val="auto"/>
                <w:sz w:val="21"/>
              </w:rPr>
              <w:t>当日完工后，应仔细检查岗位周围情况，如发现留有隐患的部位，应及时进行修复或继续完成至一个程序，一个部位的结束，方可辙离岗位。</w:t>
            </w:r>
          </w:p>
        </w:tc>
      </w:tr>
      <w:tr w14:paraId="29F5DD5B">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43F427D">
            <w:pPr>
              <w:spacing w:line="240" w:lineRule="auto"/>
              <w:ind w:firstLine="0" w:firstLineChars="0"/>
              <w:jc w:val="center"/>
              <w:rPr>
                <w:rFonts w:hint="eastAsia"/>
                <w:color w:val="auto"/>
                <w:sz w:val="21"/>
              </w:rPr>
            </w:pPr>
            <w:r>
              <w:rPr>
                <w:rFonts w:hint="eastAsia"/>
                <w:color w:val="auto"/>
                <w:sz w:val="21"/>
              </w:rPr>
              <w:t>25</w:t>
            </w:r>
          </w:p>
        </w:tc>
        <w:tc>
          <w:tcPr>
            <w:tcW w:w="7534" w:type="dxa"/>
            <w:tcBorders>
              <w:top w:val="single" w:color="auto" w:sz="4" w:space="0"/>
              <w:left w:val="nil"/>
              <w:bottom w:val="single" w:color="auto" w:sz="4" w:space="0"/>
              <w:right w:val="single" w:color="auto" w:sz="4" w:space="0"/>
            </w:tcBorders>
            <w:vAlign w:val="center"/>
          </w:tcPr>
          <w:p w14:paraId="11DA0AD4">
            <w:pPr>
              <w:spacing w:line="240" w:lineRule="auto"/>
              <w:ind w:firstLine="420"/>
              <w:jc w:val="left"/>
              <w:rPr>
                <w:rFonts w:hint="eastAsia"/>
                <w:color w:val="auto"/>
                <w:sz w:val="21"/>
              </w:rPr>
            </w:pPr>
            <w:r>
              <w:rPr>
                <w:rFonts w:hint="eastAsia"/>
                <w:color w:val="auto"/>
                <w:sz w:val="21"/>
              </w:rPr>
              <w:t>输送至地面的所有杆件，扣件等物体，应按类堆放整理。</w:t>
            </w:r>
          </w:p>
        </w:tc>
      </w:tr>
    </w:tbl>
    <w:p w14:paraId="29C731DA">
      <w:pPr>
        <w:pStyle w:val="5"/>
        <w:rPr>
          <w:rFonts w:hint="eastAsia"/>
          <w:color w:val="auto"/>
        </w:rPr>
      </w:pPr>
      <w:bookmarkStart w:id="415" w:name="_Toc202510611"/>
      <w:bookmarkEnd w:id="415"/>
      <w:bookmarkStart w:id="416" w:name="_Toc13173"/>
      <w:r>
        <w:rPr>
          <w:rFonts w:hint="eastAsia"/>
          <w:color w:val="auto"/>
        </w:rPr>
        <w:t>模板工程安全管理</w:t>
      </w:r>
      <w:bookmarkEnd w:id="416"/>
    </w:p>
    <w:p w14:paraId="52EA30DA">
      <w:pPr>
        <w:pStyle w:val="6"/>
        <w:ind w:firstLine="480"/>
        <w:rPr>
          <w:rFonts w:hint="eastAsia"/>
          <w:color w:val="auto"/>
        </w:rPr>
      </w:pPr>
      <w:r>
        <w:rPr>
          <w:rFonts w:hint="eastAsia"/>
          <w:color w:val="auto"/>
        </w:rPr>
        <w:t>模板支架安全管理</w:t>
      </w:r>
    </w:p>
    <w:tbl>
      <w:tblPr>
        <w:tblStyle w:val="29"/>
        <w:tblW w:w="5000" w:type="pct"/>
        <w:tblInd w:w="0" w:type="dxa"/>
        <w:tblLayout w:type="fixed"/>
        <w:tblCellMar>
          <w:top w:w="0" w:type="dxa"/>
          <w:left w:w="108" w:type="dxa"/>
          <w:bottom w:w="0" w:type="dxa"/>
          <w:right w:w="108" w:type="dxa"/>
        </w:tblCellMar>
      </w:tblPr>
      <w:tblGrid>
        <w:gridCol w:w="688"/>
        <w:gridCol w:w="8372"/>
      </w:tblGrid>
      <w:tr w14:paraId="79F89753">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5EC2E8C">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64E58B69">
            <w:pPr>
              <w:spacing w:line="240" w:lineRule="auto"/>
              <w:ind w:firstLine="0" w:firstLineChars="0"/>
              <w:jc w:val="center"/>
              <w:rPr>
                <w:rFonts w:hint="eastAsia"/>
                <w:color w:val="auto"/>
                <w:sz w:val="21"/>
              </w:rPr>
            </w:pPr>
            <w:r>
              <w:rPr>
                <w:rFonts w:hint="eastAsia"/>
                <w:color w:val="auto"/>
                <w:sz w:val="21"/>
              </w:rPr>
              <w:t>安全保证措施</w:t>
            </w:r>
          </w:p>
        </w:tc>
      </w:tr>
      <w:tr w14:paraId="22C9AC8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A53305B">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14069A3B">
            <w:pPr>
              <w:spacing w:line="240" w:lineRule="auto"/>
              <w:ind w:firstLine="420"/>
              <w:jc w:val="left"/>
              <w:rPr>
                <w:rFonts w:hint="eastAsia"/>
                <w:color w:val="auto"/>
                <w:sz w:val="21"/>
              </w:rPr>
            </w:pPr>
            <w:r>
              <w:rPr>
                <w:rFonts w:hint="eastAsia"/>
                <w:color w:val="auto"/>
                <w:sz w:val="21"/>
              </w:rPr>
              <w:t>钢管脚手架搭设前，应按《施工扣件式钢管脚手架安全技术规范》（JGJ130—2019）以及模板施工方案的要求向搭设和使用人员做技术和安全作业交底。</w:t>
            </w:r>
          </w:p>
        </w:tc>
      </w:tr>
      <w:tr w14:paraId="477F2B7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163BE35">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4211619E">
            <w:pPr>
              <w:spacing w:line="240" w:lineRule="auto"/>
              <w:ind w:firstLine="420"/>
              <w:jc w:val="left"/>
              <w:rPr>
                <w:rFonts w:hint="eastAsia"/>
                <w:color w:val="auto"/>
                <w:sz w:val="21"/>
              </w:rPr>
            </w:pPr>
            <w:r>
              <w:rPr>
                <w:rFonts w:hint="eastAsia"/>
                <w:color w:val="auto"/>
                <w:sz w:val="21"/>
              </w:rPr>
              <w:t>对钢管架、配件等应进行检查验收，严禁使用不合格的材料。</w:t>
            </w:r>
          </w:p>
        </w:tc>
      </w:tr>
      <w:tr w14:paraId="4AEDE126">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74460AB">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04002675">
            <w:pPr>
              <w:spacing w:line="240" w:lineRule="auto"/>
              <w:ind w:firstLine="420"/>
              <w:jc w:val="left"/>
              <w:rPr>
                <w:rFonts w:hint="eastAsia"/>
                <w:color w:val="auto"/>
                <w:sz w:val="21"/>
              </w:rPr>
            </w:pPr>
            <w:r>
              <w:rPr>
                <w:rFonts w:hint="eastAsia"/>
                <w:color w:val="auto"/>
                <w:sz w:val="21"/>
              </w:rPr>
              <w:t>搭拆脚手架支撑必须由专业架子工担任，持证上岗。</w:t>
            </w:r>
          </w:p>
        </w:tc>
      </w:tr>
      <w:tr w14:paraId="45E23056">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7D7AD7E">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34E67A90">
            <w:pPr>
              <w:spacing w:line="240" w:lineRule="auto"/>
              <w:ind w:firstLine="420"/>
              <w:jc w:val="left"/>
              <w:rPr>
                <w:rFonts w:hint="eastAsia"/>
                <w:color w:val="auto"/>
                <w:sz w:val="21"/>
              </w:rPr>
            </w:pPr>
            <w:r>
              <w:rPr>
                <w:rFonts w:hint="eastAsia"/>
                <w:color w:val="auto"/>
                <w:sz w:val="21"/>
              </w:rPr>
              <w:t>搭拆脚手架支撑时工人必须正确佩戴安全帽，穿防滑鞋。</w:t>
            </w:r>
          </w:p>
        </w:tc>
      </w:tr>
      <w:tr w14:paraId="2E6001E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50D6607">
            <w:pPr>
              <w:spacing w:line="240" w:lineRule="auto"/>
              <w:ind w:firstLine="0" w:firstLineChars="0"/>
              <w:jc w:val="center"/>
              <w:rPr>
                <w:rFonts w:hint="eastAsia"/>
                <w:color w:val="auto"/>
                <w:sz w:val="21"/>
              </w:rPr>
            </w:pPr>
            <w:r>
              <w:rPr>
                <w:rFonts w:hint="eastAsia"/>
                <w:color w:val="auto"/>
                <w:sz w:val="21"/>
              </w:rPr>
              <w:t>5</w:t>
            </w:r>
          </w:p>
        </w:tc>
        <w:tc>
          <w:tcPr>
            <w:tcW w:w="7534" w:type="dxa"/>
            <w:tcBorders>
              <w:top w:val="single" w:color="auto" w:sz="4" w:space="0"/>
              <w:left w:val="nil"/>
              <w:bottom w:val="single" w:color="auto" w:sz="4" w:space="0"/>
              <w:right w:val="single" w:color="auto" w:sz="4" w:space="0"/>
            </w:tcBorders>
            <w:vAlign w:val="center"/>
          </w:tcPr>
          <w:p w14:paraId="0980C8B9">
            <w:pPr>
              <w:spacing w:line="240" w:lineRule="auto"/>
              <w:ind w:firstLine="420"/>
              <w:jc w:val="left"/>
              <w:rPr>
                <w:rFonts w:hint="eastAsia"/>
                <w:color w:val="auto"/>
                <w:sz w:val="21"/>
              </w:rPr>
            </w:pPr>
            <w:r>
              <w:rPr>
                <w:rFonts w:hint="eastAsia"/>
                <w:color w:val="auto"/>
                <w:sz w:val="21"/>
              </w:rPr>
              <w:t>操作层上施工荷载应符合设计要求，不得超载，不得在脚手架支撑上集中堆放模板、钢筋等物体。</w:t>
            </w:r>
          </w:p>
        </w:tc>
      </w:tr>
      <w:tr w14:paraId="1A26058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5E47D0C">
            <w:pPr>
              <w:spacing w:line="240" w:lineRule="auto"/>
              <w:ind w:firstLine="0" w:firstLineChars="0"/>
              <w:jc w:val="center"/>
              <w:rPr>
                <w:rFonts w:hint="eastAsia"/>
                <w:color w:val="auto"/>
                <w:sz w:val="21"/>
              </w:rPr>
            </w:pPr>
            <w:r>
              <w:rPr>
                <w:rFonts w:hint="eastAsia"/>
                <w:color w:val="auto"/>
                <w:sz w:val="21"/>
              </w:rPr>
              <w:t>6</w:t>
            </w:r>
          </w:p>
        </w:tc>
        <w:tc>
          <w:tcPr>
            <w:tcW w:w="7534" w:type="dxa"/>
            <w:tcBorders>
              <w:top w:val="single" w:color="auto" w:sz="4" w:space="0"/>
              <w:left w:val="nil"/>
              <w:bottom w:val="single" w:color="auto" w:sz="4" w:space="0"/>
              <w:right w:val="single" w:color="auto" w:sz="4" w:space="0"/>
            </w:tcBorders>
            <w:vAlign w:val="center"/>
          </w:tcPr>
          <w:p w14:paraId="6DBF78DD">
            <w:pPr>
              <w:spacing w:line="240" w:lineRule="auto"/>
              <w:ind w:firstLine="420"/>
              <w:jc w:val="left"/>
              <w:rPr>
                <w:rFonts w:hint="eastAsia"/>
                <w:color w:val="auto"/>
                <w:sz w:val="21"/>
              </w:rPr>
            </w:pPr>
            <w:r>
              <w:rPr>
                <w:rFonts w:hint="eastAsia"/>
                <w:color w:val="auto"/>
                <w:sz w:val="21"/>
              </w:rPr>
              <w:t>模板支撑和钢管架搭设完毕后应进行检查验收，合格后方准使用。</w:t>
            </w:r>
          </w:p>
        </w:tc>
      </w:tr>
      <w:tr w14:paraId="236EF8D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17EBBAF">
            <w:pPr>
              <w:spacing w:line="240" w:lineRule="auto"/>
              <w:ind w:firstLine="0" w:firstLineChars="0"/>
              <w:jc w:val="center"/>
              <w:rPr>
                <w:rFonts w:hint="eastAsia"/>
                <w:color w:val="auto"/>
                <w:sz w:val="21"/>
              </w:rPr>
            </w:pPr>
            <w:r>
              <w:rPr>
                <w:rFonts w:hint="eastAsia"/>
                <w:color w:val="auto"/>
                <w:sz w:val="21"/>
              </w:rPr>
              <w:t>7</w:t>
            </w:r>
          </w:p>
        </w:tc>
        <w:tc>
          <w:tcPr>
            <w:tcW w:w="7534" w:type="dxa"/>
            <w:tcBorders>
              <w:top w:val="single" w:color="auto" w:sz="4" w:space="0"/>
              <w:left w:val="nil"/>
              <w:bottom w:val="single" w:color="auto" w:sz="4" w:space="0"/>
              <w:right w:val="single" w:color="auto" w:sz="4" w:space="0"/>
            </w:tcBorders>
            <w:vAlign w:val="center"/>
          </w:tcPr>
          <w:p w14:paraId="6D1DCF19">
            <w:pPr>
              <w:spacing w:line="240" w:lineRule="auto"/>
              <w:ind w:firstLine="420"/>
              <w:jc w:val="left"/>
              <w:rPr>
                <w:rFonts w:hint="eastAsia"/>
                <w:color w:val="auto"/>
                <w:sz w:val="21"/>
              </w:rPr>
            </w:pPr>
            <w:r>
              <w:rPr>
                <w:rFonts w:hint="eastAsia"/>
                <w:color w:val="auto"/>
                <w:sz w:val="21"/>
              </w:rPr>
              <w:t>在顶架搭设过程中要实行严格的监控，由专职施工员进行现场指挥监督，随时纠正可能出现的质量安全隐患。搭设前要进行班前安全技术交底，搭设完毕后要进行自检，若发现有松动、倾斜、弯曲、不牢固等现象，必须及时进行整改，整改有困难的，要有可行的加固方案方可施工。</w:t>
            </w:r>
          </w:p>
        </w:tc>
      </w:tr>
      <w:tr w14:paraId="49E81207">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C025B6E">
            <w:pPr>
              <w:spacing w:line="240" w:lineRule="auto"/>
              <w:ind w:firstLine="0" w:firstLineChars="0"/>
              <w:jc w:val="center"/>
              <w:rPr>
                <w:rFonts w:hint="eastAsia"/>
                <w:color w:val="auto"/>
                <w:sz w:val="21"/>
              </w:rPr>
            </w:pPr>
            <w:r>
              <w:rPr>
                <w:rFonts w:hint="eastAsia"/>
                <w:color w:val="auto"/>
                <w:sz w:val="21"/>
              </w:rPr>
              <w:t>8</w:t>
            </w:r>
          </w:p>
        </w:tc>
        <w:tc>
          <w:tcPr>
            <w:tcW w:w="7534" w:type="dxa"/>
            <w:tcBorders>
              <w:top w:val="single" w:color="auto" w:sz="4" w:space="0"/>
              <w:left w:val="nil"/>
              <w:bottom w:val="single" w:color="auto" w:sz="4" w:space="0"/>
              <w:right w:val="single" w:color="auto" w:sz="4" w:space="0"/>
            </w:tcBorders>
            <w:vAlign w:val="center"/>
          </w:tcPr>
          <w:p w14:paraId="50899460">
            <w:pPr>
              <w:spacing w:line="240" w:lineRule="auto"/>
              <w:ind w:firstLine="420"/>
              <w:jc w:val="left"/>
              <w:rPr>
                <w:rFonts w:hint="eastAsia"/>
                <w:color w:val="auto"/>
                <w:sz w:val="21"/>
              </w:rPr>
            </w:pPr>
            <w:r>
              <w:rPr>
                <w:rFonts w:hint="eastAsia"/>
                <w:color w:val="auto"/>
                <w:sz w:val="21"/>
              </w:rPr>
              <w:t>支模完毕，经班组、项目部自检合格，报监理验收合格后，方能绑扎钢筋、浇筑混凝土。</w:t>
            </w:r>
          </w:p>
        </w:tc>
      </w:tr>
      <w:tr w14:paraId="10ACE99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999E34E">
            <w:pPr>
              <w:spacing w:line="240" w:lineRule="auto"/>
              <w:ind w:firstLine="0" w:firstLineChars="0"/>
              <w:jc w:val="center"/>
              <w:rPr>
                <w:rFonts w:hint="eastAsia"/>
                <w:color w:val="auto"/>
                <w:sz w:val="21"/>
              </w:rPr>
            </w:pPr>
            <w:r>
              <w:rPr>
                <w:rFonts w:hint="eastAsia"/>
                <w:color w:val="auto"/>
                <w:sz w:val="21"/>
              </w:rPr>
              <w:t>9</w:t>
            </w:r>
          </w:p>
        </w:tc>
        <w:tc>
          <w:tcPr>
            <w:tcW w:w="7534" w:type="dxa"/>
            <w:tcBorders>
              <w:top w:val="single" w:color="auto" w:sz="4" w:space="0"/>
              <w:left w:val="nil"/>
              <w:bottom w:val="single" w:color="auto" w:sz="4" w:space="0"/>
              <w:right w:val="single" w:color="auto" w:sz="4" w:space="0"/>
            </w:tcBorders>
            <w:vAlign w:val="center"/>
          </w:tcPr>
          <w:p w14:paraId="6A2B44AD">
            <w:pPr>
              <w:spacing w:line="240" w:lineRule="auto"/>
              <w:ind w:firstLine="420"/>
              <w:jc w:val="left"/>
              <w:rPr>
                <w:rFonts w:hint="eastAsia"/>
                <w:color w:val="auto"/>
                <w:sz w:val="21"/>
              </w:rPr>
            </w:pPr>
            <w:r>
              <w:rPr>
                <w:rFonts w:hint="eastAsia"/>
                <w:color w:val="auto"/>
                <w:sz w:val="21"/>
              </w:rPr>
              <w:t>在浇筑砼前重点检查、巡查的部位：</w:t>
            </w:r>
          </w:p>
          <w:p w14:paraId="1AF422D0">
            <w:pPr>
              <w:spacing w:line="240" w:lineRule="auto"/>
              <w:ind w:firstLine="420"/>
              <w:jc w:val="left"/>
              <w:rPr>
                <w:rFonts w:hint="eastAsia"/>
                <w:color w:val="auto"/>
                <w:sz w:val="21"/>
              </w:rPr>
            </w:pPr>
            <w:r>
              <w:rPr>
                <w:rFonts w:hint="eastAsia"/>
                <w:color w:val="auto"/>
                <w:sz w:val="21"/>
              </w:rPr>
              <w:t>1、杆件的设置和连接、扫地杆、支撑、剪力撑等构件是否符合要求。</w:t>
            </w:r>
          </w:p>
          <w:p w14:paraId="0820BB45">
            <w:pPr>
              <w:spacing w:line="240" w:lineRule="auto"/>
              <w:ind w:firstLine="420"/>
              <w:jc w:val="left"/>
              <w:rPr>
                <w:rFonts w:hint="eastAsia"/>
                <w:color w:val="auto"/>
                <w:sz w:val="21"/>
              </w:rPr>
            </w:pPr>
            <w:r>
              <w:rPr>
                <w:rFonts w:hint="eastAsia"/>
                <w:color w:val="auto"/>
                <w:sz w:val="21"/>
              </w:rPr>
              <w:t>2、地基是否积水，底座是否松动。</w:t>
            </w:r>
          </w:p>
          <w:p w14:paraId="4FD23248">
            <w:pPr>
              <w:spacing w:line="240" w:lineRule="auto"/>
              <w:ind w:firstLine="420"/>
              <w:jc w:val="left"/>
              <w:rPr>
                <w:rFonts w:hint="eastAsia"/>
                <w:color w:val="auto"/>
                <w:sz w:val="21"/>
              </w:rPr>
            </w:pPr>
            <w:r>
              <w:rPr>
                <w:rFonts w:hint="eastAsia"/>
                <w:color w:val="auto"/>
                <w:sz w:val="21"/>
              </w:rPr>
              <w:t>3、安全防护措施是否符合规范要求。</w:t>
            </w:r>
          </w:p>
        </w:tc>
      </w:tr>
      <w:tr w14:paraId="5E00EA57">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B6985FA">
            <w:pPr>
              <w:spacing w:line="240" w:lineRule="auto"/>
              <w:ind w:firstLine="0" w:firstLineChars="0"/>
              <w:jc w:val="center"/>
              <w:rPr>
                <w:rFonts w:hint="eastAsia"/>
                <w:color w:val="auto"/>
                <w:sz w:val="21"/>
              </w:rPr>
            </w:pPr>
            <w:r>
              <w:rPr>
                <w:rFonts w:hint="eastAsia"/>
                <w:color w:val="auto"/>
                <w:sz w:val="21"/>
              </w:rPr>
              <w:t>10</w:t>
            </w:r>
          </w:p>
        </w:tc>
        <w:tc>
          <w:tcPr>
            <w:tcW w:w="7534" w:type="dxa"/>
            <w:tcBorders>
              <w:top w:val="single" w:color="auto" w:sz="4" w:space="0"/>
              <w:left w:val="nil"/>
              <w:bottom w:val="single" w:color="auto" w:sz="4" w:space="0"/>
              <w:right w:val="single" w:color="auto" w:sz="4" w:space="0"/>
            </w:tcBorders>
            <w:vAlign w:val="center"/>
          </w:tcPr>
          <w:p w14:paraId="3E153F4A">
            <w:pPr>
              <w:spacing w:line="240" w:lineRule="auto"/>
              <w:ind w:firstLine="420"/>
              <w:jc w:val="left"/>
              <w:rPr>
                <w:rFonts w:hint="eastAsia"/>
                <w:color w:val="auto"/>
                <w:sz w:val="21"/>
              </w:rPr>
            </w:pPr>
            <w:r>
              <w:rPr>
                <w:rFonts w:hint="eastAsia"/>
                <w:color w:val="auto"/>
                <w:sz w:val="21"/>
              </w:rPr>
              <w:t>在浇筑砼前，支架下面要安装照明灯，在安全员的监督下，派木工进行巡查，负责检查模板、支顶，若发现不符合要求的地方及时组织人员进行加固处理，保证后期浇筑工作正常进行。泵送砼时，应随浇、随捣、随平整，砼不得堆积在泵送管道出口处。</w:t>
            </w:r>
          </w:p>
        </w:tc>
      </w:tr>
      <w:tr w14:paraId="18EFB6D3">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2180607">
            <w:pPr>
              <w:spacing w:line="240" w:lineRule="auto"/>
              <w:ind w:firstLine="0" w:firstLineChars="0"/>
              <w:jc w:val="center"/>
              <w:rPr>
                <w:rFonts w:hint="eastAsia"/>
                <w:color w:val="auto"/>
                <w:sz w:val="21"/>
              </w:rPr>
            </w:pPr>
            <w:r>
              <w:rPr>
                <w:rFonts w:hint="eastAsia"/>
                <w:color w:val="auto"/>
                <w:sz w:val="21"/>
              </w:rPr>
              <w:t>11</w:t>
            </w:r>
          </w:p>
        </w:tc>
        <w:tc>
          <w:tcPr>
            <w:tcW w:w="7534" w:type="dxa"/>
            <w:tcBorders>
              <w:top w:val="single" w:color="auto" w:sz="4" w:space="0"/>
              <w:left w:val="nil"/>
              <w:bottom w:val="single" w:color="auto" w:sz="4" w:space="0"/>
              <w:right w:val="single" w:color="auto" w:sz="4" w:space="0"/>
            </w:tcBorders>
            <w:vAlign w:val="center"/>
          </w:tcPr>
          <w:p w14:paraId="7CE9297F">
            <w:pPr>
              <w:spacing w:line="240" w:lineRule="auto"/>
              <w:ind w:firstLine="420"/>
              <w:jc w:val="left"/>
              <w:rPr>
                <w:rFonts w:hint="eastAsia"/>
                <w:color w:val="auto"/>
                <w:sz w:val="21"/>
              </w:rPr>
            </w:pPr>
            <w:r>
              <w:rPr>
                <w:rFonts w:hint="eastAsia"/>
                <w:color w:val="auto"/>
                <w:sz w:val="21"/>
              </w:rPr>
              <w:t>脚手架支撑在使用过程中，严禁拆除任何杆件或零配件，如防碍作业需拆除个别杆件时，需经技术负责人同意并采取可靠措施后方可拆除，作业完成后，马上复原。</w:t>
            </w:r>
          </w:p>
        </w:tc>
      </w:tr>
      <w:tr w14:paraId="105A3496">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1F04862">
            <w:pPr>
              <w:spacing w:line="240" w:lineRule="auto"/>
              <w:ind w:firstLine="0" w:firstLineChars="0"/>
              <w:jc w:val="center"/>
              <w:rPr>
                <w:rFonts w:hint="eastAsia"/>
                <w:color w:val="auto"/>
                <w:sz w:val="21"/>
              </w:rPr>
            </w:pPr>
            <w:r>
              <w:rPr>
                <w:rFonts w:hint="eastAsia"/>
                <w:color w:val="auto"/>
                <w:sz w:val="21"/>
              </w:rPr>
              <w:t>12</w:t>
            </w:r>
          </w:p>
        </w:tc>
        <w:tc>
          <w:tcPr>
            <w:tcW w:w="7534" w:type="dxa"/>
            <w:tcBorders>
              <w:top w:val="single" w:color="auto" w:sz="4" w:space="0"/>
              <w:left w:val="nil"/>
              <w:bottom w:val="single" w:color="auto" w:sz="4" w:space="0"/>
              <w:right w:val="single" w:color="auto" w:sz="4" w:space="0"/>
            </w:tcBorders>
            <w:vAlign w:val="center"/>
          </w:tcPr>
          <w:p w14:paraId="4A933D96">
            <w:pPr>
              <w:spacing w:line="240" w:lineRule="auto"/>
              <w:ind w:firstLine="420"/>
              <w:jc w:val="left"/>
              <w:rPr>
                <w:rFonts w:hint="eastAsia"/>
                <w:color w:val="auto"/>
                <w:sz w:val="21"/>
              </w:rPr>
            </w:pPr>
            <w:r>
              <w:rPr>
                <w:rFonts w:hint="eastAsia"/>
                <w:color w:val="auto"/>
                <w:sz w:val="21"/>
              </w:rPr>
              <w:t>施工现场带电线路，如无可靠绝缘措施，一律不准与钢管架接触。</w:t>
            </w:r>
          </w:p>
        </w:tc>
      </w:tr>
      <w:tr w14:paraId="280EF4C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45CB08F">
            <w:pPr>
              <w:spacing w:line="240" w:lineRule="auto"/>
              <w:ind w:firstLine="0" w:firstLineChars="0"/>
              <w:jc w:val="center"/>
              <w:rPr>
                <w:rFonts w:hint="eastAsia"/>
                <w:color w:val="auto"/>
                <w:sz w:val="21"/>
              </w:rPr>
            </w:pPr>
            <w:r>
              <w:rPr>
                <w:rFonts w:hint="eastAsia"/>
                <w:color w:val="auto"/>
                <w:sz w:val="21"/>
              </w:rPr>
              <w:t>13</w:t>
            </w:r>
          </w:p>
        </w:tc>
        <w:tc>
          <w:tcPr>
            <w:tcW w:w="7534" w:type="dxa"/>
            <w:tcBorders>
              <w:top w:val="single" w:color="auto" w:sz="4" w:space="0"/>
              <w:left w:val="nil"/>
              <w:bottom w:val="single" w:color="auto" w:sz="4" w:space="0"/>
              <w:right w:val="single" w:color="auto" w:sz="4" w:space="0"/>
            </w:tcBorders>
            <w:vAlign w:val="center"/>
          </w:tcPr>
          <w:p w14:paraId="62B546DA">
            <w:pPr>
              <w:spacing w:line="240" w:lineRule="auto"/>
              <w:ind w:firstLine="420"/>
              <w:jc w:val="left"/>
              <w:rPr>
                <w:rFonts w:hint="eastAsia"/>
                <w:color w:val="auto"/>
                <w:sz w:val="21"/>
              </w:rPr>
            </w:pPr>
            <w:r>
              <w:rPr>
                <w:rFonts w:hint="eastAsia"/>
                <w:color w:val="auto"/>
                <w:sz w:val="21"/>
              </w:rPr>
              <w:t>脚手架支撑安装好后，应进行验收，合格后方可进行模板的安装。浇筑砼前再次对脚手架支撑进行检查，确定无问题后方可浇筑砼。</w:t>
            </w:r>
          </w:p>
        </w:tc>
      </w:tr>
      <w:tr w14:paraId="574B22DB">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063E7C03">
            <w:pPr>
              <w:spacing w:line="240" w:lineRule="auto"/>
              <w:ind w:firstLine="0" w:firstLineChars="0"/>
              <w:jc w:val="center"/>
              <w:rPr>
                <w:rFonts w:hint="eastAsia"/>
                <w:color w:val="auto"/>
                <w:sz w:val="21"/>
              </w:rPr>
            </w:pPr>
            <w:r>
              <w:rPr>
                <w:rFonts w:hint="eastAsia"/>
                <w:color w:val="auto"/>
                <w:sz w:val="21"/>
              </w:rPr>
              <w:t>14</w:t>
            </w:r>
          </w:p>
        </w:tc>
        <w:tc>
          <w:tcPr>
            <w:tcW w:w="7534" w:type="dxa"/>
            <w:tcBorders>
              <w:top w:val="single" w:color="auto" w:sz="4" w:space="0"/>
              <w:left w:val="nil"/>
              <w:bottom w:val="single" w:color="auto" w:sz="4" w:space="0"/>
              <w:right w:val="single" w:color="auto" w:sz="4" w:space="0"/>
            </w:tcBorders>
            <w:vAlign w:val="center"/>
          </w:tcPr>
          <w:p w14:paraId="640D6EBE">
            <w:pPr>
              <w:spacing w:line="240" w:lineRule="auto"/>
              <w:ind w:firstLine="420"/>
              <w:jc w:val="left"/>
              <w:rPr>
                <w:rFonts w:hint="eastAsia"/>
                <w:color w:val="auto"/>
                <w:sz w:val="21"/>
              </w:rPr>
            </w:pPr>
            <w:r>
              <w:rPr>
                <w:rFonts w:hint="eastAsia"/>
                <w:color w:val="auto"/>
                <w:sz w:val="21"/>
              </w:rPr>
              <w:t>设立钢管架维护小组，对拆下来的钢管架及配件应及时清除杆件及螺纹的沾污物，并加油保养，对受损伤、变形的构件应及时修理，按品种、规格分类整理存放，妥善保管。</w:t>
            </w:r>
          </w:p>
        </w:tc>
      </w:tr>
      <w:tr w14:paraId="30F3C39A">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BDC1C97">
            <w:pPr>
              <w:spacing w:line="240" w:lineRule="auto"/>
              <w:ind w:firstLine="0" w:firstLineChars="0"/>
              <w:jc w:val="center"/>
              <w:rPr>
                <w:rFonts w:hint="eastAsia"/>
                <w:color w:val="auto"/>
                <w:sz w:val="21"/>
              </w:rPr>
            </w:pPr>
            <w:r>
              <w:rPr>
                <w:rFonts w:hint="eastAsia"/>
                <w:color w:val="auto"/>
                <w:sz w:val="21"/>
              </w:rPr>
              <w:t>15</w:t>
            </w:r>
          </w:p>
        </w:tc>
        <w:tc>
          <w:tcPr>
            <w:tcW w:w="7534" w:type="dxa"/>
            <w:tcBorders>
              <w:top w:val="single" w:color="auto" w:sz="4" w:space="0"/>
              <w:left w:val="nil"/>
              <w:bottom w:val="single" w:color="auto" w:sz="4" w:space="0"/>
              <w:right w:val="single" w:color="auto" w:sz="4" w:space="0"/>
            </w:tcBorders>
            <w:vAlign w:val="center"/>
          </w:tcPr>
          <w:p w14:paraId="0BB5044E">
            <w:pPr>
              <w:spacing w:line="240" w:lineRule="auto"/>
              <w:ind w:firstLine="420"/>
              <w:jc w:val="left"/>
              <w:rPr>
                <w:rFonts w:hint="eastAsia"/>
                <w:color w:val="auto"/>
                <w:sz w:val="21"/>
              </w:rPr>
            </w:pPr>
            <w:r>
              <w:rPr>
                <w:rFonts w:hint="eastAsia"/>
                <w:color w:val="auto"/>
                <w:sz w:val="21"/>
              </w:rPr>
              <w:t>支撑系统安装应自一端向另一端延伸，自下而上按步架设，不得相对进行，以免结合处错位，难于连接。</w:t>
            </w:r>
          </w:p>
        </w:tc>
      </w:tr>
      <w:tr w14:paraId="12837BAF">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70C9FDCE">
            <w:pPr>
              <w:spacing w:line="240" w:lineRule="auto"/>
              <w:ind w:firstLine="0" w:firstLineChars="0"/>
              <w:jc w:val="center"/>
              <w:rPr>
                <w:rFonts w:hint="eastAsia"/>
                <w:color w:val="auto"/>
                <w:sz w:val="21"/>
              </w:rPr>
            </w:pPr>
            <w:r>
              <w:rPr>
                <w:rFonts w:hint="eastAsia"/>
                <w:color w:val="auto"/>
                <w:sz w:val="21"/>
              </w:rPr>
              <w:t>16</w:t>
            </w:r>
          </w:p>
        </w:tc>
        <w:tc>
          <w:tcPr>
            <w:tcW w:w="7534" w:type="dxa"/>
            <w:tcBorders>
              <w:top w:val="single" w:color="auto" w:sz="4" w:space="0"/>
              <w:left w:val="nil"/>
              <w:bottom w:val="single" w:color="auto" w:sz="4" w:space="0"/>
              <w:right w:val="single" w:color="auto" w:sz="4" w:space="0"/>
            </w:tcBorders>
            <w:vAlign w:val="center"/>
          </w:tcPr>
          <w:p w14:paraId="31593A69">
            <w:pPr>
              <w:spacing w:line="240" w:lineRule="auto"/>
              <w:ind w:firstLine="420"/>
              <w:jc w:val="left"/>
              <w:rPr>
                <w:rFonts w:hint="eastAsia"/>
                <w:color w:val="auto"/>
                <w:sz w:val="21"/>
              </w:rPr>
            </w:pPr>
            <w:r>
              <w:rPr>
                <w:rFonts w:hint="eastAsia"/>
                <w:color w:val="auto"/>
                <w:sz w:val="21"/>
              </w:rPr>
              <w:t>水平加固杆、纵横剪刀撑安装应符合构造要求，并与支撑系统的搭设同步进行。</w:t>
            </w:r>
          </w:p>
        </w:tc>
      </w:tr>
      <w:tr w14:paraId="73C6AC2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8B78A44">
            <w:pPr>
              <w:spacing w:line="240" w:lineRule="auto"/>
              <w:ind w:firstLine="0" w:firstLineChars="0"/>
              <w:jc w:val="center"/>
              <w:rPr>
                <w:rFonts w:hint="eastAsia"/>
                <w:color w:val="auto"/>
                <w:sz w:val="21"/>
              </w:rPr>
            </w:pPr>
            <w:r>
              <w:rPr>
                <w:rFonts w:hint="eastAsia"/>
                <w:color w:val="auto"/>
                <w:sz w:val="21"/>
              </w:rPr>
              <w:t>17</w:t>
            </w:r>
          </w:p>
        </w:tc>
        <w:tc>
          <w:tcPr>
            <w:tcW w:w="7534" w:type="dxa"/>
            <w:tcBorders>
              <w:top w:val="single" w:color="auto" w:sz="4" w:space="0"/>
              <w:left w:val="nil"/>
              <w:bottom w:val="single" w:color="auto" w:sz="4" w:space="0"/>
              <w:right w:val="single" w:color="auto" w:sz="4" w:space="0"/>
            </w:tcBorders>
            <w:vAlign w:val="center"/>
          </w:tcPr>
          <w:p w14:paraId="4995D85F">
            <w:pPr>
              <w:spacing w:line="240" w:lineRule="auto"/>
              <w:ind w:firstLine="420"/>
              <w:jc w:val="left"/>
              <w:rPr>
                <w:rFonts w:hint="eastAsia"/>
                <w:color w:val="auto"/>
                <w:sz w:val="21"/>
              </w:rPr>
            </w:pPr>
            <w:r>
              <w:rPr>
                <w:rFonts w:hint="eastAsia"/>
                <w:color w:val="auto"/>
                <w:sz w:val="21"/>
              </w:rPr>
              <w:t>可调托撑处应采取措施防止被砂浆、水泥浆等污物填塞螺纹。</w:t>
            </w:r>
          </w:p>
        </w:tc>
      </w:tr>
      <w:tr w14:paraId="2BA392D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85909E8">
            <w:pPr>
              <w:spacing w:line="240" w:lineRule="auto"/>
              <w:ind w:firstLine="0" w:firstLineChars="0"/>
              <w:jc w:val="center"/>
              <w:rPr>
                <w:rFonts w:hint="eastAsia"/>
                <w:color w:val="auto"/>
                <w:sz w:val="21"/>
              </w:rPr>
            </w:pPr>
            <w:r>
              <w:rPr>
                <w:rFonts w:hint="eastAsia"/>
                <w:color w:val="auto"/>
                <w:sz w:val="21"/>
              </w:rPr>
              <w:t>18</w:t>
            </w:r>
          </w:p>
        </w:tc>
        <w:tc>
          <w:tcPr>
            <w:tcW w:w="7534" w:type="dxa"/>
            <w:tcBorders>
              <w:top w:val="single" w:color="auto" w:sz="4" w:space="0"/>
              <w:left w:val="nil"/>
              <w:bottom w:val="single" w:color="auto" w:sz="4" w:space="0"/>
              <w:right w:val="single" w:color="auto" w:sz="4" w:space="0"/>
            </w:tcBorders>
            <w:vAlign w:val="center"/>
          </w:tcPr>
          <w:p w14:paraId="1095BB0E">
            <w:pPr>
              <w:spacing w:line="240" w:lineRule="auto"/>
              <w:ind w:firstLine="420"/>
              <w:jc w:val="left"/>
              <w:rPr>
                <w:rFonts w:hint="eastAsia"/>
                <w:color w:val="auto"/>
                <w:sz w:val="21"/>
              </w:rPr>
            </w:pPr>
            <w:r>
              <w:rPr>
                <w:rFonts w:hint="eastAsia"/>
                <w:color w:val="auto"/>
                <w:sz w:val="21"/>
              </w:rPr>
              <w:t>泵送混凝土时，应随浇、随捣、随平整，混凝土不得堆积在泵送管路出口处。</w:t>
            </w:r>
          </w:p>
        </w:tc>
      </w:tr>
      <w:tr w14:paraId="4BEFE39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3B4FCEE">
            <w:pPr>
              <w:spacing w:line="240" w:lineRule="auto"/>
              <w:ind w:firstLine="0" w:firstLineChars="0"/>
              <w:jc w:val="center"/>
              <w:rPr>
                <w:rFonts w:hint="eastAsia"/>
                <w:color w:val="auto"/>
                <w:sz w:val="21"/>
              </w:rPr>
            </w:pPr>
            <w:r>
              <w:rPr>
                <w:rFonts w:hint="eastAsia"/>
                <w:color w:val="auto"/>
                <w:sz w:val="21"/>
              </w:rPr>
              <w:t>19</w:t>
            </w:r>
          </w:p>
        </w:tc>
        <w:tc>
          <w:tcPr>
            <w:tcW w:w="7534" w:type="dxa"/>
            <w:tcBorders>
              <w:top w:val="single" w:color="auto" w:sz="4" w:space="0"/>
              <w:left w:val="nil"/>
              <w:bottom w:val="single" w:color="auto" w:sz="4" w:space="0"/>
              <w:right w:val="single" w:color="auto" w:sz="4" w:space="0"/>
            </w:tcBorders>
            <w:vAlign w:val="center"/>
          </w:tcPr>
          <w:p w14:paraId="5635ADE2">
            <w:pPr>
              <w:spacing w:line="240" w:lineRule="auto"/>
              <w:ind w:firstLine="420"/>
              <w:jc w:val="left"/>
              <w:rPr>
                <w:rFonts w:hint="eastAsia"/>
                <w:color w:val="auto"/>
                <w:sz w:val="21"/>
              </w:rPr>
            </w:pPr>
            <w:r>
              <w:rPr>
                <w:rFonts w:hint="eastAsia"/>
                <w:color w:val="auto"/>
                <w:sz w:val="21"/>
              </w:rPr>
              <w:t>应避免装卸物料对模板支撑或脚手架产生偏心、振动和冲击。</w:t>
            </w:r>
          </w:p>
        </w:tc>
      </w:tr>
      <w:tr w14:paraId="01616562">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36B7AF3">
            <w:pPr>
              <w:spacing w:line="240" w:lineRule="auto"/>
              <w:ind w:firstLine="0" w:firstLineChars="0"/>
              <w:jc w:val="center"/>
              <w:rPr>
                <w:rFonts w:hint="eastAsia"/>
                <w:color w:val="auto"/>
                <w:sz w:val="21"/>
              </w:rPr>
            </w:pPr>
            <w:r>
              <w:rPr>
                <w:rFonts w:hint="eastAsia"/>
                <w:color w:val="auto"/>
                <w:sz w:val="21"/>
              </w:rPr>
              <w:t>20</w:t>
            </w:r>
          </w:p>
        </w:tc>
        <w:tc>
          <w:tcPr>
            <w:tcW w:w="7534" w:type="dxa"/>
            <w:tcBorders>
              <w:top w:val="single" w:color="auto" w:sz="4" w:space="0"/>
              <w:left w:val="nil"/>
              <w:bottom w:val="single" w:color="auto" w:sz="4" w:space="0"/>
              <w:right w:val="single" w:color="auto" w:sz="4" w:space="0"/>
            </w:tcBorders>
            <w:vAlign w:val="center"/>
          </w:tcPr>
          <w:p w14:paraId="42EECC2F">
            <w:pPr>
              <w:spacing w:line="240" w:lineRule="auto"/>
              <w:ind w:firstLine="420"/>
              <w:jc w:val="left"/>
              <w:rPr>
                <w:rFonts w:hint="eastAsia"/>
                <w:color w:val="auto"/>
                <w:sz w:val="21"/>
              </w:rPr>
            </w:pPr>
            <w:r>
              <w:rPr>
                <w:rFonts w:hint="eastAsia"/>
                <w:color w:val="auto"/>
                <w:sz w:val="21"/>
              </w:rPr>
              <w:t>拆除时应采用先搭后拆、后搭先拆的施工顺序。</w:t>
            </w:r>
          </w:p>
        </w:tc>
      </w:tr>
      <w:tr w14:paraId="3A52F9C1">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415FB86">
            <w:pPr>
              <w:spacing w:line="240" w:lineRule="auto"/>
              <w:ind w:firstLine="0" w:firstLineChars="0"/>
              <w:jc w:val="center"/>
              <w:rPr>
                <w:rFonts w:hint="eastAsia"/>
                <w:color w:val="auto"/>
                <w:sz w:val="21"/>
              </w:rPr>
            </w:pPr>
            <w:r>
              <w:rPr>
                <w:rFonts w:hint="eastAsia"/>
                <w:color w:val="auto"/>
                <w:sz w:val="21"/>
              </w:rPr>
              <w:t>21</w:t>
            </w:r>
          </w:p>
        </w:tc>
        <w:tc>
          <w:tcPr>
            <w:tcW w:w="7534" w:type="dxa"/>
            <w:tcBorders>
              <w:top w:val="single" w:color="auto" w:sz="4" w:space="0"/>
              <w:left w:val="nil"/>
              <w:bottom w:val="single" w:color="auto" w:sz="4" w:space="0"/>
              <w:right w:val="single" w:color="auto" w:sz="4" w:space="0"/>
            </w:tcBorders>
            <w:vAlign w:val="center"/>
          </w:tcPr>
          <w:p w14:paraId="0F5309D9">
            <w:pPr>
              <w:spacing w:line="240" w:lineRule="auto"/>
              <w:ind w:firstLine="420"/>
              <w:jc w:val="left"/>
              <w:rPr>
                <w:rFonts w:hint="eastAsia"/>
                <w:color w:val="auto"/>
                <w:sz w:val="21"/>
              </w:rPr>
            </w:pPr>
            <w:r>
              <w:rPr>
                <w:rFonts w:hint="eastAsia"/>
                <w:color w:val="auto"/>
                <w:sz w:val="21"/>
              </w:rPr>
              <w:t>拆除模板支撑时应采用可靠安全措施，严禁高空抛掷。</w:t>
            </w:r>
          </w:p>
        </w:tc>
      </w:tr>
    </w:tbl>
    <w:p w14:paraId="30965990">
      <w:pPr>
        <w:pStyle w:val="5"/>
        <w:rPr>
          <w:rFonts w:hint="eastAsia"/>
          <w:color w:val="auto"/>
        </w:rPr>
      </w:pPr>
      <w:bookmarkStart w:id="417" w:name="_Toc4563"/>
      <w:r>
        <w:rPr>
          <w:rFonts w:hint="eastAsia"/>
          <w:color w:val="auto"/>
        </w:rPr>
        <w:t>混凝土浇筑要求</w:t>
      </w:r>
      <w:bookmarkEnd w:id="417"/>
    </w:p>
    <w:tbl>
      <w:tblPr>
        <w:tblStyle w:val="29"/>
        <w:tblW w:w="5000" w:type="pct"/>
        <w:tblInd w:w="0" w:type="dxa"/>
        <w:tblLayout w:type="fixed"/>
        <w:tblCellMar>
          <w:top w:w="0" w:type="dxa"/>
          <w:left w:w="108" w:type="dxa"/>
          <w:bottom w:w="0" w:type="dxa"/>
          <w:right w:w="108" w:type="dxa"/>
        </w:tblCellMar>
      </w:tblPr>
      <w:tblGrid>
        <w:gridCol w:w="688"/>
        <w:gridCol w:w="8372"/>
      </w:tblGrid>
      <w:tr w14:paraId="45EE7D7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78A5310">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6930C404">
            <w:pPr>
              <w:spacing w:line="240" w:lineRule="auto"/>
              <w:ind w:firstLine="0" w:firstLineChars="0"/>
              <w:jc w:val="center"/>
              <w:rPr>
                <w:rFonts w:hint="eastAsia"/>
                <w:color w:val="auto"/>
                <w:sz w:val="21"/>
              </w:rPr>
            </w:pPr>
            <w:r>
              <w:rPr>
                <w:rFonts w:hint="eastAsia"/>
                <w:color w:val="auto"/>
                <w:sz w:val="21"/>
              </w:rPr>
              <w:t>要求</w:t>
            </w:r>
          </w:p>
        </w:tc>
      </w:tr>
      <w:tr w14:paraId="43B55F4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6EEDCC5">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00D80189">
            <w:pPr>
              <w:spacing w:line="240" w:lineRule="auto"/>
              <w:ind w:firstLine="420"/>
              <w:jc w:val="left"/>
              <w:rPr>
                <w:rFonts w:hint="eastAsia"/>
                <w:color w:val="auto"/>
                <w:sz w:val="21"/>
              </w:rPr>
            </w:pPr>
            <w:r>
              <w:rPr>
                <w:rFonts w:hint="eastAsia"/>
                <w:color w:val="auto"/>
                <w:sz w:val="21"/>
              </w:rPr>
              <w:t>混凝土浇筑作业开始前应再次对模板支架进行全面检查，合格后方能浇筑混凝土。</w:t>
            </w:r>
          </w:p>
        </w:tc>
      </w:tr>
      <w:tr w14:paraId="0463AE4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43488ED">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22C1755E">
            <w:pPr>
              <w:spacing w:line="240" w:lineRule="auto"/>
              <w:ind w:firstLine="420"/>
              <w:jc w:val="left"/>
              <w:rPr>
                <w:rFonts w:hint="eastAsia"/>
                <w:color w:val="auto"/>
                <w:sz w:val="21"/>
              </w:rPr>
            </w:pPr>
            <w:r>
              <w:rPr>
                <w:rFonts w:hint="eastAsia"/>
                <w:color w:val="auto"/>
                <w:sz w:val="21"/>
              </w:rPr>
              <w:t>浇筑混凝土时，模板支撑四周拉警戒线，任何人员不得进入模板下部。</w:t>
            </w:r>
          </w:p>
        </w:tc>
      </w:tr>
      <w:tr w14:paraId="42A11B5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2C081A27">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35547E21">
            <w:pPr>
              <w:spacing w:line="240" w:lineRule="auto"/>
              <w:ind w:firstLine="420"/>
              <w:jc w:val="left"/>
              <w:rPr>
                <w:rFonts w:hint="eastAsia"/>
                <w:color w:val="auto"/>
                <w:sz w:val="21"/>
              </w:rPr>
            </w:pPr>
            <w:r>
              <w:rPr>
                <w:rFonts w:hint="eastAsia"/>
                <w:color w:val="auto"/>
                <w:sz w:val="21"/>
              </w:rPr>
              <w:t>侧墙浇筑时，浇筑速度不得大于1m/h。</w:t>
            </w:r>
          </w:p>
        </w:tc>
      </w:tr>
      <w:tr w14:paraId="164239D2">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82A9E3D">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48AAC80A">
            <w:pPr>
              <w:spacing w:line="240" w:lineRule="auto"/>
              <w:ind w:firstLine="420"/>
              <w:jc w:val="left"/>
              <w:rPr>
                <w:rFonts w:hint="eastAsia"/>
                <w:color w:val="auto"/>
                <w:sz w:val="21"/>
              </w:rPr>
            </w:pPr>
            <w:r>
              <w:rPr>
                <w:rFonts w:hint="eastAsia"/>
                <w:color w:val="auto"/>
                <w:sz w:val="21"/>
              </w:rPr>
              <w:t>混凝土夏季高温施工防离析主要保证措施如下：</w:t>
            </w:r>
          </w:p>
          <w:p w14:paraId="1BDC2DD9">
            <w:pPr>
              <w:spacing w:line="240" w:lineRule="auto"/>
              <w:ind w:firstLine="420"/>
              <w:jc w:val="left"/>
              <w:rPr>
                <w:rFonts w:hint="eastAsia"/>
                <w:color w:val="auto"/>
                <w:sz w:val="21"/>
              </w:rPr>
            </w:pPr>
            <w:r>
              <w:rPr>
                <w:rFonts w:hint="eastAsia"/>
                <w:color w:val="auto"/>
                <w:sz w:val="21"/>
              </w:rPr>
              <w:t>1、运输时尽量缩短时间，宜采用混凝土运输搅拌车，运输中应慢速搅拌。不得在运输过程加水搅拌；</w:t>
            </w:r>
          </w:p>
          <w:p w14:paraId="70E70B38">
            <w:pPr>
              <w:spacing w:line="240" w:lineRule="auto"/>
              <w:ind w:firstLine="420"/>
              <w:jc w:val="left"/>
              <w:rPr>
                <w:rFonts w:hint="eastAsia"/>
                <w:color w:val="auto"/>
                <w:sz w:val="21"/>
              </w:rPr>
            </w:pPr>
            <w:r>
              <w:rPr>
                <w:rFonts w:hint="eastAsia"/>
                <w:color w:val="auto"/>
                <w:sz w:val="21"/>
              </w:rPr>
              <w:t>2、混凝土的浇筑温度应控制在适当的范围之内，宜选在一天温度较低的时间内进行；</w:t>
            </w:r>
          </w:p>
          <w:p w14:paraId="6E0615B1">
            <w:pPr>
              <w:spacing w:line="240" w:lineRule="auto"/>
              <w:ind w:firstLine="420"/>
              <w:jc w:val="left"/>
              <w:rPr>
                <w:rFonts w:hint="eastAsia"/>
                <w:color w:val="auto"/>
                <w:sz w:val="21"/>
              </w:rPr>
            </w:pPr>
            <w:r>
              <w:rPr>
                <w:rFonts w:hint="eastAsia"/>
                <w:color w:val="auto"/>
                <w:sz w:val="21"/>
              </w:rPr>
              <w:t>3、浇筑场地应遮荫，以降低模板、钢筋的温度和改善工作条件，也可在模板、钢筋和地基上喷水以降温，但在浇筑时不能有附着水；</w:t>
            </w:r>
          </w:p>
          <w:p w14:paraId="7C07D16A">
            <w:pPr>
              <w:spacing w:line="240" w:lineRule="auto"/>
              <w:ind w:firstLine="420"/>
              <w:jc w:val="left"/>
              <w:rPr>
                <w:rFonts w:hint="eastAsia"/>
                <w:color w:val="auto"/>
                <w:sz w:val="21"/>
              </w:rPr>
            </w:pPr>
            <w:r>
              <w:rPr>
                <w:rFonts w:hint="eastAsia"/>
                <w:color w:val="auto"/>
                <w:sz w:val="21"/>
              </w:rPr>
              <w:t>4、应加快混凝土的修整速度，修整时可用喷雾器洒少量水，防止表面裂纹，但不准直接往混凝土表面洒水。</w:t>
            </w:r>
          </w:p>
        </w:tc>
      </w:tr>
    </w:tbl>
    <w:p w14:paraId="3299F645">
      <w:pPr>
        <w:pStyle w:val="6"/>
        <w:ind w:firstLine="480"/>
        <w:rPr>
          <w:rFonts w:hint="eastAsia"/>
          <w:color w:val="auto"/>
        </w:rPr>
      </w:pPr>
      <w:r>
        <w:rPr>
          <w:rFonts w:hint="eastAsia"/>
          <w:color w:val="auto"/>
        </w:rPr>
        <w:t>监督管理</w:t>
      </w:r>
    </w:p>
    <w:tbl>
      <w:tblPr>
        <w:tblStyle w:val="29"/>
        <w:tblW w:w="5000" w:type="pct"/>
        <w:tblInd w:w="0" w:type="dxa"/>
        <w:tblLayout w:type="fixed"/>
        <w:tblCellMar>
          <w:top w:w="0" w:type="dxa"/>
          <w:left w:w="108" w:type="dxa"/>
          <w:bottom w:w="0" w:type="dxa"/>
          <w:right w:w="108" w:type="dxa"/>
        </w:tblCellMar>
      </w:tblPr>
      <w:tblGrid>
        <w:gridCol w:w="688"/>
        <w:gridCol w:w="8372"/>
      </w:tblGrid>
      <w:tr w14:paraId="79756C07">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E7697F6">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19C60803">
            <w:pPr>
              <w:spacing w:line="240" w:lineRule="auto"/>
              <w:ind w:firstLine="0" w:firstLineChars="0"/>
              <w:jc w:val="center"/>
              <w:rPr>
                <w:rFonts w:hint="eastAsia"/>
                <w:color w:val="auto"/>
                <w:sz w:val="21"/>
              </w:rPr>
            </w:pPr>
            <w:r>
              <w:rPr>
                <w:rFonts w:hint="eastAsia"/>
                <w:color w:val="auto"/>
                <w:sz w:val="21"/>
              </w:rPr>
              <w:t>具体要求</w:t>
            </w:r>
          </w:p>
        </w:tc>
      </w:tr>
      <w:tr w14:paraId="69B5B668">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57EBB13">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039CA743">
            <w:pPr>
              <w:spacing w:line="240" w:lineRule="auto"/>
              <w:ind w:firstLine="420"/>
              <w:jc w:val="left"/>
              <w:rPr>
                <w:rFonts w:hint="eastAsia"/>
                <w:color w:val="auto"/>
                <w:sz w:val="21"/>
              </w:rPr>
            </w:pPr>
            <w:r>
              <w:rPr>
                <w:rFonts w:hint="eastAsia"/>
                <w:color w:val="auto"/>
                <w:sz w:val="21"/>
              </w:rPr>
              <w:t>施工单位严格按照专项施工方案组织施工。高大模板支撑系统搭设、拆除及混凝土浇筑过程中，安排专业技术人员进行现场指导，设专人负责安全检查，发现险情，立即停止施工并采取应急措施，排除险情后，方可继续施工。</w:t>
            </w:r>
          </w:p>
        </w:tc>
      </w:tr>
      <w:tr w14:paraId="2FA6501F">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3E1FBA7">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2C8105BA">
            <w:pPr>
              <w:spacing w:line="240" w:lineRule="auto"/>
              <w:ind w:firstLine="420"/>
              <w:jc w:val="left"/>
              <w:rPr>
                <w:rFonts w:hint="eastAsia"/>
                <w:color w:val="auto"/>
                <w:sz w:val="21"/>
              </w:rPr>
            </w:pPr>
            <w:r>
              <w:rPr>
                <w:rFonts w:hint="eastAsia"/>
                <w:color w:val="auto"/>
                <w:sz w:val="21"/>
              </w:rPr>
              <w:t>监理单位对高大模板支撑系统的搭设、拆除及混凝土浇筑实施巡视检查，发现安全隐患应责令整改，对施工单位拒不整改或拒不停止施工的，应当及时向建设单位报告。</w:t>
            </w:r>
          </w:p>
        </w:tc>
      </w:tr>
      <w:tr w14:paraId="03EC229C">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809E264">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1DB5B5E5">
            <w:pPr>
              <w:spacing w:line="240" w:lineRule="auto"/>
              <w:ind w:firstLine="420"/>
              <w:jc w:val="left"/>
              <w:rPr>
                <w:rFonts w:hint="eastAsia"/>
                <w:color w:val="auto"/>
                <w:sz w:val="21"/>
              </w:rPr>
            </w:pPr>
            <w:r>
              <w:rPr>
                <w:rFonts w:hint="eastAsia"/>
                <w:color w:val="auto"/>
                <w:sz w:val="21"/>
              </w:rPr>
              <w:t>建设主管部门及监督机构应将高大模板支撑系统作为建设工程安全监督重点，加强对方案审核论证、验收、检查、监控程序的监督。</w:t>
            </w:r>
          </w:p>
        </w:tc>
      </w:tr>
    </w:tbl>
    <w:p w14:paraId="711B0F95">
      <w:pPr>
        <w:pStyle w:val="6"/>
        <w:ind w:firstLine="480"/>
        <w:rPr>
          <w:rFonts w:hint="eastAsia"/>
          <w:color w:val="auto"/>
        </w:rPr>
      </w:pPr>
      <w:r>
        <w:rPr>
          <w:rFonts w:hint="eastAsia"/>
          <w:color w:val="auto"/>
        </w:rPr>
        <w:t>监测措施</w:t>
      </w:r>
    </w:p>
    <w:p w14:paraId="506CEF2B">
      <w:pPr>
        <w:rPr>
          <w:rFonts w:hint="eastAsia"/>
          <w:color w:val="auto"/>
        </w:rPr>
      </w:pPr>
      <w:r>
        <w:rPr>
          <w:rFonts w:hint="eastAsia"/>
          <w:color w:val="auto"/>
        </w:rPr>
        <w:t>1、混凝土浇筑时支架沉降、位移与变形观测。</w:t>
      </w:r>
    </w:p>
    <w:tbl>
      <w:tblPr>
        <w:tblStyle w:val="29"/>
        <w:tblW w:w="5000" w:type="pct"/>
        <w:tblInd w:w="0" w:type="dxa"/>
        <w:tblLayout w:type="fixed"/>
        <w:tblCellMar>
          <w:top w:w="0" w:type="dxa"/>
          <w:left w:w="108" w:type="dxa"/>
          <w:bottom w:w="0" w:type="dxa"/>
          <w:right w:w="108" w:type="dxa"/>
        </w:tblCellMar>
      </w:tblPr>
      <w:tblGrid>
        <w:gridCol w:w="686"/>
        <w:gridCol w:w="1266"/>
        <w:gridCol w:w="7108"/>
      </w:tblGrid>
      <w:tr w14:paraId="186B7E8C">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1D7340B1">
            <w:pPr>
              <w:spacing w:line="240" w:lineRule="auto"/>
              <w:ind w:firstLine="0" w:firstLineChars="0"/>
              <w:jc w:val="center"/>
              <w:rPr>
                <w:rFonts w:hint="eastAsia"/>
                <w:color w:val="auto"/>
                <w:sz w:val="21"/>
              </w:rPr>
            </w:pPr>
            <w:r>
              <w:rPr>
                <w:rFonts w:hint="eastAsia"/>
                <w:color w:val="auto"/>
                <w:sz w:val="21"/>
              </w:rPr>
              <w:t>序号</w:t>
            </w:r>
          </w:p>
        </w:tc>
        <w:tc>
          <w:tcPr>
            <w:tcW w:w="1139" w:type="dxa"/>
            <w:tcBorders>
              <w:top w:val="single" w:color="auto" w:sz="4" w:space="0"/>
              <w:left w:val="nil"/>
              <w:bottom w:val="single" w:color="auto" w:sz="4" w:space="0"/>
              <w:right w:val="single" w:color="auto" w:sz="4" w:space="0"/>
            </w:tcBorders>
            <w:vAlign w:val="center"/>
          </w:tcPr>
          <w:p w14:paraId="689C0024">
            <w:pPr>
              <w:spacing w:line="240" w:lineRule="auto"/>
              <w:ind w:firstLine="0" w:firstLineChars="0"/>
              <w:jc w:val="center"/>
              <w:rPr>
                <w:rFonts w:hint="eastAsia"/>
                <w:color w:val="auto"/>
                <w:sz w:val="21"/>
              </w:rPr>
            </w:pPr>
            <w:r>
              <w:rPr>
                <w:rFonts w:hint="eastAsia"/>
                <w:color w:val="auto"/>
                <w:sz w:val="21"/>
              </w:rPr>
              <w:t>项目</w:t>
            </w:r>
          </w:p>
        </w:tc>
        <w:tc>
          <w:tcPr>
            <w:tcW w:w="6397" w:type="dxa"/>
            <w:tcBorders>
              <w:top w:val="single" w:color="auto" w:sz="4" w:space="0"/>
              <w:left w:val="nil"/>
              <w:bottom w:val="single" w:color="auto" w:sz="4" w:space="0"/>
              <w:right w:val="single" w:color="auto" w:sz="4" w:space="0"/>
            </w:tcBorders>
            <w:vAlign w:val="center"/>
          </w:tcPr>
          <w:p w14:paraId="5B1F2CC1">
            <w:pPr>
              <w:spacing w:line="240" w:lineRule="auto"/>
              <w:ind w:firstLine="0" w:firstLineChars="0"/>
              <w:jc w:val="center"/>
              <w:rPr>
                <w:rFonts w:hint="eastAsia"/>
                <w:color w:val="auto"/>
                <w:sz w:val="21"/>
              </w:rPr>
            </w:pPr>
            <w:r>
              <w:rPr>
                <w:rFonts w:hint="eastAsia"/>
                <w:color w:val="auto"/>
                <w:sz w:val="21"/>
              </w:rPr>
              <w:t>内容</w:t>
            </w:r>
          </w:p>
        </w:tc>
      </w:tr>
      <w:tr w14:paraId="441CEA52">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7DB08828">
            <w:pPr>
              <w:spacing w:line="240" w:lineRule="auto"/>
              <w:ind w:firstLine="0" w:firstLineChars="0"/>
              <w:jc w:val="center"/>
              <w:rPr>
                <w:rFonts w:hint="eastAsia"/>
                <w:color w:val="auto"/>
                <w:sz w:val="21"/>
              </w:rPr>
            </w:pPr>
            <w:r>
              <w:rPr>
                <w:rFonts w:hint="eastAsia"/>
                <w:color w:val="auto"/>
                <w:sz w:val="21"/>
              </w:rPr>
              <w:t>1</w:t>
            </w:r>
          </w:p>
        </w:tc>
        <w:tc>
          <w:tcPr>
            <w:tcW w:w="1139" w:type="dxa"/>
            <w:tcBorders>
              <w:top w:val="single" w:color="auto" w:sz="4" w:space="0"/>
              <w:left w:val="nil"/>
              <w:bottom w:val="single" w:color="auto" w:sz="4" w:space="0"/>
              <w:right w:val="single" w:color="auto" w:sz="4" w:space="0"/>
            </w:tcBorders>
            <w:vAlign w:val="center"/>
          </w:tcPr>
          <w:p w14:paraId="7CACABFF">
            <w:pPr>
              <w:spacing w:line="240" w:lineRule="auto"/>
              <w:ind w:firstLine="0" w:firstLineChars="0"/>
              <w:jc w:val="center"/>
              <w:rPr>
                <w:rFonts w:hint="eastAsia"/>
                <w:color w:val="auto"/>
                <w:sz w:val="21"/>
              </w:rPr>
            </w:pPr>
            <w:r>
              <w:rPr>
                <w:rFonts w:hint="eastAsia"/>
                <w:color w:val="auto"/>
                <w:sz w:val="21"/>
              </w:rPr>
              <w:t>监控项目</w:t>
            </w:r>
          </w:p>
        </w:tc>
        <w:tc>
          <w:tcPr>
            <w:tcW w:w="6397" w:type="dxa"/>
            <w:tcBorders>
              <w:top w:val="single" w:color="auto" w:sz="4" w:space="0"/>
              <w:left w:val="nil"/>
              <w:bottom w:val="single" w:color="auto" w:sz="4" w:space="0"/>
              <w:right w:val="single" w:color="auto" w:sz="4" w:space="0"/>
            </w:tcBorders>
            <w:vAlign w:val="center"/>
          </w:tcPr>
          <w:p w14:paraId="0647F035">
            <w:pPr>
              <w:spacing w:line="240" w:lineRule="auto"/>
              <w:ind w:firstLine="420"/>
              <w:jc w:val="left"/>
              <w:rPr>
                <w:rFonts w:hint="eastAsia"/>
                <w:color w:val="auto"/>
                <w:sz w:val="21"/>
              </w:rPr>
            </w:pPr>
            <w:r>
              <w:rPr>
                <w:rFonts w:hint="eastAsia"/>
                <w:color w:val="auto"/>
                <w:sz w:val="21"/>
              </w:rPr>
              <w:t>混凝土浇筑时支架沉降、位移与变形观测。</w:t>
            </w:r>
          </w:p>
        </w:tc>
      </w:tr>
      <w:tr w14:paraId="20B54B00">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578A0D87">
            <w:pPr>
              <w:spacing w:line="240" w:lineRule="auto"/>
              <w:ind w:firstLine="0" w:firstLineChars="0"/>
              <w:jc w:val="center"/>
              <w:rPr>
                <w:rFonts w:hint="eastAsia"/>
                <w:color w:val="auto"/>
                <w:sz w:val="21"/>
              </w:rPr>
            </w:pPr>
            <w:r>
              <w:rPr>
                <w:rFonts w:hint="eastAsia"/>
                <w:color w:val="auto"/>
                <w:sz w:val="21"/>
              </w:rPr>
              <w:t>2</w:t>
            </w:r>
          </w:p>
        </w:tc>
        <w:tc>
          <w:tcPr>
            <w:tcW w:w="1139" w:type="dxa"/>
            <w:tcBorders>
              <w:top w:val="single" w:color="auto" w:sz="4" w:space="0"/>
              <w:left w:val="nil"/>
              <w:bottom w:val="single" w:color="auto" w:sz="4" w:space="0"/>
              <w:right w:val="single" w:color="auto" w:sz="4" w:space="0"/>
            </w:tcBorders>
            <w:vAlign w:val="center"/>
          </w:tcPr>
          <w:p w14:paraId="508D3777">
            <w:pPr>
              <w:spacing w:line="240" w:lineRule="auto"/>
              <w:ind w:firstLine="0" w:firstLineChars="0"/>
              <w:jc w:val="center"/>
              <w:rPr>
                <w:rFonts w:hint="eastAsia"/>
                <w:color w:val="auto"/>
                <w:sz w:val="21"/>
              </w:rPr>
            </w:pPr>
            <w:r>
              <w:rPr>
                <w:rFonts w:hint="eastAsia"/>
                <w:color w:val="auto"/>
                <w:sz w:val="21"/>
              </w:rPr>
              <w:t>测点布置</w:t>
            </w:r>
          </w:p>
        </w:tc>
        <w:tc>
          <w:tcPr>
            <w:tcW w:w="6397" w:type="dxa"/>
            <w:tcBorders>
              <w:top w:val="single" w:color="auto" w:sz="4" w:space="0"/>
              <w:left w:val="nil"/>
              <w:bottom w:val="single" w:color="auto" w:sz="4" w:space="0"/>
              <w:right w:val="single" w:color="auto" w:sz="4" w:space="0"/>
            </w:tcBorders>
            <w:vAlign w:val="center"/>
          </w:tcPr>
          <w:p w14:paraId="7F22AF58">
            <w:pPr>
              <w:spacing w:line="240" w:lineRule="auto"/>
              <w:ind w:firstLine="420"/>
              <w:jc w:val="left"/>
              <w:rPr>
                <w:rFonts w:hint="eastAsia"/>
                <w:color w:val="auto"/>
                <w:sz w:val="21"/>
              </w:rPr>
            </w:pPr>
            <w:r>
              <w:rPr>
                <w:rFonts w:hint="eastAsia"/>
                <w:color w:val="auto"/>
                <w:sz w:val="21"/>
              </w:rPr>
              <w:t>每个施工段设置一个监测剖面，每个监测剖面布设3个支架水平位移监测点和3个支架沉降观测点。支架监测点布设在支架顶部，监测点一旦确定后，一般情况下不得任意改变，以免造成混乱和增大误差。</w:t>
            </w:r>
          </w:p>
        </w:tc>
      </w:tr>
      <w:tr w14:paraId="19AEC86C">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21FC9507">
            <w:pPr>
              <w:spacing w:line="240" w:lineRule="auto"/>
              <w:ind w:firstLine="0" w:firstLineChars="0"/>
              <w:jc w:val="center"/>
              <w:rPr>
                <w:rFonts w:hint="eastAsia"/>
                <w:color w:val="auto"/>
                <w:sz w:val="21"/>
              </w:rPr>
            </w:pPr>
            <w:r>
              <w:rPr>
                <w:rFonts w:hint="eastAsia"/>
                <w:color w:val="auto"/>
                <w:sz w:val="21"/>
              </w:rPr>
              <w:t>3</w:t>
            </w:r>
          </w:p>
        </w:tc>
        <w:tc>
          <w:tcPr>
            <w:tcW w:w="1139" w:type="dxa"/>
            <w:tcBorders>
              <w:top w:val="single" w:color="auto" w:sz="4" w:space="0"/>
              <w:left w:val="nil"/>
              <w:bottom w:val="single" w:color="auto" w:sz="4" w:space="0"/>
              <w:right w:val="single" w:color="auto" w:sz="4" w:space="0"/>
            </w:tcBorders>
            <w:vAlign w:val="center"/>
          </w:tcPr>
          <w:p w14:paraId="1546104A">
            <w:pPr>
              <w:spacing w:line="240" w:lineRule="auto"/>
              <w:ind w:firstLine="0" w:firstLineChars="0"/>
              <w:jc w:val="center"/>
              <w:rPr>
                <w:rFonts w:hint="eastAsia"/>
                <w:color w:val="auto"/>
                <w:sz w:val="21"/>
              </w:rPr>
            </w:pPr>
            <w:r>
              <w:rPr>
                <w:rFonts w:hint="eastAsia"/>
                <w:color w:val="auto"/>
                <w:sz w:val="21"/>
              </w:rPr>
              <w:t>主要监测仪器</w:t>
            </w:r>
          </w:p>
        </w:tc>
        <w:tc>
          <w:tcPr>
            <w:tcW w:w="6397" w:type="dxa"/>
            <w:tcBorders>
              <w:top w:val="single" w:color="auto" w:sz="4" w:space="0"/>
              <w:left w:val="nil"/>
              <w:bottom w:val="single" w:color="auto" w:sz="4" w:space="0"/>
              <w:right w:val="single" w:color="auto" w:sz="4" w:space="0"/>
            </w:tcBorders>
            <w:vAlign w:val="center"/>
          </w:tcPr>
          <w:p w14:paraId="1FA09918">
            <w:pPr>
              <w:spacing w:line="240" w:lineRule="auto"/>
              <w:ind w:firstLine="420"/>
              <w:jc w:val="left"/>
              <w:rPr>
                <w:rFonts w:hint="eastAsia"/>
                <w:color w:val="auto"/>
                <w:sz w:val="21"/>
              </w:rPr>
            </w:pPr>
            <w:r>
              <w:rPr>
                <w:rFonts w:hint="eastAsia"/>
                <w:color w:val="auto"/>
                <w:sz w:val="21"/>
              </w:rPr>
              <w:t>全站仪、水准仪、钢尺。仪器要预先进行检测，确保精度符合监测要求。仪器要安排专业技术人员操作和保管。</w:t>
            </w:r>
          </w:p>
        </w:tc>
      </w:tr>
      <w:tr w14:paraId="015EE093">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710E5D5A">
            <w:pPr>
              <w:spacing w:line="240" w:lineRule="auto"/>
              <w:ind w:firstLine="0" w:firstLineChars="0"/>
              <w:jc w:val="center"/>
              <w:rPr>
                <w:rFonts w:hint="eastAsia"/>
                <w:color w:val="auto"/>
                <w:sz w:val="21"/>
              </w:rPr>
            </w:pPr>
            <w:r>
              <w:rPr>
                <w:rFonts w:hint="eastAsia"/>
                <w:color w:val="auto"/>
                <w:sz w:val="21"/>
              </w:rPr>
              <w:t>4</w:t>
            </w:r>
          </w:p>
        </w:tc>
        <w:tc>
          <w:tcPr>
            <w:tcW w:w="1139" w:type="dxa"/>
            <w:tcBorders>
              <w:top w:val="single" w:color="auto" w:sz="4" w:space="0"/>
              <w:left w:val="nil"/>
              <w:bottom w:val="single" w:color="auto" w:sz="4" w:space="0"/>
              <w:right w:val="single" w:color="auto" w:sz="4" w:space="0"/>
            </w:tcBorders>
            <w:vAlign w:val="center"/>
          </w:tcPr>
          <w:p w14:paraId="47F3028A">
            <w:pPr>
              <w:spacing w:line="240" w:lineRule="auto"/>
              <w:ind w:firstLine="0" w:firstLineChars="0"/>
              <w:jc w:val="center"/>
              <w:rPr>
                <w:rFonts w:hint="eastAsia"/>
                <w:color w:val="auto"/>
                <w:sz w:val="21"/>
              </w:rPr>
            </w:pPr>
            <w:r>
              <w:rPr>
                <w:rFonts w:hint="eastAsia"/>
                <w:color w:val="auto"/>
                <w:sz w:val="21"/>
              </w:rPr>
              <w:t>基准点布设</w:t>
            </w:r>
          </w:p>
        </w:tc>
        <w:tc>
          <w:tcPr>
            <w:tcW w:w="6397" w:type="dxa"/>
            <w:tcBorders>
              <w:top w:val="single" w:color="auto" w:sz="4" w:space="0"/>
              <w:left w:val="nil"/>
              <w:bottom w:val="single" w:color="auto" w:sz="4" w:space="0"/>
              <w:right w:val="single" w:color="auto" w:sz="4" w:space="0"/>
            </w:tcBorders>
            <w:vAlign w:val="center"/>
          </w:tcPr>
          <w:p w14:paraId="4EC329EB">
            <w:pPr>
              <w:spacing w:line="240" w:lineRule="auto"/>
              <w:ind w:firstLine="420"/>
              <w:jc w:val="left"/>
              <w:rPr>
                <w:rFonts w:hint="eastAsia"/>
                <w:color w:val="auto"/>
                <w:sz w:val="21"/>
              </w:rPr>
            </w:pPr>
            <w:r>
              <w:rPr>
                <w:rFonts w:hint="eastAsia"/>
                <w:color w:val="auto"/>
                <w:sz w:val="21"/>
              </w:rPr>
              <w:t>利用主体结构测量放样所用的控制点。</w:t>
            </w:r>
          </w:p>
        </w:tc>
      </w:tr>
      <w:tr w14:paraId="6C3CCBE5">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39B27498">
            <w:pPr>
              <w:spacing w:line="240" w:lineRule="auto"/>
              <w:ind w:firstLine="0" w:firstLineChars="0"/>
              <w:jc w:val="center"/>
              <w:rPr>
                <w:rFonts w:hint="eastAsia"/>
                <w:color w:val="auto"/>
                <w:sz w:val="21"/>
              </w:rPr>
            </w:pPr>
            <w:r>
              <w:rPr>
                <w:rFonts w:hint="eastAsia"/>
                <w:color w:val="auto"/>
                <w:sz w:val="21"/>
              </w:rPr>
              <w:t>5</w:t>
            </w:r>
          </w:p>
        </w:tc>
        <w:tc>
          <w:tcPr>
            <w:tcW w:w="1139" w:type="dxa"/>
            <w:tcBorders>
              <w:top w:val="single" w:color="auto" w:sz="4" w:space="0"/>
              <w:left w:val="nil"/>
              <w:bottom w:val="single" w:color="auto" w:sz="4" w:space="0"/>
              <w:right w:val="single" w:color="auto" w:sz="4" w:space="0"/>
            </w:tcBorders>
            <w:vAlign w:val="center"/>
          </w:tcPr>
          <w:p w14:paraId="59788768">
            <w:pPr>
              <w:spacing w:line="240" w:lineRule="auto"/>
              <w:ind w:firstLine="0" w:firstLineChars="0"/>
              <w:jc w:val="center"/>
              <w:rPr>
                <w:rFonts w:hint="eastAsia"/>
                <w:color w:val="auto"/>
                <w:sz w:val="21"/>
              </w:rPr>
            </w:pPr>
            <w:r>
              <w:rPr>
                <w:rFonts w:hint="eastAsia"/>
                <w:color w:val="auto"/>
                <w:sz w:val="21"/>
              </w:rPr>
              <w:t>监测频率</w:t>
            </w:r>
          </w:p>
        </w:tc>
        <w:tc>
          <w:tcPr>
            <w:tcW w:w="6397" w:type="dxa"/>
            <w:tcBorders>
              <w:top w:val="single" w:color="auto" w:sz="4" w:space="0"/>
              <w:left w:val="nil"/>
              <w:bottom w:val="single" w:color="auto" w:sz="4" w:space="0"/>
              <w:right w:val="single" w:color="auto" w:sz="4" w:space="0"/>
            </w:tcBorders>
            <w:vAlign w:val="center"/>
          </w:tcPr>
          <w:p w14:paraId="0E6656B0">
            <w:pPr>
              <w:spacing w:line="240" w:lineRule="auto"/>
              <w:ind w:firstLine="420"/>
              <w:jc w:val="left"/>
              <w:rPr>
                <w:rFonts w:hint="eastAsia"/>
                <w:color w:val="auto"/>
                <w:sz w:val="21"/>
              </w:rPr>
            </w:pPr>
            <w:r>
              <w:rPr>
                <w:rFonts w:hint="eastAsia"/>
                <w:color w:val="auto"/>
                <w:sz w:val="21"/>
              </w:rPr>
              <w:t>在浇筑混凝土过程中浇筑点应进行连续监测，一般监测频率不超过20-30分钟一次，若混凝土速度过快时应适当缩短时间。浇筑完后不少于2小时一次。</w:t>
            </w:r>
          </w:p>
        </w:tc>
      </w:tr>
      <w:tr w14:paraId="16D0ECB5">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206CB152">
            <w:pPr>
              <w:spacing w:line="240" w:lineRule="auto"/>
              <w:ind w:firstLine="0" w:firstLineChars="0"/>
              <w:jc w:val="center"/>
              <w:rPr>
                <w:rFonts w:hint="eastAsia"/>
                <w:color w:val="auto"/>
                <w:sz w:val="21"/>
              </w:rPr>
            </w:pPr>
            <w:r>
              <w:rPr>
                <w:rFonts w:hint="eastAsia"/>
                <w:color w:val="auto"/>
                <w:sz w:val="21"/>
              </w:rPr>
              <w:t>6</w:t>
            </w:r>
          </w:p>
        </w:tc>
        <w:tc>
          <w:tcPr>
            <w:tcW w:w="1139" w:type="dxa"/>
            <w:tcBorders>
              <w:top w:val="single" w:color="auto" w:sz="4" w:space="0"/>
              <w:left w:val="nil"/>
              <w:bottom w:val="single" w:color="auto" w:sz="4" w:space="0"/>
              <w:right w:val="single" w:color="auto" w:sz="4" w:space="0"/>
            </w:tcBorders>
            <w:vAlign w:val="center"/>
          </w:tcPr>
          <w:p w14:paraId="1236334B">
            <w:pPr>
              <w:spacing w:line="240" w:lineRule="auto"/>
              <w:ind w:firstLine="0" w:firstLineChars="0"/>
              <w:jc w:val="center"/>
              <w:rPr>
                <w:rFonts w:hint="eastAsia"/>
                <w:color w:val="auto"/>
                <w:sz w:val="21"/>
              </w:rPr>
            </w:pPr>
            <w:r>
              <w:rPr>
                <w:rFonts w:hint="eastAsia"/>
                <w:color w:val="auto"/>
                <w:sz w:val="21"/>
              </w:rPr>
              <w:t>监测控制值</w:t>
            </w:r>
          </w:p>
        </w:tc>
        <w:tc>
          <w:tcPr>
            <w:tcW w:w="6397" w:type="dxa"/>
            <w:tcBorders>
              <w:top w:val="single" w:color="auto" w:sz="4" w:space="0"/>
              <w:left w:val="nil"/>
              <w:bottom w:val="single" w:color="auto" w:sz="4" w:space="0"/>
              <w:right w:val="single" w:color="auto" w:sz="4" w:space="0"/>
            </w:tcBorders>
            <w:vAlign w:val="center"/>
          </w:tcPr>
          <w:p w14:paraId="2788C656">
            <w:pPr>
              <w:spacing w:line="240" w:lineRule="auto"/>
              <w:ind w:firstLine="420"/>
              <w:jc w:val="left"/>
              <w:rPr>
                <w:rFonts w:hint="eastAsia"/>
                <w:color w:val="auto"/>
                <w:sz w:val="21"/>
              </w:rPr>
            </w:pPr>
            <w:r>
              <w:rPr>
                <w:rFonts w:hint="eastAsia"/>
                <w:color w:val="auto"/>
                <w:sz w:val="21"/>
              </w:rPr>
              <w:t>1、支架沉降量（顶部）：架高6m以下为5mm。</w:t>
            </w:r>
          </w:p>
          <w:p w14:paraId="1B187D24">
            <w:pPr>
              <w:spacing w:line="240" w:lineRule="auto"/>
              <w:ind w:firstLine="420"/>
              <w:jc w:val="left"/>
              <w:rPr>
                <w:rFonts w:hint="eastAsia"/>
                <w:color w:val="auto"/>
                <w:sz w:val="21"/>
              </w:rPr>
            </w:pPr>
            <w:r>
              <w:rPr>
                <w:rFonts w:hint="eastAsia"/>
                <w:color w:val="auto"/>
                <w:sz w:val="21"/>
              </w:rPr>
              <w:t>2、支架位移（顶部）：架高6m以下为5mm。</w:t>
            </w:r>
          </w:p>
          <w:p w14:paraId="17593185">
            <w:pPr>
              <w:spacing w:line="240" w:lineRule="auto"/>
              <w:ind w:firstLine="420"/>
              <w:jc w:val="left"/>
              <w:rPr>
                <w:rFonts w:hint="eastAsia"/>
                <w:color w:val="auto"/>
                <w:sz w:val="21"/>
              </w:rPr>
            </w:pPr>
            <w:r>
              <w:rPr>
                <w:rFonts w:hint="eastAsia"/>
                <w:color w:val="auto"/>
                <w:sz w:val="21"/>
              </w:rPr>
              <w:t>3、监测报警值：报警值为监测控制值的0.8倍。</w:t>
            </w:r>
          </w:p>
        </w:tc>
      </w:tr>
      <w:tr w14:paraId="0C88D53F">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309D25D5">
            <w:pPr>
              <w:spacing w:line="240" w:lineRule="auto"/>
              <w:ind w:firstLine="0" w:firstLineChars="0"/>
              <w:jc w:val="center"/>
              <w:rPr>
                <w:rFonts w:hint="eastAsia"/>
                <w:color w:val="auto"/>
                <w:sz w:val="21"/>
              </w:rPr>
            </w:pPr>
            <w:r>
              <w:rPr>
                <w:rFonts w:hint="eastAsia"/>
                <w:color w:val="auto"/>
                <w:sz w:val="21"/>
              </w:rPr>
              <w:t>7</w:t>
            </w:r>
          </w:p>
        </w:tc>
        <w:tc>
          <w:tcPr>
            <w:tcW w:w="1139" w:type="dxa"/>
            <w:tcBorders>
              <w:top w:val="single" w:color="auto" w:sz="4" w:space="0"/>
              <w:left w:val="nil"/>
              <w:bottom w:val="single" w:color="auto" w:sz="4" w:space="0"/>
              <w:right w:val="single" w:color="auto" w:sz="4" w:space="0"/>
            </w:tcBorders>
            <w:vAlign w:val="center"/>
          </w:tcPr>
          <w:p w14:paraId="03E0AEF4">
            <w:pPr>
              <w:spacing w:line="240" w:lineRule="auto"/>
              <w:ind w:firstLine="0" w:firstLineChars="0"/>
              <w:jc w:val="center"/>
              <w:rPr>
                <w:rFonts w:hint="eastAsia"/>
                <w:color w:val="auto"/>
                <w:sz w:val="21"/>
              </w:rPr>
            </w:pPr>
            <w:r>
              <w:rPr>
                <w:rFonts w:hint="eastAsia"/>
                <w:color w:val="auto"/>
                <w:sz w:val="21"/>
              </w:rPr>
              <w:t>异常情况处理措施</w:t>
            </w:r>
          </w:p>
        </w:tc>
        <w:tc>
          <w:tcPr>
            <w:tcW w:w="6397" w:type="dxa"/>
            <w:tcBorders>
              <w:top w:val="single" w:color="auto" w:sz="4" w:space="0"/>
              <w:left w:val="nil"/>
              <w:bottom w:val="single" w:color="auto" w:sz="4" w:space="0"/>
              <w:right w:val="single" w:color="auto" w:sz="4" w:space="0"/>
            </w:tcBorders>
            <w:vAlign w:val="center"/>
          </w:tcPr>
          <w:p w14:paraId="4605B799">
            <w:pPr>
              <w:spacing w:line="240" w:lineRule="auto"/>
              <w:ind w:firstLine="420"/>
              <w:jc w:val="left"/>
              <w:rPr>
                <w:rFonts w:hint="eastAsia"/>
                <w:color w:val="auto"/>
                <w:sz w:val="21"/>
              </w:rPr>
            </w:pPr>
            <w:r>
              <w:rPr>
                <w:rFonts w:hint="eastAsia"/>
                <w:color w:val="auto"/>
                <w:sz w:val="21"/>
              </w:rPr>
              <w:t>1、若由于浇筑速度过快导致支架沉降或位移较大，应立即停止浇筑混凝土施工作业并卸下荷载，待支架模板稳定后再继续浇筑，并减缓浇筑速度。</w:t>
            </w:r>
          </w:p>
          <w:p w14:paraId="7D2833DC">
            <w:pPr>
              <w:spacing w:line="240" w:lineRule="auto"/>
              <w:ind w:firstLine="420"/>
              <w:jc w:val="left"/>
              <w:rPr>
                <w:rFonts w:hint="eastAsia"/>
                <w:color w:val="auto"/>
                <w:sz w:val="21"/>
              </w:rPr>
            </w:pPr>
            <w:r>
              <w:rPr>
                <w:rFonts w:hint="eastAsia"/>
                <w:color w:val="auto"/>
                <w:sz w:val="21"/>
              </w:rPr>
              <w:t>2、若变形情况较严重，应立即疏散、撤离人员和设备，待混凝土初凝后清除混凝土，拆除变形模板支架，并重新进行模板支架施工。</w:t>
            </w:r>
          </w:p>
        </w:tc>
      </w:tr>
    </w:tbl>
    <w:p w14:paraId="7935C562">
      <w:pPr>
        <w:rPr>
          <w:rFonts w:hint="eastAsia"/>
          <w:color w:val="auto"/>
        </w:rPr>
      </w:pPr>
      <w:r>
        <w:rPr>
          <w:rFonts w:hint="eastAsia"/>
          <w:color w:val="auto"/>
        </w:rPr>
        <w:t>2、支架立杆受力情况的的监测</w:t>
      </w:r>
    </w:p>
    <w:tbl>
      <w:tblPr>
        <w:tblStyle w:val="29"/>
        <w:tblW w:w="5000" w:type="pct"/>
        <w:tblInd w:w="0" w:type="dxa"/>
        <w:tblLayout w:type="fixed"/>
        <w:tblCellMar>
          <w:top w:w="0" w:type="dxa"/>
          <w:left w:w="108" w:type="dxa"/>
          <w:bottom w:w="0" w:type="dxa"/>
          <w:right w:w="108" w:type="dxa"/>
        </w:tblCellMar>
      </w:tblPr>
      <w:tblGrid>
        <w:gridCol w:w="685"/>
        <w:gridCol w:w="1128"/>
        <w:gridCol w:w="7247"/>
      </w:tblGrid>
      <w:tr w14:paraId="4415A66E">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43D76706">
            <w:pPr>
              <w:spacing w:line="240" w:lineRule="auto"/>
              <w:ind w:firstLine="0" w:firstLineChars="0"/>
              <w:jc w:val="center"/>
              <w:rPr>
                <w:rFonts w:hint="eastAsia"/>
                <w:color w:val="auto"/>
                <w:sz w:val="21"/>
              </w:rPr>
            </w:pPr>
            <w:r>
              <w:rPr>
                <w:rFonts w:hint="eastAsia"/>
                <w:color w:val="auto"/>
                <w:sz w:val="21"/>
              </w:rPr>
              <w:t>序号</w:t>
            </w:r>
          </w:p>
        </w:tc>
        <w:tc>
          <w:tcPr>
            <w:tcW w:w="1015" w:type="dxa"/>
            <w:tcBorders>
              <w:top w:val="single" w:color="auto" w:sz="4" w:space="0"/>
              <w:left w:val="nil"/>
              <w:bottom w:val="single" w:color="auto" w:sz="4" w:space="0"/>
              <w:right w:val="single" w:color="auto" w:sz="4" w:space="0"/>
            </w:tcBorders>
            <w:vAlign w:val="center"/>
          </w:tcPr>
          <w:p w14:paraId="25D2B27E">
            <w:pPr>
              <w:spacing w:line="240" w:lineRule="auto"/>
              <w:ind w:firstLine="0" w:firstLineChars="0"/>
              <w:jc w:val="center"/>
              <w:rPr>
                <w:rFonts w:hint="eastAsia"/>
                <w:color w:val="auto"/>
                <w:sz w:val="21"/>
              </w:rPr>
            </w:pPr>
            <w:r>
              <w:rPr>
                <w:rFonts w:hint="eastAsia"/>
                <w:color w:val="auto"/>
                <w:sz w:val="21"/>
              </w:rPr>
              <w:t>项目</w:t>
            </w:r>
          </w:p>
        </w:tc>
        <w:tc>
          <w:tcPr>
            <w:tcW w:w="6521" w:type="dxa"/>
            <w:tcBorders>
              <w:top w:val="single" w:color="auto" w:sz="4" w:space="0"/>
              <w:left w:val="nil"/>
              <w:bottom w:val="single" w:color="auto" w:sz="4" w:space="0"/>
              <w:right w:val="single" w:color="auto" w:sz="4" w:space="0"/>
            </w:tcBorders>
            <w:vAlign w:val="center"/>
          </w:tcPr>
          <w:p w14:paraId="3DB3E7C1">
            <w:pPr>
              <w:spacing w:line="240" w:lineRule="auto"/>
              <w:ind w:firstLine="0" w:firstLineChars="0"/>
              <w:jc w:val="center"/>
              <w:rPr>
                <w:rFonts w:hint="eastAsia"/>
                <w:color w:val="auto"/>
                <w:sz w:val="21"/>
              </w:rPr>
            </w:pPr>
            <w:r>
              <w:rPr>
                <w:rFonts w:hint="eastAsia"/>
                <w:color w:val="auto"/>
                <w:sz w:val="21"/>
              </w:rPr>
              <w:t>内容</w:t>
            </w:r>
          </w:p>
        </w:tc>
      </w:tr>
      <w:tr w14:paraId="0C09E1C9">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253EE143">
            <w:pPr>
              <w:spacing w:line="240" w:lineRule="auto"/>
              <w:ind w:firstLine="0" w:firstLineChars="0"/>
              <w:jc w:val="center"/>
              <w:rPr>
                <w:rFonts w:hint="eastAsia"/>
                <w:color w:val="auto"/>
                <w:sz w:val="21"/>
              </w:rPr>
            </w:pPr>
            <w:r>
              <w:rPr>
                <w:rFonts w:hint="eastAsia"/>
                <w:color w:val="auto"/>
                <w:sz w:val="21"/>
              </w:rPr>
              <w:t>1</w:t>
            </w:r>
          </w:p>
        </w:tc>
        <w:tc>
          <w:tcPr>
            <w:tcW w:w="1015" w:type="dxa"/>
            <w:tcBorders>
              <w:top w:val="single" w:color="auto" w:sz="4" w:space="0"/>
              <w:left w:val="nil"/>
              <w:bottom w:val="single" w:color="auto" w:sz="4" w:space="0"/>
              <w:right w:val="single" w:color="auto" w:sz="4" w:space="0"/>
            </w:tcBorders>
            <w:vAlign w:val="center"/>
          </w:tcPr>
          <w:p w14:paraId="14106937">
            <w:pPr>
              <w:spacing w:line="240" w:lineRule="auto"/>
              <w:ind w:firstLine="0" w:firstLineChars="0"/>
              <w:jc w:val="center"/>
              <w:rPr>
                <w:rFonts w:hint="eastAsia"/>
                <w:color w:val="auto"/>
                <w:sz w:val="21"/>
              </w:rPr>
            </w:pPr>
            <w:r>
              <w:rPr>
                <w:rFonts w:hint="eastAsia"/>
                <w:color w:val="auto"/>
                <w:sz w:val="21"/>
              </w:rPr>
              <w:t>监测项目</w:t>
            </w:r>
          </w:p>
        </w:tc>
        <w:tc>
          <w:tcPr>
            <w:tcW w:w="6521" w:type="dxa"/>
            <w:tcBorders>
              <w:top w:val="single" w:color="auto" w:sz="4" w:space="0"/>
              <w:left w:val="nil"/>
              <w:bottom w:val="single" w:color="auto" w:sz="4" w:space="0"/>
              <w:right w:val="single" w:color="auto" w:sz="4" w:space="0"/>
            </w:tcBorders>
            <w:vAlign w:val="center"/>
          </w:tcPr>
          <w:p w14:paraId="74117570">
            <w:pPr>
              <w:spacing w:line="240" w:lineRule="auto"/>
              <w:ind w:firstLine="420"/>
              <w:jc w:val="left"/>
              <w:rPr>
                <w:rFonts w:hint="eastAsia"/>
                <w:color w:val="auto"/>
                <w:sz w:val="21"/>
              </w:rPr>
            </w:pPr>
            <w:r>
              <w:rPr>
                <w:rFonts w:hint="eastAsia"/>
                <w:color w:val="auto"/>
                <w:sz w:val="21"/>
              </w:rPr>
              <w:t>模板支架立杆受力情况监测。</w:t>
            </w:r>
          </w:p>
        </w:tc>
      </w:tr>
      <w:tr w14:paraId="4B60AE4E">
        <w:tblPrEx>
          <w:tblCellMar>
            <w:top w:w="0" w:type="dxa"/>
            <w:left w:w="108" w:type="dxa"/>
            <w:bottom w:w="0" w:type="dxa"/>
            <w:right w:w="108" w:type="dxa"/>
          </w:tblCellMar>
        </w:tblPrEx>
        <w:trPr>
          <w:trHeight w:val="454" w:hRule="atLeast"/>
        </w:trPr>
        <w:tc>
          <w:tcPr>
            <w:tcW w:w="617" w:type="dxa"/>
            <w:tcBorders>
              <w:top w:val="nil"/>
              <w:left w:val="single" w:color="auto" w:sz="4" w:space="0"/>
              <w:bottom w:val="single" w:color="auto" w:sz="4" w:space="0"/>
              <w:right w:val="single" w:color="auto" w:sz="4" w:space="0"/>
            </w:tcBorders>
            <w:vAlign w:val="center"/>
          </w:tcPr>
          <w:p w14:paraId="43966D56">
            <w:pPr>
              <w:spacing w:line="240" w:lineRule="auto"/>
              <w:ind w:firstLine="0" w:firstLineChars="0"/>
              <w:jc w:val="center"/>
              <w:rPr>
                <w:rFonts w:hint="eastAsia"/>
                <w:color w:val="auto"/>
                <w:sz w:val="21"/>
              </w:rPr>
            </w:pPr>
            <w:r>
              <w:rPr>
                <w:rFonts w:hint="eastAsia"/>
                <w:color w:val="auto"/>
                <w:sz w:val="21"/>
              </w:rPr>
              <w:t>2</w:t>
            </w:r>
          </w:p>
        </w:tc>
        <w:tc>
          <w:tcPr>
            <w:tcW w:w="1015" w:type="dxa"/>
            <w:tcBorders>
              <w:top w:val="nil"/>
              <w:left w:val="nil"/>
              <w:bottom w:val="single" w:color="auto" w:sz="4" w:space="0"/>
              <w:right w:val="single" w:color="auto" w:sz="4" w:space="0"/>
            </w:tcBorders>
            <w:vAlign w:val="center"/>
          </w:tcPr>
          <w:p w14:paraId="552D9BF0">
            <w:pPr>
              <w:spacing w:line="240" w:lineRule="auto"/>
              <w:ind w:firstLine="0" w:firstLineChars="0"/>
              <w:jc w:val="center"/>
              <w:rPr>
                <w:rFonts w:hint="eastAsia"/>
                <w:color w:val="auto"/>
                <w:sz w:val="21"/>
              </w:rPr>
            </w:pPr>
            <w:r>
              <w:rPr>
                <w:rFonts w:hint="eastAsia"/>
                <w:color w:val="auto"/>
                <w:sz w:val="21"/>
              </w:rPr>
              <w:t>仪器选用</w:t>
            </w:r>
          </w:p>
        </w:tc>
        <w:tc>
          <w:tcPr>
            <w:tcW w:w="6521" w:type="dxa"/>
            <w:tcBorders>
              <w:top w:val="single" w:color="auto" w:sz="4" w:space="0"/>
              <w:left w:val="nil"/>
              <w:bottom w:val="single" w:color="auto" w:sz="4" w:space="0"/>
              <w:right w:val="single" w:color="auto" w:sz="4" w:space="0"/>
            </w:tcBorders>
            <w:vAlign w:val="center"/>
          </w:tcPr>
          <w:p w14:paraId="767E0BF5">
            <w:pPr>
              <w:spacing w:line="240" w:lineRule="auto"/>
              <w:ind w:firstLine="420"/>
              <w:jc w:val="left"/>
              <w:rPr>
                <w:rFonts w:hint="eastAsia"/>
                <w:color w:val="auto"/>
                <w:sz w:val="21"/>
              </w:rPr>
            </w:pPr>
            <w:r>
              <w:rPr>
                <w:rFonts w:hint="eastAsia"/>
                <w:color w:val="auto"/>
                <w:sz w:val="21"/>
              </w:rPr>
              <w:t>仪器采用振弦式应变计和相应的数据采集仪。</w:t>
            </w:r>
          </w:p>
        </w:tc>
      </w:tr>
      <w:tr w14:paraId="610994DA">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3540C4BD">
            <w:pPr>
              <w:spacing w:line="240" w:lineRule="auto"/>
              <w:ind w:firstLine="0" w:firstLineChars="0"/>
              <w:jc w:val="center"/>
              <w:rPr>
                <w:rFonts w:hint="eastAsia"/>
                <w:color w:val="auto"/>
                <w:sz w:val="21"/>
              </w:rPr>
            </w:pPr>
            <w:r>
              <w:rPr>
                <w:rFonts w:hint="eastAsia"/>
                <w:color w:val="auto"/>
                <w:sz w:val="21"/>
              </w:rPr>
              <w:t>3</w:t>
            </w:r>
          </w:p>
        </w:tc>
        <w:tc>
          <w:tcPr>
            <w:tcW w:w="1015" w:type="dxa"/>
            <w:tcBorders>
              <w:top w:val="single" w:color="auto" w:sz="4" w:space="0"/>
              <w:left w:val="nil"/>
              <w:bottom w:val="single" w:color="auto" w:sz="4" w:space="0"/>
              <w:right w:val="single" w:color="auto" w:sz="4" w:space="0"/>
            </w:tcBorders>
            <w:vAlign w:val="center"/>
          </w:tcPr>
          <w:p w14:paraId="52EEFDD9">
            <w:pPr>
              <w:spacing w:line="240" w:lineRule="auto"/>
              <w:ind w:firstLine="0" w:firstLineChars="0"/>
              <w:jc w:val="center"/>
              <w:rPr>
                <w:rFonts w:hint="eastAsia"/>
                <w:color w:val="auto"/>
                <w:sz w:val="21"/>
              </w:rPr>
            </w:pPr>
            <w:r>
              <w:rPr>
                <w:rFonts w:hint="eastAsia"/>
                <w:color w:val="auto"/>
                <w:sz w:val="21"/>
              </w:rPr>
              <w:t>监测频率</w:t>
            </w:r>
          </w:p>
        </w:tc>
        <w:tc>
          <w:tcPr>
            <w:tcW w:w="6521" w:type="dxa"/>
            <w:tcBorders>
              <w:top w:val="single" w:color="auto" w:sz="4" w:space="0"/>
              <w:left w:val="nil"/>
              <w:bottom w:val="single" w:color="auto" w:sz="4" w:space="0"/>
              <w:right w:val="single" w:color="auto" w:sz="4" w:space="0"/>
            </w:tcBorders>
            <w:vAlign w:val="center"/>
          </w:tcPr>
          <w:p w14:paraId="70915153">
            <w:pPr>
              <w:spacing w:line="240" w:lineRule="auto"/>
              <w:ind w:firstLine="420"/>
              <w:jc w:val="left"/>
              <w:rPr>
                <w:rFonts w:hint="eastAsia"/>
                <w:color w:val="auto"/>
                <w:sz w:val="21"/>
              </w:rPr>
            </w:pPr>
            <w:r>
              <w:rPr>
                <w:rFonts w:hint="eastAsia"/>
                <w:color w:val="auto"/>
                <w:sz w:val="21"/>
              </w:rPr>
              <w:t>浇筑时对下立杆每半小时监测一次，浇筑完成后每2小时观测一次，至立杆应变数据趋于稳定。</w:t>
            </w:r>
          </w:p>
          <w:p w14:paraId="33072A99">
            <w:pPr>
              <w:spacing w:line="240" w:lineRule="auto"/>
              <w:ind w:firstLine="420"/>
              <w:jc w:val="left"/>
              <w:rPr>
                <w:rFonts w:hint="eastAsia"/>
                <w:color w:val="auto"/>
                <w:sz w:val="21"/>
              </w:rPr>
            </w:pPr>
            <w:r>
              <w:rPr>
                <w:rFonts w:hint="eastAsia"/>
                <w:color w:val="auto"/>
                <w:sz w:val="21"/>
              </w:rPr>
              <w:t>得到立杆应变数据通过实测的立杆参数（直径、壁厚等），将立杆的应变情况换算为立杆的应力。</w:t>
            </w:r>
          </w:p>
        </w:tc>
      </w:tr>
      <w:tr w14:paraId="0290F7A3">
        <w:tblPrEx>
          <w:tblCellMar>
            <w:top w:w="0" w:type="dxa"/>
            <w:left w:w="108" w:type="dxa"/>
            <w:bottom w:w="0" w:type="dxa"/>
            <w:right w:w="108" w:type="dxa"/>
          </w:tblCellMar>
        </w:tblPrEx>
        <w:trPr>
          <w:trHeight w:val="454" w:hRule="atLeast"/>
        </w:trPr>
        <w:tc>
          <w:tcPr>
            <w:tcW w:w="617" w:type="dxa"/>
            <w:tcBorders>
              <w:top w:val="single" w:color="auto" w:sz="4" w:space="0"/>
              <w:left w:val="single" w:color="auto" w:sz="4" w:space="0"/>
              <w:bottom w:val="single" w:color="auto" w:sz="4" w:space="0"/>
              <w:right w:val="single" w:color="auto" w:sz="4" w:space="0"/>
            </w:tcBorders>
            <w:vAlign w:val="center"/>
          </w:tcPr>
          <w:p w14:paraId="628B35DB">
            <w:pPr>
              <w:spacing w:line="240" w:lineRule="auto"/>
              <w:ind w:firstLine="0" w:firstLineChars="0"/>
              <w:jc w:val="center"/>
              <w:rPr>
                <w:rFonts w:hint="eastAsia"/>
                <w:color w:val="auto"/>
                <w:sz w:val="21"/>
              </w:rPr>
            </w:pPr>
            <w:r>
              <w:rPr>
                <w:rFonts w:hint="eastAsia"/>
                <w:color w:val="auto"/>
                <w:sz w:val="21"/>
              </w:rPr>
              <w:t>4</w:t>
            </w:r>
          </w:p>
        </w:tc>
        <w:tc>
          <w:tcPr>
            <w:tcW w:w="1015" w:type="dxa"/>
            <w:tcBorders>
              <w:top w:val="single" w:color="auto" w:sz="4" w:space="0"/>
              <w:left w:val="nil"/>
              <w:bottom w:val="single" w:color="auto" w:sz="4" w:space="0"/>
              <w:right w:val="single" w:color="auto" w:sz="4" w:space="0"/>
            </w:tcBorders>
            <w:vAlign w:val="center"/>
          </w:tcPr>
          <w:p w14:paraId="12A52E3E">
            <w:pPr>
              <w:spacing w:line="240" w:lineRule="auto"/>
              <w:ind w:firstLine="0" w:firstLineChars="0"/>
              <w:jc w:val="center"/>
              <w:rPr>
                <w:rFonts w:hint="eastAsia"/>
                <w:color w:val="auto"/>
                <w:sz w:val="21"/>
              </w:rPr>
            </w:pPr>
            <w:r>
              <w:rPr>
                <w:rFonts w:hint="eastAsia"/>
                <w:color w:val="auto"/>
                <w:sz w:val="21"/>
              </w:rPr>
              <w:t>异常情况处理措施</w:t>
            </w:r>
          </w:p>
        </w:tc>
        <w:tc>
          <w:tcPr>
            <w:tcW w:w="6521" w:type="dxa"/>
            <w:tcBorders>
              <w:top w:val="single" w:color="auto" w:sz="4" w:space="0"/>
              <w:left w:val="nil"/>
              <w:bottom w:val="single" w:color="auto" w:sz="4" w:space="0"/>
              <w:right w:val="single" w:color="auto" w:sz="4" w:space="0"/>
            </w:tcBorders>
            <w:vAlign w:val="center"/>
          </w:tcPr>
          <w:p w14:paraId="0748844B">
            <w:pPr>
              <w:spacing w:line="240" w:lineRule="auto"/>
              <w:ind w:firstLine="420"/>
              <w:jc w:val="left"/>
              <w:rPr>
                <w:rFonts w:hint="eastAsia"/>
                <w:color w:val="auto"/>
                <w:sz w:val="21"/>
              </w:rPr>
            </w:pPr>
            <w:r>
              <w:rPr>
                <w:rFonts w:hint="eastAsia"/>
                <w:color w:val="auto"/>
                <w:sz w:val="21"/>
              </w:rPr>
              <w:t>此项目主要监测顶板砼浇筑对中板下立杆的受力情况的影响。若顶板浇筑时，中板下立杆应力超过190MPa，则立即停止顶板砼浇筑，并对中板下的立杆进行加固，加固完成后再继续顶板的砼浇筑。</w:t>
            </w:r>
          </w:p>
        </w:tc>
      </w:tr>
    </w:tbl>
    <w:p w14:paraId="79ACEE86">
      <w:pPr>
        <w:pStyle w:val="6"/>
        <w:ind w:firstLine="480"/>
        <w:rPr>
          <w:rFonts w:hint="eastAsia"/>
          <w:color w:val="auto"/>
        </w:rPr>
      </w:pPr>
      <w:r>
        <w:rPr>
          <w:rFonts w:hint="eastAsia"/>
          <w:color w:val="auto"/>
        </w:rPr>
        <w:t>安全管理</w:t>
      </w:r>
    </w:p>
    <w:p w14:paraId="42ED9BDE">
      <w:pPr>
        <w:rPr>
          <w:rFonts w:hint="eastAsia"/>
          <w:color w:val="auto"/>
        </w:rPr>
      </w:pPr>
      <w:r>
        <w:rPr>
          <w:rFonts w:hint="eastAsia"/>
          <w:color w:val="auto"/>
        </w:rPr>
        <w:t>1、通过审批的方案必须严格贯彻执行，实际施工中不得省工减料，尤其模板支撑体系安全专项施工方案是立杆间距、步距、扫地杆、剪刀撑、扣件拧紧力矩等，必须严格按照方案执行。</w:t>
      </w:r>
    </w:p>
    <w:p w14:paraId="111571D2">
      <w:pPr>
        <w:rPr>
          <w:rFonts w:hint="eastAsia"/>
          <w:color w:val="auto"/>
        </w:rPr>
      </w:pPr>
      <w:r>
        <w:rPr>
          <w:rFonts w:hint="eastAsia"/>
          <w:color w:val="auto"/>
        </w:rPr>
        <w:t>2、搭设模板支架时应采取的安全措施</w:t>
      </w:r>
    </w:p>
    <w:tbl>
      <w:tblPr>
        <w:tblStyle w:val="29"/>
        <w:tblW w:w="5000" w:type="pct"/>
        <w:tblInd w:w="0" w:type="dxa"/>
        <w:tblLayout w:type="fixed"/>
        <w:tblCellMar>
          <w:top w:w="0" w:type="dxa"/>
          <w:left w:w="108" w:type="dxa"/>
          <w:bottom w:w="0" w:type="dxa"/>
          <w:right w:w="108" w:type="dxa"/>
        </w:tblCellMar>
      </w:tblPr>
      <w:tblGrid>
        <w:gridCol w:w="688"/>
        <w:gridCol w:w="8372"/>
      </w:tblGrid>
      <w:tr w14:paraId="09B62C9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4F34699E">
            <w:pPr>
              <w:spacing w:line="240" w:lineRule="auto"/>
              <w:ind w:firstLine="0" w:firstLineChars="0"/>
              <w:jc w:val="center"/>
              <w:rPr>
                <w:rFonts w:hint="eastAsia"/>
                <w:color w:val="auto"/>
                <w:sz w:val="21"/>
              </w:rPr>
            </w:pPr>
            <w:r>
              <w:rPr>
                <w:rFonts w:hint="eastAsia"/>
                <w:color w:val="auto"/>
                <w:sz w:val="21"/>
              </w:rPr>
              <w:t>序号</w:t>
            </w:r>
          </w:p>
        </w:tc>
        <w:tc>
          <w:tcPr>
            <w:tcW w:w="7534" w:type="dxa"/>
            <w:tcBorders>
              <w:top w:val="single" w:color="auto" w:sz="4" w:space="0"/>
              <w:left w:val="nil"/>
              <w:bottom w:val="single" w:color="auto" w:sz="4" w:space="0"/>
              <w:right w:val="single" w:color="auto" w:sz="4" w:space="0"/>
            </w:tcBorders>
            <w:vAlign w:val="center"/>
          </w:tcPr>
          <w:p w14:paraId="2CF1B997">
            <w:pPr>
              <w:spacing w:line="240" w:lineRule="auto"/>
              <w:ind w:firstLine="0" w:firstLineChars="0"/>
              <w:jc w:val="center"/>
              <w:rPr>
                <w:rFonts w:hint="eastAsia"/>
                <w:color w:val="auto"/>
                <w:sz w:val="21"/>
              </w:rPr>
            </w:pPr>
            <w:r>
              <w:rPr>
                <w:rFonts w:hint="eastAsia"/>
                <w:color w:val="auto"/>
                <w:sz w:val="21"/>
              </w:rPr>
              <w:t>主要措施</w:t>
            </w:r>
          </w:p>
        </w:tc>
      </w:tr>
      <w:tr w14:paraId="7B5E4ED5">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1492B694">
            <w:pPr>
              <w:spacing w:line="240" w:lineRule="auto"/>
              <w:ind w:firstLine="0" w:firstLineChars="0"/>
              <w:jc w:val="center"/>
              <w:rPr>
                <w:rFonts w:hint="eastAsia"/>
                <w:color w:val="auto"/>
                <w:sz w:val="21"/>
              </w:rPr>
            </w:pPr>
            <w:r>
              <w:rPr>
                <w:rFonts w:hint="eastAsia"/>
                <w:color w:val="auto"/>
                <w:sz w:val="21"/>
              </w:rPr>
              <w:t>1</w:t>
            </w:r>
          </w:p>
        </w:tc>
        <w:tc>
          <w:tcPr>
            <w:tcW w:w="7534" w:type="dxa"/>
            <w:tcBorders>
              <w:top w:val="single" w:color="auto" w:sz="4" w:space="0"/>
              <w:left w:val="nil"/>
              <w:bottom w:val="single" w:color="auto" w:sz="4" w:space="0"/>
              <w:right w:val="single" w:color="auto" w:sz="4" w:space="0"/>
            </w:tcBorders>
            <w:vAlign w:val="center"/>
          </w:tcPr>
          <w:p w14:paraId="2993E008">
            <w:pPr>
              <w:spacing w:line="240" w:lineRule="auto"/>
              <w:ind w:firstLine="420"/>
              <w:jc w:val="left"/>
              <w:rPr>
                <w:rFonts w:hint="eastAsia"/>
                <w:color w:val="auto"/>
                <w:sz w:val="21"/>
              </w:rPr>
            </w:pPr>
            <w:r>
              <w:rPr>
                <w:rFonts w:hint="eastAsia"/>
                <w:color w:val="auto"/>
                <w:sz w:val="21"/>
              </w:rPr>
              <w:t>模板支架搭设人员必须是经过按现行国家标准《特种作业人员安全技术考核管理规则》（GB5036）考核合格的专业架子工。上岗人员应定期体检，上岗人员应体检合格。搭设模板支架人员必须戴安全帽、系安全带、穿防滑鞋。钢管、扣件构质量与搭设质量，应按规定进行检查验收，合格后方准使用。做好模板支架的安全检查与维护。</w:t>
            </w:r>
          </w:p>
        </w:tc>
      </w:tr>
      <w:tr w14:paraId="1DFF058E">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D8CDE97">
            <w:pPr>
              <w:spacing w:line="240" w:lineRule="auto"/>
              <w:ind w:firstLine="0" w:firstLineChars="0"/>
              <w:jc w:val="center"/>
              <w:rPr>
                <w:rFonts w:hint="eastAsia"/>
                <w:color w:val="auto"/>
                <w:sz w:val="21"/>
              </w:rPr>
            </w:pPr>
            <w:r>
              <w:rPr>
                <w:rFonts w:hint="eastAsia"/>
                <w:color w:val="auto"/>
                <w:sz w:val="21"/>
              </w:rPr>
              <w:t>2</w:t>
            </w:r>
          </w:p>
        </w:tc>
        <w:tc>
          <w:tcPr>
            <w:tcW w:w="7534" w:type="dxa"/>
            <w:tcBorders>
              <w:top w:val="single" w:color="auto" w:sz="4" w:space="0"/>
              <w:left w:val="nil"/>
              <w:bottom w:val="single" w:color="auto" w:sz="4" w:space="0"/>
              <w:right w:val="single" w:color="auto" w:sz="4" w:space="0"/>
            </w:tcBorders>
            <w:vAlign w:val="center"/>
          </w:tcPr>
          <w:p w14:paraId="10627641">
            <w:pPr>
              <w:spacing w:line="240" w:lineRule="auto"/>
              <w:ind w:firstLine="420"/>
              <w:jc w:val="left"/>
              <w:rPr>
                <w:rFonts w:hint="eastAsia"/>
                <w:color w:val="auto"/>
                <w:sz w:val="21"/>
              </w:rPr>
            </w:pPr>
            <w:r>
              <w:rPr>
                <w:rFonts w:hint="eastAsia"/>
                <w:color w:val="auto"/>
                <w:sz w:val="21"/>
              </w:rPr>
              <w:t>作业层上的施工荷载应符合设计要求，不得超载。脚手架不得与模板支架相连。在模板支架使用期间，不得任意拆除杆件。在模板支架基础下或相邻处有管沟时，在支架使用过程中不得开挖，否则必须采取加固措施。</w:t>
            </w:r>
          </w:p>
          <w:p w14:paraId="67F8D2B9">
            <w:pPr>
              <w:spacing w:line="240" w:lineRule="auto"/>
              <w:ind w:firstLine="420"/>
              <w:jc w:val="left"/>
              <w:rPr>
                <w:rFonts w:hint="eastAsia"/>
                <w:color w:val="auto"/>
                <w:sz w:val="21"/>
              </w:rPr>
            </w:pPr>
            <w:r>
              <w:rPr>
                <w:rFonts w:hint="eastAsia"/>
                <w:color w:val="auto"/>
                <w:sz w:val="21"/>
              </w:rPr>
              <w:t>当有六级及六级以上大风和雾、雨天气时应停止模板支架搭设与拆除作业。</w:t>
            </w:r>
          </w:p>
        </w:tc>
      </w:tr>
      <w:tr w14:paraId="457C5F06">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5BEF20A9">
            <w:pPr>
              <w:spacing w:line="240" w:lineRule="auto"/>
              <w:ind w:firstLine="0" w:firstLineChars="0"/>
              <w:jc w:val="center"/>
              <w:rPr>
                <w:rFonts w:hint="eastAsia"/>
                <w:color w:val="auto"/>
                <w:sz w:val="21"/>
              </w:rPr>
            </w:pPr>
            <w:r>
              <w:rPr>
                <w:rFonts w:hint="eastAsia"/>
                <w:color w:val="auto"/>
                <w:sz w:val="21"/>
              </w:rPr>
              <w:t>3</w:t>
            </w:r>
          </w:p>
        </w:tc>
        <w:tc>
          <w:tcPr>
            <w:tcW w:w="7534" w:type="dxa"/>
            <w:tcBorders>
              <w:top w:val="single" w:color="auto" w:sz="4" w:space="0"/>
              <w:left w:val="nil"/>
              <w:bottom w:val="single" w:color="auto" w:sz="4" w:space="0"/>
              <w:right w:val="single" w:color="auto" w:sz="4" w:space="0"/>
            </w:tcBorders>
            <w:vAlign w:val="center"/>
          </w:tcPr>
          <w:p w14:paraId="1984BE9B">
            <w:pPr>
              <w:spacing w:line="240" w:lineRule="auto"/>
              <w:ind w:firstLine="420"/>
              <w:jc w:val="left"/>
              <w:rPr>
                <w:rFonts w:hint="eastAsia"/>
                <w:color w:val="auto"/>
                <w:sz w:val="21"/>
              </w:rPr>
            </w:pPr>
            <w:r>
              <w:rPr>
                <w:rFonts w:hint="eastAsia"/>
                <w:color w:val="auto"/>
                <w:sz w:val="21"/>
              </w:rPr>
              <w:t>在混凝土浇注过程中，应派专人观测模板体系的工作状况态，观测人员发现异常时应及时报告施工负责人，施工负责人应立即通知浇注人员暂停作业，情况紧急时应采取迅速撤离人员的应急措施，并进行加固处理。</w:t>
            </w:r>
          </w:p>
        </w:tc>
      </w:tr>
      <w:tr w14:paraId="0CF6605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74F21A7">
            <w:pPr>
              <w:spacing w:line="240" w:lineRule="auto"/>
              <w:ind w:firstLine="0" w:firstLineChars="0"/>
              <w:jc w:val="center"/>
              <w:rPr>
                <w:rFonts w:hint="eastAsia"/>
                <w:color w:val="auto"/>
                <w:sz w:val="21"/>
              </w:rPr>
            </w:pPr>
            <w:r>
              <w:rPr>
                <w:rFonts w:hint="eastAsia"/>
                <w:color w:val="auto"/>
                <w:sz w:val="21"/>
              </w:rPr>
              <w:t>4</w:t>
            </w:r>
          </w:p>
        </w:tc>
        <w:tc>
          <w:tcPr>
            <w:tcW w:w="7534" w:type="dxa"/>
            <w:tcBorders>
              <w:top w:val="single" w:color="auto" w:sz="4" w:space="0"/>
              <w:left w:val="nil"/>
              <w:bottom w:val="single" w:color="auto" w:sz="4" w:space="0"/>
              <w:right w:val="single" w:color="auto" w:sz="4" w:space="0"/>
            </w:tcBorders>
            <w:vAlign w:val="center"/>
          </w:tcPr>
          <w:p w14:paraId="3BC8EA2F">
            <w:pPr>
              <w:spacing w:line="240" w:lineRule="auto"/>
              <w:ind w:firstLine="420"/>
              <w:jc w:val="left"/>
              <w:rPr>
                <w:rFonts w:hint="eastAsia"/>
                <w:color w:val="auto"/>
                <w:sz w:val="21"/>
              </w:rPr>
            </w:pPr>
            <w:r>
              <w:rPr>
                <w:rFonts w:hint="eastAsia"/>
                <w:color w:val="auto"/>
                <w:sz w:val="21"/>
              </w:rPr>
              <w:t>在混凝土浇注过程中，应均匀振捣，并采取有效措施防止混凝土超高堆积。</w:t>
            </w:r>
          </w:p>
        </w:tc>
      </w:tr>
      <w:tr w14:paraId="56ECACCD">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5EB7902">
            <w:pPr>
              <w:spacing w:line="240" w:lineRule="auto"/>
              <w:ind w:firstLine="0" w:firstLineChars="0"/>
              <w:jc w:val="center"/>
              <w:rPr>
                <w:rFonts w:hint="eastAsia"/>
                <w:color w:val="auto"/>
                <w:sz w:val="21"/>
              </w:rPr>
            </w:pPr>
            <w:r>
              <w:rPr>
                <w:rFonts w:hint="eastAsia"/>
                <w:color w:val="auto"/>
                <w:sz w:val="21"/>
              </w:rPr>
              <w:t>5</w:t>
            </w:r>
          </w:p>
        </w:tc>
        <w:tc>
          <w:tcPr>
            <w:tcW w:w="7534" w:type="dxa"/>
            <w:tcBorders>
              <w:top w:val="single" w:color="auto" w:sz="4" w:space="0"/>
              <w:left w:val="nil"/>
              <w:bottom w:val="single" w:color="auto" w:sz="4" w:space="0"/>
              <w:right w:val="single" w:color="auto" w:sz="4" w:space="0"/>
            </w:tcBorders>
            <w:vAlign w:val="center"/>
          </w:tcPr>
          <w:p w14:paraId="0177E81D">
            <w:pPr>
              <w:spacing w:line="240" w:lineRule="auto"/>
              <w:ind w:firstLine="420"/>
              <w:jc w:val="left"/>
              <w:rPr>
                <w:rFonts w:hint="eastAsia"/>
                <w:color w:val="auto"/>
                <w:sz w:val="21"/>
              </w:rPr>
            </w:pPr>
            <w:r>
              <w:rPr>
                <w:rFonts w:hint="eastAsia"/>
                <w:color w:val="auto"/>
                <w:sz w:val="21"/>
              </w:rPr>
              <w:t>工地临时用电线路的架设应按现行行业标准《施工现场临时用电安全技术规范》（JGJ46）的有关规定执行。</w:t>
            </w:r>
          </w:p>
        </w:tc>
      </w:tr>
      <w:tr w14:paraId="218EA62A">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31B4E736">
            <w:pPr>
              <w:spacing w:line="240" w:lineRule="auto"/>
              <w:ind w:firstLine="0" w:firstLineChars="0"/>
              <w:jc w:val="center"/>
              <w:rPr>
                <w:rFonts w:hint="eastAsia"/>
                <w:color w:val="auto"/>
                <w:sz w:val="21"/>
              </w:rPr>
            </w:pPr>
            <w:r>
              <w:rPr>
                <w:rFonts w:hint="eastAsia"/>
                <w:color w:val="auto"/>
                <w:sz w:val="21"/>
              </w:rPr>
              <w:t>6</w:t>
            </w:r>
          </w:p>
        </w:tc>
        <w:tc>
          <w:tcPr>
            <w:tcW w:w="7534" w:type="dxa"/>
            <w:tcBorders>
              <w:top w:val="single" w:color="auto" w:sz="4" w:space="0"/>
              <w:left w:val="nil"/>
              <w:bottom w:val="single" w:color="auto" w:sz="4" w:space="0"/>
              <w:right w:val="single" w:color="auto" w:sz="4" w:space="0"/>
            </w:tcBorders>
            <w:vAlign w:val="center"/>
          </w:tcPr>
          <w:p w14:paraId="1A2D7F46">
            <w:pPr>
              <w:spacing w:line="240" w:lineRule="auto"/>
              <w:ind w:firstLine="420"/>
              <w:jc w:val="left"/>
              <w:rPr>
                <w:rFonts w:hint="eastAsia"/>
                <w:color w:val="auto"/>
                <w:sz w:val="21"/>
              </w:rPr>
            </w:pPr>
            <w:r>
              <w:rPr>
                <w:rFonts w:hint="eastAsia"/>
                <w:color w:val="auto"/>
                <w:sz w:val="21"/>
              </w:rPr>
              <w:t>在模板支架上进行电、气焊作业时，必须有防火措施和专人看守。</w:t>
            </w:r>
          </w:p>
        </w:tc>
      </w:tr>
      <w:tr w14:paraId="645D3884">
        <w:tblPrEx>
          <w:tblCellMar>
            <w:top w:w="0" w:type="dxa"/>
            <w:left w:w="108" w:type="dxa"/>
            <w:bottom w:w="0" w:type="dxa"/>
            <w:right w:w="108" w:type="dxa"/>
          </w:tblCellMar>
        </w:tblPrEx>
        <w:trPr>
          <w:trHeight w:val="454" w:hRule="atLeast"/>
        </w:trPr>
        <w:tc>
          <w:tcPr>
            <w:tcW w:w="619" w:type="dxa"/>
            <w:tcBorders>
              <w:top w:val="single" w:color="auto" w:sz="4" w:space="0"/>
              <w:left w:val="single" w:color="auto" w:sz="4" w:space="0"/>
              <w:bottom w:val="single" w:color="auto" w:sz="4" w:space="0"/>
              <w:right w:val="single" w:color="auto" w:sz="4" w:space="0"/>
            </w:tcBorders>
            <w:vAlign w:val="center"/>
          </w:tcPr>
          <w:p w14:paraId="6A45A008">
            <w:pPr>
              <w:spacing w:line="240" w:lineRule="auto"/>
              <w:ind w:firstLine="0" w:firstLineChars="0"/>
              <w:jc w:val="center"/>
              <w:rPr>
                <w:rFonts w:hint="eastAsia"/>
                <w:color w:val="auto"/>
                <w:sz w:val="21"/>
              </w:rPr>
            </w:pPr>
            <w:r>
              <w:rPr>
                <w:rFonts w:hint="eastAsia"/>
                <w:color w:val="auto"/>
                <w:sz w:val="21"/>
              </w:rPr>
              <w:t>7</w:t>
            </w:r>
          </w:p>
        </w:tc>
        <w:tc>
          <w:tcPr>
            <w:tcW w:w="7534" w:type="dxa"/>
            <w:tcBorders>
              <w:top w:val="single" w:color="auto" w:sz="4" w:space="0"/>
              <w:left w:val="nil"/>
              <w:bottom w:val="single" w:color="auto" w:sz="4" w:space="0"/>
              <w:right w:val="single" w:color="auto" w:sz="4" w:space="0"/>
            </w:tcBorders>
            <w:vAlign w:val="center"/>
          </w:tcPr>
          <w:p w14:paraId="15822F85">
            <w:pPr>
              <w:spacing w:line="240" w:lineRule="auto"/>
              <w:ind w:firstLine="420"/>
              <w:jc w:val="left"/>
              <w:rPr>
                <w:rFonts w:hint="eastAsia"/>
                <w:color w:val="auto"/>
                <w:sz w:val="21"/>
              </w:rPr>
            </w:pPr>
            <w:r>
              <w:rPr>
                <w:rFonts w:hint="eastAsia"/>
                <w:color w:val="auto"/>
                <w:sz w:val="21"/>
              </w:rPr>
              <w:t>模板支架搭拆时，应在地面周边应设围栏和警戒标志，并派专人看守，严禁非操作人员入内。</w:t>
            </w:r>
          </w:p>
        </w:tc>
      </w:tr>
    </w:tbl>
    <w:p w14:paraId="67C8FE13">
      <w:pPr>
        <w:pStyle w:val="5"/>
        <w:rPr>
          <w:rFonts w:hint="eastAsia"/>
          <w:color w:val="auto"/>
        </w:rPr>
      </w:pPr>
      <w:bookmarkStart w:id="418" w:name="_Toc202510612"/>
      <w:bookmarkEnd w:id="418"/>
      <w:bookmarkStart w:id="419" w:name="_Toc7374"/>
      <w:r>
        <w:rPr>
          <w:rFonts w:hint="eastAsia"/>
          <w:color w:val="auto"/>
        </w:rPr>
        <w:t>装饰装修工程安全管理</w:t>
      </w:r>
      <w:bookmarkEnd w:id="419"/>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830"/>
        <w:gridCol w:w="7572"/>
      </w:tblGrid>
      <w:tr w14:paraId="71C5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78DB3701">
            <w:pPr>
              <w:spacing w:line="240" w:lineRule="auto"/>
              <w:ind w:firstLine="0" w:firstLineChars="0"/>
              <w:jc w:val="center"/>
              <w:rPr>
                <w:rFonts w:hint="eastAsia"/>
                <w:color w:val="auto"/>
                <w:sz w:val="21"/>
              </w:rPr>
            </w:pPr>
            <w:r>
              <w:rPr>
                <w:rFonts w:hint="eastAsia"/>
                <w:color w:val="auto"/>
                <w:sz w:val="21"/>
              </w:rPr>
              <w:t>序号</w:t>
            </w:r>
          </w:p>
        </w:tc>
        <w:tc>
          <w:tcPr>
            <w:tcW w:w="458" w:type="pct"/>
            <w:tcBorders>
              <w:top w:val="single" w:color="auto" w:sz="4" w:space="0"/>
              <w:left w:val="single" w:color="auto" w:sz="4" w:space="0"/>
              <w:bottom w:val="single" w:color="auto" w:sz="4" w:space="0"/>
              <w:right w:val="single" w:color="auto" w:sz="4" w:space="0"/>
            </w:tcBorders>
            <w:vAlign w:val="center"/>
          </w:tcPr>
          <w:p w14:paraId="38CADAFD">
            <w:pPr>
              <w:spacing w:line="240" w:lineRule="auto"/>
              <w:ind w:firstLine="0" w:firstLineChars="0"/>
              <w:jc w:val="center"/>
              <w:rPr>
                <w:rFonts w:hint="eastAsia"/>
                <w:color w:val="auto"/>
                <w:sz w:val="21"/>
              </w:rPr>
            </w:pPr>
            <w:r>
              <w:rPr>
                <w:rFonts w:hint="eastAsia"/>
                <w:color w:val="auto"/>
                <w:sz w:val="21"/>
              </w:rPr>
              <w:t>项目</w:t>
            </w:r>
          </w:p>
        </w:tc>
        <w:tc>
          <w:tcPr>
            <w:tcW w:w="4179" w:type="pct"/>
            <w:tcBorders>
              <w:top w:val="single" w:color="auto" w:sz="4" w:space="0"/>
              <w:left w:val="single" w:color="auto" w:sz="4" w:space="0"/>
              <w:bottom w:val="single" w:color="auto" w:sz="4" w:space="0"/>
              <w:right w:val="single" w:color="auto" w:sz="4" w:space="0"/>
            </w:tcBorders>
            <w:vAlign w:val="center"/>
          </w:tcPr>
          <w:p w14:paraId="6699FC72">
            <w:pPr>
              <w:spacing w:line="240" w:lineRule="auto"/>
              <w:ind w:firstLine="0" w:firstLineChars="0"/>
              <w:jc w:val="center"/>
              <w:rPr>
                <w:rFonts w:hint="eastAsia"/>
                <w:color w:val="auto"/>
                <w:sz w:val="21"/>
              </w:rPr>
            </w:pPr>
            <w:r>
              <w:rPr>
                <w:rFonts w:hint="eastAsia"/>
                <w:color w:val="auto"/>
                <w:sz w:val="21"/>
              </w:rPr>
              <w:t>措施内容</w:t>
            </w:r>
          </w:p>
        </w:tc>
      </w:tr>
      <w:tr w14:paraId="4FDB9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1083772">
            <w:pPr>
              <w:spacing w:line="240" w:lineRule="auto"/>
              <w:ind w:firstLine="0" w:firstLineChars="0"/>
              <w:jc w:val="center"/>
              <w:rPr>
                <w:rFonts w:hint="eastAsia"/>
                <w:color w:val="auto"/>
                <w:sz w:val="21"/>
              </w:rPr>
            </w:pPr>
            <w:r>
              <w:rPr>
                <w:rFonts w:hint="eastAsia"/>
                <w:color w:val="auto"/>
                <w:sz w:val="21"/>
              </w:rPr>
              <w:t>1</w:t>
            </w:r>
          </w:p>
        </w:tc>
        <w:tc>
          <w:tcPr>
            <w:tcW w:w="458" w:type="pct"/>
            <w:tcBorders>
              <w:top w:val="single" w:color="auto" w:sz="4" w:space="0"/>
              <w:left w:val="single" w:color="auto" w:sz="4" w:space="0"/>
              <w:bottom w:val="single" w:color="auto" w:sz="4" w:space="0"/>
              <w:right w:val="single" w:color="auto" w:sz="4" w:space="0"/>
            </w:tcBorders>
            <w:vAlign w:val="center"/>
          </w:tcPr>
          <w:p w14:paraId="4FF0D04F">
            <w:pPr>
              <w:spacing w:line="240" w:lineRule="auto"/>
              <w:ind w:firstLine="0" w:firstLineChars="0"/>
              <w:jc w:val="center"/>
              <w:rPr>
                <w:rFonts w:hint="eastAsia"/>
                <w:color w:val="auto"/>
                <w:sz w:val="21"/>
              </w:rPr>
            </w:pPr>
            <w:r>
              <w:rPr>
                <w:rFonts w:hint="eastAsia"/>
                <w:color w:val="auto"/>
                <w:sz w:val="21"/>
              </w:rPr>
              <w:t>基本要求</w:t>
            </w:r>
          </w:p>
        </w:tc>
        <w:tc>
          <w:tcPr>
            <w:tcW w:w="4179" w:type="pct"/>
            <w:tcBorders>
              <w:top w:val="single" w:color="auto" w:sz="4" w:space="0"/>
              <w:left w:val="single" w:color="auto" w:sz="4" w:space="0"/>
              <w:bottom w:val="single" w:color="auto" w:sz="4" w:space="0"/>
              <w:right w:val="single" w:color="auto" w:sz="4" w:space="0"/>
            </w:tcBorders>
            <w:vAlign w:val="center"/>
          </w:tcPr>
          <w:p w14:paraId="69C7BDD3">
            <w:pPr>
              <w:spacing w:line="240" w:lineRule="auto"/>
              <w:ind w:firstLine="420"/>
              <w:jc w:val="left"/>
              <w:rPr>
                <w:rFonts w:hint="eastAsia"/>
                <w:color w:val="auto"/>
                <w:sz w:val="21"/>
              </w:rPr>
            </w:pPr>
            <w:r>
              <w:rPr>
                <w:rFonts w:hint="eastAsia"/>
                <w:color w:val="auto"/>
                <w:sz w:val="21"/>
              </w:rPr>
              <w:t>1.施工前应进行设计交底工作，并应对施工现场进行核查，了解物业管理的有关规定。</w:t>
            </w:r>
          </w:p>
          <w:p w14:paraId="19ABC575">
            <w:pPr>
              <w:spacing w:line="240" w:lineRule="auto"/>
              <w:ind w:firstLine="420"/>
              <w:jc w:val="left"/>
              <w:rPr>
                <w:rFonts w:hint="eastAsia"/>
                <w:color w:val="auto"/>
                <w:sz w:val="21"/>
              </w:rPr>
            </w:pPr>
            <w:r>
              <w:rPr>
                <w:rFonts w:hint="eastAsia"/>
                <w:color w:val="auto"/>
                <w:sz w:val="21"/>
              </w:rPr>
              <w:t>2.各工序，各分项工程应自检、互检及交接检。</w:t>
            </w:r>
          </w:p>
          <w:p w14:paraId="03806A21">
            <w:pPr>
              <w:spacing w:line="240" w:lineRule="auto"/>
              <w:ind w:firstLine="420"/>
              <w:jc w:val="left"/>
              <w:rPr>
                <w:rFonts w:hint="eastAsia"/>
                <w:color w:val="auto"/>
                <w:sz w:val="21"/>
              </w:rPr>
            </w:pPr>
            <w:r>
              <w:rPr>
                <w:rFonts w:hint="eastAsia"/>
                <w:color w:val="auto"/>
                <w:sz w:val="21"/>
              </w:rPr>
              <w:t>3.施工中，严禁损坏原有绝热设施；严禁损坏受力钢筋；严禁超荷载集中堆放物品。</w:t>
            </w:r>
          </w:p>
          <w:p w14:paraId="3D31F46C">
            <w:pPr>
              <w:spacing w:line="240" w:lineRule="auto"/>
              <w:ind w:firstLine="420"/>
              <w:jc w:val="left"/>
              <w:rPr>
                <w:rFonts w:hint="eastAsia"/>
                <w:color w:val="auto"/>
                <w:sz w:val="21"/>
              </w:rPr>
            </w:pPr>
            <w:r>
              <w:rPr>
                <w:rFonts w:hint="eastAsia"/>
                <w:color w:val="auto"/>
                <w:sz w:val="21"/>
              </w:rPr>
              <w:t>4.施工中，严禁擅自改动建筑主体。承重结构或改变房间主要使用功能；严禁擅自拆改燃气、通讯等配套设施。</w:t>
            </w:r>
          </w:p>
          <w:p w14:paraId="7A1AACCA">
            <w:pPr>
              <w:spacing w:line="240" w:lineRule="auto"/>
              <w:ind w:firstLine="420"/>
              <w:jc w:val="left"/>
              <w:rPr>
                <w:rFonts w:hint="eastAsia"/>
                <w:color w:val="auto"/>
                <w:sz w:val="21"/>
              </w:rPr>
            </w:pPr>
            <w:r>
              <w:rPr>
                <w:rFonts w:hint="eastAsia"/>
                <w:color w:val="auto"/>
                <w:sz w:val="21"/>
              </w:rPr>
              <w:t>5.管道、设备工程的安装及调试应在装饰装修工程施工前完成，必须同步进行的应在饰面层施工前完成。装饰装修工程不得影响管道、设备的使用和维修。涉及燃气管道的装饰装修工程必须符合有关安全管理的规定。</w:t>
            </w:r>
          </w:p>
          <w:p w14:paraId="1EA064B2">
            <w:pPr>
              <w:spacing w:line="240" w:lineRule="auto"/>
              <w:ind w:firstLine="420"/>
              <w:jc w:val="left"/>
              <w:rPr>
                <w:rFonts w:hint="eastAsia"/>
                <w:color w:val="auto"/>
                <w:sz w:val="21"/>
              </w:rPr>
            </w:pPr>
            <w:r>
              <w:rPr>
                <w:rFonts w:hint="eastAsia"/>
                <w:color w:val="auto"/>
                <w:sz w:val="21"/>
              </w:rPr>
              <w:t>6.施工人员应遵守有关施工安全、劳动保护、防火、防毒的法律，法规。</w:t>
            </w:r>
          </w:p>
          <w:p w14:paraId="26BD7343">
            <w:pPr>
              <w:spacing w:line="240" w:lineRule="auto"/>
              <w:ind w:firstLine="420"/>
              <w:jc w:val="left"/>
              <w:rPr>
                <w:rFonts w:hint="eastAsia"/>
                <w:color w:val="auto"/>
                <w:sz w:val="21"/>
              </w:rPr>
            </w:pPr>
            <w:r>
              <w:rPr>
                <w:rFonts w:hint="eastAsia"/>
                <w:color w:val="auto"/>
                <w:sz w:val="21"/>
              </w:rPr>
              <w:t>7.施工现场用电应符合下列规定：</w:t>
            </w:r>
          </w:p>
          <w:p w14:paraId="48782C6A">
            <w:pPr>
              <w:spacing w:line="240" w:lineRule="auto"/>
              <w:ind w:firstLine="420"/>
              <w:jc w:val="left"/>
              <w:rPr>
                <w:rFonts w:hint="eastAsia"/>
                <w:color w:val="auto"/>
                <w:sz w:val="21"/>
              </w:rPr>
            </w:pPr>
            <w:r>
              <w:rPr>
                <w:rFonts w:hint="eastAsia"/>
                <w:color w:val="auto"/>
                <w:sz w:val="21"/>
              </w:rPr>
              <w:t>（1）施工现场用电应从户表以后设立临时施工用电系统。</w:t>
            </w:r>
          </w:p>
          <w:p w14:paraId="194738FE">
            <w:pPr>
              <w:spacing w:line="240" w:lineRule="auto"/>
              <w:ind w:firstLine="420"/>
              <w:jc w:val="left"/>
              <w:rPr>
                <w:rFonts w:hint="eastAsia"/>
                <w:color w:val="auto"/>
                <w:sz w:val="21"/>
              </w:rPr>
            </w:pPr>
            <w:r>
              <w:rPr>
                <w:rFonts w:hint="eastAsia"/>
                <w:color w:val="auto"/>
                <w:sz w:val="21"/>
              </w:rPr>
              <w:t>（2）安装、维修或拆除临时施工用电系统，应由电工完成。</w:t>
            </w:r>
          </w:p>
          <w:p w14:paraId="463FEC81">
            <w:pPr>
              <w:spacing w:line="240" w:lineRule="auto"/>
              <w:ind w:firstLine="420"/>
              <w:jc w:val="left"/>
              <w:rPr>
                <w:rFonts w:hint="eastAsia"/>
                <w:color w:val="auto"/>
                <w:sz w:val="21"/>
              </w:rPr>
            </w:pPr>
            <w:r>
              <w:rPr>
                <w:rFonts w:hint="eastAsia"/>
                <w:color w:val="auto"/>
                <w:sz w:val="21"/>
              </w:rPr>
              <w:t>（3）供电开关箱中应装设漏电保护器。电源线不得用插销连接。</w:t>
            </w:r>
          </w:p>
          <w:p w14:paraId="7D0113DF">
            <w:pPr>
              <w:spacing w:line="240" w:lineRule="auto"/>
              <w:ind w:firstLine="420"/>
              <w:jc w:val="left"/>
              <w:rPr>
                <w:rFonts w:hint="eastAsia"/>
                <w:color w:val="auto"/>
                <w:sz w:val="21"/>
              </w:rPr>
            </w:pPr>
            <w:r>
              <w:rPr>
                <w:rFonts w:hint="eastAsia"/>
                <w:color w:val="auto"/>
                <w:sz w:val="21"/>
              </w:rPr>
              <w:t>（4）用电线路应避开易燃、易爆物品堆放地。</w:t>
            </w:r>
          </w:p>
          <w:p w14:paraId="6EF44E34">
            <w:pPr>
              <w:spacing w:line="240" w:lineRule="auto"/>
              <w:ind w:firstLine="420"/>
              <w:jc w:val="left"/>
              <w:rPr>
                <w:rFonts w:hint="eastAsia"/>
                <w:color w:val="auto"/>
                <w:sz w:val="21"/>
              </w:rPr>
            </w:pPr>
            <w:r>
              <w:rPr>
                <w:rFonts w:hint="eastAsia"/>
                <w:color w:val="auto"/>
                <w:sz w:val="21"/>
              </w:rPr>
              <w:t>（5）暂停施工时应切断电源。</w:t>
            </w:r>
          </w:p>
          <w:p w14:paraId="45447BBA">
            <w:pPr>
              <w:spacing w:line="240" w:lineRule="auto"/>
              <w:ind w:firstLine="420"/>
              <w:jc w:val="left"/>
              <w:rPr>
                <w:rFonts w:hint="eastAsia"/>
                <w:color w:val="auto"/>
                <w:sz w:val="21"/>
              </w:rPr>
            </w:pPr>
            <w:r>
              <w:rPr>
                <w:rFonts w:hint="eastAsia"/>
                <w:color w:val="auto"/>
                <w:sz w:val="21"/>
              </w:rPr>
              <w:t>8.施工现场用水应符合下列规定：</w:t>
            </w:r>
          </w:p>
          <w:p w14:paraId="01D1258E">
            <w:pPr>
              <w:spacing w:line="240" w:lineRule="auto"/>
              <w:ind w:firstLine="420"/>
              <w:jc w:val="left"/>
              <w:rPr>
                <w:rFonts w:hint="eastAsia"/>
                <w:color w:val="auto"/>
                <w:sz w:val="21"/>
              </w:rPr>
            </w:pPr>
            <w:r>
              <w:rPr>
                <w:rFonts w:hint="eastAsia"/>
                <w:color w:val="auto"/>
                <w:sz w:val="21"/>
              </w:rPr>
              <w:t>（1）不得在未做防水的地面蓄水。</w:t>
            </w:r>
          </w:p>
          <w:p w14:paraId="02F22E6E">
            <w:pPr>
              <w:spacing w:line="240" w:lineRule="auto"/>
              <w:ind w:firstLine="420"/>
              <w:jc w:val="left"/>
              <w:rPr>
                <w:rFonts w:hint="eastAsia"/>
                <w:color w:val="auto"/>
                <w:sz w:val="21"/>
              </w:rPr>
            </w:pPr>
            <w:r>
              <w:rPr>
                <w:rFonts w:hint="eastAsia"/>
                <w:color w:val="auto"/>
                <w:sz w:val="21"/>
              </w:rPr>
              <w:t>（2）临时用水管不得有破损、滴漏。</w:t>
            </w:r>
          </w:p>
          <w:p w14:paraId="67A26C35">
            <w:pPr>
              <w:spacing w:line="240" w:lineRule="auto"/>
              <w:ind w:firstLine="420"/>
              <w:jc w:val="left"/>
              <w:rPr>
                <w:rFonts w:hint="eastAsia"/>
                <w:color w:val="auto"/>
                <w:sz w:val="21"/>
              </w:rPr>
            </w:pPr>
            <w:r>
              <w:rPr>
                <w:rFonts w:hint="eastAsia"/>
                <w:color w:val="auto"/>
                <w:sz w:val="21"/>
              </w:rPr>
              <w:t>（3）暂停施工时应切断水源。</w:t>
            </w:r>
          </w:p>
          <w:p w14:paraId="02824518">
            <w:pPr>
              <w:spacing w:line="240" w:lineRule="auto"/>
              <w:ind w:firstLine="420"/>
              <w:jc w:val="left"/>
              <w:rPr>
                <w:rFonts w:hint="eastAsia"/>
                <w:color w:val="auto"/>
                <w:sz w:val="21"/>
              </w:rPr>
            </w:pPr>
            <w:r>
              <w:rPr>
                <w:rFonts w:hint="eastAsia"/>
                <w:color w:val="auto"/>
                <w:sz w:val="21"/>
              </w:rPr>
              <w:t>9.文明施工和现场环境应符合下列要求：</w:t>
            </w:r>
          </w:p>
          <w:p w14:paraId="09B635F9">
            <w:pPr>
              <w:spacing w:line="240" w:lineRule="auto"/>
              <w:ind w:firstLine="420"/>
              <w:jc w:val="left"/>
              <w:rPr>
                <w:rFonts w:hint="eastAsia"/>
                <w:color w:val="auto"/>
                <w:sz w:val="21"/>
              </w:rPr>
            </w:pPr>
            <w:r>
              <w:rPr>
                <w:rFonts w:hint="eastAsia"/>
                <w:color w:val="auto"/>
                <w:sz w:val="21"/>
              </w:rPr>
              <w:t>（1）施工人员应衣着整齐。</w:t>
            </w:r>
          </w:p>
          <w:p w14:paraId="5CB48DE5">
            <w:pPr>
              <w:spacing w:line="240" w:lineRule="auto"/>
              <w:ind w:firstLine="420"/>
              <w:jc w:val="left"/>
              <w:rPr>
                <w:rFonts w:hint="eastAsia"/>
                <w:color w:val="auto"/>
                <w:sz w:val="21"/>
              </w:rPr>
            </w:pPr>
            <w:r>
              <w:rPr>
                <w:rFonts w:hint="eastAsia"/>
                <w:color w:val="auto"/>
                <w:sz w:val="21"/>
              </w:rPr>
              <w:t>（2）施工人员应服从物业管理或治安保卫人员的监督、管理。</w:t>
            </w:r>
          </w:p>
          <w:p w14:paraId="40117FCA">
            <w:pPr>
              <w:spacing w:line="240" w:lineRule="auto"/>
              <w:ind w:firstLine="420"/>
              <w:jc w:val="left"/>
              <w:rPr>
                <w:rFonts w:hint="eastAsia"/>
                <w:color w:val="auto"/>
                <w:sz w:val="21"/>
              </w:rPr>
            </w:pPr>
            <w:r>
              <w:rPr>
                <w:rFonts w:hint="eastAsia"/>
                <w:color w:val="auto"/>
                <w:sz w:val="21"/>
              </w:rPr>
              <w:t>（3）应控制粉尘、污染物、噪声、震动等对相领居民、居民区和城市环境的污染及危害。</w:t>
            </w:r>
          </w:p>
          <w:p w14:paraId="19CDCDE5">
            <w:pPr>
              <w:spacing w:line="240" w:lineRule="auto"/>
              <w:ind w:firstLine="420"/>
              <w:jc w:val="left"/>
              <w:rPr>
                <w:rFonts w:hint="eastAsia"/>
                <w:color w:val="auto"/>
                <w:sz w:val="21"/>
              </w:rPr>
            </w:pPr>
            <w:r>
              <w:rPr>
                <w:rFonts w:hint="eastAsia"/>
                <w:color w:val="auto"/>
                <w:sz w:val="21"/>
              </w:rPr>
              <w:t>（4）施工堆料不得占用楼道内的公共空间，封堵紧急出口。</w:t>
            </w:r>
          </w:p>
          <w:p w14:paraId="13247B95">
            <w:pPr>
              <w:spacing w:line="240" w:lineRule="auto"/>
              <w:ind w:firstLine="420"/>
              <w:jc w:val="left"/>
              <w:rPr>
                <w:rFonts w:hint="eastAsia"/>
                <w:color w:val="auto"/>
                <w:sz w:val="21"/>
              </w:rPr>
            </w:pPr>
            <w:r>
              <w:rPr>
                <w:rFonts w:hint="eastAsia"/>
                <w:color w:val="auto"/>
                <w:sz w:val="21"/>
              </w:rPr>
              <w:t>（5）室外堆料应遵守物业管理规定，避开公共通道、绿化地、化粪池等市政公用设施。</w:t>
            </w:r>
          </w:p>
          <w:p w14:paraId="56FB2994">
            <w:pPr>
              <w:spacing w:line="240" w:lineRule="auto"/>
              <w:ind w:firstLine="420"/>
              <w:jc w:val="left"/>
              <w:rPr>
                <w:rFonts w:hint="eastAsia"/>
                <w:color w:val="auto"/>
                <w:sz w:val="21"/>
              </w:rPr>
            </w:pPr>
            <w:r>
              <w:rPr>
                <w:rFonts w:hint="eastAsia"/>
                <w:color w:val="auto"/>
                <w:sz w:val="21"/>
              </w:rPr>
              <w:t>10.成品保护</w:t>
            </w:r>
          </w:p>
          <w:p w14:paraId="617C255D">
            <w:pPr>
              <w:spacing w:line="240" w:lineRule="auto"/>
              <w:ind w:firstLine="420"/>
              <w:jc w:val="left"/>
              <w:rPr>
                <w:rFonts w:hint="eastAsia"/>
                <w:color w:val="auto"/>
                <w:sz w:val="21"/>
              </w:rPr>
            </w:pPr>
            <w:r>
              <w:rPr>
                <w:rFonts w:hint="eastAsia"/>
                <w:color w:val="auto"/>
                <w:sz w:val="21"/>
              </w:rPr>
              <w:t>（1）材料运输使用电梯时，应对电梯采取保护措施。</w:t>
            </w:r>
          </w:p>
          <w:p w14:paraId="2F0183F8">
            <w:pPr>
              <w:spacing w:line="240" w:lineRule="auto"/>
              <w:ind w:firstLine="420"/>
              <w:jc w:val="left"/>
              <w:rPr>
                <w:rFonts w:hint="eastAsia"/>
                <w:color w:val="auto"/>
                <w:sz w:val="21"/>
              </w:rPr>
            </w:pPr>
            <w:r>
              <w:rPr>
                <w:rFonts w:hint="eastAsia"/>
                <w:color w:val="auto"/>
                <w:sz w:val="21"/>
              </w:rPr>
              <w:t>（2）材料搬运时要避免损坏楼道内顶、墙、扶手、楼道窗户及楼道门。</w:t>
            </w:r>
          </w:p>
          <w:p w14:paraId="61E1809A">
            <w:pPr>
              <w:spacing w:line="240" w:lineRule="auto"/>
              <w:ind w:firstLine="420"/>
              <w:jc w:val="left"/>
              <w:rPr>
                <w:rFonts w:hint="eastAsia"/>
                <w:color w:val="auto"/>
                <w:sz w:val="21"/>
              </w:rPr>
            </w:pPr>
            <w:r>
              <w:rPr>
                <w:rFonts w:hint="eastAsia"/>
                <w:color w:val="auto"/>
                <w:sz w:val="21"/>
              </w:rPr>
              <w:t>（3）各工种在施工中不得污染、损坏其他工种的半成品、成品。</w:t>
            </w:r>
          </w:p>
          <w:p w14:paraId="1A9D656B">
            <w:pPr>
              <w:spacing w:line="240" w:lineRule="auto"/>
              <w:ind w:firstLine="420"/>
              <w:jc w:val="left"/>
              <w:rPr>
                <w:rFonts w:hint="eastAsia"/>
                <w:color w:val="auto"/>
                <w:sz w:val="21"/>
              </w:rPr>
            </w:pPr>
            <w:r>
              <w:rPr>
                <w:rFonts w:hint="eastAsia"/>
                <w:color w:val="auto"/>
                <w:sz w:val="21"/>
              </w:rPr>
              <w:t>（4）材料表面保护膜应在工程竣工时撤除。</w:t>
            </w:r>
          </w:p>
          <w:p w14:paraId="026CD1E3">
            <w:pPr>
              <w:spacing w:line="240" w:lineRule="auto"/>
              <w:ind w:firstLine="420"/>
              <w:jc w:val="left"/>
              <w:rPr>
                <w:rFonts w:hint="eastAsia"/>
                <w:color w:val="auto"/>
                <w:sz w:val="21"/>
              </w:rPr>
            </w:pPr>
            <w:r>
              <w:rPr>
                <w:rFonts w:hint="eastAsia"/>
                <w:color w:val="auto"/>
                <w:sz w:val="21"/>
              </w:rPr>
              <w:t>（5）对邮箱、消防、供电、报警、网络等公共设施应采取保护措施。</w:t>
            </w:r>
          </w:p>
        </w:tc>
      </w:tr>
      <w:tr w14:paraId="0831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43DD2854">
            <w:pPr>
              <w:spacing w:line="240" w:lineRule="auto"/>
              <w:ind w:firstLine="0" w:firstLineChars="0"/>
              <w:jc w:val="center"/>
              <w:rPr>
                <w:rFonts w:hint="eastAsia"/>
                <w:color w:val="auto"/>
                <w:sz w:val="21"/>
              </w:rPr>
            </w:pPr>
            <w:r>
              <w:rPr>
                <w:rFonts w:hint="eastAsia"/>
                <w:color w:val="auto"/>
                <w:sz w:val="21"/>
              </w:rPr>
              <w:t>2</w:t>
            </w:r>
          </w:p>
        </w:tc>
        <w:tc>
          <w:tcPr>
            <w:tcW w:w="458" w:type="pct"/>
            <w:tcBorders>
              <w:top w:val="single" w:color="auto" w:sz="4" w:space="0"/>
              <w:left w:val="single" w:color="auto" w:sz="4" w:space="0"/>
              <w:bottom w:val="single" w:color="auto" w:sz="4" w:space="0"/>
              <w:right w:val="single" w:color="auto" w:sz="4" w:space="0"/>
            </w:tcBorders>
            <w:vAlign w:val="center"/>
          </w:tcPr>
          <w:p w14:paraId="02620814">
            <w:pPr>
              <w:spacing w:line="240" w:lineRule="auto"/>
              <w:ind w:firstLine="0" w:firstLineChars="0"/>
              <w:jc w:val="center"/>
              <w:rPr>
                <w:rFonts w:hint="eastAsia"/>
                <w:color w:val="auto"/>
                <w:sz w:val="21"/>
              </w:rPr>
            </w:pPr>
            <w:r>
              <w:rPr>
                <w:rFonts w:hint="eastAsia"/>
                <w:color w:val="auto"/>
                <w:sz w:val="21"/>
              </w:rPr>
              <w:t>防火安全</w:t>
            </w:r>
          </w:p>
        </w:tc>
        <w:tc>
          <w:tcPr>
            <w:tcW w:w="4179" w:type="pct"/>
            <w:tcBorders>
              <w:top w:val="single" w:color="auto" w:sz="4" w:space="0"/>
              <w:left w:val="single" w:color="auto" w:sz="4" w:space="0"/>
              <w:bottom w:val="single" w:color="auto" w:sz="4" w:space="0"/>
              <w:right w:val="single" w:color="auto" w:sz="4" w:space="0"/>
            </w:tcBorders>
            <w:vAlign w:val="center"/>
          </w:tcPr>
          <w:p w14:paraId="4E4F769D">
            <w:pPr>
              <w:spacing w:line="240" w:lineRule="auto"/>
              <w:ind w:firstLine="420"/>
              <w:jc w:val="left"/>
              <w:rPr>
                <w:rFonts w:hint="eastAsia"/>
                <w:color w:val="auto"/>
                <w:sz w:val="21"/>
              </w:rPr>
            </w:pPr>
            <w:r>
              <w:rPr>
                <w:rFonts w:hint="eastAsia"/>
                <w:color w:val="auto"/>
                <w:sz w:val="21"/>
              </w:rPr>
              <w:t>1.一般规定</w:t>
            </w:r>
          </w:p>
          <w:p w14:paraId="4F1BDAD6">
            <w:pPr>
              <w:spacing w:line="240" w:lineRule="auto"/>
              <w:ind w:firstLine="420"/>
              <w:jc w:val="left"/>
              <w:rPr>
                <w:rFonts w:hint="eastAsia"/>
                <w:color w:val="auto"/>
                <w:sz w:val="21"/>
              </w:rPr>
            </w:pPr>
            <w:r>
              <w:rPr>
                <w:rFonts w:hint="eastAsia"/>
                <w:color w:val="auto"/>
                <w:sz w:val="21"/>
              </w:rPr>
              <w:t>（1）制定施工防火安全制度，施工人员必须严格遵守。</w:t>
            </w:r>
          </w:p>
          <w:p w14:paraId="3CBA3166">
            <w:pPr>
              <w:spacing w:line="240" w:lineRule="auto"/>
              <w:ind w:firstLine="420"/>
              <w:jc w:val="left"/>
              <w:rPr>
                <w:rFonts w:hint="eastAsia"/>
                <w:color w:val="auto"/>
                <w:sz w:val="21"/>
              </w:rPr>
            </w:pPr>
            <w:r>
              <w:rPr>
                <w:rFonts w:hint="eastAsia"/>
                <w:color w:val="auto"/>
                <w:sz w:val="21"/>
              </w:rPr>
              <w:t>（2）装饰装修材料的燃烧性能等级要求，应符合现行国家标准《建筑内部装修设计防火规范》的规定。</w:t>
            </w:r>
          </w:p>
          <w:p w14:paraId="005F345A">
            <w:pPr>
              <w:spacing w:line="240" w:lineRule="auto"/>
              <w:ind w:firstLine="420"/>
              <w:jc w:val="left"/>
              <w:rPr>
                <w:rFonts w:hint="eastAsia"/>
                <w:color w:val="auto"/>
                <w:sz w:val="21"/>
              </w:rPr>
            </w:pPr>
            <w:r>
              <w:rPr>
                <w:rFonts w:hint="eastAsia"/>
                <w:color w:val="auto"/>
                <w:sz w:val="21"/>
              </w:rPr>
              <w:t>2.材料的防火处理</w:t>
            </w:r>
          </w:p>
          <w:p w14:paraId="2B4FA724">
            <w:pPr>
              <w:spacing w:line="240" w:lineRule="auto"/>
              <w:ind w:firstLine="420"/>
              <w:jc w:val="left"/>
              <w:rPr>
                <w:rFonts w:hint="eastAsia"/>
                <w:color w:val="auto"/>
                <w:sz w:val="21"/>
              </w:rPr>
            </w:pPr>
            <w:r>
              <w:rPr>
                <w:rFonts w:hint="eastAsia"/>
                <w:color w:val="auto"/>
                <w:sz w:val="21"/>
              </w:rPr>
              <w:t>（1）对装饰织物进行阻燃处理时，应使其被阻燃剂浸透，阻燃剂的干含量应符合产品说明书的要求。</w:t>
            </w:r>
          </w:p>
          <w:p w14:paraId="7CB34154">
            <w:pPr>
              <w:spacing w:line="240" w:lineRule="auto"/>
              <w:ind w:firstLine="420"/>
              <w:jc w:val="left"/>
              <w:rPr>
                <w:rFonts w:hint="eastAsia"/>
                <w:color w:val="auto"/>
                <w:sz w:val="21"/>
              </w:rPr>
            </w:pPr>
            <w:r>
              <w:rPr>
                <w:rFonts w:hint="eastAsia"/>
                <w:color w:val="auto"/>
                <w:sz w:val="21"/>
              </w:rPr>
              <w:t>（2）对木质装饰装修材料进行防火涂料涂布前应对其表面进行清洁。涂布至少分两次进行，且第二次涂布应在第一次涂布的涂层表干后进行，涂布量应不小于500g/㎡。</w:t>
            </w:r>
          </w:p>
          <w:p w14:paraId="23D173A9">
            <w:pPr>
              <w:spacing w:line="240" w:lineRule="auto"/>
              <w:ind w:firstLine="420"/>
              <w:jc w:val="left"/>
              <w:rPr>
                <w:rFonts w:hint="eastAsia"/>
                <w:color w:val="auto"/>
                <w:sz w:val="21"/>
              </w:rPr>
            </w:pPr>
            <w:r>
              <w:rPr>
                <w:rFonts w:hint="eastAsia"/>
                <w:color w:val="auto"/>
                <w:sz w:val="21"/>
              </w:rPr>
              <w:t>3.施工现场防火</w:t>
            </w:r>
          </w:p>
          <w:p w14:paraId="27CD3735">
            <w:pPr>
              <w:spacing w:line="240" w:lineRule="auto"/>
              <w:ind w:firstLine="420"/>
              <w:jc w:val="left"/>
              <w:rPr>
                <w:rFonts w:hint="eastAsia"/>
                <w:color w:val="auto"/>
                <w:sz w:val="21"/>
              </w:rPr>
            </w:pPr>
            <w:r>
              <w:rPr>
                <w:rFonts w:hint="eastAsia"/>
                <w:color w:val="auto"/>
                <w:sz w:val="21"/>
              </w:rPr>
              <w:t>（1）易燃物品应相对集中放置在安全区域并应有明显标识。施工现场不得大量积存可燃材料。</w:t>
            </w:r>
          </w:p>
          <w:p w14:paraId="0FA83A33">
            <w:pPr>
              <w:spacing w:line="240" w:lineRule="auto"/>
              <w:ind w:firstLine="420"/>
              <w:jc w:val="left"/>
              <w:rPr>
                <w:rFonts w:hint="eastAsia"/>
                <w:color w:val="auto"/>
                <w:sz w:val="21"/>
              </w:rPr>
            </w:pPr>
            <w:r>
              <w:rPr>
                <w:rFonts w:hint="eastAsia"/>
                <w:color w:val="auto"/>
                <w:sz w:val="21"/>
              </w:rPr>
              <w:t>（2）易燃易爆材料的施工，应避免敲打、碰撞、磨擦等可能出现火花的操作。配套使用的照明灯、电动机、电气开关、应有安全防爆装置。</w:t>
            </w:r>
          </w:p>
          <w:p w14:paraId="6BC32809">
            <w:pPr>
              <w:spacing w:line="240" w:lineRule="auto"/>
              <w:ind w:firstLine="420"/>
              <w:jc w:val="left"/>
              <w:rPr>
                <w:rFonts w:hint="eastAsia"/>
                <w:color w:val="auto"/>
                <w:sz w:val="21"/>
              </w:rPr>
            </w:pPr>
            <w:r>
              <w:rPr>
                <w:rFonts w:hint="eastAsia"/>
                <w:color w:val="auto"/>
                <w:sz w:val="21"/>
              </w:rPr>
              <w:t>（3）使用油漆等挥发性材料时，应随时封闭其容器，擦拭后的棉纱等物品应集中存放且远离热源。</w:t>
            </w:r>
          </w:p>
          <w:p w14:paraId="0EEA9134">
            <w:pPr>
              <w:spacing w:line="240" w:lineRule="auto"/>
              <w:ind w:firstLine="420"/>
              <w:jc w:val="left"/>
              <w:rPr>
                <w:rFonts w:hint="eastAsia"/>
                <w:color w:val="auto"/>
                <w:sz w:val="21"/>
              </w:rPr>
            </w:pPr>
            <w:r>
              <w:rPr>
                <w:rFonts w:hint="eastAsia"/>
                <w:color w:val="auto"/>
                <w:sz w:val="21"/>
              </w:rPr>
              <w:t>（4）施工现场动用气焊等明火时，必须清除周围及焊渣滴落区的可燃物质，并设专人监督。</w:t>
            </w:r>
          </w:p>
          <w:p w14:paraId="1B998FA6">
            <w:pPr>
              <w:spacing w:line="240" w:lineRule="auto"/>
              <w:ind w:firstLine="420"/>
              <w:jc w:val="left"/>
              <w:rPr>
                <w:rFonts w:hint="eastAsia"/>
                <w:color w:val="auto"/>
                <w:sz w:val="21"/>
              </w:rPr>
            </w:pPr>
            <w:r>
              <w:rPr>
                <w:rFonts w:hint="eastAsia"/>
                <w:color w:val="auto"/>
                <w:sz w:val="21"/>
              </w:rPr>
              <w:t>4.电气防火</w:t>
            </w:r>
          </w:p>
          <w:p w14:paraId="75714626">
            <w:pPr>
              <w:spacing w:line="240" w:lineRule="auto"/>
              <w:ind w:firstLine="420"/>
              <w:jc w:val="left"/>
              <w:rPr>
                <w:rFonts w:hint="eastAsia"/>
                <w:color w:val="auto"/>
                <w:sz w:val="21"/>
              </w:rPr>
            </w:pPr>
            <w:r>
              <w:rPr>
                <w:rFonts w:hint="eastAsia"/>
                <w:color w:val="auto"/>
                <w:sz w:val="21"/>
              </w:rPr>
              <w:t>（1）照明、电热器等设备的高温部位靠近非A级材料，或导线穿越B2级以下装修材料时，应采用岩棉、瓷管或玻璃棉等A级材料隔热。当照明灯具或镇流器嵌入可燃装饰装修材料中时，应采取隔热措施予以分隔。</w:t>
            </w:r>
          </w:p>
          <w:p w14:paraId="5AEE31B9">
            <w:pPr>
              <w:spacing w:line="240" w:lineRule="auto"/>
              <w:ind w:firstLine="420"/>
              <w:jc w:val="left"/>
              <w:rPr>
                <w:rFonts w:hint="eastAsia"/>
                <w:color w:val="auto"/>
                <w:sz w:val="21"/>
              </w:rPr>
            </w:pPr>
            <w:r>
              <w:rPr>
                <w:rFonts w:hint="eastAsia"/>
                <w:color w:val="auto"/>
                <w:sz w:val="21"/>
              </w:rPr>
              <w:t>（2）配电箱的壳体和底板宜采用A级材料制作。配电箱不得安装在B2级以下（含B2级）的装修材料上。开关、插座应安装在B1级以上的材料上。</w:t>
            </w:r>
          </w:p>
          <w:p w14:paraId="72AEC59C">
            <w:pPr>
              <w:spacing w:line="240" w:lineRule="auto"/>
              <w:ind w:firstLine="420"/>
              <w:jc w:val="left"/>
              <w:rPr>
                <w:rFonts w:hint="eastAsia"/>
                <w:color w:val="auto"/>
                <w:sz w:val="21"/>
              </w:rPr>
            </w:pPr>
            <w:r>
              <w:rPr>
                <w:rFonts w:hint="eastAsia"/>
                <w:color w:val="auto"/>
                <w:sz w:val="21"/>
              </w:rPr>
              <w:t>（3）卤钨灯灯管附近的导线应采用耐热绝缘材料制成的护套，不得直接使用具有延燃性绝缘的导线。</w:t>
            </w:r>
          </w:p>
          <w:p w14:paraId="689766A7">
            <w:pPr>
              <w:spacing w:line="240" w:lineRule="auto"/>
              <w:ind w:firstLine="420"/>
              <w:jc w:val="left"/>
              <w:rPr>
                <w:rFonts w:hint="eastAsia"/>
                <w:color w:val="auto"/>
                <w:sz w:val="21"/>
              </w:rPr>
            </w:pPr>
            <w:r>
              <w:rPr>
                <w:rFonts w:hint="eastAsia"/>
                <w:color w:val="auto"/>
                <w:sz w:val="21"/>
              </w:rPr>
              <w:t>（4）明敷塑料导线应穿管或加线槽板保护，吊顶内的导线应穿金属管或B1级PVC管保护，导线不得裸露。</w:t>
            </w:r>
          </w:p>
          <w:p w14:paraId="19A6D5AB">
            <w:pPr>
              <w:spacing w:line="240" w:lineRule="auto"/>
              <w:ind w:firstLine="420"/>
              <w:jc w:val="left"/>
              <w:rPr>
                <w:rFonts w:hint="eastAsia"/>
                <w:color w:val="auto"/>
                <w:sz w:val="21"/>
              </w:rPr>
            </w:pPr>
            <w:r>
              <w:rPr>
                <w:rFonts w:hint="eastAsia"/>
                <w:color w:val="auto"/>
                <w:sz w:val="21"/>
              </w:rPr>
              <w:t>5.消防设施的保护</w:t>
            </w:r>
          </w:p>
          <w:p w14:paraId="28D835AB">
            <w:pPr>
              <w:spacing w:line="240" w:lineRule="auto"/>
              <w:ind w:firstLine="420"/>
              <w:jc w:val="left"/>
              <w:rPr>
                <w:rFonts w:hint="eastAsia"/>
                <w:color w:val="auto"/>
                <w:sz w:val="21"/>
              </w:rPr>
            </w:pPr>
            <w:r>
              <w:rPr>
                <w:rFonts w:hint="eastAsia"/>
                <w:color w:val="auto"/>
                <w:sz w:val="21"/>
              </w:rPr>
              <w:t>（1）装饰装修不得遮挡消防设施、疏散指示标志及安全出口，并且不应妨碍消防设施和疏散通道的正常使用，不得擅自改动防火门。</w:t>
            </w:r>
          </w:p>
          <w:p w14:paraId="5B8B9BF2">
            <w:pPr>
              <w:spacing w:line="240" w:lineRule="auto"/>
              <w:ind w:firstLine="420"/>
              <w:jc w:val="left"/>
              <w:rPr>
                <w:rFonts w:hint="eastAsia"/>
                <w:color w:val="auto"/>
                <w:sz w:val="21"/>
              </w:rPr>
            </w:pPr>
            <w:r>
              <w:rPr>
                <w:rFonts w:hint="eastAsia"/>
                <w:color w:val="auto"/>
                <w:sz w:val="21"/>
              </w:rPr>
              <w:t>（2）消火栓门四周的装饰装修材料颜色应与消火栓门的颜色有明显区别。</w:t>
            </w:r>
          </w:p>
        </w:tc>
      </w:tr>
      <w:tr w14:paraId="4E458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restart"/>
            <w:tcBorders>
              <w:top w:val="nil"/>
              <w:left w:val="single" w:color="auto" w:sz="4" w:space="0"/>
              <w:bottom w:val="single" w:color="auto" w:sz="4" w:space="0"/>
              <w:right w:val="single" w:color="auto" w:sz="4" w:space="0"/>
            </w:tcBorders>
            <w:vAlign w:val="center"/>
          </w:tcPr>
          <w:p w14:paraId="772E19EC">
            <w:pPr>
              <w:spacing w:line="240" w:lineRule="auto"/>
              <w:ind w:firstLine="0" w:firstLineChars="0"/>
              <w:jc w:val="center"/>
              <w:rPr>
                <w:rFonts w:hint="eastAsia"/>
                <w:color w:val="auto"/>
                <w:sz w:val="21"/>
              </w:rPr>
            </w:pPr>
            <w:r>
              <w:rPr>
                <w:rFonts w:hint="eastAsia"/>
                <w:color w:val="auto"/>
                <w:sz w:val="21"/>
              </w:rPr>
              <w:t>3</w:t>
            </w:r>
          </w:p>
        </w:tc>
        <w:tc>
          <w:tcPr>
            <w:tcW w:w="458" w:type="pct"/>
            <w:vMerge w:val="restart"/>
            <w:tcBorders>
              <w:top w:val="nil"/>
              <w:left w:val="single" w:color="auto" w:sz="4" w:space="0"/>
              <w:bottom w:val="single" w:color="auto" w:sz="4" w:space="0"/>
              <w:right w:val="single" w:color="auto" w:sz="4" w:space="0"/>
            </w:tcBorders>
            <w:vAlign w:val="center"/>
          </w:tcPr>
          <w:p w14:paraId="008B43A7">
            <w:pPr>
              <w:spacing w:line="240" w:lineRule="auto"/>
              <w:ind w:firstLine="0" w:firstLineChars="0"/>
              <w:jc w:val="center"/>
              <w:rPr>
                <w:rFonts w:hint="eastAsia"/>
                <w:color w:val="auto"/>
                <w:sz w:val="21"/>
              </w:rPr>
            </w:pPr>
            <w:r>
              <w:rPr>
                <w:rFonts w:hint="eastAsia"/>
                <w:color w:val="auto"/>
                <w:sz w:val="21"/>
              </w:rPr>
              <w:t>室内环境污染控制</w:t>
            </w:r>
          </w:p>
        </w:tc>
        <w:tc>
          <w:tcPr>
            <w:tcW w:w="4179" w:type="pct"/>
            <w:tcBorders>
              <w:top w:val="single" w:color="auto" w:sz="4" w:space="0"/>
              <w:left w:val="single" w:color="auto" w:sz="4" w:space="0"/>
              <w:bottom w:val="single" w:color="auto" w:sz="4" w:space="0"/>
              <w:right w:val="single" w:color="auto" w:sz="4" w:space="0"/>
            </w:tcBorders>
            <w:vAlign w:val="center"/>
          </w:tcPr>
          <w:p w14:paraId="4E6951FA">
            <w:pPr>
              <w:spacing w:line="240" w:lineRule="auto"/>
              <w:ind w:firstLine="420"/>
              <w:jc w:val="left"/>
              <w:rPr>
                <w:rFonts w:hint="eastAsia"/>
                <w:color w:val="auto"/>
                <w:sz w:val="21"/>
              </w:rPr>
            </w:pPr>
            <w:r>
              <w:rPr>
                <w:rFonts w:hint="eastAsia"/>
                <w:color w:val="auto"/>
                <w:sz w:val="21"/>
              </w:rPr>
              <w:t>1.室内环境污染物为：氡（222Rn）、甲醛、氨、苯和总挥发性有机物（TVOC）应符合《民用建筑工程室内环境污染控制规范》等国家现行标准的规定、设计、施工应选用低毒性、低污染的装饰装修材料。</w:t>
            </w:r>
          </w:p>
          <w:p w14:paraId="2E8E456F">
            <w:pPr>
              <w:spacing w:line="240" w:lineRule="auto"/>
              <w:ind w:firstLine="420"/>
              <w:jc w:val="left"/>
              <w:rPr>
                <w:rFonts w:hint="eastAsia"/>
                <w:color w:val="auto"/>
                <w:sz w:val="21"/>
              </w:rPr>
            </w:pPr>
            <w:r>
              <w:rPr>
                <w:rFonts w:hint="eastAsia"/>
                <w:color w:val="auto"/>
                <w:sz w:val="21"/>
              </w:rPr>
              <w:t>2.对室内环境污染控制有要求的，可按有关规定进行检测，其污染物浓度限值应符合下列的要求：氡（Bq/m³）：≤200；甲醛（mg/m³）≤0.08；苯（mg/m³）≤0.09；氨（mg/m³）≤0.20；总挥发性有机物TVOC（Bq/m³）≤0.50。</w:t>
            </w:r>
          </w:p>
        </w:tc>
      </w:tr>
      <w:tr w14:paraId="74833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E94C601">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23E2FEEC">
            <w:pPr>
              <w:spacing w:line="240" w:lineRule="auto"/>
              <w:ind w:firstLine="0" w:firstLineChars="0"/>
              <w:jc w:val="center"/>
              <w:rPr>
                <w:color w:val="auto"/>
                <w:sz w:val="21"/>
              </w:rPr>
            </w:pPr>
          </w:p>
        </w:tc>
        <w:tc>
          <w:tcPr>
            <w:tcW w:w="4179" w:type="pct"/>
            <w:tcBorders>
              <w:top w:val="single" w:color="auto" w:sz="4" w:space="0"/>
              <w:left w:val="single" w:color="auto" w:sz="4" w:space="0"/>
              <w:bottom w:val="single" w:color="auto" w:sz="4" w:space="0"/>
              <w:right w:val="single" w:color="auto" w:sz="4" w:space="0"/>
            </w:tcBorders>
            <w:vAlign w:val="center"/>
          </w:tcPr>
          <w:p w14:paraId="1A6C71B0">
            <w:pPr>
              <w:spacing w:line="240" w:lineRule="auto"/>
              <w:ind w:firstLine="0" w:firstLineChars="0"/>
              <w:jc w:val="center"/>
              <w:rPr>
                <w:rFonts w:hint="eastAsia"/>
                <w:color w:val="auto"/>
                <w:sz w:val="21"/>
              </w:rPr>
            </w:pPr>
            <w:r>
              <w:rPr>
                <w:rFonts w:hint="eastAsia"/>
                <w:color w:val="auto"/>
                <w:sz w:val="21"/>
              </w:rPr>
              <w:drawing>
                <wp:inline distT="0" distB="0" distL="0" distR="0">
                  <wp:extent cx="2255520" cy="1668780"/>
                  <wp:effectExtent l="0" t="0" r="5080" b="7620"/>
                  <wp:docPr id="103064358"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64358" name="图片 37"/>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a:xfrm>
                            <a:off x="0" y="0"/>
                            <a:ext cx="2255520" cy="1668780"/>
                          </a:xfrm>
                          <a:prstGeom prst="rect">
                            <a:avLst/>
                          </a:prstGeom>
                          <a:noFill/>
                          <a:ln>
                            <a:noFill/>
                          </a:ln>
                        </pic:spPr>
                      </pic:pic>
                    </a:graphicData>
                  </a:graphic>
                </wp:inline>
              </w:drawing>
            </w:r>
          </w:p>
        </w:tc>
      </w:tr>
      <w:tr w14:paraId="0EEB2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3CB05FC">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7BC713F9">
            <w:pPr>
              <w:spacing w:line="240" w:lineRule="auto"/>
              <w:ind w:firstLine="0" w:firstLineChars="0"/>
              <w:jc w:val="center"/>
              <w:rPr>
                <w:color w:val="auto"/>
                <w:sz w:val="21"/>
              </w:rPr>
            </w:pPr>
          </w:p>
        </w:tc>
        <w:tc>
          <w:tcPr>
            <w:tcW w:w="4179" w:type="pct"/>
            <w:tcBorders>
              <w:top w:val="single" w:color="auto" w:sz="4" w:space="0"/>
              <w:left w:val="single" w:color="auto" w:sz="4" w:space="0"/>
              <w:bottom w:val="single" w:color="auto" w:sz="4" w:space="0"/>
              <w:right w:val="single" w:color="auto" w:sz="4" w:space="0"/>
            </w:tcBorders>
            <w:vAlign w:val="center"/>
          </w:tcPr>
          <w:p w14:paraId="6FAC4A69">
            <w:pPr>
              <w:spacing w:line="240" w:lineRule="auto"/>
              <w:ind w:firstLine="0" w:firstLineChars="0"/>
              <w:jc w:val="center"/>
              <w:rPr>
                <w:rFonts w:hint="eastAsia"/>
                <w:color w:val="auto"/>
                <w:sz w:val="21"/>
              </w:rPr>
            </w:pPr>
            <w:r>
              <w:rPr>
                <w:rFonts w:hint="eastAsia"/>
                <w:color w:val="auto"/>
                <w:sz w:val="21"/>
              </w:rPr>
              <w:t>室内环境污染控制</w:t>
            </w:r>
          </w:p>
        </w:tc>
      </w:tr>
      <w:tr w14:paraId="1C32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91ABF60">
            <w:pPr>
              <w:spacing w:line="240" w:lineRule="auto"/>
              <w:ind w:firstLine="0" w:firstLineChars="0"/>
              <w:jc w:val="center"/>
              <w:rPr>
                <w:rFonts w:hint="eastAsia"/>
                <w:color w:val="auto"/>
                <w:sz w:val="21"/>
              </w:rPr>
            </w:pPr>
            <w:r>
              <w:rPr>
                <w:rFonts w:hint="eastAsia"/>
                <w:color w:val="auto"/>
                <w:sz w:val="21"/>
              </w:rPr>
              <w:t>4</w:t>
            </w:r>
          </w:p>
        </w:tc>
        <w:tc>
          <w:tcPr>
            <w:tcW w:w="458" w:type="pct"/>
            <w:tcBorders>
              <w:top w:val="single" w:color="auto" w:sz="4" w:space="0"/>
              <w:left w:val="single" w:color="auto" w:sz="4" w:space="0"/>
              <w:bottom w:val="single" w:color="auto" w:sz="4" w:space="0"/>
              <w:right w:val="single" w:color="auto" w:sz="4" w:space="0"/>
            </w:tcBorders>
            <w:vAlign w:val="center"/>
          </w:tcPr>
          <w:p w14:paraId="575D6EDC">
            <w:pPr>
              <w:spacing w:line="240" w:lineRule="auto"/>
              <w:ind w:firstLine="0" w:firstLineChars="0"/>
              <w:jc w:val="center"/>
              <w:rPr>
                <w:rFonts w:hint="eastAsia"/>
                <w:color w:val="auto"/>
                <w:sz w:val="21"/>
              </w:rPr>
            </w:pPr>
            <w:r>
              <w:rPr>
                <w:rFonts w:hint="eastAsia"/>
                <w:color w:val="auto"/>
                <w:sz w:val="21"/>
              </w:rPr>
              <w:t>室内抹灰工程</w:t>
            </w:r>
          </w:p>
        </w:tc>
        <w:tc>
          <w:tcPr>
            <w:tcW w:w="4179" w:type="pct"/>
            <w:tcBorders>
              <w:top w:val="single" w:color="auto" w:sz="4" w:space="0"/>
              <w:left w:val="single" w:color="auto" w:sz="4" w:space="0"/>
              <w:bottom w:val="single" w:color="auto" w:sz="4" w:space="0"/>
              <w:right w:val="single" w:color="auto" w:sz="4" w:space="0"/>
            </w:tcBorders>
            <w:vAlign w:val="center"/>
          </w:tcPr>
          <w:p w14:paraId="05CCA1F3">
            <w:pPr>
              <w:spacing w:line="240" w:lineRule="auto"/>
              <w:ind w:firstLine="420"/>
              <w:jc w:val="left"/>
              <w:rPr>
                <w:rFonts w:hint="eastAsia"/>
                <w:color w:val="auto"/>
                <w:sz w:val="21"/>
              </w:rPr>
            </w:pPr>
            <w:r>
              <w:rPr>
                <w:rFonts w:hint="eastAsia"/>
                <w:color w:val="auto"/>
                <w:sz w:val="21"/>
              </w:rPr>
              <w:t>1.室内抹灰使用的木凳、金属支架应搭设平稳牢固，脚手板跨度不得大于2m。架上堆放材料不得过于集中，在同一跨度内不应超过2人。</w:t>
            </w:r>
          </w:p>
          <w:p w14:paraId="15D27394">
            <w:pPr>
              <w:spacing w:line="240" w:lineRule="auto"/>
              <w:ind w:firstLine="420"/>
              <w:jc w:val="left"/>
              <w:rPr>
                <w:rFonts w:hint="eastAsia"/>
                <w:color w:val="auto"/>
                <w:sz w:val="21"/>
              </w:rPr>
            </w:pPr>
            <w:r>
              <w:rPr>
                <w:rFonts w:hint="eastAsia"/>
                <w:color w:val="auto"/>
                <w:sz w:val="21"/>
              </w:rPr>
              <w:t>2.不准在门窗、管道等器物上靠设脚手板。阳台部位粉刷，外侧必须挂设安全网。严禁踩踏脚手板的护身栏杆和阳台栏板上进行操作。</w:t>
            </w:r>
          </w:p>
          <w:p w14:paraId="1B945C3F">
            <w:pPr>
              <w:spacing w:line="240" w:lineRule="auto"/>
              <w:ind w:firstLine="420"/>
              <w:jc w:val="left"/>
              <w:rPr>
                <w:rFonts w:hint="eastAsia"/>
                <w:color w:val="auto"/>
                <w:sz w:val="21"/>
              </w:rPr>
            </w:pPr>
            <w:r>
              <w:rPr>
                <w:rFonts w:hint="eastAsia"/>
                <w:color w:val="auto"/>
                <w:sz w:val="21"/>
              </w:rPr>
              <w:t>3.机械喷灰喷涂应戴防护用品，压力表、安全阀应灵敏可靠，输浆管各部接口应拧紧卡牢。管路摆放顺直，避免折弯。</w:t>
            </w:r>
          </w:p>
          <w:p w14:paraId="17181291">
            <w:pPr>
              <w:spacing w:line="240" w:lineRule="auto"/>
              <w:ind w:firstLine="420"/>
              <w:jc w:val="left"/>
              <w:rPr>
                <w:rFonts w:hint="eastAsia"/>
                <w:color w:val="auto"/>
                <w:sz w:val="21"/>
              </w:rPr>
            </w:pPr>
            <w:r>
              <w:rPr>
                <w:rFonts w:hint="eastAsia"/>
                <w:color w:val="auto"/>
                <w:sz w:val="21"/>
              </w:rPr>
              <w:t>4.搭设脚手架不得有跷头板。严禁脚手板支搁在门窗、管道上。</w:t>
            </w:r>
          </w:p>
          <w:p w14:paraId="618862D2">
            <w:pPr>
              <w:spacing w:line="240" w:lineRule="auto"/>
              <w:ind w:firstLine="420"/>
              <w:jc w:val="left"/>
              <w:rPr>
                <w:rFonts w:hint="eastAsia"/>
                <w:color w:val="auto"/>
                <w:sz w:val="21"/>
              </w:rPr>
            </w:pPr>
            <w:r>
              <w:rPr>
                <w:rFonts w:hint="eastAsia"/>
                <w:color w:val="auto"/>
                <w:sz w:val="21"/>
              </w:rPr>
              <w:t>5.抹灰作业时，尤其在抹顶棚时，应注意灰浆溅入眼内。</w:t>
            </w:r>
          </w:p>
          <w:p w14:paraId="2189CCEE">
            <w:pPr>
              <w:spacing w:line="240" w:lineRule="auto"/>
              <w:ind w:firstLine="420"/>
              <w:jc w:val="left"/>
              <w:rPr>
                <w:rFonts w:hint="eastAsia"/>
                <w:color w:val="auto"/>
                <w:sz w:val="21"/>
              </w:rPr>
            </w:pPr>
            <w:r>
              <w:rPr>
                <w:rFonts w:hint="eastAsia"/>
                <w:color w:val="auto"/>
                <w:sz w:val="21"/>
              </w:rPr>
              <w:t>6.在室内推运输小车时，特别是在过道中拐弯时要注意小车挤手。在推小车时不准倒退。</w:t>
            </w:r>
          </w:p>
          <w:p w14:paraId="31C79088">
            <w:pPr>
              <w:spacing w:line="240" w:lineRule="auto"/>
              <w:ind w:firstLine="420"/>
              <w:jc w:val="left"/>
              <w:rPr>
                <w:rFonts w:hint="eastAsia"/>
                <w:color w:val="auto"/>
                <w:sz w:val="21"/>
              </w:rPr>
            </w:pPr>
            <w:r>
              <w:rPr>
                <w:rFonts w:hint="eastAsia"/>
                <w:color w:val="auto"/>
                <w:sz w:val="21"/>
              </w:rPr>
              <w:t>7.喷浆设备使用前应检查，使用后应洗净，喷头堵塞，疏通时不准对人。</w:t>
            </w:r>
          </w:p>
          <w:p w14:paraId="0C503E1B">
            <w:pPr>
              <w:spacing w:line="240" w:lineRule="auto"/>
              <w:ind w:firstLine="420"/>
              <w:jc w:val="left"/>
              <w:rPr>
                <w:rFonts w:hint="eastAsia"/>
                <w:color w:val="auto"/>
                <w:sz w:val="21"/>
              </w:rPr>
            </w:pPr>
            <w:r>
              <w:rPr>
                <w:rFonts w:hint="eastAsia"/>
                <w:color w:val="auto"/>
                <w:sz w:val="21"/>
              </w:rPr>
              <w:t>8.喷浆要戴口罩、手套、保护镜，穿上工作服，手上、脸上最好抹上护肤油脂。</w:t>
            </w:r>
          </w:p>
          <w:p w14:paraId="4920DC5D">
            <w:pPr>
              <w:spacing w:line="240" w:lineRule="auto"/>
              <w:ind w:firstLine="420"/>
              <w:jc w:val="left"/>
              <w:rPr>
                <w:rFonts w:hint="eastAsia"/>
                <w:color w:val="auto"/>
                <w:sz w:val="21"/>
              </w:rPr>
            </w:pPr>
            <w:r>
              <w:rPr>
                <w:rFonts w:hint="eastAsia"/>
                <w:color w:val="auto"/>
                <w:sz w:val="21"/>
              </w:rPr>
              <w:t>9.喷浆要注意风向，尽量少让浆液飘到别处和他人身上。</w:t>
            </w:r>
          </w:p>
        </w:tc>
      </w:tr>
      <w:tr w14:paraId="3FC6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6FF45052">
            <w:pPr>
              <w:spacing w:line="240" w:lineRule="auto"/>
              <w:ind w:firstLine="0" w:firstLineChars="0"/>
              <w:jc w:val="center"/>
              <w:rPr>
                <w:rFonts w:hint="eastAsia"/>
                <w:color w:val="auto"/>
                <w:sz w:val="21"/>
              </w:rPr>
            </w:pPr>
            <w:r>
              <w:rPr>
                <w:rFonts w:hint="eastAsia"/>
                <w:color w:val="auto"/>
                <w:sz w:val="21"/>
              </w:rPr>
              <w:t>5</w:t>
            </w:r>
          </w:p>
        </w:tc>
        <w:tc>
          <w:tcPr>
            <w:tcW w:w="458" w:type="pct"/>
            <w:tcBorders>
              <w:top w:val="single" w:color="auto" w:sz="4" w:space="0"/>
              <w:left w:val="single" w:color="auto" w:sz="4" w:space="0"/>
              <w:bottom w:val="single" w:color="auto" w:sz="4" w:space="0"/>
              <w:right w:val="single" w:color="auto" w:sz="4" w:space="0"/>
            </w:tcBorders>
            <w:vAlign w:val="center"/>
          </w:tcPr>
          <w:p w14:paraId="7ECB7E25">
            <w:pPr>
              <w:spacing w:line="240" w:lineRule="auto"/>
              <w:ind w:firstLine="0" w:firstLineChars="0"/>
              <w:jc w:val="center"/>
              <w:rPr>
                <w:rFonts w:hint="eastAsia"/>
                <w:color w:val="auto"/>
                <w:sz w:val="21"/>
              </w:rPr>
            </w:pPr>
            <w:r>
              <w:rPr>
                <w:rFonts w:hint="eastAsia"/>
                <w:color w:val="auto"/>
                <w:sz w:val="21"/>
              </w:rPr>
              <w:t>外檐装饰抹灰工程</w:t>
            </w:r>
          </w:p>
        </w:tc>
        <w:tc>
          <w:tcPr>
            <w:tcW w:w="4179" w:type="pct"/>
            <w:tcBorders>
              <w:top w:val="single" w:color="auto" w:sz="4" w:space="0"/>
              <w:left w:val="single" w:color="auto" w:sz="4" w:space="0"/>
              <w:bottom w:val="single" w:color="auto" w:sz="4" w:space="0"/>
              <w:right w:val="single" w:color="auto" w:sz="4" w:space="0"/>
            </w:tcBorders>
            <w:vAlign w:val="center"/>
          </w:tcPr>
          <w:p w14:paraId="63AB0338">
            <w:pPr>
              <w:spacing w:line="240" w:lineRule="auto"/>
              <w:ind w:firstLine="420"/>
              <w:jc w:val="left"/>
              <w:rPr>
                <w:rFonts w:hint="eastAsia"/>
                <w:color w:val="auto"/>
                <w:sz w:val="21"/>
              </w:rPr>
            </w:pPr>
            <w:r>
              <w:rPr>
                <w:rFonts w:hint="eastAsia"/>
                <w:color w:val="auto"/>
                <w:sz w:val="21"/>
              </w:rPr>
              <w:t>1.高空作业时，应检查脚手架是否牢固，特别是大风及雨后作业。对脚手板不牢固之处和跷头板等应及时处理，要铺有足够的宽度，以保证手推车运灰浆的安全。</w:t>
            </w:r>
          </w:p>
          <w:p w14:paraId="5AA6F63E">
            <w:pPr>
              <w:spacing w:line="240" w:lineRule="auto"/>
              <w:ind w:firstLine="420"/>
              <w:jc w:val="left"/>
              <w:rPr>
                <w:rFonts w:hint="eastAsia"/>
                <w:color w:val="auto"/>
                <w:sz w:val="21"/>
              </w:rPr>
            </w:pPr>
            <w:r>
              <w:rPr>
                <w:rFonts w:hint="eastAsia"/>
                <w:color w:val="auto"/>
                <w:sz w:val="21"/>
              </w:rPr>
              <w:t>2.在架子上工作时，工具和材料要放置稳当，不许随便乱扔。</w:t>
            </w:r>
          </w:p>
          <w:p w14:paraId="4B32492E">
            <w:pPr>
              <w:spacing w:line="240" w:lineRule="auto"/>
              <w:ind w:firstLine="420"/>
              <w:jc w:val="left"/>
              <w:rPr>
                <w:rFonts w:hint="eastAsia"/>
                <w:color w:val="auto"/>
                <w:sz w:val="21"/>
              </w:rPr>
            </w:pPr>
            <w:r>
              <w:rPr>
                <w:rFonts w:hint="eastAsia"/>
                <w:color w:val="auto"/>
                <w:sz w:val="21"/>
              </w:rPr>
              <w:t>3.用塔吊上料时，要有专人指挥，遇六级以上大风时须暂停作业。</w:t>
            </w:r>
          </w:p>
          <w:p w14:paraId="43163A97">
            <w:pPr>
              <w:spacing w:line="240" w:lineRule="auto"/>
              <w:ind w:firstLine="420"/>
              <w:jc w:val="left"/>
              <w:rPr>
                <w:rFonts w:hint="eastAsia"/>
                <w:color w:val="auto"/>
                <w:sz w:val="21"/>
              </w:rPr>
            </w:pPr>
            <w:r>
              <w:rPr>
                <w:rFonts w:hint="eastAsia"/>
                <w:color w:val="auto"/>
                <w:sz w:val="21"/>
              </w:rPr>
              <w:t>4.砂浆机应有专人操作维修、保养，电器设备应绝缘良好并接地。严格控制脚手架施工负载。</w:t>
            </w:r>
          </w:p>
          <w:p w14:paraId="4EED63CC">
            <w:pPr>
              <w:spacing w:line="240" w:lineRule="auto"/>
              <w:ind w:firstLine="420"/>
              <w:jc w:val="left"/>
              <w:rPr>
                <w:rFonts w:hint="eastAsia"/>
                <w:color w:val="auto"/>
                <w:sz w:val="21"/>
              </w:rPr>
            </w:pPr>
            <w:r>
              <w:rPr>
                <w:rFonts w:hint="eastAsia"/>
                <w:color w:val="auto"/>
                <w:sz w:val="21"/>
              </w:rPr>
              <w:t>5.不准随意拆除、斩断脚手架软硬拉结，不准随意拆除脚手架上的安全设施，如妨碍施工必须经施工负责人批准后，方能拆除妨碍部位。</w:t>
            </w:r>
          </w:p>
        </w:tc>
      </w:tr>
      <w:tr w14:paraId="7D01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7788F21">
            <w:pPr>
              <w:spacing w:line="240" w:lineRule="auto"/>
              <w:ind w:firstLine="0" w:firstLineChars="0"/>
              <w:jc w:val="center"/>
              <w:rPr>
                <w:rFonts w:hint="eastAsia"/>
                <w:color w:val="auto"/>
                <w:sz w:val="21"/>
              </w:rPr>
            </w:pPr>
            <w:r>
              <w:rPr>
                <w:rFonts w:hint="eastAsia"/>
                <w:color w:val="auto"/>
                <w:sz w:val="21"/>
              </w:rPr>
              <w:t>6</w:t>
            </w:r>
          </w:p>
        </w:tc>
        <w:tc>
          <w:tcPr>
            <w:tcW w:w="458" w:type="pct"/>
            <w:tcBorders>
              <w:top w:val="single" w:color="auto" w:sz="4" w:space="0"/>
              <w:left w:val="single" w:color="auto" w:sz="4" w:space="0"/>
              <w:bottom w:val="single" w:color="auto" w:sz="4" w:space="0"/>
              <w:right w:val="single" w:color="auto" w:sz="4" w:space="0"/>
            </w:tcBorders>
            <w:vAlign w:val="center"/>
          </w:tcPr>
          <w:p w14:paraId="76D7334F">
            <w:pPr>
              <w:spacing w:line="240" w:lineRule="auto"/>
              <w:ind w:firstLine="0" w:firstLineChars="0"/>
              <w:jc w:val="center"/>
              <w:rPr>
                <w:rFonts w:hint="eastAsia"/>
                <w:color w:val="auto"/>
                <w:sz w:val="21"/>
              </w:rPr>
            </w:pPr>
            <w:r>
              <w:rPr>
                <w:rFonts w:hint="eastAsia"/>
                <w:color w:val="auto"/>
                <w:sz w:val="21"/>
              </w:rPr>
              <w:t>涂料工程</w:t>
            </w:r>
          </w:p>
        </w:tc>
        <w:tc>
          <w:tcPr>
            <w:tcW w:w="4179" w:type="pct"/>
            <w:tcBorders>
              <w:top w:val="single" w:color="auto" w:sz="4" w:space="0"/>
              <w:left w:val="single" w:color="auto" w:sz="4" w:space="0"/>
              <w:bottom w:val="single" w:color="auto" w:sz="4" w:space="0"/>
              <w:right w:val="single" w:color="auto" w:sz="4" w:space="0"/>
            </w:tcBorders>
            <w:vAlign w:val="center"/>
          </w:tcPr>
          <w:p w14:paraId="3DE6FBD3">
            <w:pPr>
              <w:spacing w:line="240" w:lineRule="auto"/>
              <w:ind w:firstLine="420"/>
              <w:jc w:val="left"/>
              <w:rPr>
                <w:rFonts w:hint="eastAsia"/>
                <w:color w:val="auto"/>
                <w:sz w:val="21"/>
              </w:rPr>
            </w:pPr>
            <w:r>
              <w:rPr>
                <w:rFonts w:hint="eastAsia"/>
                <w:color w:val="auto"/>
                <w:sz w:val="21"/>
              </w:rPr>
              <w:t>1.各类油漆因易燃或有毒，故应存放在专用库房内，不允许与其它材料混堆。对挥发性油漆必须装于密闭容器内，并设专人保管。</w:t>
            </w:r>
          </w:p>
          <w:p w14:paraId="6E262F65">
            <w:pPr>
              <w:spacing w:line="240" w:lineRule="auto"/>
              <w:ind w:firstLine="420"/>
              <w:jc w:val="left"/>
              <w:rPr>
                <w:rFonts w:hint="eastAsia"/>
                <w:color w:val="auto"/>
                <w:sz w:val="21"/>
              </w:rPr>
            </w:pPr>
            <w:r>
              <w:rPr>
                <w:rFonts w:hint="eastAsia"/>
                <w:color w:val="auto"/>
                <w:sz w:val="21"/>
              </w:rPr>
              <w:t>2.使用煤油、汽油、松香水、丙酮等易燃物调配漆料，操作人员应戴好防护用品，不准吸烟。</w:t>
            </w:r>
          </w:p>
          <w:p w14:paraId="2D69C274">
            <w:pPr>
              <w:spacing w:line="240" w:lineRule="auto"/>
              <w:ind w:firstLine="420"/>
              <w:jc w:val="left"/>
              <w:rPr>
                <w:rFonts w:hint="eastAsia"/>
                <w:color w:val="auto"/>
                <w:sz w:val="21"/>
              </w:rPr>
            </w:pPr>
            <w:r>
              <w:rPr>
                <w:rFonts w:hint="eastAsia"/>
                <w:color w:val="auto"/>
                <w:sz w:val="21"/>
              </w:rPr>
              <w:t>3.沾染油漆或稀释油类的棉纱、破布等物，应全部收集存放在有盖的金属箱内，待不能使用时应集中销毁或用碱剂将油污洗净后以备再用。</w:t>
            </w:r>
          </w:p>
          <w:p w14:paraId="7EB7A782">
            <w:pPr>
              <w:spacing w:line="240" w:lineRule="auto"/>
              <w:ind w:firstLine="420"/>
              <w:jc w:val="left"/>
              <w:rPr>
                <w:rFonts w:hint="eastAsia"/>
                <w:color w:val="auto"/>
                <w:sz w:val="21"/>
              </w:rPr>
            </w:pPr>
            <w:r>
              <w:rPr>
                <w:rFonts w:hint="eastAsia"/>
                <w:color w:val="auto"/>
                <w:sz w:val="21"/>
              </w:rPr>
              <w:t>4.操作人员在涂刷红丹防锈漆及含铅颜料的油漆时，要防止铅中毒，作业时要戴上口罩。</w:t>
            </w:r>
          </w:p>
          <w:p w14:paraId="795880B0">
            <w:pPr>
              <w:spacing w:line="240" w:lineRule="auto"/>
              <w:ind w:firstLine="420"/>
              <w:jc w:val="left"/>
              <w:rPr>
                <w:rFonts w:hint="eastAsia"/>
                <w:color w:val="auto"/>
                <w:sz w:val="21"/>
              </w:rPr>
            </w:pPr>
            <w:r>
              <w:rPr>
                <w:rFonts w:hint="eastAsia"/>
                <w:color w:val="auto"/>
                <w:sz w:val="21"/>
              </w:rPr>
              <w:t>5.刷涂耐酸、耐腐蚀的过氯乙烯漆时，由于气味较大有毒性，在刷漆时应戴上防毒口罩每隔一小时应到室外换气一次，同时还应保持工作场所有良好的通风。</w:t>
            </w:r>
          </w:p>
          <w:p w14:paraId="293B652F">
            <w:pPr>
              <w:spacing w:line="240" w:lineRule="auto"/>
              <w:ind w:firstLine="420"/>
              <w:jc w:val="left"/>
              <w:rPr>
                <w:rFonts w:hint="eastAsia"/>
                <w:color w:val="auto"/>
                <w:sz w:val="21"/>
              </w:rPr>
            </w:pPr>
            <w:r>
              <w:rPr>
                <w:rFonts w:hint="eastAsia"/>
                <w:color w:val="auto"/>
                <w:sz w:val="21"/>
              </w:rPr>
              <w:t>6.涂刷窗子时，严禁站或骑在窗槛上操作，以防槛断人落，刷外窗扇油漆时，应将安全带挂在牢靠的地方，刷封檐板应利用外装修架或搭设挑架进行。</w:t>
            </w:r>
          </w:p>
          <w:p w14:paraId="37EF81B2">
            <w:pPr>
              <w:spacing w:line="240" w:lineRule="auto"/>
              <w:ind w:firstLine="420"/>
              <w:jc w:val="left"/>
              <w:rPr>
                <w:rFonts w:hint="eastAsia"/>
                <w:color w:val="auto"/>
                <w:sz w:val="21"/>
              </w:rPr>
            </w:pPr>
            <w:r>
              <w:rPr>
                <w:rFonts w:hint="eastAsia"/>
                <w:color w:val="auto"/>
                <w:sz w:val="21"/>
              </w:rPr>
              <w:t>7.涂刷作业过程中，操作人员如感头痛、恶心、心闷或心悸时，应立即停止作业到户外换取新鲜空气。</w:t>
            </w:r>
          </w:p>
          <w:p w14:paraId="338744AC">
            <w:pPr>
              <w:spacing w:line="240" w:lineRule="auto"/>
              <w:ind w:firstLine="420"/>
              <w:jc w:val="left"/>
              <w:rPr>
                <w:rFonts w:hint="eastAsia"/>
                <w:color w:val="auto"/>
                <w:sz w:val="21"/>
              </w:rPr>
            </w:pPr>
            <w:r>
              <w:rPr>
                <w:rFonts w:hint="eastAsia"/>
                <w:color w:val="auto"/>
                <w:sz w:val="21"/>
              </w:rPr>
              <w:t>8.外墙涂料施工人员要落地时，要先察看一下地面、墙壁的设施，操作绳、安全绳的定位及行人流量的多少情况，待地面监护人员处理、调整，同意后方可缓慢下降，直至地面。</w:t>
            </w:r>
          </w:p>
          <w:p w14:paraId="7BBE4F2D">
            <w:pPr>
              <w:spacing w:line="240" w:lineRule="auto"/>
              <w:ind w:firstLine="420"/>
              <w:jc w:val="left"/>
              <w:rPr>
                <w:rFonts w:hint="eastAsia"/>
                <w:color w:val="auto"/>
                <w:sz w:val="21"/>
              </w:rPr>
            </w:pPr>
            <w:r>
              <w:rPr>
                <w:rFonts w:hint="eastAsia"/>
                <w:color w:val="auto"/>
                <w:sz w:val="21"/>
              </w:rPr>
              <w:t>9.外墙涂料责任工程师上岗前要穿好工作服，戴好安全帽，上岗时要先系安全带，再系保险锁（安全绳上），而后再系好卸扣（操作绳上），同时坐板扣子要打紧，要固死。</w:t>
            </w:r>
          </w:p>
          <w:p w14:paraId="4CD65C10">
            <w:pPr>
              <w:spacing w:line="240" w:lineRule="auto"/>
              <w:ind w:firstLine="420"/>
              <w:jc w:val="left"/>
              <w:rPr>
                <w:rFonts w:hint="eastAsia"/>
                <w:color w:val="auto"/>
                <w:sz w:val="21"/>
              </w:rPr>
            </w:pPr>
            <w:r>
              <w:rPr>
                <w:rFonts w:hint="eastAsia"/>
                <w:color w:val="auto"/>
                <w:sz w:val="21"/>
              </w:rPr>
              <w:t>10.操作时辅助用具要扎紧扎牢，以防坠伤人，同时严禁嘻笑打闹和携带其它无关物品。</w:t>
            </w:r>
          </w:p>
          <w:p w14:paraId="15BE289C">
            <w:pPr>
              <w:spacing w:line="240" w:lineRule="auto"/>
              <w:ind w:firstLine="420"/>
              <w:jc w:val="left"/>
              <w:rPr>
                <w:rFonts w:hint="eastAsia"/>
                <w:color w:val="auto"/>
                <w:sz w:val="21"/>
              </w:rPr>
            </w:pPr>
            <w:r>
              <w:rPr>
                <w:rFonts w:hint="eastAsia"/>
                <w:color w:val="auto"/>
                <w:sz w:val="21"/>
              </w:rPr>
              <w:t>11.楼上、地面监护人员要坚守在外墙涂料施工现场。切实履行职责。随时观察操作绳.安全绳的松紧及绞绳、串绳等现象，发现问题及时报告，及时排除。</w:t>
            </w:r>
          </w:p>
        </w:tc>
      </w:tr>
      <w:tr w14:paraId="7C22F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vMerge w:val="restart"/>
            <w:tcBorders>
              <w:top w:val="nil"/>
              <w:left w:val="single" w:color="auto" w:sz="4" w:space="0"/>
              <w:bottom w:val="single" w:color="auto" w:sz="4" w:space="0"/>
              <w:right w:val="single" w:color="auto" w:sz="4" w:space="0"/>
            </w:tcBorders>
            <w:vAlign w:val="center"/>
          </w:tcPr>
          <w:p w14:paraId="1910E939">
            <w:pPr>
              <w:spacing w:line="240" w:lineRule="auto"/>
              <w:ind w:firstLine="0" w:firstLineChars="0"/>
              <w:jc w:val="center"/>
              <w:rPr>
                <w:rFonts w:hint="eastAsia"/>
                <w:color w:val="auto"/>
                <w:sz w:val="21"/>
              </w:rPr>
            </w:pPr>
            <w:r>
              <w:rPr>
                <w:rFonts w:hint="eastAsia"/>
                <w:color w:val="auto"/>
                <w:sz w:val="21"/>
              </w:rPr>
              <w:t>7</w:t>
            </w:r>
          </w:p>
        </w:tc>
        <w:tc>
          <w:tcPr>
            <w:tcW w:w="458" w:type="pct"/>
            <w:vMerge w:val="restart"/>
            <w:tcBorders>
              <w:top w:val="nil"/>
              <w:left w:val="single" w:color="auto" w:sz="4" w:space="0"/>
              <w:bottom w:val="single" w:color="auto" w:sz="4" w:space="0"/>
              <w:right w:val="single" w:color="auto" w:sz="4" w:space="0"/>
            </w:tcBorders>
            <w:vAlign w:val="center"/>
          </w:tcPr>
          <w:p w14:paraId="7A618016">
            <w:pPr>
              <w:spacing w:line="240" w:lineRule="auto"/>
              <w:ind w:firstLine="0" w:firstLineChars="0"/>
              <w:jc w:val="center"/>
              <w:rPr>
                <w:rFonts w:hint="eastAsia"/>
                <w:color w:val="auto"/>
                <w:sz w:val="21"/>
              </w:rPr>
            </w:pPr>
            <w:r>
              <w:rPr>
                <w:rFonts w:hint="eastAsia"/>
                <w:color w:val="auto"/>
                <w:sz w:val="21"/>
              </w:rPr>
              <w:t>外立面施工安全措施</w:t>
            </w:r>
          </w:p>
        </w:tc>
        <w:tc>
          <w:tcPr>
            <w:tcW w:w="4179" w:type="pct"/>
            <w:tcBorders>
              <w:top w:val="single" w:color="auto" w:sz="4" w:space="0"/>
              <w:left w:val="single" w:color="auto" w:sz="4" w:space="0"/>
              <w:bottom w:val="single" w:color="auto" w:sz="4" w:space="0"/>
              <w:right w:val="single" w:color="auto" w:sz="4" w:space="0"/>
            </w:tcBorders>
            <w:vAlign w:val="center"/>
          </w:tcPr>
          <w:p w14:paraId="161B0FC8">
            <w:pPr>
              <w:spacing w:line="240" w:lineRule="auto"/>
              <w:ind w:firstLine="420"/>
              <w:jc w:val="left"/>
              <w:rPr>
                <w:rFonts w:hint="eastAsia"/>
                <w:color w:val="auto"/>
                <w:sz w:val="21"/>
              </w:rPr>
            </w:pPr>
            <w:r>
              <w:rPr>
                <w:rFonts w:hint="eastAsia"/>
                <w:color w:val="auto"/>
                <w:sz w:val="21"/>
              </w:rPr>
              <w:t>1.编制外立面工程施工组织设计，经专家组论证合格后，报送监理单位及建设单位审批。</w:t>
            </w:r>
          </w:p>
          <w:p w14:paraId="05CA5A0F">
            <w:pPr>
              <w:spacing w:line="240" w:lineRule="auto"/>
              <w:ind w:firstLine="420"/>
              <w:jc w:val="left"/>
              <w:rPr>
                <w:rFonts w:hint="eastAsia"/>
                <w:color w:val="auto"/>
                <w:sz w:val="21"/>
              </w:rPr>
            </w:pPr>
            <w:r>
              <w:rPr>
                <w:rFonts w:hint="eastAsia"/>
                <w:color w:val="auto"/>
                <w:sz w:val="21"/>
              </w:rPr>
              <w:t>2.外立面施工人员作业时，必须佩戴工具包，并将工具与工具包用绳连接起来，连接用绳子必须结实耐用，以防工具掉落伤人。</w:t>
            </w:r>
          </w:p>
          <w:p w14:paraId="7BD1CEEB">
            <w:pPr>
              <w:spacing w:line="240" w:lineRule="auto"/>
              <w:ind w:firstLine="420"/>
              <w:jc w:val="left"/>
              <w:rPr>
                <w:rFonts w:hint="eastAsia"/>
                <w:color w:val="auto"/>
                <w:sz w:val="21"/>
              </w:rPr>
            </w:pPr>
            <w:r>
              <w:rPr>
                <w:rFonts w:hint="eastAsia"/>
                <w:color w:val="auto"/>
                <w:sz w:val="21"/>
              </w:rPr>
              <w:t>3.进行钻孔施工时，应在钻孔下方设置可靠的防护措施，防止物体坠落打击。</w:t>
            </w:r>
          </w:p>
          <w:p w14:paraId="38EC936D">
            <w:pPr>
              <w:spacing w:line="240" w:lineRule="auto"/>
              <w:ind w:firstLine="420"/>
              <w:jc w:val="left"/>
              <w:rPr>
                <w:rFonts w:hint="eastAsia"/>
                <w:color w:val="auto"/>
                <w:sz w:val="21"/>
              </w:rPr>
            </w:pPr>
            <w:r>
              <w:rPr>
                <w:rFonts w:hint="eastAsia"/>
                <w:color w:val="auto"/>
                <w:sz w:val="21"/>
              </w:rPr>
              <w:t>4.外檐施工时，需要拆除部分安全防护时，应按照“做多少，拆多少”的原则进行施工，严禁多拆、乱拆。拆除前，必须由技术人员现场确认拆除部分对安全防护整体稳定是否有影响，若有影响，应采取加固或其他措施进行处理。</w:t>
            </w:r>
          </w:p>
          <w:p w14:paraId="54055588">
            <w:pPr>
              <w:spacing w:line="240" w:lineRule="auto"/>
              <w:ind w:firstLine="420"/>
              <w:jc w:val="left"/>
              <w:rPr>
                <w:rFonts w:hint="eastAsia"/>
                <w:color w:val="auto"/>
                <w:sz w:val="21"/>
              </w:rPr>
            </w:pPr>
            <w:r>
              <w:rPr>
                <w:rFonts w:hint="eastAsia"/>
                <w:color w:val="auto"/>
                <w:sz w:val="21"/>
              </w:rPr>
              <w:t>5.进行外檐清洗及玻璃更换施工时，必须编制相应的安全施工专项方案，并严格按照方案进行施工。</w:t>
            </w:r>
          </w:p>
        </w:tc>
      </w:tr>
      <w:tr w14:paraId="5D74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530A2955">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48CA7E67">
            <w:pPr>
              <w:spacing w:line="240" w:lineRule="auto"/>
              <w:ind w:firstLine="0" w:firstLineChars="0"/>
              <w:jc w:val="center"/>
              <w:rPr>
                <w:color w:val="auto"/>
                <w:sz w:val="21"/>
              </w:rPr>
            </w:pPr>
          </w:p>
        </w:tc>
        <w:tc>
          <w:tcPr>
            <w:tcW w:w="4179" w:type="pct"/>
            <w:tcBorders>
              <w:top w:val="single" w:color="auto" w:sz="4" w:space="0"/>
              <w:left w:val="single" w:color="auto" w:sz="4" w:space="0"/>
              <w:bottom w:val="single" w:color="auto" w:sz="4" w:space="0"/>
              <w:right w:val="single" w:color="auto" w:sz="4" w:space="0"/>
            </w:tcBorders>
            <w:vAlign w:val="center"/>
          </w:tcPr>
          <w:p w14:paraId="26839D7C">
            <w:pPr>
              <w:spacing w:line="240" w:lineRule="auto"/>
              <w:ind w:firstLine="0" w:firstLineChars="0"/>
              <w:jc w:val="center"/>
              <w:rPr>
                <w:rFonts w:hint="eastAsia"/>
                <w:color w:val="auto"/>
                <w:sz w:val="21"/>
              </w:rPr>
            </w:pPr>
            <w:r>
              <w:rPr>
                <w:rFonts w:hint="eastAsia"/>
                <w:color w:val="auto"/>
                <w:sz w:val="21"/>
              </w:rPr>
              <w:drawing>
                <wp:inline distT="0" distB="0" distL="0" distR="0">
                  <wp:extent cx="3230880" cy="1546860"/>
                  <wp:effectExtent l="0" t="0" r="7620" b="2540"/>
                  <wp:docPr id="18727733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773300" name="图片 3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a:xfrm>
                            <a:off x="0" y="0"/>
                            <a:ext cx="3230880" cy="1546860"/>
                          </a:xfrm>
                          <a:prstGeom prst="rect">
                            <a:avLst/>
                          </a:prstGeom>
                          <a:noFill/>
                          <a:ln>
                            <a:noFill/>
                          </a:ln>
                        </pic:spPr>
                      </pic:pic>
                    </a:graphicData>
                  </a:graphic>
                </wp:inline>
              </w:drawing>
            </w:r>
          </w:p>
        </w:tc>
      </w:tr>
      <w:tr w14:paraId="2B2EC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0" w:type="auto"/>
            <w:vMerge w:val="continue"/>
            <w:tcBorders>
              <w:top w:val="nil"/>
              <w:left w:val="single" w:color="auto" w:sz="4" w:space="0"/>
              <w:bottom w:val="single" w:color="auto" w:sz="4" w:space="0"/>
              <w:right w:val="single" w:color="auto" w:sz="4" w:space="0"/>
            </w:tcBorders>
            <w:vAlign w:val="center"/>
          </w:tcPr>
          <w:p w14:paraId="2EF737A9">
            <w:pPr>
              <w:spacing w:line="240" w:lineRule="auto"/>
              <w:ind w:firstLine="0" w:firstLineChars="0"/>
              <w:jc w:val="center"/>
              <w:rPr>
                <w:color w:val="auto"/>
                <w:sz w:val="21"/>
              </w:rPr>
            </w:pPr>
          </w:p>
        </w:tc>
        <w:tc>
          <w:tcPr>
            <w:tcW w:w="0" w:type="auto"/>
            <w:vMerge w:val="continue"/>
            <w:tcBorders>
              <w:top w:val="nil"/>
              <w:left w:val="single" w:color="auto" w:sz="4" w:space="0"/>
              <w:bottom w:val="single" w:color="auto" w:sz="4" w:space="0"/>
              <w:right w:val="single" w:color="auto" w:sz="4" w:space="0"/>
            </w:tcBorders>
            <w:vAlign w:val="center"/>
          </w:tcPr>
          <w:p w14:paraId="56325E4E">
            <w:pPr>
              <w:spacing w:line="240" w:lineRule="auto"/>
              <w:ind w:firstLine="0" w:firstLineChars="0"/>
              <w:jc w:val="center"/>
              <w:rPr>
                <w:color w:val="auto"/>
                <w:sz w:val="21"/>
              </w:rPr>
            </w:pPr>
          </w:p>
        </w:tc>
        <w:tc>
          <w:tcPr>
            <w:tcW w:w="4179" w:type="pct"/>
            <w:tcBorders>
              <w:top w:val="single" w:color="auto" w:sz="4" w:space="0"/>
              <w:left w:val="single" w:color="auto" w:sz="4" w:space="0"/>
              <w:bottom w:val="single" w:color="auto" w:sz="4" w:space="0"/>
              <w:right w:val="single" w:color="auto" w:sz="4" w:space="0"/>
            </w:tcBorders>
            <w:vAlign w:val="center"/>
          </w:tcPr>
          <w:p w14:paraId="5A6856BA">
            <w:pPr>
              <w:spacing w:line="240" w:lineRule="auto"/>
              <w:ind w:firstLine="0" w:firstLineChars="0"/>
              <w:jc w:val="center"/>
              <w:rPr>
                <w:rFonts w:hint="eastAsia"/>
                <w:color w:val="auto"/>
                <w:sz w:val="21"/>
              </w:rPr>
            </w:pPr>
            <w:r>
              <w:rPr>
                <w:rFonts w:hint="eastAsia"/>
                <w:color w:val="auto"/>
                <w:sz w:val="21"/>
              </w:rPr>
              <w:t>吊篮作业</w:t>
            </w:r>
          </w:p>
        </w:tc>
      </w:tr>
      <w:tr w14:paraId="0E9A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3" w:type="pct"/>
            <w:tcBorders>
              <w:top w:val="single" w:color="auto" w:sz="4" w:space="0"/>
              <w:left w:val="single" w:color="auto" w:sz="4" w:space="0"/>
              <w:bottom w:val="single" w:color="auto" w:sz="4" w:space="0"/>
              <w:right w:val="single" w:color="auto" w:sz="4" w:space="0"/>
            </w:tcBorders>
            <w:vAlign w:val="center"/>
          </w:tcPr>
          <w:p w14:paraId="03313295">
            <w:pPr>
              <w:spacing w:line="240" w:lineRule="auto"/>
              <w:ind w:firstLine="0" w:firstLineChars="0"/>
              <w:jc w:val="center"/>
              <w:rPr>
                <w:rFonts w:hint="eastAsia"/>
                <w:color w:val="auto"/>
                <w:sz w:val="21"/>
              </w:rPr>
            </w:pPr>
            <w:r>
              <w:rPr>
                <w:rFonts w:hint="eastAsia"/>
                <w:color w:val="auto"/>
                <w:sz w:val="21"/>
              </w:rPr>
              <w:t>8</w:t>
            </w:r>
          </w:p>
        </w:tc>
        <w:tc>
          <w:tcPr>
            <w:tcW w:w="458" w:type="pct"/>
            <w:tcBorders>
              <w:top w:val="single" w:color="auto" w:sz="4" w:space="0"/>
              <w:left w:val="single" w:color="auto" w:sz="4" w:space="0"/>
              <w:bottom w:val="single" w:color="auto" w:sz="4" w:space="0"/>
              <w:right w:val="single" w:color="auto" w:sz="4" w:space="0"/>
            </w:tcBorders>
            <w:vAlign w:val="center"/>
          </w:tcPr>
          <w:p w14:paraId="523D5F1A">
            <w:pPr>
              <w:spacing w:line="240" w:lineRule="auto"/>
              <w:ind w:firstLine="0" w:firstLineChars="0"/>
              <w:jc w:val="center"/>
              <w:rPr>
                <w:rFonts w:hint="eastAsia"/>
                <w:color w:val="auto"/>
                <w:sz w:val="21"/>
              </w:rPr>
            </w:pPr>
            <w:r>
              <w:rPr>
                <w:rFonts w:hint="eastAsia"/>
                <w:color w:val="auto"/>
                <w:sz w:val="21"/>
              </w:rPr>
              <w:t>其他装饰装修工程安全措施</w:t>
            </w:r>
          </w:p>
        </w:tc>
        <w:tc>
          <w:tcPr>
            <w:tcW w:w="4179" w:type="pct"/>
            <w:tcBorders>
              <w:top w:val="single" w:color="auto" w:sz="4" w:space="0"/>
              <w:left w:val="single" w:color="auto" w:sz="4" w:space="0"/>
              <w:bottom w:val="single" w:color="auto" w:sz="4" w:space="0"/>
              <w:right w:val="single" w:color="auto" w:sz="4" w:space="0"/>
            </w:tcBorders>
            <w:vAlign w:val="center"/>
          </w:tcPr>
          <w:p w14:paraId="5B55BE62">
            <w:pPr>
              <w:spacing w:line="240" w:lineRule="auto"/>
              <w:ind w:firstLine="420"/>
              <w:jc w:val="left"/>
              <w:rPr>
                <w:rFonts w:hint="eastAsia"/>
                <w:color w:val="auto"/>
                <w:sz w:val="21"/>
              </w:rPr>
            </w:pPr>
            <w:r>
              <w:rPr>
                <w:rFonts w:hint="eastAsia"/>
                <w:color w:val="auto"/>
                <w:sz w:val="21"/>
              </w:rPr>
              <w:t>1.各类油漆和其他易燃易爆，有毒材料，应存放在专用库房内，不得与其它材料混放。挥发性油漆应装入封闭容器内，妥善保管。</w:t>
            </w:r>
          </w:p>
          <w:p w14:paraId="6E3C698C">
            <w:pPr>
              <w:spacing w:line="240" w:lineRule="auto"/>
              <w:ind w:firstLine="420"/>
              <w:jc w:val="left"/>
              <w:rPr>
                <w:rFonts w:hint="eastAsia"/>
                <w:color w:val="auto"/>
                <w:sz w:val="21"/>
              </w:rPr>
            </w:pPr>
            <w:r>
              <w:rPr>
                <w:rFonts w:hint="eastAsia"/>
                <w:color w:val="auto"/>
                <w:sz w:val="21"/>
              </w:rPr>
              <w:t>2.在高处安装玻璃，应将玻璃放置平稳，垂直下方禁止通行，安装采光玻璃，应铺设脚手板或其它安全措施。</w:t>
            </w:r>
          </w:p>
          <w:p w14:paraId="42BA3C41">
            <w:pPr>
              <w:spacing w:line="240" w:lineRule="auto"/>
              <w:ind w:firstLine="420"/>
              <w:jc w:val="left"/>
              <w:rPr>
                <w:rFonts w:hint="eastAsia"/>
                <w:color w:val="auto"/>
                <w:sz w:val="21"/>
              </w:rPr>
            </w:pPr>
            <w:r>
              <w:rPr>
                <w:rFonts w:hint="eastAsia"/>
                <w:color w:val="auto"/>
                <w:sz w:val="21"/>
              </w:rPr>
              <w:t>3.使用的工具放入袋内，不准口含铁钉，玻璃安装完即将风钩挂好。</w:t>
            </w:r>
          </w:p>
          <w:p w14:paraId="009B2348">
            <w:pPr>
              <w:spacing w:line="240" w:lineRule="auto"/>
              <w:ind w:firstLine="420"/>
              <w:jc w:val="left"/>
              <w:rPr>
                <w:rFonts w:hint="eastAsia"/>
                <w:color w:val="auto"/>
                <w:sz w:val="21"/>
              </w:rPr>
            </w:pPr>
            <w:r>
              <w:rPr>
                <w:rFonts w:hint="eastAsia"/>
                <w:color w:val="auto"/>
                <w:sz w:val="21"/>
              </w:rPr>
              <w:t>4.做好防火工作。在有焊接作业前，到项目部安监部门开据动火证，使我们的作业范围和时间，在总体的安全掌控之中；在龙骨安装过程中有焊接作业，在焊接作业时应有看火人，现场有灭火装置（灭火器或装盛灭火用水的水桶），在焊接作业前清理下方地可燃物质，并且在焊接作业的下方设置接火装置。</w:t>
            </w:r>
          </w:p>
          <w:p w14:paraId="48522879">
            <w:pPr>
              <w:spacing w:line="240" w:lineRule="auto"/>
              <w:ind w:firstLine="420"/>
              <w:jc w:val="left"/>
              <w:rPr>
                <w:rFonts w:hint="eastAsia"/>
                <w:color w:val="auto"/>
                <w:sz w:val="21"/>
              </w:rPr>
            </w:pPr>
            <w:r>
              <w:rPr>
                <w:rFonts w:hint="eastAsia"/>
                <w:color w:val="auto"/>
                <w:sz w:val="21"/>
              </w:rPr>
              <w:t>5.手持电动工具在使用前检查外壳、手柄、插头、开关、漏电、漏电保护器、保护接零是否完好有效。</w:t>
            </w:r>
          </w:p>
          <w:p w14:paraId="3B1692B3">
            <w:pPr>
              <w:spacing w:line="240" w:lineRule="auto"/>
              <w:ind w:firstLine="420"/>
              <w:jc w:val="left"/>
              <w:rPr>
                <w:rFonts w:hint="eastAsia"/>
                <w:color w:val="auto"/>
                <w:sz w:val="21"/>
              </w:rPr>
            </w:pPr>
            <w:r>
              <w:rPr>
                <w:rFonts w:hint="eastAsia"/>
                <w:color w:val="auto"/>
                <w:sz w:val="21"/>
              </w:rPr>
              <w:t>6.操作时握持要稳，戴绝缘手套、穿绝缘鞋，用力均匀，不得使劲过猛，防止钻头或部件损坏伤人。</w:t>
            </w:r>
          </w:p>
        </w:tc>
      </w:tr>
    </w:tbl>
    <w:p w14:paraId="297660A3">
      <w:pPr>
        <w:pStyle w:val="5"/>
        <w:rPr>
          <w:rFonts w:hint="eastAsia"/>
          <w:color w:val="auto"/>
        </w:rPr>
      </w:pPr>
      <w:bookmarkStart w:id="420" w:name="_Toc202510613"/>
      <w:bookmarkEnd w:id="420"/>
      <w:bookmarkStart w:id="421" w:name="_Toc21642"/>
      <w:r>
        <w:rPr>
          <w:rFonts w:hint="eastAsia"/>
          <w:color w:val="auto"/>
        </w:rPr>
        <w:t>交叉施工安全管理</w:t>
      </w:r>
      <w:bookmarkEnd w:id="421"/>
    </w:p>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6"/>
        <w:gridCol w:w="830"/>
        <w:gridCol w:w="7574"/>
      </w:tblGrid>
      <w:tr w14:paraId="6DDA0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2" w:type="pct"/>
            <w:tcBorders>
              <w:top w:val="single" w:color="auto" w:sz="4" w:space="0"/>
              <w:left w:val="single" w:color="auto" w:sz="4" w:space="0"/>
              <w:bottom w:val="single" w:color="auto" w:sz="4" w:space="0"/>
              <w:right w:val="single" w:color="auto" w:sz="4" w:space="0"/>
            </w:tcBorders>
            <w:vAlign w:val="center"/>
          </w:tcPr>
          <w:p w14:paraId="06C545ED">
            <w:pPr>
              <w:spacing w:line="240" w:lineRule="auto"/>
              <w:ind w:firstLine="0" w:firstLineChars="0"/>
              <w:jc w:val="center"/>
              <w:rPr>
                <w:rFonts w:hint="eastAsia"/>
                <w:color w:val="auto"/>
                <w:sz w:val="21"/>
              </w:rPr>
            </w:pPr>
            <w:r>
              <w:rPr>
                <w:rFonts w:hint="eastAsia"/>
                <w:color w:val="auto"/>
                <w:sz w:val="21"/>
              </w:rPr>
              <w:t>序号</w:t>
            </w:r>
          </w:p>
        </w:tc>
        <w:tc>
          <w:tcPr>
            <w:tcW w:w="458" w:type="pct"/>
            <w:tcBorders>
              <w:top w:val="single" w:color="auto" w:sz="4" w:space="0"/>
              <w:left w:val="single" w:color="auto" w:sz="4" w:space="0"/>
              <w:bottom w:val="single" w:color="auto" w:sz="4" w:space="0"/>
              <w:right w:val="single" w:color="auto" w:sz="4" w:space="0"/>
            </w:tcBorders>
            <w:vAlign w:val="center"/>
          </w:tcPr>
          <w:p w14:paraId="42B8A8A7">
            <w:pPr>
              <w:spacing w:line="240" w:lineRule="auto"/>
              <w:ind w:firstLine="0" w:firstLineChars="0"/>
              <w:jc w:val="center"/>
              <w:rPr>
                <w:rFonts w:hint="eastAsia"/>
                <w:color w:val="auto"/>
                <w:sz w:val="21"/>
              </w:rPr>
            </w:pPr>
            <w:r>
              <w:rPr>
                <w:rFonts w:hint="eastAsia"/>
                <w:color w:val="auto"/>
                <w:sz w:val="21"/>
              </w:rPr>
              <w:t>项目</w:t>
            </w:r>
          </w:p>
        </w:tc>
        <w:tc>
          <w:tcPr>
            <w:tcW w:w="4179" w:type="pct"/>
            <w:tcBorders>
              <w:top w:val="single" w:color="auto" w:sz="4" w:space="0"/>
              <w:left w:val="single" w:color="auto" w:sz="4" w:space="0"/>
              <w:bottom w:val="single" w:color="auto" w:sz="4" w:space="0"/>
              <w:right w:val="single" w:color="auto" w:sz="4" w:space="0"/>
            </w:tcBorders>
            <w:vAlign w:val="center"/>
          </w:tcPr>
          <w:p w14:paraId="471C89A2">
            <w:pPr>
              <w:spacing w:line="240" w:lineRule="auto"/>
              <w:ind w:firstLine="0" w:firstLineChars="0"/>
              <w:jc w:val="center"/>
              <w:rPr>
                <w:rFonts w:hint="eastAsia"/>
                <w:color w:val="auto"/>
                <w:sz w:val="21"/>
              </w:rPr>
            </w:pPr>
            <w:r>
              <w:rPr>
                <w:rFonts w:hint="eastAsia"/>
                <w:color w:val="auto"/>
                <w:sz w:val="21"/>
              </w:rPr>
              <w:t>措施内容</w:t>
            </w:r>
          </w:p>
        </w:tc>
      </w:tr>
      <w:tr w14:paraId="3B5C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62" w:type="pct"/>
            <w:tcBorders>
              <w:top w:val="single" w:color="auto" w:sz="4" w:space="0"/>
              <w:left w:val="single" w:color="auto" w:sz="4" w:space="0"/>
              <w:bottom w:val="single" w:color="auto" w:sz="4" w:space="0"/>
              <w:right w:val="single" w:color="auto" w:sz="4" w:space="0"/>
            </w:tcBorders>
            <w:vAlign w:val="center"/>
          </w:tcPr>
          <w:p w14:paraId="3A798885">
            <w:pPr>
              <w:spacing w:line="240" w:lineRule="auto"/>
              <w:ind w:firstLine="0" w:firstLineChars="0"/>
              <w:jc w:val="center"/>
              <w:rPr>
                <w:rFonts w:hint="eastAsia"/>
                <w:color w:val="auto"/>
                <w:sz w:val="21"/>
              </w:rPr>
            </w:pPr>
            <w:r>
              <w:rPr>
                <w:rFonts w:hint="eastAsia"/>
                <w:color w:val="auto"/>
                <w:sz w:val="21"/>
              </w:rPr>
              <w:t>1</w:t>
            </w:r>
          </w:p>
        </w:tc>
        <w:tc>
          <w:tcPr>
            <w:tcW w:w="458" w:type="pct"/>
            <w:tcBorders>
              <w:top w:val="single" w:color="auto" w:sz="4" w:space="0"/>
              <w:left w:val="single" w:color="auto" w:sz="4" w:space="0"/>
              <w:bottom w:val="single" w:color="auto" w:sz="4" w:space="0"/>
              <w:right w:val="single" w:color="auto" w:sz="4" w:space="0"/>
            </w:tcBorders>
            <w:vAlign w:val="center"/>
          </w:tcPr>
          <w:p w14:paraId="1D4A6723">
            <w:pPr>
              <w:spacing w:line="240" w:lineRule="auto"/>
              <w:ind w:firstLine="0" w:firstLineChars="0"/>
              <w:jc w:val="center"/>
              <w:rPr>
                <w:rFonts w:hint="eastAsia"/>
                <w:color w:val="auto"/>
                <w:sz w:val="21"/>
              </w:rPr>
            </w:pPr>
            <w:r>
              <w:rPr>
                <w:rFonts w:hint="eastAsia"/>
                <w:color w:val="auto"/>
                <w:sz w:val="21"/>
              </w:rPr>
              <w:t>施工工序</w:t>
            </w:r>
          </w:p>
        </w:tc>
        <w:tc>
          <w:tcPr>
            <w:tcW w:w="4179" w:type="pct"/>
            <w:tcBorders>
              <w:top w:val="single" w:color="auto" w:sz="4" w:space="0"/>
              <w:left w:val="single" w:color="auto" w:sz="4" w:space="0"/>
              <w:bottom w:val="single" w:color="auto" w:sz="4" w:space="0"/>
              <w:right w:val="single" w:color="auto" w:sz="4" w:space="0"/>
            </w:tcBorders>
            <w:vAlign w:val="center"/>
          </w:tcPr>
          <w:p w14:paraId="473D358E">
            <w:pPr>
              <w:spacing w:line="240" w:lineRule="auto"/>
              <w:ind w:firstLine="420"/>
              <w:jc w:val="left"/>
              <w:rPr>
                <w:rFonts w:hint="eastAsia"/>
                <w:color w:val="auto"/>
                <w:sz w:val="21"/>
              </w:rPr>
            </w:pPr>
            <w:r>
              <w:rPr>
                <w:rFonts w:hint="eastAsia"/>
                <w:color w:val="auto"/>
                <w:sz w:val="21"/>
              </w:rPr>
              <w:t>1.主体施工阶段土建与安装预留预埋的交叉，结构与粗装修、幕墙的交叉。</w:t>
            </w:r>
          </w:p>
          <w:p w14:paraId="06E2BF3E">
            <w:pPr>
              <w:spacing w:line="240" w:lineRule="auto"/>
              <w:ind w:firstLine="420"/>
              <w:jc w:val="left"/>
              <w:rPr>
                <w:rFonts w:hint="eastAsia"/>
                <w:color w:val="auto"/>
                <w:sz w:val="21"/>
              </w:rPr>
            </w:pPr>
            <w:r>
              <w:rPr>
                <w:rFonts w:hint="eastAsia"/>
                <w:color w:val="auto"/>
                <w:sz w:val="21"/>
              </w:rPr>
              <w:t>2.装饰施工过程中，机电管线敷设穿插施工。</w:t>
            </w:r>
          </w:p>
          <w:p w14:paraId="07DA5C33">
            <w:pPr>
              <w:spacing w:line="240" w:lineRule="auto"/>
              <w:ind w:firstLine="420"/>
              <w:jc w:val="left"/>
              <w:rPr>
                <w:rFonts w:hint="eastAsia"/>
                <w:color w:val="auto"/>
                <w:sz w:val="21"/>
              </w:rPr>
            </w:pPr>
            <w:r>
              <w:rPr>
                <w:rFonts w:hint="eastAsia"/>
                <w:color w:val="auto"/>
                <w:sz w:val="21"/>
              </w:rPr>
              <w:t>3.交叉施工时主要考虑的是防止发生对成品的破坏以及安全事故，进而影响工期。</w:t>
            </w:r>
          </w:p>
          <w:p w14:paraId="203A331D">
            <w:pPr>
              <w:spacing w:line="240" w:lineRule="auto"/>
              <w:ind w:firstLine="420"/>
              <w:jc w:val="left"/>
              <w:rPr>
                <w:rFonts w:hint="eastAsia"/>
                <w:color w:val="auto"/>
                <w:sz w:val="21"/>
              </w:rPr>
            </w:pPr>
            <w:r>
              <w:rPr>
                <w:rFonts w:hint="eastAsia"/>
                <w:color w:val="auto"/>
                <w:sz w:val="21"/>
              </w:rPr>
              <w:t>4. 工程总承包管理部由专职人员负责对现场工作环境进行时时跟踪现场，预见与现场观察相结合，一旦发现具备交叉施工条件，立即在最短时间内安排资源组织施工。</w:t>
            </w:r>
          </w:p>
          <w:p w14:paraId="1ED2C942">
            <w:pPr>
              <w:spacing w:line="240" w:lineRule="auto"/>
              <w:ind w:firstLine="420"/>
              <w:jc w:val="left"/>
              <w:rPr>
                <w:rFonts w:hint="eastAsia"/>
                <w:color w:val="auto"/>
                <w:sz w:val="21"/>
              </w:rPr>
            </w:pPr>
            <w:r>
              <w:rPr>
                <w:rFonts w:hint="eastAsia"/>
                <w:color w:val="auto"/>
                <w:sz w:val="21"/>
              </w:rPr>
              <w:t>5.交叉施工时，上方临边防护需设置到位，防止高处坠物伤人。</w:t>
            </w:r>
          </w:p>
          <w:p w14:paraId="5B5E1352">
            <w:pPr>
              <w:spacing w:line="240" w:lineRule="auto"/>
              <w:ind w:firstLine="420"/>
              <w:jc w:val="left"/>
              <w:rPr>
                <w:rFonts w:hint="eastAsia"/>
                <w:color w:val="auto"/>
                <w:sz w:val="21"/>
              </w:rPr>
            </w:pPr>
            <w:r>
              <w:rPr>
                <w:rFonts w:hint="eastAsia"/>
                <w:color w:val="auto"/>
                <w:sz w:val="21"/>
              </w:rPr>
              <w:t>6.交叉施工不宜上下在同一垂直方向上的作业。下层作业的位置，宜处于上层高度可能坠落半径范围以外，当不能满足要求时，应设置安全防护层。</w:t>
            </w:r>
          </w:p>
          <w:p w14:paraId="67B31330">
            <w:pPr>
              <w:spacing w:line="240" w:lineRule="auto"/>
              <w:ind w:firstLine="420"/>
              <w:jc w:val="left"/>
              <w:rPr>
                <w:rFonts w:hint="eastAsia"/>
                <w:color w:val="auto"/>
                <w:sz w:val="21"/>
              </w:rPr>
            </w:pPr>
            <w:r>
              <w:rPr>
                <w:rFonts w:hint="eastAsia"/>
                <w:color w:val="auto"/>
                <w:sz w:val="21"/>
              </w:rPr>
              <w:t>7.尽量避免同一作业范围内安排交叉施工的工序同时在夜间进行，如确需交叉施工时，必须细化作业范围，采取防止交叉施工安全问题的针对性措施。</w:t>
            </w:r>
          </w:p>
        </w:tc>
      </w:tr>
      <w:tr w14:paraId="3FF17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62" w:type="pct"/>
            <w:tcBorders>
              <w:top w:val="single" w:color="auto" w:sz="4" w:space="0"/>
              <w:left w:val="single" w:color="auto" w:sz="4" w:space="0"/>
              <w:bottom w:val="single" w:color="auto" w:sz="4" w:space="0"/>
              <w:right w:val="single" w:color="auto" w:sz="4" w:space="0"/>
            </w:tcBorders>
            <w:vAlign w:val="center"/>
          </w:tcPr>
          <w:p w14:paraId="3A88F837">
            <w:pPr>
              <w:spacing w:line="240" w:lineRule="auto"/>
              <w:ind w:firstLine="0" w:firstLineChars="0"/>
              <w:jc w:val="center"/>
              <w:rPr>
                <w:rFonts w:hint="eastAsia"/>
                <w:color w:val="auto"/>
                <w:sz w:val="21"/>
              </w:rPr>
            </w:pPr>
            <w:r>
              <w:rPr>
                <w:rFonts w:hint="eastAsia"/>
                <w:color w:val="auto"/>
                <w:sz w:val="21"/>
              </w:rPr>
              <w:t>2</w:t>
            </w:r>
          </w:p>
        </w:tc>
        <w:tc>
          <w:tcPr>
            <w:tcW w:w="458" w:type="pct"/>
            <w:tcBorders>
              <w:top w:val="single" w:color="auto" w:sz="4" w:space="0"/>
              <w:left w:val="single" w:color="auto" w:sz="4" w:space="0"/>
              <w:bottom w:val="single" w:color="auto" w:sz="4" w:space="0"/>
              <w:right w:val="single" w:color="auto" w:sz="4" w:space="0"/>
            </w:tcBorders>
            <w:vAlign w:val="center"/>
          </w:tcPr>
          <w:p w14:paraId="725B0CF1">
            <w:pPr>
              <w:spacing w:line="240" w:lineRule="auto"/>
              <w:ind w:firstLine="0" w:firstLineChars="0"/>
              <w:jc w:val="center"/>
              <w:rPr>
                <w:rFonts w:hint="eastAsia"/>
                <w:color w:val="auto"/>
                <w:sz w:val="21"/>
              </w:rPr>
            </w:pPr>
            <w:r>
              <w:rPr>
                <w:rFonts w:hint="eastAsia"/>
                <w:color w:val="auto"/>
                <w:sz w:val="21"/>
              </w:rPr>
              <w:t>施工区域</w:t>
            </w:r>
          </w:p>
        </w:tc>
        <w:tc>
          <w:tcPr>
            <w:tcW w:w="4179" w:type="pct"/>
            <w:tcBorders>
              <w:top w:val="single" w:color="auto" w:sz="4" w:space="0"/>
              <w:left w:val="single" w:color="auto" w:sz="4" w:space="0"/>
              <w:bottom w:val="single" w:color="auto" w:sz="4" w:space="0"/>
              <w:right w:val="single" w:color="auto" w:sz="4" w:space="0"/>
            </w:tcBorders>
            <w:vAlign w:val="center"/>
          </w:tcPr>
          <w:p w14:paraId="7F2EAABC">
            <w:pPr>
              <w:spacing w:line="240" w:lineRule="auto"/>
              <w:ind w:firstLine="420"/>
              <w:jc w:val="left"/>
              <w:rPr>
                <w:rFonts w:hint="eastAsia"/>
                <w:color w:val="auto"/>
                <w:sz w:val="21"/>
              </w:rPr>
            </w:pPr>
            <w:r>
              <w:rPr>
                <w:rFonts w:hint="eastAsia"/>
                <w:color w:val="auto"/>
                <w:sz w:val="21"/>
              </w:rPr>
              <w:t>1.深基坑施工时做好周边基坑临边防护，并平整周边土方施工，防止土方散落，禁止深基坑周边堆放材料。各区域设置专用的临时通道。</w:t>
            </w:r>
          </w:p>
          <w:p w14:paraId="6FADA534">
            <w:pPr>
              <w:spacing w:line="240" w:lineRule="auto"/>
              <w:ind w:firstLine="420"/>
              <w:jc w:val="left"/>
              <w:rPr>
                <w:rFonts w:hint="eastAsia"/>
                <w:color w:val="auto"/>
                <w:sz w:val="21"/>
              </w:rPr>
            </w:pPr>
            <w:r>
              <w:rPr>
                <w:rFonts w:hint="eastAsia"/>
                <w:color w:val="auto"/>
                <w:sz w:val="21"/>
              </w:rPr>
              <w:t>2.设置专职安全人员进行监督检查和协调。</w:t>
            </w:r>
          </w:p>
        </w:tc>
      </w:tr>
    </w:tbl>
    <w:p w14:paraId="50795235">
      <w:pPr>
        <w:pStyle w:val="5"/>
        <w:rPr>
          <w:rFonts w:hint="eastAsia"/>
          <w:color w:val="auto"/>
        </w:rPr>
      </w:pPr>
      <w:bookmarkStart w:id="422" w:name="_Toc202510614"/>
      <w:bookmarkEnd w:id="422"/>
      <w:bookmarkStart w:id="423" w:name="_Toc636"/>
      <w:r>
        <w:rPr>
          <w:rFonts w:hint="eastAsia"/>
          <w:color w:val="auto"/>
        </w:rPr>
        <w:t>高空作业安全管理</w:t>
      </w:r>
      <w:bookmarkEnd w:id="423"/>
    </w:p>
    <w:p w14:paraId="3BB2CBE6">
      <w:pPr>
        <w:rPr>
          <w:rFonts w:hint="eastAsia"/>
          <w:color w:val="auto"/>
        </w:rPr>
      </w:pPr>
      <w:r>
        <w:rPr>
          <w:rFonts w:hint="eastAsia"/>
          <w:color w:val="auto"/>
        </w:rPr>
        <w:t>凡在坠落高度基准面2m以上（含2m）有可能坠落的高处进行作业，都称为高处作业。在高处作业中凡从事临边、洞口、攀登、悬空、操作平台及交叉等项作业时，都须按照《建筑施工高处作业安全技术规范》（JGJ80—2016）有关规定执行。</w:t>
      </w:r>
    </w:p>
    <w:p w14:paraId="4D79DC80">
      <w:pPr>
        <w:rPr>
          <w:rFonts w:hint="eastAsia"/>
          <w:color w:val="auto"/>
        </w:rPr>
      </w:pPr>
      <w:r>
        <w:rPr>
          <w:rFonts w:hint="eastAsia"/>
          <w:color w:val="auto"/>
        </w:rPr>
        <w:t>高空作业安全措施如下：</w:t>
      </w:r>
    </w:p>
    <w:tbl>
      <w:tblPr>
        <w:tblStyle w:val="29"/>
        <w:tblW w:w="0" w:type="auto"/>
        <w:tblInd w:w="0" w:type="dxa"/>
        <w:tblLayout w:type="fixed"/>
        <w:tblCellMar>
          <w:top w:w="0" w:type="dxa"/>
          <w:left w:w="108" w:type="dxa"/>
          <w:bottom w:w="0" w:type="dxa"/>
          <w:right w:w="108" w:type="dxa"/>
        </w:tblCellMar>
      </w:tblPr>
      <w:tblGrid>
        <w:gridCol w:w="675"/>
        <w:gridCol w:w="8611"/>
      </w:tblGrid>
      <w:tr w14:paraId="17BA45C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4A74100">
            <w:pPr>
              <w:spacing w:line="240" w:lineRule="auto"/>
              <w:ind w:firstLine="0" w:firstLineChars="0"/>
              <w:jc w:val="center"/>
              <w:rPr>
                <w:rFonts w:hint="eastAsia"/>
                <w:color w:val="auto"/>
                <w:sz w:val="21"/>
              </w:rPr>
            </w:pPr>
            <w:r>
              <w:rPr>
                <w:rFonts w:hint="eastAsia"/>
                <w:color w:val="auto"/>
                <w:sz w:val="21"/>
              </w:rPr>
              <w:t>序号</w:t>
            </w:r>
          </w:p>
        </w:tc>
        <w:tc>
          <w:tcPr>
            <w:tcW w:w="8611" w:type="dxa"/>
            <w:tcBorders>
              <w:top w:val="single" w:color="auto" w:sz="4" w:space="0"/>
              <w:left w:val="nil"/>
              <w:bottom w:val="single" w:color="auto" w:sz="4" w:space="0"/>
              <w:right w:val="single" w:color="auto" w:sz="4" w:space="0"/>
            </w:tcBorders>
            <w:vAlign w:val="center"/>
          </w:tcPr>
          <w:p w14:paraId="1FC9A28D">
            <w:pPr>
              <w:spacing w:line="240" w:lineRule="auto"/>
              <w:ind w:firstLine="0" w:firstLineChars="0"/>
              <w:jc w:val="center"/>
              <w:rPr>
                <w:rFonts w:hint="eastAsia"/>
                <w:color w:val="auto"/>
                <w:sz w:val="21"/>
              </w:rPr>
            </w:pPr>
            <w:r>
              <w:rPr>
                <w:rFonts w:hint="eastAsia"/>
                <w:color w:val="auto"/>
                <w:sz w:val="21"/>
              </w:rPr>
              <w:t>具体措施</w:t>
            </w:r>
          </w:p>
        </w:tc>
      </w:tr>
      <w:tr w14:paraId="2A32E555">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6F8656D">
            <w:pPr>
              <w:spacing w:line="240" w:lineRule="auto"/>
              <w:ind w:firstLine="0" w:firstLineChars="0"/>
              <w:jc w:val="center"/>
              <w:rPr>
                <w:rFonts w:hint="eastAsia"/>
                <w:color w:val="auto"/>
                <w:sz w:val="21"/>
              </w:rPr>
            </w:pPr>
            <w:r>
              <w:rPr>
                <w:rFonts w:hint="eastAsia"/>
                <w:color w:val="auto"/>
                <w:sz w:val="21"/>
              </w:rPr>
              <w:t>1</w:t>
            </w:r>
          </w:p>
        </w:tc>
        <w:tc>
          <w:tcPr>
            <w:tcW w:w="8611" w:type="dxa"/>
            <w:tcBorders>
              <w:top w:val="single" w:color="auto" w:sz="4" w:space="0"/>
              <w:left w:val="nil"/>
              <w:bottom w:val="single" w:color="auto" w:sz="4" w:space="0"/>
              <w:right w:val="single" w:color="auto" w:sz="4" w:space="0"/>
            </w:tcBorders>
            <w:vAlign w:val="center"/>
          </w:tcPr>
          <w:p w14:paraId="1B7C0A47">
            <w:pPr>
              <w:spacing w:line="240" w:lineRule="auto"/>
              <w:ind w:firstLine="420"/>
              <w:jc w:val="left"/>
              <w:rPr>
                <w:rFonts w:hint="eastAsia"/>
                <w:color w:val="auto"/>
                <w:sz w:val="21"/>
              </w:rPr>
            </w:pPr>
            <w:r>
              <w:rPr>
                <w:rFonts w:hint="eastAsia"/>
                <w:color w:val="auto"/>
                <w:sz w:val="21"/>
              </w:rPr>
              <w:t>从事高空作业的人员，开工前和施工中定期进行体检，患有恐高症、心脏病、高血压、精神病、癫痫病等不适合从事高处作业的人员，严禁上岗作业。</w:t>
            </w:r>
          </w:p>
        </w:tc>
      </w:tr>
      <w:tr w14:paraId="3B9B9A3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626E164">
            <w:pPr>
              <w:spacing w:line="240" w:lineRule="auto"/>
              <w:ind w:firstLine="0" w:firstLineChars="0"/>
              <w:jc w:val="center"/>
              <w:rPr>
                <w:rFonts w:hint="eastAsia"/>
                <w:color w:val="auto"/>
                <w:sz w:val="21"/>
              </w:rPr>
            </w:pPr>
            <w:r>
              <w:rPr>
                <w:rFonts w:hint="eastAsia"/>
                <w:color w:val="auto"/>
                <w:sz w:val="21"/>
              </w:rPr>
              <w:t>2</w:t>
            </w:r>
          </w:p>
        </w:tc>
        <w:tc>
          <w:tcPr>
            <w:tcW w:w="8611" w:type="dxa"/>
            <w:tcBorders>
              <w:top w:val="single" w:color="auto" w:sz="4" w:space="0"/>
              <w:left w:val="nil"/>
              <w:bottom w:val="single" w:color="auto" w:sz="4" w:space="0"/>
              <w:right w:val="single" w:color="auto" w:sz="4" w:space="0"/>
            </w:tcBorders>
            <w:vAlign w:val="center"/>
          </w:tcPr>
          <w:p w14:paraId="0D32F364">
            <w:pPr>
              <w:spacing w:line="240" w:lineRule="auto"/>
              <w:ind w:firstLine="420"/>
              <w:jc w:val="left"/>
              <w:rPr>
                <w:rFonts w:hint="eastAsia"/>
                <w:color w:val="auto"/>
                <w:sz w:val="21"/>
              </w:rPr>
            </w:pPr>
            <w:r>
              <w:rPr>
                <w:rFonts w:hint="eastAsia"/>
                <w:color w:val="auto"/>
                <w:sz w:val="21"/>
              </w:rPr>
              <w:t>严禁酒后登高作业。高空作业人员必须戴安全帽、系安全带、穿防滑鞋，施工人员所持工具必须用绳挂在工具栏内，防止坠落伤人。</w:t>
            </w:r>
          </w:p>
        </w:tc>
      </w:tr>
      <w:tr w14:paraId="6CAA7159">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9FAADD9">
            <w:pPr>
              <w:spacing w:line="240" w:lineRule="auto"/>
              <w:ind w:firstLine="0" w:firstLineChars="0"/>
              <w:jc w:val="center"/>
              <w:rPr>
                <w:rFonts w:hint="eastAsia"/>
                <w:color w:val="auto"/>
                <w:sz w:val="21"/>
              </w:rPr>
            </w:pPr>
            <w:r>
              <w:rPr>
                <w:rFonts w:hint="eastAsia"/>
                <w:color w:val="auto"/>
                <w:sz w:val="21"/>
              </w:rPr>
              <w:t>3</w:t>
            </w:r>
          </w:p>
        </w:tc>
        <w:tc>
          <w:tcPr>
            <w:tcW w:w="8611" w:type="dxa"/>
            <w:tcBorders>
              <w:top w:val="single" w:color="auto" w:sz="4" w:space="0"/>
              <w:left w:val="nil"/>
              <w:bottom w:val="single" w:color="auto" w:sz="4" w:space="0"/>
              <w:right w:val="single" w:color="auto" w:sz="4" w:space="0"/>
            </w:tcBorders>
            <w:vAlign w:val="center"/>
          </w:tcPr>
          <w:p w14:paraId="5629BE99">
            <w:pPr>
              <w:spacing w:line="240" w:lineRule="auto"/>
              <w:ind w:firstLine="420"/>
              <w:jc w:val="left"/>
              <w:rPr>
                <w:rFonts w:hint="eastAsia"/>
                <w:color w:val="auto"/>
                <w:sz w:val="21"/>
              </w:rPr>
            </w:pPr>
            <w:r>
              <w:rPr>
                <w:rFonts w:hint="eastAsia"/>
                <w:color w:val="auto"/>
                <w:sz w:val="21"/>
              </w:rPr>
              <w:t>悬空高处作业必须设有可靠的安全防护措施。悬空高处作业包括：在开放形结构上施工，如高处搭设脚手架等；在无防护的边缘上作业；在受限制的高处或不稳定的高处作业；在没有立足点或没有牢靠立足点的地方作业等；高处作业要设置安全标志。</w:t>
            </w:r>
          </w:p>
        </w:tc>
      </w:tr>
      <w:tr w14:paraId="1653425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0C1E71E">
            <w:pPr>
              <w:spacing w:line="240" w:lineRule="auto"/>
              <w:ind w:firstLine="0" w:firstLineChars="0"/>
              <w:jc w:val="center"/>
              <w:rPr>
                <w:rFonts w:hint="eastAsia"/>
                <w:color w:val="auto"/>
                <w:sz w:val="21"/>
              </w:rPr>
            </w:pPr>
            <w:r>
              <w:rPr>
                <w:rFonts w:hint="eastAsia"/>
                <w:color w:val="auto"/>
                <w:sz w:val="21"/>
              </w:rPr>
              <w:t>4</w:t>
            </w:r>
          </w:p>
        </w:tc>
        <w:tc>
          <w:tcPr>
            <w:tcW w:w="8611" w:type="dxa"/>
            <w:tcBorders>
              <w:top w:val="single" w:color="auto" w:sz="4" w:space="0"/>
              <w:left w:val="nil"/>
              <w:bottom w:val="single" w:color="auto" w:sz="4" w:space="0"/>
              <w:right w:val="single" w:color="auto" w:sz="4" w:space="0"/>
            </w:tcBorders>
            <w:vAlign w:val="center"/>
          </w:tcPr>
          <w:p w14:paraId="41012E49">
            <w:pPr>
              <w:spacing w:line="240" w:lineRule="auto"/>
              <w:ind w:firstLine="420"/>
              <w:jc w:val="left"/>
              <w:rPr>
                <w:rFonts w:hint="eastAsia"/>
                <w:color w:val="auto"/>
                <w:sz w:val="21"/>
              </w:rPr>
            </w:pPr>
            <w:r>
              <w:rPr>
                <w:rFonts w:hint="eastAsia"/>
                <w:color w:val="auto"/>
                <w:sz w:val="21"/>
              </w:rPr>
              <w:t>高处作业所用的梯子不得缺档和垫高，同一架梯子不得二人同时上下，在通道处（或平台）使用梯子应设置围栏。</w:t>
            </w:r>
          </w:p>
        </w:tc>
      </w:tr>
      <w:tr w14:paraId="6F23387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6FAF338">
            <w:pPr>
              <w:spacing w:line="240" w:lineRule="auto"/>
              <w:ind w:firstLine="0" w:firstLineChars="0"/>
              <w:jc w:val="center"/>
              <w:rPr>
                <w:rFonts w:hint="eastAsia"/>
                <w:color w:val="auto"/>
                <w:sz w:val="21"/>
              </w:rPr>
            </w:pPr>
            <w:r>
              <w:rPr>
                <w:rFonts w:hint="eastAsia"/>
                <w:color w:val="auto"/>
                <w:sz w:val="21"/>
              </w:rPr>
              <w:t>5</w:t>
            </w:r>
          </w:p>
        </w:tc>
        <w:tc>
          <w:tcPr>
            <w:tcW w:w="8611" w:type="dxa"/>
            <w:tcBorders>
              <w:top w:val="single" w:color="auto" w:sz="4" w:space="0"/>
              <w:left w:val="nil"/>
              <w:bottom w:val="single" w:color="auto" w:sz="4" w:space="0"/>
              <w:right w:val="single" w:color="auto" w:sz="4" w:space="0"/>
            </w:tcBorders>
            <w:vAlign w:val="center"/>
          </w:tcPr>
          <w:p w14:paraId="4AFAC854">
            <w:pPr>
              <w:spacing w:line="240" w:lineRule="auto"/>
              <w:ind w:firstLine="420"/>
              <w:jc w:val="left"/>
              <w:rPr>
                <w:rFonts w:hint="eastAsia"/>
                <w:color w:val="auto"/>
                <w:sz w:val="21"/>
              </w:rPr>
            </w:pPr>
            <w:r>
              <w:rPr>
                <w:rFonts w:hint="eastAsia"/>
                <w:color w:val="auto"/>
                <w:sz w:val="21"/>
              </w:rPr>
              <w:t>高处作业人员在上下时，必须从指定的路线上下。</w:t>
            </w:r>
          </w:p>
        </w:tc>
      </w:tr>
      <w:tr w14:paraId="73DD990A">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2B1E4B8">
            <w:pPr>
              <w:spacing w:line="240" w:lineRule="auto"/>
              <w:ind w:firstLine="0" w:firstLineChars="0"/>
              <w:jc w:val="center"/>
              <w:rPr>
                <w:rFonts w:hint="eastAsia"/>
                <w:color w:val="auto"/>
                <w:sz w:val="21"/>
              </w:rPr>
            </w:pPr>
            <w:r>
              <w:rPr>
                <w:rFonts w:hint="eastAsia"/>
                <w:color w:val="auto"/>
                <w:sz w:val="21"/>
              </w:rPr>
              <w:t>6</w:t>
            </w:r>
          </w:p>
        </w:tc>
        <w:tc>
          <w:tcPr>
            <w:tcW w:w="8611" w:type="dxa"/>
            <w:tcBorders>
              <w:top w:val="single" w:color="auto" w:sz="4" w:space="0"/>
              <w:left w:val="nil"/>
              <w:bottom w:val="single" w:color="auto" w:sz="4" w:space="0"/>
              <w:right w:val="single" w:color="auto" w:sz="4" w:space="0"/>
            </w:tcBorders>
            <w:vAlign w:val="center"/>
          </w:tcPr>
          <w:p w14:paraId="63A203BD">
            <w:pPr>
              <w:spacing w:line="240" w:lineRule="auto"/>
              <w:ind w:firstLine="420"/>
              <w:jc w:val="left"/>
              <w:rPr>
                <w:rFonts w:hint="eastAsia"/>
                <w:color w:val="auto"/>
                <w:sz w:val="21"/>
              </w:rPr>
            </w:pPr>
            <w:r>
              <w:rPr>
                <w:rFonts w:hint="eastAsia"/>
                <w:color w:val="auto"/>
                <w:sz w:val="21"/>
              </w:rPr>
              <w:t>进行高处焊接、氧割作业时，必须事先清除火星飞溅范围的易燃易爆品。</w:t>
            </w:r>
          </w:p>
        </w:tc>
      </w:tr>
      <w:tr w14:paraId="72BC0A6A">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0FE2FC5">
            <w:pPr>
              <w:spacing w:line="240" w:lineRule="auto"/>
              <w:ind w:firstLine="0" w:firstLineChars="0"/>
              <w:jc w:val="center"/>
              <w:rPr>
                <w:rFonts w:hint="eastAsia"/>
                <w:color w:val="auto"/>
                <w:sz w:val="21"/>
              </w:rPr>
            </w:pPr>
            <w:r>
              <w:rPr>
                <w:rFonts w:hint="eastAsia"/>
                <w:color w:val="auto"/>
                <w:sz w:val="21"/>
              </w:rPr>
              <w:t>7</w:t>
            </w:r>
          </w:p>
        </w:tc>
        <w:tc>
          <w:tcPr>
            <w:tcW w:w="8611" w:type="dxa"/>
            <w:tcBorders>
              <w:top w:val="single" w:color="auto" w:sz="4" w:space="0"/>
              <w:left w:val="nil"/>
              <w:bottom w:val="single" w:color="auto" w:sz="4" w:space="0"/>
              <w:right w:val="single" w:color="auto" w:sz="4" w:space="0"/>
            </w:tcBorders>
            <w:vAlign w:val="center"/>
          </w:tcPr>
          <w:p w14:paraId="303D9A2B">
            <w:pPr>
              <w:spacing w:line="240" w:lineRule="auto"/>
              <w:ind w:firstLine="420"/>
              <w:jc w:val="left"/>
              <w:rPr>
                <w:rFonts w:hint="eastAsia"/>
                <w:color w:val="auto"/>
                <w:sz w:val="21"/>
              </w:rPr>
            </w:pPr>
            <w:r>
              <w:rPr>
                <w:rFonts w:hint="eastAsia"/>
                <w:color w:val="auto"/>
                <w:sz w:val="21"/>
              </w:rPr>
              <w:t>高空作业所用的工具、零件、材料等必须装入工具袋。工作完毕应及时将工具、零星材料、零部件等一切易坠落物件清理干净，以防落下伤人，上下大型零件时，应采用可靠的起吊机具。</w:t>
            </w:r>
          </w:p>
          <w:p w14:paraId="6E5FB4A4">
            <w:pPr>
              <w:spacing w:line="240" w:lineRule="auto"/>
              <w:ind w:firstLine="420"/>
              <w:jc w:val="left"/>
              <w:rPr>
                <w:rFonts w:hint="eastAsia"/>
                <w:color w:val="auto"/>
                <w:sz w:val="21"/>
              </w:rPr>
            </w:pPr>
            <w:r>
              <w:rPr>
                <w:rFonts w:hint="eastAsia"/>
                <w:color w:val="auto"/>
                <w:sz w:val="21"/>
              </w:rPr>
              <w:t>不准在高处投掷任何物件。不准将易滚、易滑的物件堆放在支架或爬架上，工具、材料要平稳固定。</w:t>
            </w:r>
          </w:p>
        </w:tc>
      </w:tr>
      <w:tr w14:paraId="25F21C3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F50F416">
            <w:pPr>
              <w:spacing w:line="240" w:lineRule="auto"/>
              <w:ind w:firstLine="0" w:firstLineChars="0"/>
              <w:jc w:val="center"/>
              <w:rPr>
                <w:rFonts w:hint="eastAsia"/>
                <w:color w:val="auto"/>
                <w:sz w:val="21"/>
              </w:rPr>
            </w:pPr>
            <w:r>
              <w:rPr>
                <w:rFonts w:hint="eastAsia"/>
                <w:color w:val="auto"/>
                <w:sz w:val="21"/>
              </w:rPr>
              <w:t>8</w:t>
            </w:r>
          </w:p>
        </w:tc>
        <w:tc>
          <w:tcPr>
            <w:tcW w:w="8611" w:type="dxa"/>
            <w:tcBorders>
              <w:top w:val="single" w:color="auto" w:sz="4" w:space="0"/>
              <w:left w:val="nil"/>
              <w:bottom w:val="single" w:color="auto" w:sz="4" w:space="0"/>
              <w:right w:val="single" w:color="auto" w:sz="4" w:space="0"/>
            </w:tcBorders>
            <w:vAlign w:val="center"/>
          </w:tcPr>
          <w:p w14:paraId="6828B486">
            <w:pPr>
              <w:spacing w:line="240" w:lineRule="auto"/>
              <w:ind w:firstLine="420"/>
              <w:jc w:val="left"/>
              <w:rPr>
                <w:rFonts w:hint="eastAsia"/>
                <w:color w:val="auto"/>
                <w:sz w:val="21"/>
              </w:rPr>
            </w:pPr>
            <w:r>
              <w:rPr>
                <w:rFonts w:hint="eastAsia"/>
                <w:color w:val="auto"/>
                <w:sz w:val="21"/>
              </w:rPr>
              <w:t>高处作业人员必须持证上岗。</w:t>
            </w:r>
          </w:p>
        </w:tc>
      </w:tr>
      <w:tr w14:paraId="4742671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15BA9A3">
            <w:pPr>
              <w:spacing w:line="240" w:lineRule="auto"/>
              <w:ind w:firstLine="0" w:firstLineChars="0"/>
              <w:jc w:val="center"/>
              <w:rPr>
                <w:rFonts w:hint="eastAsia"/>
                <w:color w:val="auto"/>
                <w:sz w:val="21"/>
              </w:rPr>
            </w:pPr>
            <w:r>
              <w:rPr>
                <w:rFonts w:hint="eastAsia"/>
                <w:color w:val="auto"/>
                <w:sz w:val="21"/>
              </w:rPr>
              <w:t>9</w:t>
            </w:r>
          </w:p>
        </w:tc>
        <w:tc>
          <w:tcPr>
            <w:tcW w:w="8611" w:type="dxa"/>
            <w:tcBorders>
              <w:top w:val="single" w:color="auto" w:sz="4" w:space="0"/>
              <w:left w:val="nil"/>
              <w:bottom w:val="single" w:color="auto" w:sz="4" w:space="0"/>
              <w:right w:val="single" w:color="auto" w:sz="4" w:space="0"/>
            </w:tcBorders>
            <w:vAlign w:val="center"/>
          </w:tcPr>
          <w:p w14:paraId="1AF201EA">
            <w:pPr>
              <w:spacing w:line="240" w:lineRule="auto"/>
              <w:ind w:firstLine="420"/>
              <w:jc w:val="left"/>
              <w:rPr>
                <w:rFonts w:hint="eastAsia"/>
                <w:color w:val="auto"/>
                <w:sz w:val="21"/>
              </w:rPr>
            </w:pPr>
            <w:r>
              <w:rPr>
                <w:rFonts w:hint="eastAsia"/>
                <w:color w:val="auto"/>
                <w:sz w:val="21"/>
              </w:rPr>
              <w:t>作业前，要对脚手架、工作台、通道、梯子、设备、工具等进行检查，确认完好，才准投入使用。发现缺陷隐患，应及时整改或报告领导处理。危及人身安全时，必须停止作业。</w:t>
            </w:r>
          </w:p>
        </w:tc>
      </w:tr>
      <w:tr w14:paraId="21CAE420">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53E23D4">
            <w:pPr>
              <w:spacing w:line="240" w:lineRule="auto"/>
              <w:ind w:firstLine="0" w:firstLineChars="0"/>
              <w:jc w:val="center"/>
              <w:rPr>
                <w:rFonts w:hint="eastAsia"/>
                <w:color w:val="auto"/>
                <w:sz w:val="21"/>
              </w:rPr>
            </w:pPr>
            <w:r>
              <w:rPr>
                <w:rFonts w:hint="eastAsia"/>
                <w:color w:val="auto"/>
                <w:sz w:val="21"/>
              </w:rPr>
              <w:t>10</w:t>
            </w:r>
          </w:p>
        </w:tc>
        <w:tc>
          <w:tcPr>
            <w:tcW w:w="8611" w:type="dxa"/>
            <w:tcBorders>
              <w:top w:val="single" w:color="auto" w:sz="4" w:space="0"/>
              <w:left w:val="nil"/>
              <w:bottom w:val="single" w:color="auto" w:sz="4" w:space="0"/>
              <w:right w:val="single" w:color="auto" w:sz="4" w:space="0"/>
            </w:tcBorders>
            <w:vAlign w:val="center"/>
          </w:tcPr>
          <w:p w14:paraId="72A5EF47">
            <w:pPr>
              <w:spacing w:line="240" w:lineRule="auto"/>
              <w:ind w:firstLine="420"/>
              <w:jc w:val="left"/>
              <w:rPr>
                <w:rFonts w:hint="eastAsia"/>
                <w:color w:val="auto"/>
                <w:sz w:val="21"/>
              </w:rPr>
            </w:pPr>
            <w:r>
              <w:rPr>
                <w:rFonts w:hint="eastAsia"/>
                <w:color w:val="auto"/>
                <w:sz w:val="21"/>
              </w:rPr>
              <w:t>施工过程中，若发现高处作业的安全设施有缺陷或隐患，务必及时报告并立即处理解决，对危及人身安全的隐患，应立即停止作业。所有安全防护设施和安全标志等到，任何人不得毁损或擅自移位和拆除。确因施工需要而暂时拆除或移位的都要报经安检部门后才能动手拆除，并在工作完毕后即行复原。</w:t>
            </w:r>
          </w:p>
        </w:tc>
      </w:tr>
    </w:tbl>
    <w:p w14:paraId="04FA6FB2">
      <w:pPr>
        <w:pStyle w:val="5"/>
        <w:rPr>
          <w:rFonts w:hint="eastAsia"/>
          <w:color w:val="auto"/>
        </w:rPr>
      </w:pPr>
      <w:bookmarkStart w:id="424" w:name="_Toc202510615"/>
      <w:bookmarkEnd w:id="424"/>
      <w:bookmarkStart w:id="425" w:name="_Toc7077"/>
      <w:r>
        <w:rPr>
          <w:rFonts w:hint="eastAsia"/>
          <w:color w:val="auto"/>
        </w:rPr>
        <w:t>起重吊装作业安全管理</w:t>
      </w:r>
      <w:bookmarkEnd w:id="425"/>
    </w:p>
    <w:tbl>
      <w:tblPr>
        <w:tblStyle w:val="29"/>
        <w:tblW w:w="9286" w:type="dxa"/>
        <w:tblInd w:w="0" w:type="dxa"/>
        <w:tblLayout w:type="fixed"/>
        <w:tblCellMar>
          <w:top w:w="0" w:type="dxa"/>
          <w:left w:w="108" w:type="dxa"/>
          <w:bottom w:w="0" w:type="dxa"/>
          <w:right w:w="108" w:type="dxa"/>
        </w:tblCellMar>
      </w:tblPr>
      <w:tblGrid>
        <w:gridCol w:w="675"/>
        <w:gridCol w:w="8611"/>
      </w:tblGrid>
      <w:tr w14:paraId="6453EEC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09C7777">
            <w:pPr>
              <w:spacing w:line="240" w:lineRule="auto"/>
              <w:ind w:firstLine="0" w:firstLineChars="0"/>
              <w:jc w:val="center"/>
              <w:rPr>
                <w:rFonts w:hint="eastAsia"/>
                <w:color w:val="auto"/>
                <w:sz w:val="21"/>
              </w:rPr>
            </w:pPr>
            <w:r>
              <w:rPr>
                <w:rFonts w:hint="eastAsia"/>
                <w:color w:val="auto"/>
                <w:sz w:val="21"/>
              </w:rPr>
              <w:t>序号</w:t>
            </w:r>
          </w:p>
        </w:tc>
        <w:tc>
          <w:tcPr>
            <w:tcW w:w="8611" w:type="dxa"/>
            <w:tcBorders>
              <w:top w:val="single" w:color="auto" w:sz="4" w:space="0"/>
              <w:left w:val="nil"/>
              <w:bottom w:val="single" w:color="auto" w:sz="4" w:space="0"/>
              <w:right w:val="single" w:color="auto" w:sz="4" w:space="0"/>
            </w:tcBorders>
            <w:vAlign w:val="center"/>
          </w:tcPr>
          <w:p w14:paraId="67C236B4">
            <w:pPr>
              <w:spacing w:line="240" w:lineRule="auto"/>
              <w:ind w:firstLine="0" w:firstLineChars="0"/>
              <w:jc w:val="center"/>
              <w:rPr>
                <w:rFonts w:hint="eastAsia"/>
                <w:color w:val="auto"/>
                <w:sz w:val="21"/>
              </w:rPr>
            </w:pPr>
            <w:r>
              <w:rPr>
                <w:rFonts w:hint="eastAsia"/>
                <w:color w:val="auto"/>
                <w:sz w:val="21"/>
              </w:rPr>
              <w:t>具体要求</w:t>
            </w:r>
          </w:p>
        </w:tc>
      </w:tr>
      <w:tr w14:paraId="668265F5">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1AEB562">
            <w:pPr>
              <w:spacing w:line="240" w:lineRule="auto"/>
              <w:ind w:firstLine="0" w:firstLineChars="0"/>
              <w:jc w:val="center"/>
              <w:rPr>
                <w:rFonts w:hint="eastAsia"/>
                <w:color w:val="auto"/>
                <w:sz w:val="21"/>
              </w:rPr>
            </w:pPr>
            <w:r>
              <w:rPr>
                <w:rFonts w:hint="eastAsia"/>
                <w:color w:val="auto"/>
                <w:sz w:val="21"/>
              </w:rPr>
              <w:t>1</w:t>
            </w:r>
          </w:p>
        </w:tc>
        <w:tc>
          <w:tcPr>
            <w:tcW w:w="8611" w:type="dxa"/>
            <w:tcBorders>
              <w:top w:val="single" w:color="auto" w:sz="4" w:space="0"/>
              <w:left w:val="nil"/>
              <w:bottom w:val="single" w:color="auto" w:sz="4" w:space="0"/>
              <w:right w:val="single" w:color="auto" w:sz="4" w:space="0"/>
            </w:tcBorders>
            <w:vAlign w:val="center"/>
          </w:tcPr>
          <w:p w14:paraId="631178C5">
            <w:pPr>
              <w:spacing w:line="240" w:lineRule="auto"/>
              <w:ind w:firstLine="420"/>
              <w:jc w:val="left"/>
              <w:rPr>
                <w:rFonts w:hint="eastAsia"/>
                <w:color w:val="auto"/>
                <w:sz w:val="21"/>
              </w:rPr>
            </w:pPr>
            <w:r>
              <w:rPr>
                <w:rFonts w:hint="eastAsia"/>
                <w:color w:val="auto"/>
                <w:sz w:val="21"/>
              </w:rPr>
              <w:t>进场汽车吊应对报验手续进行审核，审核资料包括：租赁单位资质、设备合格证、行驶证本、机动车检验合格证、起重进行定期检验报告、安全检验合格证、特种作业操作证、铭牌复印件、带有汽车号码的全车照片复印件等。</w:t>
            </w:r>
          </w:p>
        </w:tc>
      </w:tr>
      <w:tr w14:paraId="549E7CDB">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8C3D810">
            <w:pPr>
              <w:spacing w:line="240" w:lineRule="auto"/>
              <w:ind w:firstLine="0" w:firstLineChars="0"/>
              <w:jc w:val="center"/>
              <w:rPr>
                <w:rFonts w:hint="eastAsia"/>
                <w:color w:val="auto"/>
                <w:sz w:val="21"/>
              </w:rPr>
            </w:pPr>
            <w:r>
              <w:rPr>
                <w:rFonts w:hint="eastAsia"/>
                <w:color w:val="auto"/>
                <w:sz w:val="21"/>
              </w:rPr>
              <w:t>2</w:t>
            </w:r>
          </w:p>
        </w:tc>
        <w:tc>
          <w:tcPr>
            <w:tcW w:w="8611" w:type="dxa"/>
            <w:tcBorders>
              <w:top w:val="single" w:color="auto" w:sz="4" w:space="0"/>
              <w:left w:val="nil"/>
              <w:bottom w:val="single" w:color="auto" w:sz="4" w:space="0"/>
              <w:right w:val="single" w:color="auto" w:sz="4" w:space="0"/>
            </w:tcBorders>
            <w:vAlign w:val="center"/>
          </w:tcPr>
          <w:p w14:paraId="6632606B">
            <w:pPr>
              <w:spacing w:line="240" w:lineRule="auto"/>
              <w:ind w:firstLine="420"/>
              <w:jc w:val="left"/>
              <w:rPr>
                <w:rFonts w:hint="eastAsia"/>
                <w:color w:val="auto"/>
                <w:sz w:val="21"/>
              </w:rPr>
            </w:pPr>
            <w:r>
              <w:rPr>
                <w:rFonts w:hint="eastAsia"/>
                <w:color w:val="auto"/>
                <w:sz w:val="21"/>
              </w:rPr>
              <w:t>汽车吊使用必须办理《吊装作业许可令》。</w:t>
            </w:r>
          </w:p>
        </w:tc>
      </w:tr>
      <w:tr w14:paraId="7CD6866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0BE3020">
            <w:pPr>
              <w:spacing w:line="240" w:lineRule="auto"/>
              <w:ind w:firstLine="0" w:firstLineChars="0"/>
              <w:jc w:val="center"/>
              <w:rPr>
                <w:rFonts w:hint="eastAsia"/>
                <w:color w:val="auto"/>
                <w:sz w:val="21"/>
              </w:rPr>
            </w:pPr>
            <w:r>
              <w:rPr>
                <w:rFonts w:hint="eastAsia"/>
                <w:color w:val="auto"/>
                <w:sz w:val="21"/>
              </w:rPr>
              <w:t>3</w:t>
            </w:r>
          </w:p>
        </w:tc>
        <w:tc>
          <w:tcPr>
            <w:tcW w:w="8611" w:type="dxa"/>
            <w:tcBorders>
              <w:top w:val="single" w:color="auto" w:sz="4" w:space="0"/>
              <w:left w:val="nil"/>
              <w:bottom w:val="single" w:color="auto" w:sz="4" w:space="0"/>
              <w:right w:val="single" w:color="auto" w:sz="4" w:space="0"/>
            </w:tcBorders>
            <w:vAlign w:val="center"/>
          </w:tcPr>
          <w:p w14:paraId="07E4D00A">
            <w:pPr>
              <w:spacing w:line="240" w:lineRule="auto"/>
              <w:ind w:firstLine="420"/>
              <w:jc w:val="left"/>
              <w:rPr>
                <w:rFonts w:hint="eastAsia"/>
                <w:color w:val="auto"/>
                <w:sz w:val="21"/>
              </w:rPr>
            </w:pPr>
            <w:r>
              <w:rPr>
                <w:rFonts w:hint="eastAsia"/>
                <w:color w:val="auto"/>
                <w:sz w:val="21"/>
              </w:rPr>
              <w:t>起重用的工索具严格按相关规范要求取用安全系数，保证其使用安全。</w:t>
            </w:r>
          </w:p>
        </w:tc>
      </w:tr>
      <w:tr w14:paraId="5BDF33C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9654F34">
            <w:pPr>
              <w:spacing w:line="240" w:lineRule="auto"/>
              <w:ind w:firstLine="0" w:firstLineChars="0"/>
              <w:jc w:val="center"/>
              <w:rPr>
                <w:rFonts w:hint="eastAsia"/>
                <w:color w:val="auto"/>
                <w:sz w:val="21"/>
              </w:rPr>
            </w:pPr>
            <w:r>
              <w:rPr>
                <w:rFonts w:hint="eastAsia"/>
                <w:color w:val="auto"/>
                <w:sz w:val="21"/>
              </w:rPr>
              <w:t>4</w:t>
            </w:r>
          </w:p>
        </w:tc>
        <w:tc>
          <w:tcPr>
            <w:tcW w:w="8611" w:type="dxa"/>
            <w:tcBorders>
              <w:top w:val="single" w:color="auto" w:sz="4" w:space="0"/>
              <w:left w:val="nil"/>
              <w:bottom w:val="single" w:color="auto" w:sz="4" w:space="0"/>
              <w:right w:val="single" w:color="auto" w:sz="4" w:space="0"/>
            </w:tcBorders>
            <w:vAlign w:val="center"/>
          </w:tcPr>
          <w:p w14:paraId="5262D05A">
            <w:pPr>
              <w:spacing w:line="240" w:lineRule="auto"/>
              <w:ind w:firstLine="420"/>
              <w:jc w:val="left"/>
              <w:rPr>
                <w:rFonts w:hint="eastAsia"/>
                <w:color w:val="auto"/>
                <w:sz w:val="21"/>
              </w:rPr>
            </w:pPr>
            <w:r>
              <w:rPr>
                <w:rFonts w:hint="eastAsia"/>
                <w:color w:val="auto"/>
                <w:sz w:val="21"/>
              </w:rPr>
              <w:t>工作前检查起重所有的一切工具、设备是否良好，如不符合规定，必须修理或更换，不得凑和使用，机具设备在使用前必须试车，加润滑油。</w:t>
            </w:r>
          </w:p>
        </w:tc>
      </w:tr>
      <w:tr w14:paraId="1CE8C948">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6C16AC9">
            <w:pPr>
              <w:spacing w:line="240" w:lineRule="auto"/>
              <w:ind w:firstLine="0" w:firstLineChars="0"/>
              <w:jc w:val="center"/>
              <w:rPr>
                <w:rFonts w:hint="eastAsia"/>
                <w:color w:val="auto"/>
                <w:sz w:val="21"/>
              </w:rPr>
            </w:pPr>
            <w:r>
              <w:rPr>
                <w:rFonts w:hint="eastAsia"/>
                <w:color w:val="auto"/>
                <w:sz w:val="21"/>
              </w:rPr>
              <w:t>5</w:t>
            </w:r>
          </w:p>
        </w:tc>
        <w:tc>
          <w:tcPr>
            <w:tcW w:w="8611" w:type="dxa"/>
            <w:tcBorders>
              <w:top w:val="single" w:color="auto" w:sz="4" w:space="0"/>
              <w:left w:val="nil"/>
              <w:bottom w:val="single" w:color="auto" w:sz="4" w:space="0"/>
              <w:right w:val="single" w:color="auto" w:sz="4" w:space="0"/>
            </w:tcBorders>
            <w:vAlign w:val="center"/>
          </w:tcPr>
          <w:p w14:paraId="54C838E6">
            <w:pPr>
              <w:spacing w:line="240" w:lineRule="auto"/>
              <w:ind w:firstLine="420"/>
              <w:jc w:val="left"/>
              <w:rPr>
                <w:rFonts w:hint="eastAsia"/>
                <w:color w:val="auto"/>
                <w:sz w:val="21"/>
              </w:rPr>
            </w:pPr>
            <w:r>
              <w:rPr>
                <w:rFonts w:hint="eastAsia"/>
                <w:color w:val="auto"/>
                <w:sz w:val="21"/>
              </w:rPr>
              <w:t>起重作业应有专人指挥，在起吊中应严格执行安全操作规程，指挥起吊时，信号必须统一，手势明显，对讲机讲话要清晰，不得含糊。</w:t>
            </w:r>
          </w:p>
        </w:tc>
      </w:tr>
      <w:tr w14:paraId="6E5D5F70">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B0C2045">
            <w:pPr>
              <w:spacing w:line="240" w:lineRule="auto"/>
              <w:ind w:firstLine="0" w:firstLineChars="0"/>
              <w:jc w:val="center"/>
              <w:rPr>
                <w:rFonts w:hint="eastAsia"/>
                <w:color w:val="auto"/>
                <w:sz w:val="21"/>
              </w:rPr>
            </w:pPr>
            <w:r>
              <w:rPr>
                <w:rFonts w:hint="eastAsia"/>
                <w:color w:val="auto"/>
                <w:sz w:val="21"/>
              </w:rPr>
              <w:t>6</w:t>
            </w:r>
          </w:p>
        </w:tc>
        <w:tc>
          <w:tcPr>
            <w:tcW w:w="8611" w:type="dxa"/>
            <w:tcBorders>
              <w:top w:val="single" w:color="auto" w:sz="4" w:space="0"/>
              <w:left w:val="nil"/>
              <w:bottom w:val="single" w:color="auto" w:sz="4" w:space="0"/>
              <w:right w:val="single" w:color="auto" w:sz="4" w:space="0"/>
            </w:tcBorders>
            <w:vAlign w:val="center"/>
          </w:tcPr>
          <w:p w14:paraId="66005E89">
            <w:pPr>
              <w:spacing w:line="240" w:lineRule="auto"/>
              <w:ind w:firstLine="420"/>
              <w:jc w:val="left"/>
              <w:rPr>
                <w:rFonts w:hint="eastAsia"/>
                <w:color w:val="auto"/>
                <w:sz w:val="21"/>
              </w:rPr>
            </w:pPr>
            <w:r>
              <w:rPr>
                <w:rFonts w:hint="eastAsia"/>
                <w:color w:val="auto"/>
                <w:sz w:val="21"/>
              </w:rPr>
              <w:t>起吊前对工索具进行认真的检查，做到安全可靠，万无一失。</w:t>
            </w:r>
          </w:p>
        </w:tc>
      </w:tr>
      <w:tr w14:paraId="6D3BC128">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620E78C">
            <w:pPr>
              <w:spacing w:line="240" w:lineRule="auto"/>
              <w:ind w:firstLine="0" w:firstLineChars="0"/>
              <w:jc w:val="center"/>
              <w:rPr>
                <w:rFonts w:hint="eastAsia"/>
                <w:color w:val="auto"/>
                <w:sz w:val="21"/>
              </w:rPr>
            </w:pPr>
            <w:r>
              <w:rPr>
                <w:rFonts w:hint="eastAsia"/>
                <w:color w:val="auto"/>
                <w:sz w:val="21"/>
              </w:rPr>
              <w:t>7</w:t>
            </w:r>
          </w:p>
        </w:tc>
        <w:tc>
          <w:tcPr>
            <w:tcW w:w="8611" w:type="dxa"/>
            <w:tcBorders>
              <w:top w:val="single" w:color="auto" w:sz="4" w:space="0"/>
              <w:left w:val="nil"/>
              <w:bottom w:val="single" w:color="auto" w:sz="4" w:space="0"/>
              <w:right w:val="single" w:color="auto" w:sz="4" w:space="0"/>
            </w:tcBorders>
            <w:vAlign w:val="center"/>
          </w:tcPr>
          <w:p w14:paraId="3E3F9C88">
            <w:pPr>
              <w:spacing w:line="240" w:lineRule="auto"/>
              <w:ind w:firstLine="420"/>
              <w:jc w:val="left"/>
              <w:rPr>
                <w:rFonts w:hint="eastAsia"/>
                <w:color w:val="auto"/>
                <w:sz w:val="21"/>
              </w:rPr>
            </w:pPr>
            <w:r>
              <w:rPr>
                <w:rFonts w:hint="eastAsia"/>
                <w:color w:val="auto"/>
                <w:sz w:val="21"/>
              </w:rPr>
              <w:t>吊物时，吊臂与被起吊物下严禁站人，对违反操作规定和不安全的作业及时加以纠正或制止。</w:t>
            </w:r>
          </w:p>
        </w:tc>
      </w:tr>
      <w:tr w14:paraId="123D98BE">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8DD0DA5">
            <w:pPr>
              <w:spacing w:line="240" w:lineRule="auto"/>
              <w:ind w:firstLine="0" w:firstLineChars="0"/>
              <w:jc w:val="center"/>
              <w:rPr>
                <w:rFonts w:hint="eastAsia"/>
                <w:color w:val="auto"/>
                <w:sz w:val="21"/>
              </w:rPr>
            </w:pPr>
            <w:r>
              <w:rPr>
                <w:rFonts w:hint="eastAsia"/>
                <w:color w:val="auto"/>
                <w:sz w:val="21"/>
              </w:rPr>
              <w:t>8</w:t>
            </w:r>
          </w:p>
        </w:tc>
        <w:tc>
          <w:tcPr>
            <w:tcW w:w="8611" w:type="dxa"/>
            <w:tcBorders>
              <w:top w:val="single" w:color="auto" w:sz="4" w:space="0"/>
              <w:left w:val="nil"/>
              <w:bottom w:val="single" w:color="auto" w:sz="4" w:space="0"/>
              <w:right w:val="single" w:color="auto" w:sz="4" w:space="0"/>
            </w:tcBorders>
            <w:vAlign w:val="center"/>
          </w:tcPr>
          <w:p w14:paraId="690A4E33">
            <w:pPr>
              <w:spacing w:line="240" w:lineRule="auto"/>
              <w:ind w:firstLine="420"/>
              <w:jc w:val="left"/>
              <w:rPr>
                <w:rFonts w:hint="eastAsia"/>
                <w:color w:val="auto"/>
                <w:sz w:val="21"/>
              </w:rPr>
            </w:pPr>
            <w:r>
              <w:rPr>
                <w:rFonts w:hint="eastAsia"/>
                <w:color w:val="auto"/>
                <w:sz w:val="21"/>
              </w:rPr>
              <w:t>严禁一切起重机具、锁具超负荷使用。</w:t>
            </w:r>
          </w:p>
        </w:tc>
      </w:tr>
      <w:tr w14:paraId="7DF31DD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EBAE64E">
            <w:pPr>
              <w:spacing w:line="240" w:lineRule="auto"/>
              <w:ind w:firstLine="0" w:firstLineChars="0"/>
              <w:jc w:val="center"/>
              <w:rPr>
                <w:rFonts w:hint="eastAsia"/>
                <w:color w:val="auto"/>
                <w:sz w:val="21"/>
              </w:rPr>
            </w:pPr>
            <w:r>
              <w:rPr>
                <w:rFonts w:hint="eastAsia"/>
                <w:color w:val="auto"/>
                <w:sz w:val="21"/>
              </w:rPr>
              <w:t>9</w:t>
            </w:r>
          </w:p>
        </w:tc>
        <w:tc>
          <w:tcPr>
            <w:tcW w:w="8611" w:type="dxa"/>
            <w:tcBorders>
              <w:top w:val="single" w:color="auto" w:sz="4" w:space="0"/>
              <w:left w:val="nil"/>
              <w:bottom w:val="single" w:color="auto" w:sz="4" w:space="0"/>
              <w:right w:val="single" w:color="auto" w:sz="4" w:space="0"/>
            </w:tcBorders>
            <w:vAlign w:val="center"/>
          </w:tcPr>
          <w:p w14:paraId="58932EE1">
            <w:pPr>
              <w:spacing w:line="240" w:lineRule="auto"/>
              <w:ind w:firstLine="420"/>
              <w:jc w:val="left"/>
              <w:rPr>
                <w:rFonts w:hint="eastAsia"/>
                <w:color w:val="auto"/>
                <w:sz w:val="21"/>
              </w:rPr>
            </w:pPr>
            <w:r>
              <w:rPr>
                <w:rFonts w:hint="eastAsia"/>
                <w:color w:val="auto"/>
                <w:sz w:val="21"/>
              </w:rPr>
              <w:t>在吊装过程中，如因故中断施工时，必须采取措施，保证现场安全，如因故短期内难以解决时，则必须另外采取措施，不得使重物悬空过夜。</w:t>
            </w:r>
          </w:p>
        </w:tc>
      </w:tr>
      <w:tr w14:paraId="42471FA5">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7F49B0B">
            <w:pPr>
              <w:spacing w:line="240" w:lineRule="auto"/>
              <w:ind w:firstLine="0" w:firstLineChars="0"/>
              <w:jc w:val="center"/>
              <w:rPr>
                <w:rFonts w:hint="eastAsia"/>
                <w:color w:val="auto"/>
                <w:sz w:val="21"/>
              </w:rPr>
            </w:pPr>
            <w:r>
              <w:rPr>
                <w:rFonts w:hint="eastAsia"/>
                <w:color w:val="auto"/>
                <w:sz w:val="21"/>
              </w:rPr>
              <w:t>10</w:t>
            </w:r>
          </w:p>
        </w:tc>
        <w:tc>
          <w:tcPr>
            <w:tcW w:w="8611" w:type="dxa"/>
            <w:tcBorders>
              <w:top w:val="single" w:color="auto" w:sz="4" w:space="0"/>
              <w:left w:val="nil"/>
              <w:bottom w:val="single" w:color="auto" w:sz="4" w:space="0"/>
              <w:right w:val="single" w:color="auto" w:sz="4" w:space="0"/>
            </w:tcBorders>
            <w:vAlign w:val="center"/>
          </w:tcPr>
          <w:p w14:paraId="552B5291">
            <w:pPr>
              <w:spacing w:line="240" w:lineRule="auto"/>
              <w:ind w:firstLine="420"/>
              <w:jc w:val="left"/>
              <w:rPr>
                <w:rFonts w:hint="eastAsia"/>
                <w:color w:val="auto"/>
                <w:sz w:val="21"/>
              </w:rPr>
            </w:pPr>
            <w:r>
              <w:rPr>
                <w:rFonts w:hint="eastAsia"/>
                <w:color w:val="auto"/>
                <w:sz w:val="21"/>
              </w:rPr>
              <w:t>事先应看好吊物通道，调运方向和地点，如有障碍必须清理。</w:t>
            </w:r>
          </w:p>
        </w:tc>
      </w:tr>
      <w:tr w14:paraId="6DC65561">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0669847">
            <w:pPr>
              <w:spacing w:line="240" w:lineRule="auto"/>
              <w:ind w:firstLine="0" w:firstLineChars="0"/>
              <w:jc w:val="center"/>
              <w:rPr>
                <w:rFonts w:hint="eastAsia"/>
                <w:color w:val="auto"/>
                <w:sz w:val="21"/>
              </w:rPr>
            </w:pPr>
            <w:r>
              <w:rPr>
                <w:rFonts w:hint="eastAsia"/>
                <w:color w:val="auto"/>
                <w:sz w:val="21"/>
              </w:rPr>
              <w:t>11</w:t>
            </w:r>
          </w:p>
        </w:tc>
        <w:tc>
          <w:tcPr>
            <w:tcW w:w="8611" w:type="dxa"/>
            <w:tcBorders>
              <w:top w:val="single" w:color="auto" w:sz="4" w:space="0"/>
              <w:left w:val="nil"/>
              <w:bottom w:val="single" w:color="auto" w:sz="4" w:space="0"/>
              <w:right w:val="single" w:color="auto" w:sz="4" w:space="0"/>
            </w:tcBorders>
            <w:vAlign w:val="center"/>
          </w:tcPr>
          <w:p w14:paraId="4E6593FB">
            <w:pPr>
              <w:spacing w:line="240" w:lineRule="auto"/>
              <w:ind w:firstLine="420"/>
              <w:jc w:val="left"/>
              <w:rPr>
                <w:rFonts w:hint="eastAsia"/>
                <w:color w:val="auto"/>
                <w:sz w:val="21"/>
              </w:rPr>
            </w:pPr>
            <w:r>
              <w:rPr>
                <w:rFonts w:hint="eastAsia"/>
                <w:color w:val="auto"/>
                <w:sz w:val="21"/>
              </w:rPr>
              <w:t>禁止在雾、雨天视线不清的情况下安装和吊装重物，禁止在风力达6级以上时吊装作业。</w:t>
            </w:r>
          </w:p>
        </w:tc>
      </w:tr>
      <w:tr w14:paraId="4D29D618">
        <w:tblPrEx>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14:paraId="21CB9421">
            <w:pPr>
              <w:spacing w:line="240" w:lineRule="auto"/>
              <w:ind w:firstLine="0" w:firstLineChars="0"/>
              <w:jc w:val="center"/>
              <w:rPr>
                <w:rFonts w:hint="eastAsia"/>
                <w:color w:val="auto"/>
                <w:sz w:val="21"/>
              </w:rPr>
            </w:pPr>
            <w:r>
              <w:rPr>
                <w:rFonts w:hint="eastAsia"/>
                <w:color w:val="auto"/>
                <w:sz w:val="21"/>
              </w:rPr>
              <w:t>12</w:t>
            </w:r>
          </w:p>
        </w:tc>
        <w:tc>
          <w:tcPr>
            <w:tcW w:w="8611" w:type="dxa"/>
            <w:tcBorders>
              <w:top w:val="single" w:color="auto" w:sz="4" w:space="0"/>
              <w:left w:val="nil"/>
              <w:bottom w:val="single" w:color="auto" w:sz="4" w:space="0"/>
              <w:right w:val="single" w:color="auto" w:sz="4" w:space="0"/>
            </w:tcBorders>
            <w:vAlign w:val="center"/>
          </w:tcPr>
          <w:p w14:paraId="7E879D73">
            <w:pPr>
              <w:spacing w:line="240" w:lineRule="auto"/>
              <w:ind w:firstLine="420"/>
              <w:jc w:val="left"/>
              <w:rPr>
                <w:rFonts w:hint="eastAsia"/>
                <w:color w:val="auto"/>
                <w:sz w:val="21"/>
              </w:rPr>
            </w:pPr>
            <w:r>
              <w:rPr>
                <w:rFonts w:hint="eastAsia"/>
                <w:color w:val="auto"/>
                <w:sz w:val="21"/>
              </w:rPr>
              <w:t>汽车吊安装安全传感装置进行监控。</w:t>
            </w:r>
          </w:p>
        </w:tc>
      </w:tr>
    </w:tbl>
    <w:p w14:paraId="4F9FE849">
      <w:pPr>
        <w:pStyle w:val="5"/>
        <w:rPr>
          <w:rFonts w:hint="eastAsia"/>
          <w:color w:val="auto"/>
        </w:rPr>
      </w:pPr>
      <w:bookmarkStart w:id="426" w:name="_Toc202510616"/>
      <w:bookmarkEnd w:id="426"/>
      <w:bookmarkStart w:id="427" w:name="_Toc16352"/>
      <w:r>
        <w:rPr>
          <w:rFonts w:hint="eastAsia"/>
          <w:color w:val="auto"/>
        </w:rPr>
        <w:t>设备安全管理</w:t>
      </w:r>
      <w:bookmarkEnd w:id="427"/>
    </w:p>
    <w:p w14:paraId="43FFA6C7">
      <w:pPr>
        <w:pStyle w:val="6"/>
        <w:ind w:firstLine="480"/>
        <w:rPr>
          <w:rFonts w:hint="eastAsia"/>
          <w:color w:val="auto"/>
        </w:rPr>
      </w:pPr>
      <w:r>
        <w:rPr>
          <w:rFonts w:hint="eastAsia"/>
          <w:color w:val="auto"/>
        </w:rPr>
        <w:t>设备安全管理制度</w:t>
      </w:r>
    </w:p>
    <w:tbl>
      <w:tblPr>
        <w:tblStyle w:val="29"/>
        <w:tblW w:w="0" w:type="auto"/>
        <w:tblInd w:w="0" w:type="dxa"/>
        <w:tblLayout w:type="fixed"/>
        <w:tblCellMar>
          <w:top w:w="0" w:type="dxa"/>
          <w:left w:w="108" w:type="dxa"/>
          <w:bottom w:w="0" w:type="dxa"/>
          <w:right w:w="108" w:type="dxa"/>
        </w:tblCellMar>
      </w:tblPr>
      <w:tblGrid>
        <w:gridCol w:w="675"/>
        <w:gridCol w:w="1843"/>
        <w:gridCol w:w="6768"/>
      </w:tblGrid>
      <w:tr w14:paraId="5E57CFD0">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A5B402E">
            <w:pPr>
              <w:spacing w:line="240" w:lineRule="auto"/>
              <w:ind w:firstLine="0" w:firstLineChars="0"/>
              <w:jc w:val="center"/>
              <w:rPr>
                <w:rFonts w:hint="eastAsia"/>
                <w:color w:val="auto"/>
                <w:sz w:val="21"/>
              </w:rPr>
            </w:pPr>
            <w:r>
              <w:rPr>
                <w:rFonts w:hint="eastAsia"/>
                <w:color w:val="auto"/>
                <w:sz w:val="21"/>
              </w:rPr>
              <w:t>序号</w:t>
            </w:r>
          </w:p>
        </w:tc>
        <w:tc>
          <w:tcPr>
            <w:tcW w:w="1843" w:type="dxa"/>
            <w:tcBorders>
              <w:top w:val="single" w:color="auto" w:sz="4" w:space="0"/>
              <w:left w:val="nil"/>
              <w:bottom w:val="single" w:color="auto" w:sz="4" w:space="0"/>
              <w:right w:val="single" w:color="auto" w:sz="4" w:space="0"/>
            </w:tcBorders>
            <w:vAlign w:val="center"/>
          </w:tcPr>
          <w:p w14:paraId="3E3806D5">
            <w:pPr>
              <w:spacing w:line="240" w:lineRule="auto"/>
              <w:ind w:firstLine="0" w:firstLineChars="0"/>
              <w:jc w:val="center"/>
              <w:rPr>
                <w:rFonts w:hint="eastAsia"/>
                <w:color w:val="auto"/>
                <w:sz w:val="21"/>
              </w:rPr>
            </w:pPr>
            <w:r>
              <w:rPr>
                <w:rFonts w:hint="eastAsia"/>
                <w:color w:val="auto"/>
                <w:sz w:val="21"/>
              </w:rPr>
              <w:t>类别</w:t>
            </w:r>
          </w:p>
        </w:tc>
        <w:tc>
          <w:tcPr>
            <w:tcW w:w="6768" w:type="dxa"/>
            <w:tcBorders>
              <w:top w:val="single" w:color="auto" w:sz="4" w:space="0"/>
              <w:left w:val="nil"/>
              <w:bottom w:val="single" w:color="auto" w:sz="4" w:space="0"/>
              <w:right w:val="single" w:color="auto" w:sz="4" w:space="0"/>
            </w:tcBorders>
            <w:vAlign w:val="center"/>
          </w:tcPr>
          <w:p w14:paraId="091F6654">
            <w:pPr>
              <w:spacing w:line="240" w:lineRule="auto"/>
              <w:ind w:firstLine="0" w:firstLineChars="0"/>
              <w:jc w:val="center"/>
              <w:rPr>
                <w:rFonts w:hint="eastAsia"/>
                <w:color w:val="auto"/>
                <w:sz w:val="21"/>
              </w:rPr>
            </w:pPr>
            <w:r>
              <w:rPr>
                <w:rFonts w:hint="eastAsia"/>
                <w:color w:val="auto"/>
                <w:sz w:val="21"/>
              </w:rPr>
              <w:t>具体制度</w:t>
            </w:r>
          </w:p>
        </w:tc>
      </w:tr>
      <w:tr w14:paraId="0AD8467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4C31539">
            <w:pPr>
              <w:spacing w:line="240" w:lineRule="auto"/>
              <w:ind w:firstLine="0" w:firstLineChars="0"/>
              <w:jc w:val="center"/>
              <w:rPr>
                <w:rFonts w:hint="eastAsia"/>
                <w:color w:val="auto"/>
                <w:sz w:val="21"/>
              </w:rPr>
            </w:pPr>
            <w:r>
              <w:rPr>
                <w:rFonts w:hint="eastAsia"/>
                <w:color w:val="auto"/>
                <w:sz w:val="21"/>
              </w:rPr>
              <w:t>1</w:t>
            </w:r>
          </w:p>
        </w:tc>
        <w:tc>
          <w:tcPr>
            <w:tcW w:w="1843" w:type="dxa"/>
            <w:tcBorders>
              <w:top w:val="single" w:color="auto" w:sz="4" w:space="0"/>
              <w:left w:val="nil"/>
              <w:bottom w:val="single" w:color="auto" w:sz="4" w:space="0"/>
              <w:right w:val="single" w:color="auto" w:sz="4" w:space="0"/>
            </w:tcBorders>
            <w:vAlign w:val="center"/>
          </w:tcPr>
          <w:p w14:paraId="286B174F">
            <w:pPr>
              <w:spacing w:line="240" w:lineRule="auto"/>
              <w:ind w:firstLine="0" w:firstLineChars="0"/>
              <w:jc w:val="center"/>
              <w:rPr>
                <w:rFonts w:hint="eastAsia"/>
                <w:color w:val="auto"/>
                <w:sz w:val="21"/>
              </w:rPr>
            </w:pPr>
            <w:r>
              <w:rPr>
                <w:rFonts w:hint="eastAsia"/>
                <w:color w:val="auto"/>
                <w:sz w:val="21"/>
              </w:rPr>
              <w:t>设备信息化管理系统和设备飞检制度</w:t>
            </w:r>
          </w:p>
        </w:tc>
        <w:tc>
          <w:tcPr>
            <w:tcW w:w="6768" w:type="dxa"/>
            <w:tcBorders>
              <w:top w:val="single" w:color="auto" w:sz="4" w:space="0"/>
              <w:left w:val="nil"/>
              <w:bottom w:val="single" w:color="auto" w:sz="4" w:space="0"/>
              <w:right w:val="single" w:color="auto" w:sz="4" w:space="0"/>
            </w:tcBorders>
            <w:vAlign w:val="center"/>
          </w:tcPr>
          <w:p w14:paraId="3D4030A5">
            <w:pPr>
              <w:spacing w:line="240" w:lineRule="auto"/>
              <w:ind w:firstLine="420"/>
              <w:jc w:val="left"/>
              <w:rPr>
                <w:rFonts w:hint="eastAsia"/>
                <w:color w:val="auto"/>
                <w:sz w:val="21"/>
              </w:rPr>
            </w:pPr>
            <w:r>
              <w:rPr>
                <w:rFonts w:hint="eastAsia"/>
                <w:color w:val="auto"/>
                <w:sz w:val="21"/>
              </w:rPr>
              <w:t>规范大型设备危险作业及日常检查，将其规范化、制度化。</w:t>
            </w:r>
          </w:p>
        </w:tc>
      </w:tr>
      <w:tr w14:paraId="58ED156B">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E197718">
            <w:pPr>
              <w:spacing w:line="240" w:lineRule="auto"/>
              <w:ind w:firstLine="0" w:firstLineChars="0"/>
              <w:jc w:val="center"/>
              <w:rPr>
                <w:rFonts w:hint="eastAsia"/>
                <w:color w:val="auto"/>
                <w:sz w:val="21"/>
              </w:rPr>
            </w:pPr>
            <w:r>
              <w:rPr>
                <w:rFonts w:hint="eastAsia"/>
                <w:color w:val="auto"/>
                <w:sz w:val="21"/>
              </w:rPr>
              <w:t>2</w:t>
            </w:r>
          </w:p>
        </w:tc>
        <w:tc>
          <w:tcPr>
            <w:tcW w:w="1843" w:type="dxa"/>
            <w:tcBorders>
              <w:top w:val="single" w:color="auto" w:sz="4" w:space="0"/>
              <w:left w:val="nil"/>
              <w:bottom w:val="single" w:color="auto" w:sz="4" w:space="0"/>
              <w:right w:val="single" w:color="auto" w:sz="4" w:space="0"/>
            </w:tcBorders>
            <w:vAlign w:val="center"/>
          </w:tcPr>
          <w:p w14:paraId="2C1273FD">
            <w:pPr>
              <w:spacing w:line="240" w:lineRule="auto"/>
              <w:ind w:firstLine="0" w:firstLineChars="0"/>
              <w:jc w:val="center"/>
              <w:rPr>
                <w:rFonts w:hint="eastAsia"/>
                <w:color w:val="auto"/>
                <w:sz w:val="21"/>
              </w:rPr>
            </w:pPr>
            <w:r>
              <w:rPr>
                <w:rFonts w:hint="eastAsia"/>
                <w:color w:val="auto"/>
                <w:sz w:val="21"/>
              </w:rPr>
              <w:t>岗前培训、定期考核制度</w:t>
            </w:r>
          </w:p>
        </w:tc>
        <w:tc>
          <w:tcPr>
            <w:tcW w:w="6768" w:type="dxa"/>
            <w:tcBorders>
              <w:top w:val="single" w:color="auto" w:sz="4" w:space="0"/>
              <w:left w:val="nil"/>
              <w:bottom w:val="single" w:color="auto" w:sz="4" w:space="0"/>
              <w:right w:val="single" w:color="auto" w:sz="4" w:space="0"/>
            </w:tcBorders>
            <w:vAlign w:val="center"/>
          </w:tcPr>
          <w:p w14:paraId="43B3F671">
            <w:pPr>
              <w:spacing w:line="240" w:lineRule="auto"/>
              <w:ind w:firstLine="420"/>
              <w:jc w:val="left"/>
              <w:rPr>
                <w:rFonts w:hint="eastAsia"/>
                <w:color w:val="auto"/>
                <w:sz w:val="21"/>
              </w:rPr>
            </w:pPr>
            <w:r>
              <w:rPr>
                <w:rFonts w:hint="eastAsia"/>
                <w:color w:val="auto"/>
                <w:sz w:val="21"/>
              </w:rPr>
              <w:t>提高机械作业人员的技术素质和操作维修技能。</w:t>
            </w:r>
          </w:p>
        </w:tc>
      </w:tr>
      <w:tr w14:paraId="6319DC15">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14686F7">
            <w:pPr>
              <w:spacing w:line="240" w:lineRule="auto"/>
              <w:ind w:firstLine="0" w:firstLineChars="0"/>
              <w:jc w:val="center"/>
              <w:rPr>
                <w:rFonts w:hint="eastAsia"/>
                <w:color w:val="auto"/>
                <w:sz w:val="21"/>
              </w:rPr>
            </w:pPr>
            <w:r>
              <w:rPr>
                <w:rFonts w:hint="eastAsia"/>
                <w:color w:val="auto"/>
                <w:sz w:val="21"/>
              </w:rPr>
              <w:t>3</w:t>
            </w:r>
          </w:p>
        </w:tc>
        <w:tc>
          <w:tcPr>
            <w:tcW w:w="1843" w:type="dxa"/>
            <w:tcBorders>
              <w:top w:val="single" w:color="auto" w:sz="4" w:space="0"/>
              <w:left w:val="nil"/>
              <w:bottom w:val="single" w:color="auto" w:sz="4" w:space="0"/>
              <w:right w:val="single" w:color="auto" w:sz="4" w:space="0"/>
            </w:tcBorders>
            <w:vAlign w:val="center"/>
          </w:tcPr>
          <w:p w14:paraId="4AAF44A1">
            <w:pPr>
              <w:spacing w:line="240" w:lineRule="auto"/>
              <w:ind w:firstLine="0" w:firstLineChars="0"/>
              <w:jc w:val="center"/>
              <w:rPr>
                <w:rFonts w:hint="eastAsia"/>
                <w:color w:val="auto"/>
                <w:sz w:val="21"/>
              </w:rPr>
            </w:pPr>
            <w:r>
              <w:rPr>
                <w:rFonts w:hint="eastAsia"/>
                <w:color w:val="auto"/>
                <w:sz w:val="21"/>
              </w:rPr>
              <w:t>定人、定机、定岗制度</w:t>
            </w:r>
          </w:p>
        </w:tc>
        <w:tc>
          <w:tcPr>
            <w:tcW w:w="6768" w:type="dxa"/>
            <w:tcBorders>
              <w:top w:val="single" w:color="auto" w:sz="4" w:space="0"/>
              <w:left w:val="nil"/>
              <w:bottom w:val="single" w:color="auto" w:sz="4" w:space="0"/>
              <w:right w:val="single" w:color="auto" w:sz="4" w:space="0"/>
            </w:tcBorders>
            <w:vAlign w:val="center"/>
          </w:tcPr>
          <w:p w14:paraId="09D1EDDD">
            <w:pPr>
              <w:spacing w:line="240" w:lineRule="auto"/>
              <w:ind w:firstLine="420"/>
              <w:jc w:val="left"/>
              <w:rPr>
                <w:rFonts w:hint="eastAsia"/>
                <w:color w:val="auto"/>
                <w:sz w:val="21"/>
              </w:rPr>
            </w:pPr>
            <w:r>
              <w:rPr>
                <w:rFonts w:hint="eastAsia"/>
                <w:color w:val="auto"/>
                <w:sz w:val="21"/>
              </w:rPr>
              <w:t>保证机械作业人员的相对稳定，使各个环节责任明确，责任到人。</w:t>
            </w:r>
          </w:p>
        </w:tc>
      </w:tr>
      <w:tr w14:paraId="7435060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C41644D">
            <w:pPr>
              <w:spacing w:line="240" w:lineRule="auto"/>
              <w:ind w:firstLine="0" w:firstLineChars="0"/>
              <w:jc w:val="center"/>
              <w:rPr>
                <w:rFonts w:hint="eastAsia"/>
                <w:color w:val="auto"/>
                <w:sz w:val="21"/>
              </w:rPr>
            </w:pPr>
            <w:r>
              <w:rPr>
                <w:rFonts w:hint="eastAsia"/>
                <w:color w:val="auto"/>
                <w:sz w:val="21"/>
              </w:rPr>
              <w:t>4</w:t>
            </w:r>
          </w:p>
        </w:tc>
        <w:tc>
          <w:tcPr>
            <w:tcW w:w="1843" w:type="dxa"/>
            <w:tcBorders>
              <w:top w:val="single" w:color="auto" w:sz="4" w:space="0"/>
              <w:left w:val="nil"/>
              <w:bottom w:val="single" w:color="auto" w:sz="4" w:space="0"/>
              <w:right w:val="single" w:color="auto" w:sz="4" w:space="0"/>
            </w:tcBorders>
            <w:vAlign w:val="center"/>
          </w:tcPr>
          <w:p w14:paraId="1FFE1C1A">
            <w:pPr>
              <w:spacing w:line="240" w:lineRule="auto"/>
              <w:ind w:firstLine="0" w:firstLineChars="0"/>
              <w:jc w:val="center"/>
              <w:rPr>
                <w:rFonts w:hint="eastAsia"/>
                <w:color w:val="auto"/>
                <w:sz w:val="21"/>
              </w:rPr>
            </w:pPr>
            <w:r>
              <w:rPr>
                <w:rFonts w:hint="eastAsia"/>
                <w:color w:val="auto"/>
                <w:sz w:val="21"/>
              </w:rPr>
              <w:t>岗位责任制度</w:t>
            </w:r>
          </w:p>
        </w:tc>
        <w:tc>
          <w:tcPr>
            <w:tcW w:w="6768" w:type="dxa"/>
            <w:tcBorders>
              <w:top w:val="single" w:color="auto" w:sz="4" w:space="0"/>
              <w:left w:val="nil"/>
              <w:bottom w:val="single" w:color="auto" w:sz="4" w:space="0"/>
              <w:right w:val="single" w:color="auto" w:sz="4" w:space="0"/>
            </w:tcBorders>
            <w:vAlign w:val="center"/>
          </w:tcPr>
          <w:p w14:paraId="39BE579F">
            <w:pPr>
              <w:spacing w:line="240" w:lineRule="auto"/>
              <w:ind w:firstLine="420"/>
              <w:jc w:val="left"/>
              <w:rPr>
                <w:rFonts w:hint="eastAsia"/>
                <w:color w:val="auto"/>
                <w:sz w:val="21"/>
              </w:rPr>
            </w:pPr>
            <w:r>
              <w:rPr>
                <w:rFonts w:hint="eastAsia"/>
                <w:color w:val="auto"/>
                <w:sz w:val="21"/>
              </w:rPr>
              <w:t>使用机械必须坚持“两定三包”即定人、定机、包使用、包保管、包保养；操作人员作到“三懂四会”即懂构造、懂原理、懂性能，会使用、会保养、会检查、会排除故障。</w:t>
            </w:r>
          </w:p>
        </w:tc>
      </w:tr>
      <w:tr w14:paraId="1B0442F8">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CDA27BE">
            <w:pPr>
              <w:spacing w:line="240" w:lineRule="auto"/>
              <w:ind w:firstLine="0" w:firstLineChars="0"/>
              <w:jc w:val="center"/>
              <w:rPr>
                <w:rFonts w:hint="eastAsia"/>
                <w:color w:val="auto"/>
                <w:sz w:val="21"/>
              </w:rPr>
            </w:pPr>
            <w:r>
              <w:rPr>
                <w:rFonts w:hint="eastAsia"/>
                <w:color w:val="auto"/>
                <w:sz w:val="21"/>
              </w:rPr>
              <w:t>5</w:t>
            </w:r>
          </w:p>
        </w:tc>
        <w:tc>
          <w:tcPr>
            <w:tcW w:w="1843" w:type="dxa"/>
            <w:tcBorders>
              <w:top w:val="single" w:color="auto" w:sz="4" w:space="0"/>
              <w:left w:val="nil"/>
              <w:bottom w:val="single" w:color="auto" w:sz="4" w:space="0"/>
              <w:right w:val="single" w:color="auto" w:sz="4" w:space="0"/>
            </w:tcBorders>
            <w:vAlign w:val="center"/>
          </w:tcPr>
          <w:p w14:paraId="231E8D81">
            <w:pPr>
              <w:spacing w:line="240" w:lineRule="auto"/>
              <w:ind w:firstLine="0" w:firstLineChars="0"/>
              <w:jc w:val="center"/>
              <w:rPr>
                <w:rFonts w:hint="eastAsia"/>
                <w:color w:val="auto"/>
                <w:sz w:val="21"/>
              </w:rPr>
            </w:pPr>
            <w:r>
              <w:rPr>
                <w:rFonts w:hint="eastAsia"/>
                <w:color w:val="auto"/>
                <w:sz w:val="21"/>
              </w:rPr>
              <w:t>持证上岗制度</w:t>
            </w:r>
          </w:p>
        </w:tc>
        <w:tc>
          <w:tcPr>
            <w:tcW w:w="6768" w:type="dxa"/>
            <w:tcBorders>
              <w:top w:val="single" w:color="auto" w:sz="4" w:space="0"/>
              <w:left w:val="nil"/>
              <w:bottom w:val="single" w:color="auto" w:sz="4" w:space="0"/>
              <w:right w:val="single" w:color="auto" w:sz="4" w:space="0"/>
            </w:tcBorders>
            <w:vAlign w:val="center"/>
          </w:tcPr>
          <w:p w14:paraId="441BAF09">
            <w:pPr>
              <w:spacing w:line="240" w:lineRule="auto"/>
              <w:ind w:firstLine="420"/>
              <w:jc w:val="left"/>
              <w:rPr>
                <w:rFonts w:hint="eastAsia"/>
                <w:color w:val="auto"/>
                <w:sz w:val="21"/>
              </w:rPr>
            </w:pPr>
            <w:r>
              <w:rPr>
                <w:rFonts w:hint="eastAsia"/>
                <w:color w:val="auto"/>
                <w:sz w:val="21"/>
              </w:rPr>
              <w:t>机械作业人员必须经过技术培训，经考核合格，取得机械操作合格证后方能上机操作。</w:t>
            </w:r>
          </w:p>
        </w:tc>
      </w:tr>
      <w:tr w14:paraId="14CF713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DC1823F">
            <w:pPr>
              <w:spacing w:line="240" w:lineRule="auto"/>
              <w:ind w:firstLine="0" w:firstLineChars="0"/>
              <w:jc w:val="center"/>
              <w:rPr>
                <w:rFonts w:hint="eastAsia"/>
                <w:color w:val="auto"/>
                <w:sz w:val="21"/>
              </w:rPr>
            </w:pPr>
            <w:r>
              <w:rPr>
                <w:rFonts w:hint="eastAsia"/>
                <w:color w:val="auto"/>
                <w:sz w:val="21"/>
              </w:rPr>
              <w:t>6</w:t>
            </w:r>
          </w:p>
        </w:tc>
        <w:tc>
          <w:tcPr>
            <w:tcW w:w="1843" w:type="dxa"/>
            <w:tcBorders>
              <w:top w:val="single" w:color="auto" w:sz="4" w:space="0"/>
              <w:left w:val="nil"/>
              <w:bottom w:val="single" w:color="auto" w:sz="4" w:space="0"/>
              <w:right w:val="single" w:color="auto" w:sz="4" w:space="0"/>
            </w:tcBorders>
            <w:vAlign w:val="center"/>
          </w:tcPr>
          <w:p w14:paraId="39E1EDFE">
            <w:pPr>
              <w:spacing w:line="240" w:lineRule="auto"/>
              <w:ind w:firstLine="0" w:firstLineChars="0"/>
              <w:jc w:val="center"/>
              <w:rPr>
                <w:rFonts w:hint="eastAsia"/>
                <w:color w:val="auto"/>
                <w:sz w:val="21"/>
              </w:rPr>
            </w:pPr>
            <w:r>
              <w:rPr>
                <w:rFonts w:hint="eastAsia"/>
                <w:color w:val="auto"/>
                <w:sz w:val="21"/>
              </w:rPr>
              <w:t>逐级签订设备管理合同制度</w:t>
            </w:r>
          </w:p>
        </w:tc>
        <w:tc>
          <w:tcPr>
            <w:tcW w:w="6768" w:type="dxa"/>
            <w:tcBorders>
              <w:top w:val="single" w:color="auto" w:sz="4" w:space="0"/>
              <w:left w:val="nil"/>
              <w:bottom w:val="single" w:color="auto" w:sz="4" w:space="0"/>
              <w:right w:val="single" w:color="auto" w:sz="4" w:space="0"/>
            </w:tcBorders>
            <w:vAlign w:val="center"/>
          </w:tcPr>
          <w:p w14:paraId="06963CA6">
            <w:pPr>
              <w:spacing w:line="240" w:lineRule="auto"/>
              <w:ind w:firstLine="420"/>
              <w:jc w:val="left"/>
              <w:rPr>
                <w:rFonts w:hint="eastAsia"/>
                <w:color w:val="auto"/>
                <w:sz w:val="21"/>
              </w:rPr>
            </w:pPr>
            <w:r>
              <w:rPr>
                <w:rFonts w:hint="eastAsia"/>
                <w:color w:val="auto"/>
                <w:sz w:val="21"/>
              </w:rPr>
              <w:t>项目部领导及设备主管、项目部与操作司机分别签定管理合同，并实行抵押金制度，奖优罚劣。</w:t>
            </w:r>
          </w:p>
        </w:tc>
      </w:tr>
      <w:tr w14:paraId="3C0F42D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79865C9">
            <w:pPr>
              <w:spacing w:line="240" w:lineRule="auto"/>
              <w:ind w:firstLine="0" w:firstLineChars="0"/>
              <w:jc w:val="center"/>
              <w:rPr>
                <w:rFonts w:hint="eastAsia"/>
                <w:color w:val="auto"/>
                <w:sz w:val="21"/>
              </w:rPr>
            </w:pPr>
            <w:r>
              <w:rPr>
                <w:rFonts w:hint="eastAsia"/>
                <w:color w:val="auto"/>
                <w:sz w:val="21"/>
              </w:rPr>
              <w:t>7</w:t>
            </w:r>
          </w:p>
        </w:tc>
        <w:tc>
          <w:tcPr>
            <w:tcW w:w="1843" w:type="dxa"/>
            <w:tcBorders>
              <w:top w:val="single" w:color="auto" w:sz="4" w:space="0"/>
              <w:left w:val="nil"/>
              <w:bottom w:val="single" w:color="auto" w:sz="4" w:space="0"/>
              <w:right w:val="single" w:color="auto" w:sz="4" w:space="0"/>
            </w:tcBorders>
            <w:vAlign w:val="center"/>
          </w:tcPr>
          <w:p w14:paraId="1BDD30FC">
            <w:pPr>
              <w:spacing w:line="240" w:lineRule="auto"/>
              <w:ind w:firstLine="0" w:firstLineChars="0"/>
              <w:jc w:val="center"/>
              <w:rPr>
                <w:rFonts w:hint="eastAsia"/>
                <w:color w:val="auto"/>
                <w:sz w:val="21"/>
              </w:rPr>
            </w:pPr>
            <w:r>
              <w:rPr>
                <w:rFonts w:hint="eastAsia"/>
                <w:color w:val="auto"/>
                <w:sz w:val="21"/>
              </w:rPr>
              <w:t>交接班制度</w:t>
            </w:r>
          </w:p>
        </w:tc>
        <w:tc>
          <w:tcPr>
            <w:tcW w:w="6768" w:type="dxa"/>
            <w:tcBorders>
              <w:top w:val="single" w:color="auto" w:sz="4" w:space="0"/>
              <w:left w:val="nil"/>
              <w:bottom w:val="single" w:color="auto" w:sz="4" w:space="0"/>
              <w:right w:val="single" w:color="auto" w:sz="4" w:space="0"/>
            </w:tcBorders>
            <w:vAlign w:val="center"/>
          </w:tcPr>
          <w:p w14:paraId="47D8AFB7">
            <w:pPr>
              <w:spacing w:line="240" w:lineRule="auto"/>
              <w:ind w:firstLine="420"/>
              <w:jc w:val="left"/>
              <w:rPr>
                <w:rFonts w:hint="eastAsia"/>
                <w:color w:val="auto"/>
                <w:sz w:val="21"/>
              </w:rPr>
            </w:pPr>
            <w:r>
              <w:rPr>
                <w:rFonts w:hint="eastAsia"/>
                <w:color w:val="auto"/>
                <w:sz w:val="21"/>
              </w:rPr>
              <w:t>交接内容有机械运转记录、完成任务和生产情况、设备技术状况、维修保养情况、备件、附件、工具情况等。</w:t>
            </w:r>
          </w:p>
        </w:tc>
      </w:tr>
      <w:tr w14:paraId="0354CF6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011A378">
            <w:pPr>
              <w:spacing w:line="240" w:lineRule="auto"/>
              <w:ind w:firstLine="0" w:firstLineChars="0"/>
              <w:jc w:val="center"/>
              <w:rPr>
                <w:rFonts w:hint="eastAsia"/>
                <w:color w:val="auto"/>
                <w:sz w:val="21"/>
              </w:rPr>
            </w:pPr>
            <w:r>
              <w:rPr>
                <w:rFonts w:hint="eastAsia"/>
                <w:color w:val="auto"/>
                <w:sz w:val="21"/>
              </w:rPr>
              <w:t>8</w:t>
            </w:r>
          </w:p>
        </w:tc>
        <w:tc>
          <w:tcPr>
            <w:tcW w:w="1843" w:type="dxa"/>
            <w:tcBorders>
              <w:top w:val="single" w:color="auto" w:sz="4" w:space="0"/>
              <w:left w:val="nil"/>
              <w:bottom w:val="single" w:color="auto" w:sz="4" w:space="0"/>
              <w:right w:val="single" w:color="auto" w:sz="4" w:space="0"/>
            </w:tcBorders>
            <w:vAlign w:val="center"/>
          </w:tcPr>
          <w:p w14:paraId="70FFFA1C">
            <w:pPr>
              <w:spacing w:line="240" w:lineRule="auto"/>
              <w:ind w:firstLine="0" w:firstLineChars="0"/>
              <w:jc w:val="center"/>
              <w:rPr>
                <w:rFonts w:hint="eastAsia"/>
                <w:color w:val="auto"/>
                <w:sz w:val="21"/>
              </w:rPr>
            </w:pPr>
            <w:r>
              <w:rPr>
                <w:rFonts w:hint="eastAsia"/>
                <w:color w:val="auto"/>
                <w:sz w:val="21"/>
              </w:rPr>
              <w:t>安全检查制度</w:t>
            </w:r>
          </w:p>
        </w:tc>
        <w:tc>
          <w:tcPr>
            <w:tcW w:w="6768" w:type="dxa"/>
            <w:tcBorders>
              <w:top w:val="single" w:color="auto" w:sz="4" w:space="0"/>
              <w:left w:val="nil"/>
              <w:bottom w:val="single" w:color="auto" w:sz="4" w:space="0"/>
              <w:right w:val="single" w:color="auto" w:sz="4" w:space="0"/>
            </w:tcBorders>
            <w:vAlign w:val="center"/>
          </w:tcPr>
          <w:p w14:paraId="57FB2217">
            <w:pPr>
              <w:spacing w:line="240" w:lineRule="auto"/>
              <w:ind w:firstLine="420"/>
              <w:jc w:val="left"/>
              <w:rPr>
                <w:rFonts w:hint="eastAsia"/>
                <w:color w:val="auto"/>
                <w:sz w:val="21"/>
              </w:rPr>
            </w:pPr>
            <w:r>
              <w:rPr>
                <w:rFonts w:hint="eastAsia"/>
                <w:color w:val="auto"/>
                <w:sz w:val="21"/>
              </w:rPr>
              <w:t>坚持安全教育，坚持日常和定期安全检查，发现不安全作业要及时制止，追查原因，及时整改，杜绝事故隐患，真正做到“安全第一”。</w:t>
            </w:r>
          </w:p>
        </w:tc>
      </w:tr>
    </w:tbl>
    <w:p w14:paraId="7284E6D4">
      <w:pPr>
        <w:pStyle w:val="6"/>
        <w:ind w:firstLine="480"/>
        <w:rPr>
          <w:rFonts w:hint="eastAsia"/>
          <w:color w:val="auto"/>
        </w:rPr>
      </w:pPr>
      <w:r>
        <w:rPr>
          <w:rFonts w:hint="eastAsia"/>
          <w:color w:val="auto"/>
        </w:rPr>
        <w:t>机械伤害控制措施</w:t>
      </w:r>
    </w:p>
    <w:tbl>
      <w:tblPr>
        <w:tblStyle w:val="29"/>
        <w:tblW w:w="9286" w:type="dxa"/>
        <w:tblInd w:w="0" w:type="dxa"/>
        <w:tblLayout w:type="fixed"/>
        <w:tblCellMar>
          <w:top w:w="0" w:type="dxa"/>
          <w:left w:w="108" w:type="dxa"/>
          <w:bottom w:w="0" w:type="dxa"/>
          <w:right w:w="108" w:type="dxa"/>
        </w:tblCellMar>
      </w:tblPr>
      <w:tblGrid>
        <w:gridCol w:w="675"/>
        <w:gridCol w:w="8611"/>
      </w:tblGrid>
      <w:tr w14:paraId="074DCAD0">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892A037">
            <w:pPr>
              <w:spacing w:line="240" w:lineRule="auto"/>
              <w:ind w:firstLine="0" w:firstLineChars="0"/>
              <w:jc w:val="center"/>
              <w:rPr>
                <w:rFonts w:hint="eastAsia"/>
                <w:color w:val="auto"/>
                <w:sz w:val="21"/>
              </w:rPr>
            </w:pPr>
            <w:r>
              <w:rPr>
                <w:rFonts w:hint="eastAsia"/>
                <w:color w:val="auto"/>
                <w:sz w:val="21"/>
              </w:rPr>
              <w:t>序号</w:t>
            </w:r>
          </w:p>
        </w:tc>
        <w:tc>
          <w:tcPr>
            <w:tcW w:w="8611" w:type="dxa"/>
            <w:tcBorders>
              <w:top w:val="single" w:color="auto" w:sz="4" w:space="0"/>
              <w:left w:val="nil"/>
              <w:bottom w:val="single" w:color="auto" w:sz="4" w:space="0"/>
              <w:right w:val="single" w:color="auto" w:sz="4" w:space="0"/>
            </w:tcBorders>
            <w:vAlign w:val="center"/>
          </w:tcPr>
          <w:p w14:paraId="376EE9B1">
            <w:pPr>
              <w:spacing w:line="240" w:lineRule="auto"/>
              <w:ind w:firstLine="0" w:firstLineChars="0"/>
              <w:jc w:val="center"/>
              <w:rPr>
                <w:rFonts w:hint="eastAsia"/>
                <w:color w:val="auto"/>
                <w:sz w:val="21"/>
              </w:rPr>
            </w:pPr>
            <w:r>
              <w:rPr>
                <w:rFonts w:hint="eastAsia"/>
                <w:color w:val="auto"/>
                <w:sz w:val="21"/>
              </w:rPr>
              <w:t>机械伤害控制措施</w:t>
            </w:r>
          </w:p>
        </w:tc>
      </w:tr>
      <w:tr w14:paraId="3CC4896D">
        <w:tblPrEx>
          <w:tblCellMar>
            <w:top w:w="0" w:type="dxa"/>
            <w:left w:w="108" w:type="dxa"/>
            <w:bottom w:w="0" w:type="dxa"/>
            <w:right w:w="108" w:type="dxa"/>
          </w:tblCellMar>
        </w:tblPrEx>
        <w:trPr>
          <w:trHeight w:val="454" w:hRule="atLeast"/>
        </w:trPr>
        <w:tc>
          <w:tcPr>
            <w:tcW w:w="675" w:type="dxa"/>
            <w:vMerge w:val="restart"/>
            <w:tcBorders>
              <w:top w:val="nil"/>
              <w:left w:val="single" w:color="auto" w:sz="4" w:space="0"/>
              <w:bottom w:val="single" w:color="auto" w:sz="4" w:space="0"/>
              <w:right w:val="single" w:color="auto" w:sz="4" w:space="0"/>
            </w:tcBorders>
            <w:vAlign w:val="center"/>
          </w:tcPr>
          <w:p w14:paraId="03F661F5">
            <w:pPr>
              <w:spacing w:line="240" w:lineRule="auto"/>
              <w:ind w:firstLine="0" w:firstLineChars="0"/>
              <w:jc w:val="center"/>
              <w:rPr>
                <w:rFonts w:hint="eastAsia"/>
                <w:color w:val="auto"/>
                <w:sz w:val="21"/>
              </w:rPr>
            </w:pPr>
            <w:r>
              <w:rPr>
                <w:rFonts w:hint="eastAsia"/>
                <w:color w:val="auto"/>
                <w:sz w:val="21"/>
              </w:rPr>
              <w:t>1</w:t>
            </w:r>
          </w:p>
        </w:tc>
        <w:tc>
          <w:tcPr>
            <w:tcW w:w="8611" w:type="dxa"/>
            <w:tcBorders>
              <w:top w:val="single" w:color="auto" w:sz="4" w:space="0"/>
              <w:left w:val="nil"/>
              <w:bottom w:val="single" w:color="auto" w:sz="4" w:space="0"/>
              <w:right w:val="single" w:color="auto" w:sz="4" w:space="0"/>
            </w:tcBorders>
            <w:vAlign w:val="center"/>
          </w:tcPr>
          <w:p w14:paraId="7C8AA6CC">
            <w:pPr>
              <w:spacing w:line="240" w:lineRule="auto"/>
              <w:ind w:firstLine="420"/>
              <w:rPr>
                <w:rFonts w:hint="eastAsia"/>
                <w:color w:val="auto"/>
                <w:sz w:val="21"/>
              </w:rPr>
            </w:pPr>
            <w:r>
              <w:rPr>
                <w:rFonts w:hint="eastAsia"/>
                <w:color w:val="auto"/>
                <w:sz w:val="21"/>
              </w:rPr>
              <w:t>对机械的明齿轮、飞轮等易伤人体的部位，都必须有完好的防护装置；对投料口等部位应设置警示牌、护栏及盖板等，投入运行的机械设备，必须按规定进行维护保养。</w:t>
            </w:r>
          </w:p>
        </w:tc>
      </w:tr>
      <w:tr w14:paraId="0B7C25E8">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2E0B30B5">
            <w:pPr>
              <w:spacing w:line="240" w:lineRule="auto"/>
              <w:ind w:firstLine="0" w:firstLineChars="0"/>
              <w:jc w:val="center"/>
              <w:rPr>
                <w:color w:val="auto"/>
                <w:sz w:val="21"/>
              </w:rPr>
            </w:pPr>
          </w:p>
        </w:tc>
        <w:tc>
          <w:tcPr>
            <w:tcW w:w="8611" w:type="dxa"/>
            <w:tcBorders>
              <w:top w:val="single" w:color="auto" w:sz="4" w:space="0"/>
              <w:left w:val="nil"/>
              <w:bottom w:val="single" w:color="auto" w:sz="4" w:space="0"/>
              <w:right w:val="single" w:color="auto" w:sz="4" w:space="0"/>
            </w:tcBorders>
            <w:vAlign w:val="center"/>
          </w:tcPr>
          <w:p w14:paraId="432B4F2B">
            <w:pPr>
              <w:spacing w:line="240" w:lineRule="auto"/>
              <w:ind w:firstLine="0" w:firstLineChars="0"/>
              <w:jc w:val="center"/>
              <w:rPr>
                <w:rFonts w:hint="eastAsia"/>
                <w:color w:val="auto"/>
                <w:sz w:val="21"/>
              </w:rPr>
            </w:pPr>
            <w:r>
              <w:rPr>
                <w:rFonts w:hint="eastAsia"/>
                <w:color w:val="auto"/>
                <w:sz w:val="21"/>
              </w:rPr>
              <w:drawing>
                <wp:inline distT="0" distB="0" distL="0" distR="0">
                  <wp:extent cx="1874520" cy="1333500"/>
                  <wp:effectExtent l="0" t="0" r="5080" b="0"/>
                  <wp:docPr id="1181607371"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607371" name="图片 3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a:xfrm>
                            <a:off x="0" y="0"/>
                            <a:ext cx="1874520" cy="1333500"/>
                          </a:xfrm>
                          <a:prstGeom prst="rect">
                            <a:avLst/>
                          </a:prstGeom>
                          <a:noFill/>
                          <a:ln>
                            <a:noFill/>
                          </a:ln>
                        </pic:spPr>
                      </pic:pic>
                    </a:graphicData>
                  </a:graphic>
                </wp:inline>
              </w:drawing>
            </w:r>
          </w:p>
        </w:tc>
      </w:tr>
      <w:tr w14:paraId="21158A59">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003E5E48">
            <w:pPr>
              <w:spacing w:line="240" w:lineRule="auto"/>
              <w:ind w:firstLine="0" w:firstLineChars="0"/>
              <w:jc w:val="center"/>
              <w:rPr>
                <w:color w:val="auto"/>
                <w:sz w:val="21"/>
              </w:rPr>
            </w:pPr>
          </w:p>
        </w:tc>
        <w:tc>
          <w:tcPr>
            <w:tcW w:w="8611" w:type="dxa"/>
            <w:tcBorders>
              <w:top w:val="single" w:color="auto" w:sz="4" w:space="0"/>
              <w:left w:val="nil"/>
              <w:bottom w:val="single" w:color="auto" w:sz="4" w:space="0"/>
              <w:right w:val="single" w:color="auto" w:sz="4" w:space="0"/>
            </w:tcBorders>
            <w:vAlign w:val="center"/>
          </w:tcPr>
          <w:p w14:paraId="184188B6">
            <w:pPr>
              <w:spacing w:line="240" w:lineRule="auto"/>
              <w:ind w:firstLine="0" w:firstLineChars="0"/>
              <w:jc w:val="center"/>
              <w:rPr>
                <w:rFonts w:hint="eastAsia"/>
                <w:color w:val="auto"/>
                <w:sz w:val="21"/>
              </w:rPr>
            </w:pPr>
            <w:r>
              <w:rPr>
                <w:rFonts w:hint="eastAsia"/>
                <w:color w:val="auto"/>
                <w:sz w:val="21"/>
              </w:rPr>
              <w:t>切割机防护罩</w:t>
            </w:r>
          </w:p>
        </w:tc>
      </w:tr>
      <w:tr w14:paraId="7DB90BF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81AC978">
            <w:pPr>
              <w:spacing w:line="240" w:lineRule="auto"/>
              <w:ind w:firstLine="0" w:firstLineChars="0"/>
              <w:jc w:val="center"/>
              <w:rPr>
                <w:rFonts w:hint="eastAsia"/>
                <w:color w:val="auto"/>
                <w:sz w:val="21"/>
              </w:rPr>
            </w:pPr>
            <w:r>
              <w:rPr>
                <w:rFonts w:hint="eastAsia"/>
                <w:color w:val="auto"/>
                <w:sz w:val="21"/>
              </w:rPr>
              <w:t>2</w:t>
            </w:r>
          </w:p>
        </w:tc>
        <w:tc>
          <w:tcPr>
            <w:tcW w:w="8611" w:type="dxa"/>
            <w:tcBorders>
              <w:top w:val="single" w:color="auto" w:sz="4" w:space="0"/>
              <w:left w:val="nil"/>
              <w:bottom w:val="single" w:color="auto" w:sz="4" w:space="0"/>
              <w:right w:val="single" w:color="auto" w:sz="4" w:space="0"/>
            </w:tcBorders>
            <w:vAlign w:val="center"/>
          </w:tcPr>
          <w:p w14:paraId="27F0999D">
            <w:pPr>
              <w:spacing w:line="240" w:lineRule="auto"/>
              <w:ind w:firstLine="420"/>
              <w:jc w:val="left"/>
              <w:rPr>
                <w:rFonts w:hint="eastAsia"/>
                <w:color w:val="auto"/>
                <w:sz w:val="21"/>
              </w:rPr>
            </w:pPr>
            <w:r>
              <w:rPr>
                <w:rFonts w:hint="eastAsia"/>
                <w:color w:val="auto"/>
                <w:sz w:val="21"/>
              </w:rPr>
              <w:t>凡是检修、检查机械设备必须落实各项安全措施。被检修的机械必须切断电源，并落实安全控制电源措施。</w:t>
            </w:r>
          </w:p>
        </w:tc>
      </w:tr>
      <w:tr w14:paraId="7EDCEA74">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B8B1CDB">
            <w:pPr>
              <w:spacing w:line="240" w:lineRule="auto"/>
              <w:ind w:firstLine="0" w:firstLineChars="0"/>
              <w:jc w:val="center"/>
              <w:rPr>
                <w:rFonts w:hint="eastAsia"/>
                <w:color w:val="auto"/>
                <w:sz w:val="21"/>
              </w:rPr>
            </w:pPr>
            <w:r>
              <w:rPr>
                <w:rFonts w:hint="eastAsia"/>
                <w:color w:val="auto"/>
                <w:sz w:val="21"/>
              </w:rPr>
              <w:t>3</w:t>
            </w:r>
          </w:p>
        </w:tc>
        <w:tc>
          <w:tcPr>
            <w:tcW w:w="8611" w:type="dxa"/>
            <w:tcBorders>
              <w:top w:val="single" w:color="auto" w:sz="4" w:space="0"/>
              <w:left w:val="nil"/>
              <w:bottom w:val="single" w:color="auto" w:sz="4" w:space="0"/>
              <w:right w:val="single" w:color="auto" w:sz="4" w:space="0"/>
            </w:tcBorders>
            <w:vAlign w:val="center"/>
          </w:tcPr>
          <w:p w14:paraId="1669213D">
            <w:pPr>
              <w:spacing w:line="240" w:lineRule="auto"/>
              <w:ind w:firstLine="420"/>
              <w:jc w:val="left"/>
              <w:rPr>
                <w:rFonts w:hint="eastAsia"/>
                <w:color w:val="auto"/>
                <w:sz w:val="21"/>
              </w:rPr>
            </w:pPr>
            <w:r>
              <w:rPr>
                <w:rFonts w:hint="eastAsia"/>
                <w:color w:val="auto"/>
                <w:sz w:val="21"/>
              </w:rPr>
              <w:t>任何人员要进入机械危险区域，都要严格执行防范事故的安全制度。</w:t>
            </w:r>
          </w:p>
        </w:tc>
      </w:tr>
      <w:tr w14:paraId="4F72C2A0">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16DAC0A">
            <w:pPr>
              <w:spacing w:line="240" w:lineRule="auto"/>
              <w:ind w:firstLine="0" w:firstLineChars="0"/>
              <w:jc w:val="center"/>
              <w:rPr>
                <w:rFonts w:hint="eastAsia"/>
                <w:color w:val="auto"/>
                <w:sz w:val="21"/>
              </w:rPr>
            </w:pPr>
            <w:r>
              <w:rPr>
                <w:rFonts w:hint="eastAsia"/>
                <w:color w:val="auto"/>
                <w:sz w:val="21"/>
              </w:rPr>
              <w:t>4</w:t>
            </w:r>
          </w:p>
        </w:tc>
        <w:tc>
          <w:tcPr>
            <w:tcW w:w="8611" w:type="dxa"/>
            <w:tcBorders>
              <w:top w:val="single" w:color="auto" w:sz="4" w:space="0"/>
              <w:left w:val="nil"/>
              <w:bottom w:val="single" w:color="auto" w:sz="4" w:space="0"/>
              <w:right w:val="single" w:color="auto" w:sz="4" w:space="0"/>
            </w:tcBorders>
            <w:vAlign w:val="center"/>
          </w:tcPr>
          <w:p w14:paraId="627EA39E">
            <w:pPr>
              <w:spacing w:line="240" w:lineRule="auto"/>
              <w:ind w:firstLine="420"/>
              <w:jc w:val="left"/>
              <w:rPr>
                <w:rFonts w:hint="eastAsia"/>
                <w:color w:val="auto"/>
                <w:sz w:val="21"/>
              </w:rPr>
            </w:pPr>
            <w:r>
              <w:rPr>
                <w:rFonts w:hint="eastAsia"/>
                <w:color w:val="auto"/>
                <w:sz w:val="21"/>
              </w:rPr>
              <w:t>必须停车进行清理积料、捅卡料等作业，并应遵守挂停和警示牌的制度。</w:t>
            </w:r>
          </w:p>
        </w:tc>
      </w:tr>
      <w:tr w14:paraId="6CE6929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8E3AD0D">
            <w:pPr>
              <w:spacing w:line="240" w:lineRule="auto"/>
              <w:ind w:firstLine="0" w:firstLineChars="0"/>
              <w:jc w:val="center"/>
              <w:rPr>
                <w:rFonts w:hint="eastAsia"/>
                <w:color w:val="auto"/>
                <w:sz w:val="21"/>
              </w:rPr>
            </w:pPr>
            <w:r>
              <w:rPr>
                <w:rFonts w:hint="eastAsia"/>
                <w:color w:val="auto"/>
                <w:sz w:val="21"/>
              </w:rPr>
              <w:t>5</w:t>
            </w:r>
          </w:p>
        </w:tc>
        <w:tc>
          <w:tcPr>
            <w:tcW w:w="8611" w:type="dxa"/>
            <w:tcBorders>
              <w:top w:val="single" w:color="auto" w:sz="4" w:space="0"/>
              <w:left w:val="nil"/>
              <w:bottom w:val="single" w:color="auto" w:sz="4" w:space="0"/>
              <w:right w:val="single" w:color="auto" w:sz="4" w:space="0"/>
            </w:tcBorders>
            <w:vAlign w:val="center"/>
          </w:tcPr>
          <w:p w14:paraId="0671A833">
            <w:pPr>
              <w:spacing w:line="240" w:lineRule="auto"/>
              <w:ind w:firstLine="420"/>
              <w:jc w:val="left"/>
              <w:rPr>
                <w:rFonts w:hint="eastAsia"/>
                <w:color w:val="auto"/>
                <w:sz w:val="21"/>
              </w:rPr>
            </w:pPr>
            <w:r>
              <w:rPr>
                <w:rFonts w:hint="eastAsia"/>
                <w:color w:val="auto"/>
                <w:sz w:val="21"/>
              </w:rPr>
              <w:t>提高每一名机械操作人员的技术和安全素质，必须经过严格的专业业务培训，考试合格才准上岗。</w:t>
            </w:r>
          </w:p>
        </w:tc>
      </w:tr>
      <w:tr w14:paraId="04DF093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537AF2F">
            <w:pPr>
              <w:spacing w:line="240" w:lineRule="auto"/>
              <w:ind w:firstLine="0" w:firstLineChars="0"/>
              <w:jc w:val="center"/>
              <w:rPr>
                <w:rFonts w:hint="eastAsia"/>
                <w:color w:val="auto"/>
                <w:sz w:val="21"/>
              </w:rPr>
            </w:pPr>
            <w:r>
              <w:rPr>
                <w:rFonts w:hint="eastAsia"/>
                <w:color w:val="auto"/>
                <w:sz w:val="21"/>
              </w:rPr>
              <w:t>6</w:t>
            </w:r>
          </w:p>
        </w:tc>
        <w:tc>
          <w:tcPr>
            <w:tcW w:w="8611" w:type="dxa"/>
            <w:tcBorders>
              <w:top w:val="single" w:color="auto" w:sz="4" w:space="0"/>
              <w:left w:val="nil"/>
              <w:bottom w:val="single" w:color="auto" w:sz="4" w:space="0"/>
              <w:right w:val="single" w:color="auto" w:sz="4" w:space="0"/>
            </w:tcBorders>
            <w:vAlign w:val="center"/>
          </w:tcPr>
          <w:p w14:paraId="1C1B272F">
            <w:pPr>
              <w:spacing w:line="240" w:lineRule="auto"/>
              <w:ind w:firstLine="420"/>
              <w:jc w:val="left"/>
              <w:rPr>
                <w:rFonts w:hint="eastAsia"/>
                <w:color w:val="auto"/>
                <w:sz w:val="21"/>
              </w:rPr>
            </w:pPr>
            <w:r>
              <w:rPr>
                <w:rFonts w:hint="eastAsia"/>
                <w:color w:val="auto"/>
                <w:sz w:val="21"/>
              </w:rPr>
              <w:t>要使每名机械操作人员在作业前做到保持注意力，控制情感、防止疲劳。切实严格遵守有关规定，必须按照有关要求穿戴防护用品，实现安全生产。</w:t>
            </w:r>
          </w:p>
        </w:tc>
      </w:tr>
      <w:tr w14:paraId="382B670E">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B942601">
            <w:pPr>
              <w:spacing w:line="240" w:lineRule="auto"/>
              <w:ind w:firstLine="0" w:firstLineChars="0"/>
              <w:jc w:val="center"/>
              <w:rPr>
                <w:rFonts w:hint="eastAsia"/>
                <w:color w:val="auto"/>
                <w:sz w:val="21"/>
              </w:rPr>
            </w:pPr>
            <w:r>
              <w:rPr>
                <w:rFonts w:hint="eastAsia"/>
                <w:color w:val="auto"/>
                <w:sz w:val="21"/>
              </w:rPr>
              <w:t>7</w:t>
            </w:r>
          </w:p>
        </w:tc>
        <w:tc>
          <w:tcPr>
            <w:tcW w:w="8611" w:type="dxa"/>
            <w:tcBorders>
              <w:top w:val="single" w:color="auto" w:sz="4" w:space="0"/>
              <w:left w:val="nil"/>
              <w:bottom w:val="single" w:color="auto" w:sz="4" w:space="0"/>
              <w:right w:val="single" w:color="auto" w:sz="4" w:space="0"/>
            </w:tcBorders>
            <w:vAlign w:val="center"/>
          </w:tcPr>
          <w:p w14:paraId="4E3780A0">
            <w:pPr>
              <w:spacing w:line="240" w:lineRule="auto"/>
              <w:ind w:firstLine="420"/>
              <w:jc w:val="left"/>
              <w:rPr>
                <w:rFonts w:hint="eastAsia"/>
                <w:color w:val="auto"/>
                <w:sz w:val="21"/>
              </w:rPr>
            </w:pPr>
            <w:r>
              <w:rPr>
                <w:rFonts w:hint="eastAsia"/>
                <w:color w:val="auto"/>
                <w:sz w:val="21"/>
              </w:rPr>
              <w:t>操作人员应体检合格，无妨碍作业的疾病和生理缺陷，并应过专业培训，考核合格取得建设行政主管部门颁发的操作证后，方可持证上岗。操作证必须定期审查，合格后持有人方可继续从事此项工作。</w:t>
            </w:r>
          </w:p>
        </w:tc>
      </w:tr>
      <w:tr w14:paraId="41512FC0">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3BDF72D">
            <w:pPr>
              <w:spacing w:line="240" w:lineRule="auto"/>
              <w:ind w:firstLine="0" w:firstLineChars="0"/>
              <w:jc w:val="center"/>
              <w:rPr>
                <w:rFonts w:hint="eastAsia"/>
                <w:color w:val="auto"/>
                <w:sz w:val="21"/>
              </w:rPr>
            </w:pPr>
            <w:r>
              <w:rPr>
                <w:rFonts w:hint="eastAsia"/>
                <w:color w:val="auto"/>
                <w:sz w:val="21"/>
              </w:rPr>
              <w:t>8</w:t>
            </w:r>
          </w:p>
        </w:tc>
        <w:tc>
          <w:tcPr>
            <w:tcW w:w="8611" w:type="dxa"/>
            <w:tcBorders>
              <w:top w:val="single" w:color="auto" w:sz="4" w:space="0"/>
              <w:left w:val="nil"/>
              <w:bottom w:val="single" w:color="auto" w:sz="4" w:space="0"/>
              <w:right w:val="single" w:color="auto" w:sz="4" w:space="0"/>
            </w:tcBorders>
            <w:vAlign w:val="center"/>
          </w:tcPr>
          <w:p w14:paraId="6C54D2DE">
            <w:pPr>
              <w:spacing w:line="240" w:lineRule="auto"/>
              <w:ind w:firstLine="420"/>
              <w:jc w:val="left"/>
              <w:rPr>
                <w:rFonts w:hint="eastAsia"/>
                <w:color w:val="auto"/>
                <w:sz w:val="21"/>
              </w:rPr>
            </w:pPr>
            <w:r>
              <w:rPr>
                <w:rFonts w:hint="eastAsia"/>
                <w:color w:val="auto"/>
                <w:sz w:val="21"/>
              </w:rPr>
              <w:t>操作人员在作业过程中，应集中精力正确操作，注意机械工况，不得擅自离开工作岗位或将机械交给其他无证人员操作。严禁无关人员进入作业区或操作室内。</w:t>
            </w:r>
          </w:p>
        </w:tc>
      </w:tr>
      <w:tr w14:paraId="6DD8B681">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BA48604">
            <w:pPr>
              <w:spacing w:line="240" w:lineRule="auto"/>
              <w:ind w:firstLine="0" w:firstLineChars="0"/>
              <w:jc w:val="center"/>
              <w:rPr>
                <w:rFonts w:hint="eastAsia"/>
                <w:color w:val="auto"/>
                <w:sz w:val="21"/>
              </w:rPr>
            </w:pPr>
            <w:r>
              <w:rPr>
                <w:rFonts w:hint="eastAsia"/>
                <w:color w:val="auto"/>
                <w:sz w:val="21"/>
              </w:rPr>
              <w:t>9</w:t>
            </w:r>
          </w:p>
        </w:tc>
        <w:tc>
          <w:tcPr>
            <w:tcW w:w="8611" w:type="dxa"/>
            <w:tcBorders>
              <w:top w:val="single" w:color="auto" w:sz="4" w:space="0"/>
              <w:left w:val="nil"/>
              <w:bottom w:val="single" w:color="auto" w:sz="4" w:space="0"/>
              <w:right w:val="single" w:color="auto" w:sz="4" w:space="0"/>
            </w:tcBorders>
            <w:vAlign w:val="center"/>
          </w:tcPr>
          <w:p w14:paraId="2C1B7990">
            <w:pPr>
              <w:spacing w:line="240" w:lineRule="auto"/>
              <w:ind w:firstLine="420"/>
              <w:jc w:val="left"/>
              <w:rPr>
                <w:rFonts w:hint="eastAsia"/>
                <w:color w:val="auto"/>
                <w:sz w:val="21"/>
              </w:rPr>
            </w:pPr>
            <w:r>
              <w:rPr>
                <w:rFonts w:hint="eastAsia"/>
                <w:color w:val="auto"/>
                <w:sz w:val="21"/>
              </w:rPr>
              <w:t>操作人员应遵守机械有关保养规定，认真及时做好各级保养工作，经常保持机械的完好状态。</w:t>
            </w:r>
          </w:p>
        </w:tc>
      </w:tr>
      <w:tr w14:paraId="5E9DAA8B">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484AAF9">
            <w:pPr>
              <w:spacing w:line="240" w:lineRule="auto"/>
              <w:ind w:firstLine="0" w:firstLineChars="0"/>
              <w:jc w:val="center"/>
              <w:rPr>
                <w:rFonts w:hint="eastAsia"/>
                <w:color w:val="auto"/>
                <w:sz w:val="21"/>
              </w:rPr>
            </w:pPr>
            <w:r>
              <w:rPr>
                <w:rFonts w:hint="eastAsia"/>
                <w:color w:val="auto"/>
                <w:sz w:val="21"/>
              </w:rPr>
              <w:t>10</w:t>
            </w:r>
          </w:p>
        </w:tc>
        <w:tc>
          <w:tcPr>
            <w:tcW w:w="8611" w:type="dxa"/>
            <w:tcBorders>
              <w:top w:val="single" w:color="auto" w:sz="4" w:space="0"/>
              <w:left w:val="nil"/>
              <w:bottom w:val="single" w:color="auto" w:sz="4" w:space="0"/>
              <w:right w:val="single" w:color="auto" w:sz="4" w:space="0"/>
            </w:tcBorders>
            <w:vAlign w:val="center"/>
          </w:tcPr>
          <w:p w14:paraId="5CB35DF8">
            <w:pPr>
              <w:spacing w:line="240" w:lineRule="auto"/>
              <w:ind w:firstLine="420"/>
              <w:jc w:val="left"/>
              <w:rPr>
                <w:rFonts w:hint="eastAsia"/>
                <w:color w:val="auto"/>
                <w:sz w:val="21"/>
              </w:rPr>
            </w:pPr>
            <w:r>
              <w:rPr>
                <w:rFonts w:hint="eastAsia"/>
                <w:color w:val="auto"/>
                <w:sz w:val="21"/>
              </w:rPr>
              <w:t>实行多班作业的机械，应执行交接班制度，认真填写交接班记录；接班人员经检查确认无误后，方可进行工作。</w:t>
            </w:r>
          </w:p>
        </w:tc>
      </w:tr>
      <w:tr w14:paraId="5C2E893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67E162D">
            <w:pPr>
              <w:spacing w:line="240" w:lineRule="auto"/>
              <w:ind w:firstLine="0" w:firstLineChars="0"/>
              <w:jc w:val="center"/>
              <w:rPr>
                <w:rFonts w:hint="eastAsia"/>
                <w:color w:val="auto"/>
                <w:sz w:val="21"/>
              </w:rPr>
            </w:pPr>
            <w:r>
              <w:rPr>
                <w:rFonts w:hint="eastAsia"/>
                <w:color w:val="auto"/>
                <w:sz w:val="21"/>
              </w:rPr>
              <w:t>11</w:t>
            </w:r>
          </w:p>
        </w:tc>
        <w:tc>
          <w:tcPr>
            <w:tcW w:w="8611" w:type="dxa"/>
            <w:tcBorders>
              <w:top w:val="single" w:color="auto" w:sz="4" w:space="0"/>
              <w:left w:val="nil"/>
              <w:bottom w:val="single" w:color="auto" w:sz="4" w:space="0"/>
              <w:right w:val="single" w:color="auto" w:sz="4" w:space="0"/>
            </w:tcBorders>
            <w:vAlign w:val="center"/>
          </w:tcPr>
          <w:p w14:paraId="39B36F10">
            <w:pPr>
              <w:spacing w:line="240" w:lineRule="auto"/>
              <w:ind w:firstLine="420"/>
              <w:jc w:val="left"/>
              <w:rPr>
                <w:rFonts w:hint="eastAsia"/>
                <w:color w:val="auto"/>
                <w:sz w:val="21"/>
              </w:rPr>
            </w:pPr>
            <w:r>
              <w:rPr>
                <w:rFonts w:hint="eastAsia"/>
                <w:color w:val="auto"/>
                <w:sz w:val="21"/>
              </w:rPr>
              <w:t>在工作中操作人员和配合作业人员必须按照规定穿戴劳动保护用品，长发应束紧不得外露，高空作业时必须系安全带。</w:t>
            </w:r>
          </w:p>
        </w:tc>
      </w:tr>
      <w:tr w14:paraId="265B8DB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2A53C9B">
            <w:pPr>
              <w:spacing w:line="240" w:lineRule="auto"/>
              <w:ind w:firstLine="0" w:firstLineChars="0"/>
              <w:jc w:val="center"/>
              <w:rPr>
                <w:rFonts w:hint="eastAsia"/>
                <w:color w:val="auto"/>
                <w:sz w:val="21"/>
              </w:rPr>
            </w:pPr>
            <w:r>
              <w:rPr>
                <w:rFonts w:hint="eastAsia"/>
                <w:color w:val="auto"/>
                <w:sz w:val="21"/>
              </w:rPr>
              <w:t>12</w:t>
            </w:r>
          </w:p>
        </w:tc>
        <w:tc>
          <w:tcPr>
            <w:tcW w:w="8611" w:type="dxa"/>
            <w:tcBorders>
              <w:top w:val="single" w:color="auto" w:sz="4" w:space="0"/>
              <w:left w:val="nil"/>
              <w:bottom w:val="single" w:color="auto" w:sz="4" w:space="0"/>
              <w:right w:val="single" w:color="auto" w:sz="4" w:space="0"/>
            </w:tcBorders>
            <w:vAlign w:val="center"/>
          </w:tcPr>
          <w:p w14:paraId="73DF9973">
            <w:pPr>
              <w:spacing w:line="240" w:lineRule="auto"/>
              <w:ind w:firstLine="420"/>
              <w:jc w:val="left"/>
              <w:rPr>
                <w:rFonts w:hint="eastAsia"/>
                <w:color w:val="auto"/>
                <w:sz w:val="21"/>
              </w:rPr>
            </w:pPr>
            <w:r>
              <w:rPr>
                <w:rFonts w:hint="eastAsia"/>
                <w:color w:val="auto"/>
                <w:sz w:val="21"/>
              </w:rPr>
              <w:t>现场施工负责人应为机械作业提供道路、水电、机棚或停机场地等必备的条件，并消除对机械作业有妨碍或不安全的因素，夜间作业应设置充足的照明。</w:t>
            </w:r>
          </w:p>
        </w:tc>
      </w:tr>
      <w:tr w14:paraId="217AC6C1">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AFDAECC">
            <w:pPr>
              <w:spacing w:line="240" w:lineRule="auto"/>
              <w:ind w:firstLine="0" w:firstLineChars="0"/>
              <w:jc w:val="center"/>
              <w:rPr>
                <w:rFonts w:hint="eastAsia"/>
                <w:color w:val="auto"/>
                <w:sz w:val="21"/>
              </w:rPr>
            </w:pPr>
            <w:r>
              <w:rPr>
                <w:rFonts w:hint="eastAsia"/>
                <w:color w:val="auto"/>
                <w:sz w:val="21"/>
              </w:rPr>
              <w:t>13</w:t>
            </w:r>
          </w:p>
        </w:tc>
        <w:tc>
          <w:tcPr>
            <w:tcW w:w="8611" w:type="dxa"/>
            <w:tcBorders>
              <w:top w:val="single" w:color="auto" w:sz="4" w:space="0"/>
              <w:left w:val="nil"/>
              <w:bottom w:val="single" w:color="auto" w:sz="4" w:space="0"/>
              <w:right w:val="single" w:color="auto" w:sz="4" w:space="0"/>
            </w:tcBorders>
            <w:vAlign w:val="center"/>
          </w:tcPr>
          <w:p w14:paraId="47976478">
            <w:pPr>
              <w:spacing w:line="240" w:lineRule="auto"/>
              <w:ind w:firstLine="420"/>
              <w:jc w:val="left"/>
              <w:rPr>
                <w:rFonts w:hint="eastAsia"/>
                <w:color w:val="auto"/>
                <w:sz w:val="21"/>
              </w:rPr>
            </w:pPr>
            <w:r>
              <w:rPr>
                <w:rFonts w:hint="eastAsia"/>
                <w:color w:val="auto"/>
                <w:sz w:val="21"/>
              </w:rPr>
              <w:t>机械进入作业地点后，施工技术人员应向操作人员进行施工任务和安全技术交底。操作人员应熟悉作业环境和施工条件，听从指挥。遵守现场安全规则。</w:t>
            </w:r>
          </w:p>
        </w:tc>
      </w:tr>
      <w:tr w14:paraId="4F979C5D">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9CFEA43">
            <w:pPr>
              <w:spacing w:line="240" w:lineRule="auto"/>
              <w:ind w:firstLine="0" w:firstLineChars="0"/>
              <w:jc w:val="center"/>
              <w:rPr>
                <w:rFonts w:hint="eastAsia"/>
                <w:color w:val="auto"/>
                <w:sz w:val="21"/>
              </w:rPr>
            </w:pPr>
            <w:r>
              <w:rPr>
                <w:rFonts w:hint="eastAsia"/>
                <w:color w:val="auto"/>
                <w:sz w:val="21"/>
              </w:rPr>
              <w:t>14</w:t>
            </w:r>
          </w:p>
        </w:tc>
        <w:tc>
          <w:tcPr>
            <w:tcW w:w="8611" w:type="dxa"/>
            <w:tcBorders>
              <w:top w:val="single" w:color="auto" w:sz="4" w:space="0"/>
              <w:left w:val="nil"/>
              <w:bottom w:val="single" w:color="auto" w:sz="4" w:space="0"/>
              <w:right w:val="single" w:color="auto" w:sz="4" w:space="0"/>
            </w:tcBorders>
            <w:vAlign w:val="center"/>
          </w:tcPr>
          <w:p w14:paraId="0AE8DB2F">
            <w:pPr>
              <w:spacing w:line="240" w:lineRule="auto"/>
              <w:ind w:firstLine="420"/>
              <w:jc w:val="left"/>
              <w:rPr>
                <w:rFonts w:hint="eastAsia"/>
                <w:color w:val="auto"/>
                <w:sz w:val="21"/>
              </w:rPr>
            </w:pPr>
            <w:r>
              <w:rPr>
                <w:rFonts w:hint="eastAsia"/>
                <w:color w:val="auto"/>
                <w:sz w:val="21"/>
              </w:rPr>
              <w:t>机械必须按照出厂使用说明书规定的技术性能、承载能力和使用条件，正确操作，合理使用，严禁超载作业或任意扩大使用范围。</w:t>
            </w:r>
          </w:p>
        </w:tc>
      </w:tr>
      <w:tr w14:paraId="09F0E55E">
        <w:tblPrEx>
          <w:tblCellMar>
            <w:top w:w="0" w:type="dxa"/>
            <w:left w:w="108" w:type="dxa"/>
            <w:bottom w:w="0" w:type="dxa"/>
            <w:right w:w="108" w:type="dxa"/>
          </w:tblCellMar>
        </w:tblPrEx>
        <w:trPr>
          <w:trHeight w:val="454" w:hRule="atLeast"/>
        </w:trPr>
        <w:tc>
          <w:tcPr>
            <w:tcW w:w="675" w:type="dxa"/>
            <w:tcBorders>
              <w:top w:val="nil"/>
              <w:left w:val="single" w:color="auto" w:sz="4" w:space="0"/>
              <w:bottom w:val="single" w:color="auto" w:sz="4" w:space="0"/>
              <w:right w:val="single" w:color="auto" w:sz="4" w:space="0"/>
            </w:tcBorders>
            <w:vAlign w:val="center"/>
          </w:tcPr>
          <w:p w14:paraId="4E4042BD">
            <w:pPr>
              <w:spacing w:line="240" w:lineRule="auto"/>
              <w:ind w:firstLine="0" w:firstLineChars="0"/>
              <w:jc w:val="center"/>
              <w:rPr>
                <w:rFonts w:hint="eastAsia"/>
                <w:color w:val="auto"/>
                <w:sz w:val="21"/>
              </w:rPr>
            </w:pPr>
            <w:r>
              <w:rPr>
                <w:rFonts w:hint="eastAsia"/>
                <w:color w:val="auto"/>
                <w:sz w:val="21"/>
              </w:rPr>
              <w:t>15</w:t>
            </w:r>
          </w:p>
        </w:tc>
        <w:tc>
          <w:tcPr>
            <w:tcW w:w="8611" w:type="dxa"/>
            <w:tcBorders>
              <w:top w:val="single" w:color="auto" w:sz="4" w:space="0"/>
              <w:left w:val="nil"/>
              <w:bottom w:val="single" w:color="auto" w:sz="4" w:space="0"/>
              <w:right w:val="single" w:color="auto" w:sz="4" w:space="0"/>
            </w:tcBorders>
            <w:vAlign w:val="center"/>
          </w:tcPr>
          <w:p w14:paraId="6E97066D">
            <w:pPr>
              <w:spacing w:line="240" w:lineRule="auto"/>
              <w:ind w:firstLine="420"/>
              <w:jc w:val="left"/>
              <w:rPr>
                <w:rFonts w:hint="eastAsia"/>
                <w:color w:val="auto"/>
                <w:sz w:val="21"/>
              </w:rPr>
            </w:pPr>
            <w:r>
              <w:rPr>
                <w:rFonts w:hint="eastAsia"/>
                <w:color w:val="auto"/>
                <w:sz w:val="21"/>
              </w:rPr>
              <w:t>机械上的各种安全防护装置及监测、指示、仪表、报警等自动报警、信号装置完好齐全，有缺损时应及时修复。安全防护装置不完整或已失效的机械不得使用。</w:t>
            </w:r>
          </w:p>
        </w:tc>
      </w:tr>
      <w:tr w14:paraId="49AE387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1AF7A3D">
            <w:pPr>
              <w:spacing w:line="240" w:lineRule="auto"/>
              <w:ind w:firstLine="0" w:firstLineChars="0"/>
              <w:jc w:val="center"/>
              <w:rPr>
                <w:rFonts w:hint="eastAsia"/>
                <w:color w:val="auto"/>
                <w:sz w:val="21"/>
              </w:rPr>
            </w:pPr>
            <w:r>
              <w:rPr>
                <w:rFonts w:hint="eastAsia"/>
                <w:color w:val="auto"/>
                <w:sz w:val="21"/>
              </w:rPr>
              <w:t>16</w:t>
            </w:r>
          </w:p>
        </w:tc>
        <w:tc>
          <w:tcPr>
            <w:tcW w:w="8611" w:type="dxa"/>
            <w:tcBorders>
              <w:top w:val="single" w:color="auto" w:sz="4" w:space="0"/>
              <w:left w:val="nil"/>
              <w:bottom w:val="single" w:color="auto" w:sz="4" w:space="0"/>
              <w:right w:val="single" w:color="auto" w:sz="4" w:space="0"/>
            </w:tcBorders>
            <w:vAlign w:val="center"/>
          </w:tcPr>
          <w:p w14:paraId="5C460F77">
            <w:pPr>
              <w:spacing w:line="240" w:lineRule="auto"/>
              <w:ind w:firstLine="420"/>
              <w:jc w:val="left"/>
              <w:rPr>
                <w:rFonts w:hint="eastAsia"/>
                <w:color w:val="auto"/>
                <w:sz w:val="21"/>
              </w:rPr>
            </w:pPr>
            <w:r>
              <w:rPr>
                <w:rFonts w:hint="eastAsia"/>
                <w:color w:val="auto"/>
                <w:sz w:val="21"/>
              </w:rPr>
              <w:t>机械不得带病运转，转运中发现不正常，应先停机检查，排除故障后方可使用。</w:t>
            </w:r>
          </w:p>
        </w:tc>
      </w:tr>
      <w:tr w14:paraId="2526C217">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EDAFD47">
            <w:pPr>
              <w:spacing w:line="240" w:lineRule="auto"/>
              <w:ind w:firstLine="0" w:firstLineChars="0"/>
              <w:jc w:val="center"/>
              <w:rPr>
                <w:rFonts w:hint="eastAsia"/>
                <w:color w:val="auto"/>
                <w:sz w:val="21"/>
              </w:rPr>
            </w:pPr>
            <w:r>
              <w:rPr>
                <w:rFonts w:hint="eastAsia"/>
                <w:color w:val="auto"/>
                <w:sz w:val="21"/>
              </w:rPr>
              <w:t>17</w:t>
            </w:r>
          </w:p>
        </w:tc>
        <w:tc>
          <w:tcPr>
            <w:tcW w:w="8611" w:type="dxa"/>
            <w:tcBorders>
              <w:top w:val="single" w:color="auto" w:sz="4" w:space="0"/>
              <w:left w:val="nil"/>
              <w:bottom w:val="single" w:color="auto" w:sz="4" w:space="0"/>
              <w:right w:val="single" w:color="auto" w:sz="4" w:space="0"/>
            </w:tcBorders>
            <w:vAlign w:val="center"/>
          </w:tcPr>
          <w:p w14:paraId="6830CF10">
            <w:pPr>
              <w:spacing w:line="240" w:lineRule="auto"/>
              <w:ind w:firstLine="420"/>
              <w:jc w:val="left"/>
              <w:rPr>
                <w:rFonts w:hint="eastAsia"/>
                <w:color w:val="auto"/>
                <w:sz w:val="21"/>
              </w:rPr>
            </w:pPr>
            <w:r>
              <w:rPr>
                <w:rFonts w:hint="eastAsia"/>
                <w:color w:val="auto"/>
                <w:sz w:val="21"/>
              </w:rPr>
              <w:t>凡违反本规程的作业命令，操作人员应先说明理由后方可拒绝执行。由于发令人强制违章作业而造成事故者，应追究刑事责任。</w:t>
            </w:r>
          </w:p>
        </w:tc>
      </w:tr>
      <w:tr w14:paraId="6672369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EC18A87">
            <w:pPr>
              <w:spacing w:line="240" w:lineRule="auto"/>
              <w:ind w:firstLine="0" w:firstLineChars="0"/>
              <w:jc w:val="center"/>
              <w:rPr>
                <w:rFonts w:hint="eastAsia"/>
                <w:color w:val="auto"/>
                <w:sz w:val="21"/>
              </w:rPr>
            </w:pPr>
            <w:r>
              <w:rPr>
                <w:rFonts w:hint="eastAsia"/>
                <w:color w:val="auto"/>
                <w:sz w:val="21"/>
              </w:rPr>
              <w:t>18</w:t>
            </w:r>
          </w:p>
        </w:tc>
        <w:tc>
          <w:tcPr>
            <w:tcW w:w="8611" w:type="dxa"/>
            <w:tcBorders>
              <w:top w:val="single" w:color="auto" w:sz="4" w:space="0"/>
              <w:left w:val="nil"/>
              <w:bottom w:val="single" w:color="auto" w:sz="4" w:space="0"/>
              <w:right w:val="single" w:color="auto" w:sz="4" w:space="0"/>
            </w:tcBorders>
            <w:vAlign w:val="center"/>
          </w:tcPr>
          <w:p w14:paraId="5735A0F1">
            <w:pPr>
              <w:spacing w:line="240" w:lineRule="auto"/>
              <w:ind w:firstLine="420"/>
              <w:jc w:val="left"/>
              <w:rPr>
                <w:rFonts w:hint="eastAsia"/>
                <w:color w:val="auto"/>
                <w:sz w:val="21"/>
              </w:rPr>
            </w:pPr>
            <w:r>
              <w:rPr>
                <w:rFonts w:hint="eastAsia"/>
                <w:color w:val="auto"/>
                <w:sz w:val="21"/>
              </w:rPr>
              <w:t>使用机械与安全生产发生矛盾时，必须首先服从安全要求。</w:t>
            </w:r>
          </w:p>
        </w:tc>
      </w:tr>
      <w:tr w14:paraId="4F9D390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B1416D2">
            <w:pPr>
              <w:spacing w:line="240" w:lineRule="auto"/>
              <w:ind w:firstLine="0" w:firstLineChars="0"/>
              <w:jc w:val="center"/>
              <w:rPr>
                <w:rFonts w:hint="eastAsia"/>
                <w:color w:val="auto"/>
                <w:sz w:val="21"/>
              </w:rPr>
            </w:pPr>
            <w:r>
              <w:rPr>
                <w:rFonts w:hint="eastAsia"/>
                <w:color w:val="auto"/>
                <w:sz w:val="21"/>
              </w:rPr>
              <w:t>19</w:t>
            </w:r>
          </w:p>
        </w:tc>
        <w:tc>
          <w:tcPr>
            <w:tcW w:w="8611" w:type="dxa"/>
            <w:tcBorders>
              <w:top w:val="single" w:color="auto" w:sz="4" w:space="0"/>
              <w:left w:val="nil"/>
              <w:bottom w:val="single" w:color="auto" w:sz="4" w:space="0"/>
              <w:right w:val="single" w:color="auto" w:sz="4" w:space="0"/>
            </w:tcBorders>
            <w:vAlign w:val="center"/>
          </w:tcPr>
          <w:p w14:paraId="165056C2">
            <w:pPr>
              <w:spacing w:line="240" w:lineRule="auto"/>
              <w:ind w:firstLine="420"/>
              <w:jc w:val="left"/>
              <w:rPr>
                <w:rFonts w:hint="eastAsia"/>
                <w:color w:val="auto"/>
                <w:sz w:val="21"/>
              </w:rPr>
            </w:pPr>
            <w:r>
              <w:rPr>
                <w:rFonts w:hint="eastAsia"/>
                <w:color w:val="auto"/>
                <w:sz w:val="21"/>
              </w:rPr>
              <w:t>机械使用的润滑油，应符合出厂使用说明书所规定的种类和牌号，并按时、按季、按质更换。</w:t>
            </w:r>
          </w:p>
        </w:tc>
      </w:tr>
      <w:tr w14:paraId="3C6AA24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7C925B1">
            <w:pPr>
              <w:spacing w:line="240" w:lineRule="auto"/>
              <w:ind w:firstLine="0" w:firstLineChars="0"/>
              <w:jc w:val="center"/>
              <w:rPr>
                <w:rFonts w:hint="eastAsia"/>
                <w:color w:val="auto"/>
                <w:sz w:val="21"/>
              </w:rPr>
            </w:pPr>
            <w:r>
              <w:rPr>
                <w:rFonts w:hint="eastAsia"/>
                <w:color w:val="auto"/>
                <w:sz w:val="21"/>
              </w:rPr>
              <w:t>20</w:t>
            </w:r>
          </w:p>
        </w:tc>
        <w:tc>
          <w:tcPr>
            <w:tcW w:w="8611" w:type="dxa"/>
            <w:tcBorders>
              <w:top w:val="single" w:color="auto" w:sz="4" w:space="0"/>
              <w:left w:val="nil"/>
              <w:bottom w:val="single" w:color="auto" w:sz="4" w:space="0"/>
              <w:right w:val="single" w:color="auto" w:sz="4" w:space="0"/>
            </w:tcBorders>
            <w:vAlign w:val="center"/>
          </w:tcPr>
          <w:p w14:paraId="42C7DBCD">
            <w:pPr>
              <w:spacing w:line="240" w:lineRule="auto"/>
              <w:ind w:firstLine="420"/>
              <w:jc w:val="left"/>
              <w:rPr>
                <w:rFonts w:hint="eastAsia"/>
                <w:color w:val="auto"/>
                <w:sz w:val="21"/>
              </w:rPr>
            </w:pPr>
            <w:r>
              <w:rPr>
                <w:rFonts w:hint="eastAsia"/>
                <w:color w:val="auto"/>
                <w:sz w:val="21"/>
              </w:rPr>
              <w:t>当机械发生重大事故时，项目经理必须及时上报和组织抢救，保护现场，查明原因，分清责任、落实及完善安全措施，并按事故性质严肃处理。</w:t>
            </w:r>
          </w:p>
        </w:tc>
      </w:tr>
      <w:tr w14:paraId="5A52C907">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2175C11">
            <w:pPr>
              <w:spacing w:line="240" w:lineRule="auto"/>
              <w:ind w:firstLine="0" w:firstLineChars="0"/>
              <w:jc w:val="center"/>
              <w:rPr>
                <w:rFonts w:hint="eastAsia"/>
                <w:color w:val="auto"/>
                <w:sz w:val="21"/>
              </w:rPr>
            </w:pPr>
            <w:r>
              <w:rPr>
                <w:rFonts w:hint="eastAsia"/>
                <w:color w:val="auto"/>
                <w:sz w:val="21"/>
              </w:rPr>
              <w:t>21</w:t>
            </w:r>
          </w:p>
        </w:tc>
        <w:tc>
          <w:tcPr>
            <w:tcW w:w="8611" w:type="dxa"/>
            <w:tcBorders>
              <w:top w:val="single" w:color="auto" w:sz="4" w:space="0"/>
              <w:left w:val="nil"/>
              <w:bottom w:val="single" w:color="auto" w:sz="4" w:space="0"/>
              <w:right w:val="single" w:color="auto" w:sz="4" w:space="0"/>
            </w:tcBorders>
            <w:vAlign w:val="center"/>
          </w:tcPr>
          <w:p w14:paraId="1E2D74D6">
            <w:pPr>
              <w:spacing w:line="240" w:lineRule="auto"/>
              <w:ind w:firstLine="420"/>
              <w:jc w:val="left"/>
              <w:rPr>
                <w:rFonts w:hint="eastAsia"/>
                <w:color w:val="auto"/>
                <w:sz w:val="21"/>
              </w:rPr>
            </w:pPr>
            <w:r>
              <w:rPr>
                <w:rFonts w:hint="eastAsia"/>
                <w:color w:val="auto"/>
                <w:sz w:val="21"/>
              </w:rPr>
              <w:t>从事电、气焊作业的电、气焊工人必须戴电、气焊手套、穿绝缘鞋和使用护目镜及防护面罩。</w:t>
            </w:r>
          </w:p>
        </w:tc>
      </w:tr>
      <w:tr w14:paraId="2B900F4E">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F3500F6">
            <w:pPr>
              <w:spacing w:line="240" w:lineRule="auto"/>
              <w:ind w:firstLine="0" w:firstLineChars="0"/>
              <w:jc w:val="center"/>
              <w:rPr>
                <w:rFonts w:hint="eastAsia"/>
                <w:color w:val="auto"/>
                <w:sz w:val="21"/>
              </w:rPr>
            </w:pPr>
            <w:r>
              <w:rPr>
                <w:rFonts w:hint="eastAsia"/>
                <w:color w:val="auto"/>
                <w:sz w:val="21"/>
              </w:rPr>
              <w:t>22</w:t>
            </w:r>
          </w:p>
        </w:tc>
        <w:tc>
          <w:tcPr>
            <w:tcW w:w="8611" w:type="dxa"/>
            <w:tcBorders>
              <w:top w:val="single" w:color="auto" w:sz="4" w:space="0"/>
              <w:left w:val="nil"/>
              <w:bottom w:val="single" w:color="auto" w:sz="4" w:space="0"/>
              <w:right w:val="single" w:color="auto" w:sz="4" w:space="0"/>
            </w:tcBorders>
            <w:vAlign w:val="center"/>
          </w:tcPr>
          <w:p w14:paraId="5D549ADA">
            <w:pPr>
              <w:spacing w:line="240" w:lineRule="auto"/>
              <w:ind w:firstLine="420"/>
              <w:jc w:val="left"/>
              <w:rPr>
                <w:rFonts w:hint="eastAsia"/>
                <w:color w:val="auto"/>
                <w:sz w:val="21"/>
              </w:rPr>
            </w:pPr>
            <w:r>
              <w:rPr>
                <w:rFonts w:hint="eastAsia"/>
                <w:color w:val="auto"/>
                <w:sz w:val="21"/>
              </w:rPr>
              <w:t>操作旋转机械设备的人员、应穿“三紧”（袖口紧、下摆紧、裤腿紧）工作服、不准戴手套、围巾、女工的发辫要盘在工作帽内，不准露出帽外。</w:t>
            </w:r>
          </w:p>
        </w:tc>
      </w:tr>
    </w:tbl>
    <w:p w14:paraId="3355D407">
      <w:pPr>
        <w:pStyle w:val="6"/>
        <w:ind w:firstLine="480"/>
        <w:rPr>
          <w:rFonts w:hint="eastAsia"/>
          <w:b w:val="0"/>
          <w:bCs w:val="0"/>
          <w:color w:val="auto"/>
        </w:rPr>
      </w:pPr>
      <w:r>
        <w:rPr>
          <w:rFonts w:hint="eastAsia"/>
          <w:b w:val="0"/>
          <w:bCs w:val="0"/>
          <w:color w:val="auto"/>
        </w:rPr>
        <w:t>主要机械安全控制措施</w:t>
      </w:r>
    </w:p>
    <w:p w14:paraId="0ED99309">
      <w:pPr>
        <w:rPr>
          <w:rFonts w:hint="eastAsia"/>
          <w:color w:val="auto"/>
        </w:rPr>
      </w:pPr>
      <w:r>
        <w:rPr>
          <w:rFonts w:hint="eastAsia"/>
          <w:color w:val="auto"/>
        </w:rPr>
        <w:t>本工程投入使用的机械设备主要有汽车吊、钢筋、木工加工机械等施工机具，我单位将严格相关规定，强化日常安全管理和维护。</w:t>
      </w:r>
    </w:p>
    <w:tbl>
      <w:tblPr>
        <w:tblStyle w:val="29"/>
        <w:tblW w:w="0" w:type="auto"/>
        <w:tblInd w:w="0" w:type="dxa"/>
        <w:tblLayout w:type="fixed"/>
        <w:tblCellMar>
          <w:top w:w="0" w:type="dxa"/>
          <w:left w:w="108" w:type="dxa"/>
          <w:bottom w:w="0" w:type="dxa"/>
          <w:right w:w="108" w:type="dxa"/>
        </w:tblCellMar>
      </w:tblPr>
      <w:tblGrid>
        <w:gridCol w:w="675"/>
        <w:gridCol w:w="735"/>
        <w:gridCol w:w="399"/>
        <w:gridCol w:w="7477"/>
      </w:tblGrid>
      <w:tr w14:paraId="095F300B">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6411EC9">
            <w:pPr>
              <w:spacing w:line="240" w:lineRule="auto"/>
              <w:ind w:firstLine="0" w:firstLineChars="0"/>
              <w:jc w:val="center"/>
              <w:rPr>
                <w:rFonts w:hint="eastAsia"/>
                <w:color w:val="auto"/>
                <w:sz w:val="21"/>
              </w:rPr>
            </w:pPr>
            <w:r>
              <w:rPr>
                <w:rFonts w:hint="eastAsia"/>
                <w:color w:val="auto"/>
                <w:sz w:val="21"/>
              </w:rPr>
              <w:t>序号</w:t>
            </w:r>
          </w:p>
        </w:tc>
        <w:tc>
          <w:tcPr>
            <w:tcW w:w="1134" w:type="dxa"/>
            <w:gridSpan w:val="2"/>
            <w:tcBorders>
              <w:top w:val="single" w:color="auto" w:sz="4" w:space="0"/>
              <w:left w:val="nil"/>
              <w:bottom w:val="single" w:color="auto" w:sz="4" w:space="0"/>
              <w:right w:val="single" w:color="auto" w:sz="4" w:space="0"/>
            </w:tcBorders>
            <w:vAlign w:val="center"/>
          </w:tcPr>
          <w:p w14:paraId="48202B33">
            <w:pPr>
              <w:spacing w:line="240" w:lineRule="auto"/>
              <w:ind w:firstLine="0" w:firstLineChars="0"/>
              <w:jc w:val="center"/>
              <w:rPr>
                <w:rFonts w:hint="eastAsia"/>
                <w:color w:val="auto"/>
                <w:sz w:val="21"/>
              </w:rPr>
            </w:pPr>
            <w:r>
              <w:rPr>
                <w:rFonts w:hint="eastAsia"/>
                <w:color w:val="auto"/>
                <w:sz w:val="21"/>
              </w:rPr>
              <w:t>机械名称</w:t>
            </w:r>
          </w:p>
        </w:tc>
        <w:tc>
          <w:tcPr>
            <w:tcW w:w="7477" w:type="dxa"/>
            <w:tcBorders>
              <w:top w:val="single" w:color="auto" w:sz="4" w:space="0"/>
              <w:left w:val="nil"/>
              <w:bottom w:val="single" w:color="auto" w:sz="4" w:space="0"/>
              <w:right w:val="single" w:color="auto" w:sz="4" w:space="0"/>
            </w:tcBorders>
            <w:vAlign w:val="center"/>
          </w:tcPr>
          <w:p w14:paraId="71E901E4">
            <w:pPr>
              <w:spacing w:line="240" w:lineRule="auto"/>
              <w:ind w:firstLine="0" w:firstLineChars="0"/>
              <w:jc w:val="center"/>
              <w:rPr>
                <w:rFonts w:hint="eastAsia"/>
                <w:color w:val="auto"/>
                <w:sz w:val="21"/>
              </w:rPr>
            </w:pPr>
            <w:r>
              <w:rPr>
                <w:rFonts w:hint="eastAsia"/>
                <w:color w:val="auto"/>
                <w:sz w:val="21"/>
              </w:rPr>
              <w:t>主要安全措施</w:t>
            </w:r>
          </w:p>
        </w:tc>
      </w:tr>
      <w:tr w14:paraId="7DE36468">
        <w:tblPrEx>
          <w:tblCellMar>
            <w:top w:w="0" w:type="dxa"/>
            <w:left w:w="108" w:type="dxa"/>
            <w:bottom w:w="0" w:type="dxa"/>
            <w:right w:w="108" w:type="dxa"/>
          </w:tblCellMar>
        </w:tblPrEx>
        <w:trPr>
          <w:trHeight w:val="1919" w:hRule="atLeast"/>
        </w:trPr>
        <w:tc>
          <w:tcPr>
            <w:tcW w:w="675" w:type="dxa"/>
            <w:tcBorders>
              <w:top w:val="single" w:color="auto" w:sz="4" w:space="0"/>
              <w:left w:val="single" w:color="auto" w:sz="4" w:space="0"/>
              <w:bottom w:val="single" w:color="auto" w:sz="4" w:space="0"/>
              <w:right w:val="single" w:color="auto" w:sz="4" w:space="0"/>
            </w:tcBorders>
            <w:vAlign w:val="center"/>
          </w:tcPr>
          <w:p w14:paraId="6F48C36F">
            <w:pPr>
              <w:spacing w:line="240" w:lineRule="auto"/>
              <w:ind w:firstLine="0" w:firstLineChars="0"/>
              <w:jc w:val="center"/>
              <w:rPr>
                <w:rFonts w:hint="eastAsia"/>
                <w:color w:val="auto"/>
                <w:sz w:val="21"/>
              </w:rPr>
            </w:pPr>
            <w:r>
              <w:rPr>
                <w:rFonts w:hint="eastAsia"/>
                <w:color w:val="auto"/>
                <w:sz w:val="21"/>
              </w:rPr>
              <w:t>1</w:t>
            </w:r>
          </w:p>
        </w:tc>
        <w:tc>
          <w:tcPr>
            <w:tcW w:w="1134" w:type="dxa"/>
            <w:gridSpan w:val="2"/>
            <w:tcBorders>
              <w:top w:val="single" w:color="auto" w:sz="4" w:space="0"/>
              <w:left w:val="nil"/>
              <w:bottom w:val="single" w:color="auto" w:sz="4" w:space="0"/>
              <w:right w:val="single" w:color="auto" w:sz="4" w:space="0"/>
            </w:tcBorders>
            <w:vAlign w:val="center"/>
          </w:tcPr>
          <w:p w14:paraId="3045F910">
            <w:pPr>
              <w:spacing w:line="240" w:lineRule="auto"/>
              <w:ind w:firstLine="0" w:firstLineChars="0"/>
              <w:jc w:val="center"/>
              <w:rPr>
                <w:rFonts w:hint="eastAsia"/>
                <w:color w:val="auto"/>
                <w:sz w:val="21"/>
              </w:rPr>
            </w:pPr>
            <w:r>
              <w:rPr>
                <w:rFonts w:hint="eastAsia"/>
                <w:color w:val="auto"/>
                <w:sz w:val="21"/>
              </w:rPr>
              <w:t>起重机械及索具</w:t>
            </w:r>
          </w:p>
        </w:tc>
        <w:tc>
          <w:tcPr>
            <w:tcW w:w="7477" w:type="dxa"/>
            <w:tcBorders>
              <w:top w:val="single" w:color="auto" w:sz="4" w:space="0"/>
              <w:left w:val="nil"/>
              <w:bottom w:val="single" w:color="auto" w:sz="4" w:space="0"/>
              <w:right w:val="single" w:color="auto" w:sz="4" w:space="0"/>
            </w:tcBorders>
            <w:vAlign w:val="center"/>
          </w:tcPr>
          <w:p w14:paraId="6CAAC268">
            <w:pPr>
              <w:spacing w:line="240" w:lineRule="auto"/>
              <w:ind w:firstLine="420"/>
              <w:rPr>
                <w:rFonts w:hint="eastAsia"/>
                <w:color w:val="auto"/>
                <w:sz w:val="21"/>
              </w:rPr>
            </w:pPr>
            <w:r>
              <w:rPr>
                <w:rFonts w:hint="eastAsia"/>
                <w:color w:val="auto"/>
                <w:sz w:val="21"/>
              </w:rPr>
              <w:t>1、工作前严格检查索具，在吊装不同重量的构件时使用不同型号的钢丝绳，禁止小绳吊大物，建立钢丝绳定期检查制度和每次吊装前的目测巡视检验制度，在定期检查时注意对所检查的钢丝绳应做好标记，如第一次检查时对合格的钢丝绳用蓝色做标记，对第二次检查合格的钢丝绳做绿色标记等，对不合格的钢丝绳如：散股、断股、露芯、出现毛刺超过安全范围等的钢丝绳用红色做标记并强制报废。</w:t>
            </w:r>
          </w:p>
          <w:p w14:paraId="5BB7310D">
            <w:pPr>
              <w:spacing w:line="240" w:lineRule="auto"/>
              <w:ind w:firstLine="420"/>
              <w:rPr>
                <w:rFonts w:hint="eastAsia"/>
                <w:color w:val="auto"/>
                <w:sz w:val="21"/>
              </w:rPr>
            </w:pPr>
            <w:r>
              <w:rPr>
                <w:rFonts w:hint="eastAsia"/>
                <w:color w:val="auto"/>
                <w:sz w:val="21"/>
              </w:rPr>
              <w:t>2、钢丝绳（大钩以下主绳）超期及时更换。</w:t>
            </w:r>
          </w:p>
          <w:p w14:paraId="0B3A0ACA">
            <w:pPr>
              <w:spacing w:line="240" w:lineRule="auto"/>
              <w:ind w:firstLine="420"/>
              <w:rPr>
                <w:rFonts w:hint="eastAsia"/>
                <w:color w:val="auto"/>
                <w:sz w:val="21"/>
              </w:rPr>
            </w:pPr>
            <w:r>
              <w:rPr>
                <w:rFonts w:hint="eastAsia"/>
                <w:color w:val="auto"/>
                <w:sz w:val="21"/>
              </w:rPr>
              <w:t>3、工作时升钩或吊杆要稳，避免紧急刹车，起重吊物在高空时，严禁调整刹车。</w:t>
            </w:r>
          </w:p>
        </w:tc>
      </w:tr>
      <w:tr w14:paraId="56A81E38">
        <w:tblPrEx>
          <w:tblCellMar>
            <w:top w:w="0" w:type="dxa"/>
            <w:left w:w="108" w:type="dxa"/>
            <w:bottom w:w="0" w:type="dxa"/>
            <w:right w:w="108" w:type="dxa"/>
          </w:tblCellMar>
        </w:tblPrEx>
        <w:trPr>
          <w:trHeight w:val="3152" w:hRule="atLeast"/>
        </w:trPr>
        <w:tc>
          <w:tcPr>
            <w:tcW w:w="675" w:type="dxa"/>
            <w:tcBorders>
              <w:top w:val="single" w:color="auto" w:sz="4" w:space="0"/>
              <w:left w:val="single" w:color="auto" w:sz="4" w:space="0"/>
              <w:bottom w:val="single" w:color="auto" w:sz="4" w:space="0"/>
              <w:right w:val="single" w:color="auto" w:sz="4" w:space="0"/>
            </w:tcBorders>
            <w:vAlign w:val="center"/>
          </w:tcPr>
          <w:p w14:paraId="22F12FA4">
            <w:pPr>
              <w:spacing w:line="240" w:lineRule="auto"/>
              <w:ind w:firstLine="0" w:firstLineChars="0"/>
              <w:jc w:val="center"/>
              <w:rPr>
                <w:rFonts w:hint="eastAsia"/>
                <w:color w:val="auto"/>
                <w:sz w:val="21"/>
              </w:rPr>
            </w:pPr>
            <w:r>
              <w:rPr>
                <w:rFonts w:hint="eastAsia"/>
                <w:color w:val="auto"/>
                <w:sz w:val="21"/>
              </w:rPr>
              <w:t>2</w:t>
            </w:r>
          </w:p>
        </w:tc>
        <w:tc>
          <w:tcPr>
            <w:tcW w:w="1134" w:type="dxa"/>
            <w:gridSpan w:val="2"/>
            <w:tcBorders>
              <w:top w:val="single" w:color="auto" w:sz="4" w:space="0"/>
              <w:left w:val="nil"/>
              <w:bottom w:val="single" w:color="auto" w:sz="4" w:space="0"/>
              <w:right w:val="single" w:color="auto" w:sz="4" w:space="0"/>
            </w:tcBorders>
            <w:vAlign w:val="center"/>
          </w:tcPr>
          <w:p w14:paraId="7EFB1474">
            <w:pPr>
              <w:spacing w:line="240" w:lineRule="auto"/>
              <w:ind w:firstLine="0" w:firstLineChars="0"/>
              <w:jc w:val="center"/>
              <w:rPr>
                <w:rFonts w:hint="eastAsia"/>
                <w:color w:val="auto"/>
                <w:sz w:val="21"/>
              </w:rPr>
            </w:pPr>
            <w:r>
              <w:rPr>
                <w:rFonts w:hint="eastAsia"/>
                <w:color w:val="auto"/>
                <w:sz w:val="21"/>
              </w:rPr>
              <w:t>混凝土输送泵</w:t>
            </w:r>
          </w:p>
        </w:tc>
        <w:tc>
          <w:tcPr>
            <w:tcW w:w="7477" w:type="dxa"/>
            <w:tcBorders>
              <w:top w:val="single" w:color="auto" w:sz="4" w:space="0"/>
              <w:left w:val="nil"/>
              <w:bottom w:val="single" w:color="auto" w:sz="4" w:space="0"/>
              <w:right w:val="single" w:color="auto" w:sz="4" w:space="0"/>
            </w:tcBorders>
            <w:vAlign w:val="center"/>
          </w:tcPr>
          <w:p w14:paraId="095E7690">
            <w:pPr>
              <w:spacing w:line="240" w:lineRule="auto"/>
              <w:ind w:firstLine="420"/>
              <w:rPr>
                <w:rFonts w:hint="eastAsia"/>
                <w:color w:val="auto"/>
                <w:sz w:val="21"/>
              </w:rPr>
            </w:pPr>
            <w:r>
              <w:rPr>
                <w:rFonts w:hint="eastAsia"/>
                <w:color w:val="auto"/>
                <w:sz w:val="21"/>
              </w:rPr>
              <w:t>1、班前检查泵体各部位、油路系统、电气系统等一切正常后再开动泵机。</w:t>
            </w:r>
          </w:p>
          <w:p w14:paraId="60B935B9">
            <w:pPr>
              <w:spacing w:line="240" w:lineRule="auto"/>
              <w:ind w:firstLine="420"/>
              <w:rPr>
                <w:rFonts w:hint="eastAsia"/>
                <w:color w:val="auto"/>
                <w:sz w:val="21"/>
              </w:rPr>
            </w:pPr>
            <w:r>
              <w:rPr>
                <w:rFonts w:hint="eastAsia"/>
                <w:color w:val="auto"/>
                <w:sz w:val="21"/>
              </w:rPr>
              <w:t>2、同时使用泵送设备的停车制动和锁紧制动，楔紧轮胎，保证水源正常和水箱储满清水，料斗内无杂物，各润滑点润滑正常。</w:t>
            </w:r>
          </w:p>
          <w:p w14:paraId="10967909">
            <w:pPr>
              <w:spacing w:line="240" w:lineRule="auto"/>
              <w:ind w:firstLine="420"/>
              <w:rPr>
                <w:rFonts w:hint="eastAsia"/>
                <w:color w:val="auto"/>
                <w:sz w:val="21"/>
              </w:rPr>
            </w:pPr>
            <w:r>
              <w:rPr>
                <w:rFonts w:hint="eastAsia"/>
                <w:color w:val="auto"/>
                <w:sz w:val="21"/>
              </w:rPr>
              <w:t>3、装备好清洗管的清洗用品，作业前，先用按规定配制的水泥浆润滑管道。</w:t>
            </w:r>
          </w:p>
          <w:p w14:paraId="4B040F40">
            <w:pPr>
              <w:spacing w:line="240" w:lineRule="auto"/>
              <w:ind w:firstLine="420"/>
              <w:rPr>
                <w:rFonts w:hint="eastAsia"/>
                <w:color w:val="auto"/>
                <w:sz w:val="21"/>
              </w:rPr>
            </w:pPr>
            <w:r>
              <w:rPr>
                <w:rFonts w:hint="eastAsia"/>
                <w:color w:val="auto"/>
                <w:sz w:val="21"/>
              </w:rPr>
              <w:t>4、泵送时料斗内保持一定数量的混凝土，不得吸空。</w:t>
            </w:r>
          </w:p>
          <w:p w14:paraId="0751AA8B">
            <w:pPr>
              <w:spacing w:line="240" w:lineRule="auto"/>
              <w:ind w:firstLine="420"/>
              <w:rPr>
                <w:rFonts w:hint="eastAsia"/>
                <w:color w:val="auto"/>
                <w:sz w:val="21"/>
              </w:rPr>
            </w:pPr>
            <w:r>
              <w:rPr>
                <w:rFonts w:hint="eastAsia"/>
                <w:color w:val="auto"/>
                <w:sz w:val="21"/>
              </w:rPr>
              <w:t>5、停止输送后对泵体、管道进行清洗，以备下次再用。</w:t>
            </w:r>
          </w:p>
          <w:p w14:paraId="6980C65E">
            <w:pPr>
              <w:spacing w:line="240" w:lineRule="auto"/>
              <w:ind w:firstLine="420"/>
              <w:rPr>
                <w:rFonts w:hint="eastAsia"/>
                <w:color w:val="auto"/>
                <w:sz w:val="21"/>
              </w:rPr>
            </w:pPr>
            <w:r>
              <w:rPr>
                <w:rFonts w:hint="eastAsia"/>
                <w:color w:val="auto"/>
                <w:sz w:val="21"/>
              </w:rPr>
              <w:t>6、爆管故障处理及预防：爆管一般出现在泵机出口端附近的管道，特别是水平段与垂直管相本工程投入使用的机械设备主要有汽车吊、钢筋、木工加工机械等施工机具，我单位将严格相关规定，强化日常安全管理和维护。</w:t>
            </w:r>
          </w:p>
        </w:tc>
      </w:tr>
      <w:tr w14:paraId="0F6BA17C">
        <w:tblPrEx>
          <w:tblCellMar>
            <w:top w:w="0" w:type="dxa"/>
            <w:left w:w="108" w:type="dxa"/>
            <w:bottom w:w="0" w:type="dxa"/>
            <w:right w:w="108" w:type="dxa"/>
          </w:tblCellMar>
        </w:tblPrEx>
        <w:trPr>
          <w:trHeight w:val="454" w:hRule="atLeast"/>
        </w:trPr>
        <w:tc>
          <w:tcPr>
            <w:tcW w:w="675" w:type="dxa"/>
            <w:vMerge w:val="restart"/>
            <w:tcBorders>
              <w:top w:val="nil"/>
              <w:left w:val="single" w:color="auto" w:sz="4" w:space="0"/>
              <w:bottom w:val="single" w:color="auto" w:sz="4" w:space="0"/>
              <w:right w:val="single" w:color="auto" w:sz="4" w:space="0"/>
            </w:tcBorders>
            <w:vAlign w:val="center"/>
          </w:tcPr>
          <w:p w14:paraId="1AB99B38">
            <w:pPr>
              <w:spacing w:line="240" w:lineRule="auto"/>
              <w:ind w:firstLine="0" w:firstLineChars="0"/>
              <w:jc w:val="center"/>
              <w:rPr>
                <w:rFonts w:hint="eastAsia"/>
                <w:color w:val="auto"/>
                <w:sz w:val="21"/>
              </w:rPr>
            </w:pPr>
            <w:r>
              <w:rPr>
                <w:rFonts w:hint="eastAsia"/>
                <w:color w:val="auto"/>
                <w:sz w:val="21"/>
              </w:rPr>
              <w:t>3</w:t>
            </w:r>
          </w:p>
        </w:tc>
        <w:tc>
          <w:tcPr>
            <w:tcW w:w="735" w:type="dxa"/>
            <w:vMerge w:val="restart"/>
            <w:tcBorders>
              <w:top w:val="nil"/>
              <w:left w:val="nil"/>
              <w:bottom w:val="single" w:color="auto" w:sz="4" w:space="0"/>
              <w:right w:val="single" w:color="auto" w:sz="4" w:space="0"/>
            </w:tcBorders>
            <w:vAlign w:val="center"/>
          </w:tcPr>
          <w:p w14:paraId="75919000">
            <w:pPr>
              <w:spacing w:line="240" w:lineRule="auto"/>
              <w:ind w:firstLine="0" w:firstLineChars="0"/>
              <w:jc w:val="center"/>
              <w:rPr>
                <w:rFonts w:hint="eastAsia"/>
                <w:color w:val="auto"/>
                <w:sz w:val="21"/>
              </w:rPr>
            </w:pPr>
            <w:r>
              <w:rPr>
                <w:rFonts w:hint="eastAsia"/>
                <w:color w:val="auto"/>
                <w:sz w:val="21"/>
              </w:rPr>
              <w:t>其他施工机具</w:t>
            </w:r>
          </w:p>
        </w:tc>
        <w:tc>
          <w:tcPr>
            <w:tcW w:w="399" w:type="dxa"/>
            <w:vMerge w:val="restart"/>
            <w:tcBorders>
              <w:top w:val="nil"/>
              <w:left w:val="nil"/>
              <w:bottom w:val="single" w:color="auto" w:sz="4" w:space="0"/>
              <w:right w:val="single" w:color="auto" w:sz="4" w:space="0"/>
            </w:tcBorders>
            <w:vAlign w:val="center"/>
          </w:tcPr>
          <w:p w14:paraId="7BED2CE7">
            <w:pPr>
              <w:spacing w:line="240" w:lineRule="auto"/>
              <w:ind w:firstLine="0" w:firstLineChars="0"/>
              <w:jc w:val="center"/>
              <w:rPr>
                <w:rFonts w:hint="eastAsia"/>
                <w:color w:val="auto"/>
                <w:sz w:val="21"/>
              </w:rPr>
            </w:pPr>
            <w:r>
              <w:rPr>
                <w:rFonts w:hint="eastAsia"/>
                <w:color w:val="auto"/>
                <w:sz w:val="21"/>
              </w:rPr>
              <w:t>平刨</w:t>
            </w:r>
          </w:p>
        </w:tc>
        <w:tc>
          <w:tcPr>
            <w:tcW w:w="7477" w:type="dxa"/>
            <w:tcBorders>
              <w:top w:val="single" w:color="auto" w:sz="4" w:space="0"/>
              <w:left w:val="nil"/>
              <w:bottom w:val="single" w:color="auto" w:sz="4" w:space="0"/>
              <w:right w:val="single" w:color="auto" w:sz="4" w:space="0"/>
            </w:tcBorders>
            <w:vAlign w:val="center"/>
          </w:tcPr>
          <w:p w14:paraId="70AAA459">
            <w:pPr>
              <w:spacing w:line="240" w:lineRule="auto"/>
              <w:ind w:firstLine="420"/>
              <w:rPr>
                <w:rFonts w:hint="eastAsia"/>
                <w:color w:val="auto"/>
                <w:sz w:val="21"/>
              </w:rPr>
            </w:pPr>
            <w:r>
              <w:rPr>
                <w:rFonts w:hint="eastAsia"/>
                <w:color w:val="auto"/>
                <w:sz w:val="21"/>
              </w:rPr>
              <w:t>平刨安装护手装置，开关箱与平刨的距离不超过3m；不得使用既有平刨，又有圆锯等的多功能木工机械。</w:t>
            </w:r>
          </w:p>
        </w:tc>
      </w:tr>
      <w:tr w14:paraId="05854B5D">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19AD60B6">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4AE5D618">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33AB1F73">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3FD2E059">
            <w:pPr>
              <w:spacing w:line="240" w:lineRule="auto"/>
              <w:ind w:firstLine="0" w:firstLineChars="0"/>
              <w:jc w:val="center"/>
              <w:rPr>
                <w:rFonts w:hint="eastAsia"/>
                <w:color w:val="auto"/>
                <w:sz w:val="21"/>
              </w:rPr>
            </w:pPr>
            <w:r>
              <w:rPr>
                <w:rFonts w:hint="eastAsia"/>
                <w:color w:val="auto"/>
                <w:sz w:val="21"/>
              </w:rPr>
              <w:drawing>
                <wp:inline distT="0" distB="0" distL="0" distR="0">
                  <wp:extent cx="1478280" cy="998220"/>
                  <wp:effectExtent l="0" t="0" r="7620" b="5080"/>
                  <wp:docPr id="189614619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46195" name="图片 34"/>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a:xfrm>
                            <a:off x="0" y="0"/>
                            <a:ext cx="1478280" cy="998220"/>
                          </a:xfrm>
                          <a:prstGeom prst="rect">
                            <a:avLst/>
                          </a:prstGeom>
                          <a:noFill/>
                          <a:ln>
                            <a:noFill/>
                          </a:ln>
                        </pic:spPr>
                      </pic:pic>
                    </a:graphicData>
                  </a:graphic>
                </wp:inline>
              </w:drawing>
            </w:r>
          </w:p>
        </w:tc>
      </w:tr>
      <w:tr w14:paraId="4C1124FD">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397A555F">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00BDE41B">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1540D566">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4E8F8FEA">
            <w:pPr>
              <w:spacing w:line="240" w:lineRule="auto"/>
              <w:ind w:firstLine="0" w:firstLineChars="0"/>
              <w:jc w:val="center"/>
              <w:rPr>
                <w:rFonts w:hint="eastAsia"/>
                <w:color w:val="auto"/>
                <w:sz w:val="21"/>
              </w:rPr>
            </w:pPr>
            <w:r>
              <w:rPr>
                <w:rFonts w:hint="eastAsia"/>
                <w:color w:val="auto"/>
                <w:sz w:val="21"/>
              </w:rPr>
              <w:t>平刨铣安全使用</w:t>
            </w:r>
          </w:p>
        </w:tc>
      </w:tr>
      <w:tr w14:paraId="4FA45B02">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65756D73">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4FAFC63F">
            <w:pPr>
              <w:spacing w:line="240" w:lineRule="auto"/>
              <w:ind w:firstLine="0" w:firstLineChars="0"/>
              <w:jc w:val="center"/>
              <w:rPr>
                <w:color w:val="auto"/>
                <w:sz w:val="21"/>
              </w:rPr>
            </w:pPr>
          </w:p>
        </w:tc>
        <w:tc>
          <w:tcPr>
            <w:tcW w:w="399" w:type="dxa"/>
            <w:vMerge w:val="restart"/>
            <w:tcBorders>
              <w:top w:val="nil"/>
              <w:left w:val="nil"/>
              <w:bottom w:val="single" w:color="auto" w:sz="4" w:space="0"/>
              <w:right w:val="single" w:color="auto" w:sz="4" w:space="0"/>
            </w:tcBorders>
            <w:vAlign w:val="center"/>
          </w:tcPr>
          <w:p w14:paraId="7849ECC4">
            <w:pPr>
              <w:spacing w:line="240" w:lineRule="auto"/>
              <w:ind w:firstLine="0" w:firstLineChars="0"/>
              <w:jc w:val="center"/>
              <w:rPr>
                <w:rFonts w:hint="eastAsia"/>
                <w:color w:val="auto"/>
                <w:sz w:val="21"/>
              </w:rPr>
            </w:pPr>
            <w:r>
              <w:rPr>
                <w:rFonts w:hint="eastAsia"/>
                <w:color w:val="auto"/>
                <w:sz w:val="21"/>
              </w:rPr>
              <w:t>圆盘锯</w:t>
            </w:r>
          </w:p>
        </w:tc>
        <w:tc>
          <w:tcPr>
            <w:tcW w:w="7477" w:type="dxa"/>
            <w:tcBorders>
              <w:top w:val="single" w:color="auto" w:sz="4" w:space="0"/>
              <w:left w:val="nil"/>
              <w:bottom w:val="single" w:color="auto" w:sz="4" w:space="0"/>
              <w:right w:val="single" w:color="auto" w:sz="4" w:space="0"/>
            </w:tcBorders>
            <w:vAlign w:val="center"/>
          </w:tcPr>
          <w:p w14:paraId="6766CC76">
            <w:pPr>
              <w:spacing w:line="240" w:lineRule="auto"/>
              <w:ind w:firstLine="420"/>
              <w:rPr>
                <w:rFonts w:hint="eastAsia"/>
                <w:color w:val="auto"/>
                <w:sz w:val="21"/>
              </w:rPr>
            </w:pPr>
            <w:r>
              <w:rPr>
                <w:rFonts w:hint="eastAsia"/>
                <w:color w:val="auto"/>
                <w:sz w:val="21"/>
              </w:rPr>
              <w:t>圆盘锯的锯片设防护罩、防护挡板及分料器；开关箱与圆盘锯的距离不超过3m；传动部位也安装防护罩。</w:t>
            </w:r>
          </w:p>
        </w:tc>
      </w:tr>
      <w:tr w14:paraId="270B36AD">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57026514">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2613E794">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18562BFE">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0FEEDAAB">
            <w:pPr>
              <w:spacing w:line="240" w:lineRule="auto"/>
              <w:ind w:firstLine="0" w:firstLineChars="0"/>
              <w:jc w:val="center"/>
              <w:rPr>
                <w:rFonts w:hint="eastAsia"/>
                <w:color w:val="auto"/>
                <w:sz w:val="21"/>
              </w:rPr>
            </w:pPr>
            <w:r>
              <w:rPr>
                <w:rFonts w:hint="eastAsia"/>
                <w:color w:val="auto"/>
                <w:sz w:val="21"/>
              </w:rPr>
              <w:drawing>
                <wp:inline distT="0" distB="0" distL="0" distR="0">
                  <wp:extent cx="2232660" cy="1371600"/>
                  <wp:effectExtent l="0" t="0" r="2540" b="0"/>
                  <wp:docPr id="77171363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713637" name="图片 33"/>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a:xfrm>
                            <a:off x="0" y="0"/>
                            <a:ext cx="2232660" cy="1371600"/>
                          </a:xfrm>
                          <a:prstGeom prst="rect">
                            <a:avLst/>
                          </a:prstGeom>
                          <a:noFill/>
                          <a:ln>
                            <a:noFill/>
                          </a:ln>
                        </pic:spPr>
                      </pic:pic>
                    </a:graphicData>
                  </a:graphic>
                </wp:inline>
              </w:drawing>
            </w:r>
          </w:p>
        </w:tc>
      </w:tr>
      <w:tr w14:paraId="7A48209F">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2A6F8C20">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7423E40A">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424A52A8">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5A6598EE">
            <w:pPr>
              <w:spacing w:line="240" w:lineRule="auto"/>
              <w:ind w:firstLine="0" w:firstLineChars="0"/>
              <w:jc w:val="center"/>
              <w:rPr>
                <w:rFonts w:hint="eastAsia"/>
                <w:color w:val="auto"/>
                <w:sz w:val="21"/>
              </w:rPr>
            </w:pPr>
            <w:r>
              <w:rPr>
                <w:rFonts w:hint="eastAsia"/>
                <w:color w:val="auto"/>
                <w:sz w:val="21"/>
              </w:rPr>
              <w:t>圆盘锯安全防护</w:t>
            </w:r>
          </w:p>
        </w:tc>
      </w:tr>
      <w:tr w14:paraId="4AC760B8">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0D3FCA7A">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4997CCE9">
            <w:pPr>
              <w:spacing w:line="240" w:lineRule="auto"/>
              <w:ind w:firstLine="0" w:firstLineChars="0"/>
              <w:jc w:val="center"/>
              <w:rPr>
                <w:color w:val="auto"/>
                <w:sz w:val="21"/>
              </w:rPr>
            </w:pPr>
          </w:p>
        </w:tc>
        <w:tc>
          <w:tcPr>
            <w:tcW w:w="399" w:type="dxa"/>
            <w:vMerge w:val="restart"/>
            <w:tcBorders>
              <w:top w:val="nil"/>
              <w:left w:val="nil"/>
              <w:bottom w:val="single" w:color="auto" w:sz="4" w:space="0"/>
              <w:right w:val="single" w:color="auto" w:sz="4" w:space="0"/>
            </w:tcBorders>
            <w:vAlign w:val="center"/>
          </w:tcPr>
          <w:p w14:paraId="41B80C06">
            <w:pPr>
              <w:spacing w:line="240" w:lineRule="auto"/>
              <w:ind w:firstLine="0" w:firstLineChars="0"/>
              <w:jc w:val="center"/>
              <w:rPr>
                <w:rFonts w:hint="eastAsia"/>
                <w:color w:val="auto"/>
                <w:sz w:val="21"/>
              </w:rPr>
            </w:pPr>
            <w:r>
              <w:rPr>
                <w:rFonts w:hint="eastAsia"/>
                <w:color w:val="auto"/>
                <w:sz w:val="21"/>
              </w:rPr>
              <w:t>手持电动机具</w:t>
            </w:r>
          </w:p>
        </w:tc>
        <w:tc>
          <w:tcPr>
            <w:tcW w:w="7477" w:type="dxa"/>
            <w:tcBorders>
              <w:top w:val="single" w:color="auto" w:sz="4" w:space="0"/>
              <w:left w:val="nil"/>
              <w:bottom w:val="single" w:color="auto" w:sz="4" w:space="0"/>
              <w:right w:val="single" w:color="auto" w:sz="4" w:space="0"/>
            </w:tcBorders>
            <w:vAlign w:val="center"/>
          </w:tcPr>
          <w:p w14:paraId="130B1AE0">
            <w:pPr>
              <w:spacing w:line="240" w:lineRule="auto"/>
              <w:ind w:firstLine="0" w:firstLineChars="0"/>
              <w:jc w:val="center"/>
              <w:rPr>
                <w:rFonts w:hint="eastAsia"/>
                <w:color w:val="auto"/>
                <w:sz w:val="21"/>
              </w:rPr>
            </w:pPr>
            <w:r>
              <w:rPr>
                <w:rFonts w:hint="eastAsia"/>
                <w:color w:val="auto"/>
                <w:sz w:val="21"/>
              </w:rPr>
              <w:t xml:space="preserve">  个人防护用品，不得随意接长电源，开关箱与手持电动机具距离不超过3m。</w:t>
            </w:r>
          </w:p>
        </w:tc>
      </w:tr>
      <w:tr w14:paraId="3E885E3F">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0FEAABA1">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1CFBB5CF">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3A34C446">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6F5C6054">
            <w:pPr>
              <w:spacing w:line="240" w:lineRule="auto"/>
              <w:ind w:firstLine="0" w:firstLineChars="0"/>
              <w:jc w:val="center"/>
              <w:rPr>
                <w:rFonts w:hint="eastAsia"/>
                <w:color w:val="auto"/>
                <w:sz w:val="21"/>
              </w:rPr>
            </w:pPr>
            <w:r>
              <w:rPr>
                <w:rFonts w:hint="eastAsia"/>
                <w:color w:val="auto"/>
                <w:sz w:val="21"/>
              </w:rPr>
              <w:drawing>
                <wp:inline distT="0" distB="0" distL="0" distR="0">
                  <wp:extent cx="2057400" cy="1303020"/>
                  <wp:effectExtent l="0" t="0" r="0" b="5080"/>
                  <wp:docPr id="895533493"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533493" name="图片 32"/>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a:xfrm>
                            <a:off x="0" y="0"/>
                            <a:ext cx="2057400" cy="1303020"/>
                          </a:xfrm>
                          <a:prstGeom prst="rect">
                            <a:avLst/>
                          </a:prstGeom>
                          <a:noFill/>
                          <a:ln>
                            <a:noFill/>
                          </a:ln>
                        </pic:spPr>
                      </pic:pic>
                    </a:graphicData>
                  </a:graphic>
                </wp:inline>
              </w:drawing>
            </w:r>
          </w:p>
        </w:tc>
      </w:tr>
      <w:tr w14:paraId="7E9A8F41">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3B59D7B1">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7C09319A">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35F64AE4">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7CA1591C">
            <w:pPr>
              <w:spacing w:line="240" w:lineRule="auto"/>
              <w:ind w:firstLine="0" w:firstLineChars="0"/>
              <w:jc w:val="center"/>
              <w:rPr>
                <w:rFonts w:hint="eastAsia"/>
                <w:color w:val="auto"/>
                <w:sz w:val="21"/>
              </w:rPr>
            </w:pPr>
            <w:r>
              <w:rPr>
                <w:rFonts w:hint="eastAsia"/>
                <w:color w:val="auto"/>
                <w:sz w:val="21"/>
              </w:rPr>
              <w:t>手持电动机具安全施工</w:t>
            </w:r>
          </w:p>
        </w:tc>
      </w:tr>
      <w:tr w14:paraId="023D0920">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5E3281C5">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78D0D34E">
            <w:pPr>
              <w:spacing w:line="240" w:lineRule="auto"/>
              <w:ind w:firstLine="0" w:firstLineChars="0"/>
              <w:jc w:val="center"/>
              <w:rPr>
                <w:color w:val="auto"/>
                <w:sz w:val="21"/>
              </w:rPr>
            </w:pPr>
          </w:p>
        </w:tc>
        <w:tc>
          <w:tcPr>
            <w:tcW w:w="399" w:type="dxa"/>
            <w:vMerge w:val="restart"/>
            <w:tcBorders>
              <w:top w:val="nil"/>
              <w:left w:val="nil"/>
              <w:bottom w:val="single" w:color="auto" w:sz="4" w:space="0"/>
              <w:right w:val="single" w:color="auto" w:sz="4" w:space="0"/>
            </w:tcBorders>
            <w:vAlign w:val="center"/>
          </w:tcPr>
          <w:p w14:paraId="30F87D33">
            <w:pPr>
              <w:spacing w:line="240" w:lineRule="auto"/>
              <w:ind w:firstLine="0" w:firstLineChars="0"/>
              <w:jc w:val="center"/>
              <w:rPr>
                <w:rFonts w:hint="eastAsia"/>
                <w:color w:val="auto"/>
                <w:sz w:val="21"/>
              </w:rPr>
            </w:pPr>
            <w:r>
              <w:rPr>
                <w:rFonts w:hint="eastAsia"/>
                <w:color w:val="auto"/>
                <w:sz w:val="21"/>
              </w:rPr>
              <w:t>钢筋机械</w:t>
            </w:r>
          </w:p>
        </w:tc>
        <w:tc>
          <w:tcPr>
            <w:tcW w:w="7477" w:type="dxa"/>
            <w:tcBorders>
              <w:top w:val="single" w:color="auto" w:sz="4" w:space="0"/>
              <w:left w:val="nil"/>
              <w:bottom w:val="single" w:color="auto" w:sz="4" w:space="0"/>
              <w:right w:val="single" w:color="auto" w:sz="4" w:space="0"/>
            </w:tcBorders>
            <w:vAlign w:val="center"/>
          </w:tcPr>
          <w:p w14:paraId="432942A3">
            <w:pPr>
              <w:spacing w:line="240" w:lineRule="auto"/>
              <w:ind w:firstLine="420"/>
              <w:rPr>
                <w:rFonts w:hint="eastAsia"/>
                <w:color w:val="auto"/>
                <w:sz w:val="21"/>
              </w:rPr>
            </w:pPr>
            <w:r>
              <w:rPr>
                <w:rFonts w:hint="eastAsia"/>
                <w:color w:val="auto"/>
                <w:sz w:val="21"/>
              </w:rPr>
              <w:t>钢筋冷拉及焊接作业区要有防护措施，传动部位要有防护罩，开关箱与机械之间的距离不大于3m。</w:t>
            </w:r>
          </w:p>
        </w:tc>
      </w:tr>
      <w:tr w14:paraId="6CF6A08F">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466CA845">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10199AF4">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71C67477">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68480DCD">
            <w:pPr>
              <w:spacing w:line="240" w:lineRule="auto"/>
              <w:ind w:firstLine="0" w:firstLineChars="0"/>
              <w:jc w:val="center"/>
              <w:rPr>
                <w:rFonts w:hint="eastAsia"/>
                <w:color w:val="auto"/>
                <w:sz w:val="21"/>
              </w:rPr>
            </w:pPr>
            <w:r>
              <w:rPr>
                <w:rFonts w:hint="eastAsia"/>
                <w:color w:val="auto"/>
                <w:sz w:val="21"/>
              </w:rPr>
              <w:drawing>
                <wp:inline distT="0" distB="0" distL="0" distR="0">
                  <wp:extent cx="1905000" cy="1257300"/>
                  <wp:effectExtent l="0" t="0" r="0" b="0"/>
                  <wp:docPr id="119038177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381775" name="图片 31"/>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a:xfrm>
                            <a:off x="0" y="0"/>
                            <a:ext cx="1905000" cy="1257300"/>
                          </a:xfrm>
                          <a:prstGeom prst="rect">
                            <a:avLst/>
                          </a:prstGeom>
                          <a:noFill/>
                          <a:ln>
                            <a:noFill/>
                          </a:ln>
                        </pic:spPr>
                      </pic:pic>
                    </a:graphicData>
                  </a:graphic>
                </wp:inline>
              </w:drawing>
            </w:r>
          </w:p>
        </w:tc>
      </w:tr>
      <w:tr w14:paraId="2CE27A64">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56090AE9">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781CBDDE">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09861310">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24516BD3">
            <w:pPr>
              <w:spacing w:line="240" w:lineRule="auto"/>
              <w:ind w:firstLine="0" w:firstLineChars="0"/>
              <w:jc w:val="center"/>
              <w:rPr>
                <w:rFonts w:hint="eastAsia"/>
                <w:color w:val="auto"/>
                <w:sz w:val="21"/>
              </w:rPr>
            </w:pPr>
            <w:r>
              <w:rPr>
                <w:rFonts w:hint="eastAsia"/>
                <w:color w:val="auto"/>
                <w:sz w:val="21"/>
              </w:rPr>
              <w:t>钢筋机械安全施工</w:t>
            </w:r>
          </w:p>
        </w:tc>
      </w:tr>
      <w:tr w14:paraId="0B66DED0">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0901678D">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3B7BBFF9">
            <w:pPr>
              <w:spacing w:line="240" w:lineRule="auto"/>
              <w:ind w:firstLine="0" w:firstLineChars="0"/>
              <w:jc w:val="center"/>
              <w:rPr>
                <w:color w:val="auto"/>
                <w:sz w:val="21"/>
              </w:rPr>
            </w:pPr>
          </w:p>
        </w:tc>
        <w:tc>
          <w:tcPr>
            <w:tcW w:w="399" w:type="dxa"/>
            <w:vMerge w:val="restart"/>
            <w:tcBorders>
              <w:top w:val="nil"/>
              <w:left w:val="nil"/>
              <w:bottom w:val="single" w:color="auto" w:sz="4" w:space="0"/>
              <w:right w:val="single" w:color="auto" w:sz="4" w:space="0"/>
            </w:tcBorders>
            <w:vAlign w:val="center"/>
          </w:tcPr>
          <w:p w14:paraId="7F7B9B46">
            <w:pPr>
              <w:spacing w:line="240" w:lineRule="auto"/>
              <w:ind w:firstLine="0" w:firstLineChars="0"/>
              <w:jc w:val="center"/>
              <w:rPr>
                <w:rFonts w:hint="eastAsia"/>
                <w:color w:val="auto"/>
                <w:sz w:val="21"/>
              </w:rPr>
            </w:pPr>
            <w:r>
              <w:rPr>
                <w:rFonts w:hint="eastAsia"/>
                <w:color w:val="auto"/>
                <w:sz w:val="21"/>
              </w:rPr>
              <w:t>电焊</w:t>
            </w:r>
          </w:p>
        </w:tc>
        <w:tc>
          <w:tcPr>
            <w:tcW w:w="7477" w:type="dxa"/>
            <w:tcBorders>
              <w:top w:val="single" w:color="auto" w:sz="4" w:space="0"/>
              <w:left w:val="nil"/>
              <w:bottom w:val="single" w:color="auto" w:sz="4" w:space="0"/>
              <w:right w:val="single" w:color="auto" w:sz="4" w:space="0"/>
            </w:tcBorders>
            <w:vAlign w:val="center"/>
          </w:tcPr>
          <w:p w14:paraId="32C2F193">
            <w:pPr>
              <w:spacing w:line="240" w:lineRule="auto"/>
              <w:ind w:firstLine="420"/>
              <w:rPr>
                <w:rFonts w:hint="eastAsia"/>
                <w:color w:val="auto"/>
                <w:sz w:val="21"/>
              </w:rPr>
            </w:pPr>
            <w:r>
              <w:rPr>
                <w:rFonts w:hint="eastAsia"/>
                <w:color w:val="auto"/>
                <w:sz w:val="21"/>
              </w:rPr>
              <w:t>电焊机安装后验收合格方可使用，设置保护接零和漏电保护器，并设置可见分段点的隔离开关和断路器，保证一次接线、二次接线分别不超过5m 和12m。</w:t>
            </w:r>
          </w:p>
        </w:tc>
      </w:tr>
      <w:tr w14:paraId="53E041B4">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61E51AFB">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37279C07">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4BBA40CF">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2CB9131F">
            <w:pPr>
              <w:spacing w:line="240" w:lineRule="auto"/>
              <w:ind w:firstLine="0" w:firstLineChars="0"/>
              <w:jc w:val="center"/>
              <w:rPr>
                <w:rFonts w:hint="eastAsia"/>
                <w:color w:val="auto"/>
                <w:sz w:val="21"/>
              </w:rPr>
            </w:pPr>
            <w:r>
              <w:rPr>
                <w:rFonts w:hint="eastAsia"/>
                <w:color w:val="auto"/>
                <w:sz w:val="21"/>
              </w:rPr>
              <w:drawing>
                <wp:inline distT="0" distB="0" distL="0" distR="0">
                  <wp:extent cx="2156460" cy="1554480"/>
                  <wp:effectExtent l="0" t="0" r="2540" b="7620"/>
                  <wp:docPr id="1935308133"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08133" name="图片 30"/>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a:xfrm>
                            <a:off x="0" y="0"/>
                            <a:ext cx="2156460" cy="1554480"/>
                          </a:xfrm>
                          <a:prstGeom prst="rect">
                            <a:avLst/>
                          </a:prstGeom>
                          <a:noFill/>
                          <a:ln>
                            <a:noFill/>
                          </a:ln>
                        </pic:spPr>
                      </pic:pic>
                    </a:graphicData>
                  </a:graphic>
                </wp:inline>
              </w:drawing>
            </w:r>
          </w:p>
        </w:tc>
      </w:tr>
      <w:tr w14:paraId="760CCBF7">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4675E639">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734EE807">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322BC3F9">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5AD067ED">
            <w:pPr>
              <w:spacing w:line="240" w:lineRule="auto"/>
              <w:ind w:firstLine="0" w:firstLineChars="0"/>
              <w:jc w:val="center"/>
              <w:rPr>
                <w:rFonts w:hint="eastAsia"/>
                <w:color w:val="auto"/>
                <w:sz w:val="21"/>
              </w:rPr>
            </w:pPr>
            <w:r>
              <w:rPr>
                <w:rFonts w:hint="eastAsia"/>
                <w:color w:val="auto"/>
                <w:sz w:val="21"/>
              </w:rPr>
              <w:t>电焊安全防护</w:t>
            </w:r>
          </w:p>
        </w:tc>
      </w:tr>
      <w:tr w14:paraId="5A77F384">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2BB97861">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74FF0B88">
            <w:pPr>
              <w:spacing w:line="240" w:lineRule="auto"/>
              <w:ind w:firstLine="0" w:firstLineChars="0"/>
              <w:jc w:val="center"/>
              <w:rPr>
                <w:color w:val="auto"/>
                <w:sz w:val="21"/>
              </w:rPr>
            </w:pPr>
          </w:p>
        </w:tc>
        <w:tc>
          <w:tcPr>
            <w:tcW w:w="399" w:type="dxa"/>
            <w:vMerge w:val="restart"/>
            <w:tcBorders>
              <w:top w:val="nil"/>
              <w:left w:val="nil"/>
              <w:bottom w:val="single" w:color="auto" w:sz="4" w:space="0"/>
              <w:right w:val="single" w:color="auto" w:sz="4" w:space="0"/>
            </w:tcBorders>
            <w:vAlign w:val="center"/>
          </w:tcPr>
          <w:p w14:paraId="174F1481">
            <w:pPr>
              <w:spacing w:line="240" w:lineRule="auto"/>
              <w:ind w:firstLine="0" w:firstLineChars="0"/>
              <w:jc w:val="center"/>
              <w:rPr>
                <w:rFonts w:hint="eastAsia"/>
                <w:color w:val="auto"/>
                <w:sz w:val="21"/>
              </w:rPr>
            </w:pPr>
            <w:r>
              <w:rPr>
                <w:rFonts w:hint="eastAsia"/>
                <w:color w:val="auto"/>
                <w:sz w:val="21"/>
              </w:rPr>
              <w:t>气瓶</w:t>
            </w:r>
          </w:p>
        </w:tc>
        <w:tc>
          <w:tcPr>
            <w:tcW w:w="7477" w:type="dxa"/>
            <w:tcBorders>
              <w:top w:val="single" w:color="auto" w:sz="4" w:space="0"/>
              <w:left w:val="nil"/>
              <w:bottom w:val="single" w:color="auto" w:sz="4" w:space="0"/>
              <w:right w:val="single" w:color="auto" w:sz="4" w:space="0"/>
            </w:tcBorders>
            <w:vAlign w:val="center"/>
          </w:tcPr>
          <w:p w14:paraId="19A5561D">
            <w:pPr>
              <w:spacing w:line="240" w:lineRule="auto"/>
              <w:ind w:firstLine="420"/>
              <w:rPr>
                <w:rFonts w:hint="eastAsia"/>
                <w:color w:val="auto"/>
                <w:sz w:val="21"/>
              </w:rPr>
            </w:pPr>
            <w:r>
              <w:rPr>
                <w:rFonts w:hint="eastAsia"/>
                <w:color w:val="auto"/>
                <w:sz w:val="21"/>
              </w:rPr>
              <w:t>各种气瓶距明火要大于12m，气瓶设置防振圈和防护帽；电焊机施焊现场的10m范围内不得堆放氧气瓶、乙炔发生器、木材等易燃物；气焊严禁使用未安装减压器的氧气瓶进行作业，五级以上大风天气严禁明火作业。各种气瓶的安全使用。</w:t>
            </w:r>
          </w:p>
        </w:tc>
      </w:tr>
      <w:tr w14:paraId="5676FF52">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6F2B683E">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1FDBC482">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36038A39">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70A0ECBE">
            <w:pPr>
              <w:spacing w:line="240" w:lineRule="auto"/>
              <w:ind w:firstLine="0" w:firstLineChars="0"/>
              <w:jc w:val="center"/>
              <w:rPr>
                <w:rFonts w:hint="eastAsia"/>
                <w:color w:val="auto"/>
                <w:sz w:val="21"/>
              </w:rPr>
            </w:pPr>
            <w:r>
              <w:rPr>
                <w:rFonts w:hint="eastAsia"/>
                <w:color w:val="auto"/>
                <w:sz w:val="21"/>
              </w:rPr>
              <w:drawing>
                <wp:inline distT="0" distB="0" distL="0" distR="0">
                  <wp:extent cx="2255520" cy="1516380"/>
                  <wp:effectExtent l="0" t="0" r="5080" b="7620"/>
                  <wp:docPr id="62618634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186340" name="图片 29"/>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a:xfrm>
                            <a:off x="0" y="0"/>
                            <a:ext cx="2255520" cy="1516380"/>
                          </a:xfrm>
                          <a:prstGeom prst="rect">
                            <a:avLst/>
                          </a:prstGeom>
                          <a:noFill/>
                          <a:ln>
                            <a:noFill/>
                          </a:ln>
                        </pic:spPr>
                      </pic:pic>
                    </a:graphicData>
                  </a:graphic>
                </wp:inline>
              </w:drawing>
            </w:r>
          </w:p>
        </w:tc>
      </w:tr>
      <w:tr w14:paraId="6961D525">
        <w:tblPrEx>
          <w:tblCellMar>
            <w:top w:w="0" w:type="dxa"/>
            <w:left w:w="108" w:type="dxa"/>
            <w:bottom w:w="0" w:type="dxa"/>
            <w:right w:w="108" w:type="dxa"/>
          </w:tblCellMar>
        </w:tblPrEx>
        <w:trPr>
          <w:trHeight w:val="454" w:hRule="atLeast"/>
        </w:trPr>
        <w:tc>
          <w:tcPr>
            <w:tcW w:w="675" w:type="dxa"/>
            <w:vMerge w:val="continue"/>
            <w:tcBorders>
              <w:top w:val="nil"/>
              <w:left w:val="single" w:color="auto" w:sz="4" w:space="0"/>
              <w:bottom w:val="single" w:color="auto" w:sz="4" w:space="0"/>
              <w:right w:val="single" w:color="auto" w:sz="4" w:space="0"/>
            </w:tcBorders>
            <w:vAlign w:val="center"/>
          </w:tcPr>
          <w:p w14:paraId="5B1AC477">
            <w:pPr>
              <w:spacing w:line="240" w:lineRule="auto"/>
              <w:ind w:firstLine="0" w:firstLineChars="0"/>
              <w:jc w:val="center"/>
              <w:rPr>
                <w:color w:val="auto"/>
                <w:sz w:val="21"/>
              </w:rPr>
            </w:pPr>
          </w:p>
        </w:tc>
        <w:tc>
          <w:tcPr>
            <w:tcW w:w="1134" w:type="dxa"/>
            <w:vMerge w:val="continue"/>
            <w:tcBorders>
              <w:top w:val="nil"/>
              <w:left w:val="nil"/>
              <w:bottom w:val="single" w:color="auto" w:sz="4" w:space="0"/>
              <w:right w:val="single" w:color="auto" w:sz="4" w:space="0"/>
            </w:tcBorders>
            <w:vAlign w:val="center"/>
          </w:tcPr>
          <w:p w14:paraId="5E07317E">
            <w:pPr>
              <w:spacing w:line="240" w:lineRule="auto"/>
              <w:ind w:firstLine="0" w:firstLineChars="0"/>
              <w:jc w:val="center"/>
              <w:rPr>
                <w:color w:val="auto"/>
                <w:sz w:val="21"/>
              </w:rPr>
            </w:pPr>
          </w:p>
        </w:tc>
        <w:tc>
          <w:tcPr>
            <w:tcW w:w="399" w:type="dxa"/>
            <w:vMerge w:val="continue"/>
            <w:tcBorders>
              <w:top w:val="nil"/>
              <w:left w:val="nil"/>
              <w:bottom w:val="single" w:color="auto" w:sz="4" w:space="0"/>
              <w:right w:val="single" w:color="auto" w:sz="4" w:space="0"/>
            </w:tcBorders>
            <w:vAlign w:val="center"/>
          </w:tcPr>
          <w:p w14:paraId="0912D48A">
            <w:pPr>
              <w:spacing w:line="240" w:lineRule="auto"/>
              <w:ind w:firstLine="0" w:firstLineChars="0"/>
              <w:jc w:val="center"/>
              <w:rPr>
                <w:color w:val="auto"/>
                <w:sz w:val="21"/>
              </w:rPr>
            </w:pPr>
          </w:p>
        </w:tc>
        <w:tc>
          <w:tcPr>
            <w:tcW w:w="7477" w:type="dxa"/>
            <w:tcBorders>
              <w:top w:val="single" w:color="auto" w:sz="4" w:space="0"/>
              <w:left w:val="nil"/>
              <w:bottom w:val="single" w:color="auto" w:sz="4" w:space="0"/>
              <w:right w:val="single" w:color="auto" w:sz="4" w:space="0"/>
            </w:tcBorders>
            <w:vAlign w:val="center"/>
          </w:tcPr>
          <w:p w14:paraId="7B85F5B8">
            <w:pPr>
              <w:spacing w:line="240" w:lineRule="auto"/>
              <w:ind w:firstLine="0" w:firstLineChars="0"/>
              <w:jc w:val="center"/>
              <w:rPr>
                <w:rFonts w:hint="eastAsia"/>
                <w:color w:val="auto"/>
                <w:sz w:val="21"/>
              </w:rPr>
            </w:pPr>
            <w:r>
              <w:rPr>
                <w:rFonts w:hint="eastAsia"/>
                <w:color w:val="auto"/>
                <w:sz w:val="21"/>
              </w:rPr>
              <w:t>各种气瓶安全使用</w:t>
            </w:r>
          </w:p>
        </w:tc>
      </w:tr>
    </w:tbl>
    <w:p w14:paraId="52E72980">
      <w:pPr>
        <w:pStyle w:val="5"/>
        <w:rPr>
          <w:rFonts w:hint="eastAsia"/>
          <w:b w:val="0"/>
          <w:bCs w:val="0"/>
          <w:color w:val="auto"/>
        </w:rPr>
      </w:pPr>
      <w:bookmarkStart w:id="428" w:name="_Toc202510617"/>
      <w:bookmarkEnd w:id="428"/>
      <w:bookmarkStart w:id="429" w:name="_Toc14848"/>
      <w:r>
        <w:rPr>
          <w:rFonts w:hint="eastAsia"/>
          <w:b w:val="0"/>
          <w:bCs w:val="0"/>
          <w:color w:val="auto"/>
        </w:rPr>
        <w:t>防水施工安全管理</w:t>
      </w:r>
      <w:bookmarkEnd w:id="429"/>
    </w:p>
    <w:tbl>
      <w:tblPr>
        <w:tblStyle w:val="29"/>
        <w:tblW w:w="0" w:type="auto"/>
        <w:tblInd w:w="0" w:type="dxa"/>
        <w:tblLayout w:type="fixed"/>
        <w:tblCellMar>
          <w:top w:w="0" w:type="dxa"/>
          <w:left w:w="108" w:type="dxa"/>
          <w:bottom w:w="0" w:type="dxa"/>
          <w:right w:w="108" w:type="dxa"/>
        </w:tblCellMar>
      </w:tblPr>
      <w:tblGrid>
        <w:gridCol w:w="675"/>
        <w:gridCol w:w="709"/>
        <w:gridCol w:w="7902"/>
      </w:tblGrid>
      <w:tr w14:paraId="26C3F01E">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FDB6A49">
            <w:pPr>
              <w:spacing w:line="240" w:lineRule="auto"/>
              <w:ind w:firstLine="0" w:firstLineChars="0"/>
              <w:jc w:val="center"/>
              <w:rPr>
                <w:rFonts w:hint="eastAsia"/>
                <w:color w:val="auto"/>
                <w:sz w:val="21"/>
              </w:rPr>
            </w:pPr>
            <w:r>
              <w:rPr>
                <w:rFonts w:hint="eastAsia"/>
                <w:color w:val="auto"/>
                <w:sz w:val="21"/>
              </w:rPr>
              <w:t>序号</w:t>
            </w:r>
          </w:p>
        </w:tc>
        <w:tc>
          <w:tcPr>
            <w:tcW w:w="709" w:type="dxa"/>
            <w:tcBorders>
              <w:top w:val="single" w:color="auto" w:sz="4" w:space="0"/>
              <w:left w:val="nil"/>
              <w:bottom w:val="single" w:color="auto" w:sz="4" w:space="0"/>
              <w:right w:val="single" w:color="auto" w:sz="4" w:space="0"/>
            </w:tcBorders>
            <w:vAlign w:val="center"/>
          </w:tcPr>
          <w:p w14:paraId="3FC78290">
            <w:pPr>
              <w:spacing w:line="240" w:lineRule="auto"/>
              <w:ind w:firstLine="0" w:firstLineChars="0"/>
              <w:jc w:val="center"/>
              <w:rPr>
                <w:rFonts w:hint="eastAsia"/>
                <w:color w:val="auto"/>
                <w:sz w:val="21"/>
              </w:rPr>
            </w:pPr>
            <w:r>
              <w:rPr>
                <w:rFonts w:hint="eastAsia"/>
                <w:color w:val="auto"/>
                <w:sz w:val="21"/>
              </w:rPr>
              <w:t>项目</w:t>
            </w:r>
          </w:p>
        </w:tc>
        <w:tc>
          <w:tcPr>
            <w:tcW w:w="7902" w:type="dxa"/>
            <w:tcBorders>
              <w:top w:val="single" w:color="auto" w:sz="4" w:space="0"/>
              <w:left w:val="nil"/>
              <w:bottom w:val="single" w:color="auto" w:sz="4" w:space="0"/>
              <w:right w:val="single" w:color="auto" w:sz="4" w:space="0"/>
            </w:tcBorders>
            <w:vAlign w:val="center"/>
          </w:tcPr>
          <w:p w14:paraId="30CE9B50">
            <w:pPr>
              <w:spacing w:line="240" w:lineRule="auto"/>
              <w:ind w:firstLine="0" w:firstLineChars="0"/>
              <w:jc w:val="center"/>
              <w:rPr>
                <w:rFonts w:hint="eastAsia"/>
                <w:color w:val="auto"/>
                <w:sz w:val="21"/>
              </w:rPr>
            </w:pPr>
            <w:r>
              <w:rPr>
                <w:rFonts w:hint="eastAsia"/>
                <w:color w:val="auto"/>
                <w:sz w:val="21"/>
              </w:rPr>
              <w:t>措施内容</w:t>
            </w:r>
          </w:p>
        </w:tc>
      </w:tr>
      <w:tr w14:paraId="541B488D">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32BF421">
            <w:pPr>
              <w:spacing w:line="240" w:lineRule="auto"/>
              <w:ind w:firstLine="0" w:firstLineChars="0"/>
              <w:jc w:val="center"/>
              <w:rPr>
                <w:rFonts w:hint="eastAsia"/>
                <w:color w:val="auto"/>
                <w:sz w:val="21"/>
              </w:rPr>
            </w:pPr>
            <w:r>
              <w:rPr>
                <w:rFonts w:hint="eastAsia"/>
                <w:color w:val="auto"/>
                <w:sz w:val="21"/>
              </w:rPr>
              <w:t>1</w:t>
            </w:r>
          </w:p>
        </w:tc>
        <w:tc>
          <w:tcPr>
            <w:tcW w:w="709" w:type="dxa"/>
            <w:tcBorders>
              <w:top w:val="single" w:color="auto" w:sz="4" w:space="0"/>
              <w:left w:val="nil"/>
              <w:bottom w:val="single" w:color="auto" w:sz="4" w:space="0"/>
              <w:right w:val="single" w:color="auto" w:sz="4" w:space="0"/>
            </w:tcBorders>
            <w:vAlign w:val="center"/>
          </w:tcPr>
          <w:p w14:paraId="0BECA1BC">
            <w:pPr>
              <w:spacing w:line="240" w:lineRule="auto"/>
              <w:ind w:firstLine="0" w:firstLineChars="0"/>
              <w:jc w:val="center"/>
              <w:rPr>
                <w:rFonts w:hint="eastAsia"/>
                <w:color w:val="auto"/>
                <w:sz w:val="21"/>
              </w:rPr>
            </w:pPr>
            <w:r>
              <w:rPr>
                <w:rFonts w:hint="eastAsia"/>
                <w:color w:val="auto"/>
                <w:sz w:val="21"/>
              </w:rPr>
              <w:t>基本要求</w:t>
            </w:r>
          </w:p>
        </w:tc>
        <w:tc>
          <w:tcPr>
            <w:tcW w:w="7902" w:type="dxa"/>
            <w:tcBorders>
              <w:top w:val="single" w:color="auto" w:sz="4" w:space="0"/>
              <w:left w:val="nil"/>
              <w:bottom w:val="single" w:color="auto" w:sz="4" w:space="0"/>
              <w:right w:val="single" w:color="auto" w:sz="4" w:space="0"/>
            </w:tcBorders>
            <w:vAlign w:val="center"/>
          </w:tcPr>
          <w:p w14:paraId="5151B2AD">
            <w:pPr>
              <w:spacing w:line="240" w:lineRule="auto"/>
              <w:ind w:firstLine="420"/>
              <w:rPr>
                <w:rFonts w:hint="eastAsia"/>
                <w:color w:val="auto"/>
                <w:sz w:val="21"/>
              </w:rPr>
            </w:pPr>
            <w:r>
              <w:rPr>
                <w:rFonts w:hint="eastAsia"/>
                <w:color w:val="auto"/>
                <w:sz w:val="21"/>
              </w:rPr>
              <w:t>1、材料应存放于专人负责的库房，严禁烟火并应挂醒目的警告标志。</w:t>
            </w:r>
          </w:p>
          <w:p w14:paraId="032931F2">
            <w:pPr>
              <w:spacing w:line="240" w:lineRule="auto"/>
              <w:ind w:firstLine="420"/>
              <w:rPr>
                <w:rFonts w:hint="eastAsia"/>
                <w:color w:val="auto"/>
                <w:sz w:val="21"/>
              </w:rPr>
            </w:pPr>
            <w:r>
              <w:rPr>
                <w:rFonts w:hint="eastAsia"/>
                <w:color w:val="auto"/>
                <w:sz w:val="21"/>
              </w:rPr>
              <w:t>2、施工现场和配料场地应通风良好，操作人员应穿软底鞋、工作服、扎紧袖口，并应佩带手套及鞋盖。涂刷处理剂和胶粘剂时，必须戴防毒口罩和防护眼镜，外露皮肤应涂擦防护膏。操作时严禁用手直接揉擦皮肤。</w:t>
            </w:r>
          </w:p>
          <w:p w14:paraId="26DC2078">
            <w:pPr>
              <w:spacing w:line="240" w:lineRule="auto"/>
              <w:ind w:firstLine="420"/>
              <w:rPr>
                <w:rFonts w:hint="eastAsia"/>
                <w:color w:val="auto"/>
                <w:sz w:val="21"/>
              </w:rPr>
            </w:pPr>
            <w:r>
              <w:rPr>
                <w:rFonts w:hint="eastAsia"/>
                <w:color w:val="auto"/>
                <w:sz w:val="21"/>
              </w:rPr>
              <w:t>3、患有皮肤病、眼病、刺激过敏者，不得参加防水作业。施工过程中发生恶心、头晕、过敏等现象时，应停止作业。</w:t>
            </w:r>
          </w:p>
          <w:p w14:paraId="3305C720">
            <w:pPr>
              <w:spacing w:line="240" w:lineRule="auto"/>
              <w:ind w:firstLine="420"/>
              <w:rPr>
                <w:rFonts w:hint="eastAsia"/>
                <w:color w:val="auto"/>
                <w:sz w:val="21"/>
              </w:rPr>
            </w:pPr>
            <w:r>
              <w:rPr>
                <w:rFonts w:hint="eastAsia"/>
                <w:color w:val="auto"/>
                <w:sz w:val="21"/>
              </w:rPr>
              <w:t>4、使用液化气喷枪及汽油喷灯点火时，火嘴不准对人。汽油喷灯加油不得过满，打气不能过足。</w:t>
            </w:r>
          </w:p>
          <w:p w14:paraId="4579FF28">
            <w:pPr>
              <w:spacing w:line="240" w:lineRule="auto"/>
              <w:ind w:firstLine="420"/>
              <w:rPr>
                <w:rFonts w:hint="eastAsia"/>
                <w:color w:val="auto"/>
                <w:sz w:val="21"/>
              </w:rPr>
            </w:pPr>
            <w:r>
              <w:rPr>
                <w:rFonts w:hint="eastAsia"/>
                <w:color w:val="auto"/>
                <w:sz w:val="21"/>
              </w:rPr>
              <w:t>5、装卸溶剂的容器，必须配软垫，不准猛推猛撞。使用容器后，其容器盖必须及时盖严。</w:t>
            </w:r>
          </w:p>
          <w:p w14:paraId="1D311068">
            <w:pPr>
              <w:spacing w:line="240" w:lineRule="auto"/>
              <w:ind w:firstLine="420"/>
              <w:rPr>
                <w:rFonts w:hint="eastAsia"/>
                <w:color w:val="auto"/>
                <w:sz w:val="21"/>
              </w:rPr>
            </w:pPr>
            <w:r>
              <w:rPr>
                <w:rFonts w:hint="eastAsia"/>
                <w:color w:val="auto"/>
                <w:sz w:val="21"/>
              </w:rPr>
              <w:t>6、防水卷材采用热熔粘结，使用明火（如喷灯）操作时，应申办用火证，并设专人看火，配有灭火器材，周围30m以内不准有易燃物。</w:t>
            </w:r>
          </w:p>
          <w:p w14:paraId="7E2CFC3F">
            <w:pPr>
              <w:spacing w:line="240" w:lineRule="auto"/>
              <w:ind w:firstLine="420"/>
              <w:rPr>
                <w:rFonts w:hint="eastAsia"/>
                <w:color w:val="auto"/>
                <w:sz w:val="21"/>
              </w:rPr>
            </w:pPr>
            <w:r>
              <w:rPr>
                <w:rFonts w:hint="eastAsia"/>
                <w:color w:val="auto"/>
                <w:sz w:val="21"/>
              </w:rPr>
              <w:t>7、雨天应待结构干燥后施工。六级以上大风天气应停止室外作业。</w:t>
            </w:r>
          </w:p>
          <w:p w14:paraId="7F68FFA9">
            <w:pPr>
              <w:spacing w:line="240" w:lineRule="auto"/>
              <w:ind w:firstLine="420"/>
              <w:rPr>
                <w:rFonts w:hint="eastAsia"/>
                <w:color w:val="auto"/>
                <w:sz w:val="21"/>
              </w:rPr>
            </w:pPr>
            <w:r>
              <w:rPr>
                <w:rFonts w:hint="eastAsia"/>
                <w:color w:val="auto"/>
                <w:sz w:val="21"/>
              </w:rPr>
              <w:t>8、下班清洗工具，未用完的溶剂必须装入容器，并将盖盖严。</w:t>
            </w:r>
          </w:p>
          <w:p w14:paraId="4B2E20C3">
            <w:pPr>
              <w:spacing w:line="240" w:lineRule="auto"/>
              <w:ind w:firstLine="420"/>
              <w:rPr>
                <w:rFonts w:hint="eastAsia"/>
                <w:color w:val="auto"/>
                <w:sz w:val="21"/>
              </w:rPr>
            </w:pPr>
            <w:r>
              <w:rPr>
                <w:rFonts w:hint="eastAsia"/>
                <w:color w:val="auto"/>
                <w:sz w:val="21"/>
              </w:rPr>
              <w:t>9、熬油炉灶必须距物10m以上，上方不得有电线，地下5m内不得有电缆，炉灶应设在物的下风方向。</w:t>
            </w:r>
          </w:p>
          <w:p w14:paraId="4C1238F2">
            <w:pPr>
              <w:spacing w:line="240" w:lineRule="auto"/>
              <w:ind w:firstLine="420"/>
              <w:rPr>
                <w:rFonts w:hint="eastAsia"/>
                <w:color w:val="auto"/>
                <w:sz w:val="21"/>
              </w:rPr>
            </w:pPr>
            <w:r>
              <w:rPr>
                <w:rFonts w:hint="eastAsia"/>
                <w:color w:val="auto"/>
                <w:sz w:val="21"/>
              </w:rPr>
              <w:t>10、炉灶附近严禁放置易燃、易爆物品，并应配备锅盖或铁板、灭火器、砂袋等消防器材。</w:t>
            </w:r>
          </w:p>
        </w:tc>
      </w:tr>
      <w:tr w14:paraId="7B762EA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48F3C60">
            <w:pPr>
              <w:spacing w:line="240" w:lineRule="auto"/>
              <w:ind w:firstLine="0" w:firstLineChars="0"/>
              <w:jc w:val="center"/>
              <w:rPr>
                <w:rFonts w:hint="eastAsia"/>
                <w:color w:val="auto"/>
                <w:sz w:val="21"/>
              </w:rPr>
            </w:pPr>
            <w:r>
              <w:rPr>
                <w:rFonts w:hint="eastAsia"/>
                <w:color w:val="auto"/>
                <w:sz w:val="21"/>
              </w:rPr>
              <w:t>2</w:t>
            </w:r>
          </w:p>
        </w:tc>
        <w:tc>
          <w:tcPr>
            <w:tcW w:w="709" w:type="dxa"/>
            <w:tcBorders>
              <w:top w:val="single" w:color="auto" w:sz="4" w:space="0"/>
              <w:left w:val="nil"/>
              <w:bottom w:val="single" w:color="auto" w:sz="4" w:space="0"/>
              <w:right w:val="single" w:color="auto" w:sz="4" w:space="0"/>
            </w:tcBorders>
            <w:vAlign w:val="center"/>
          </w:tcPr>
          <w:p w14:paraId="744BE910">
            <w:pPr>
              <w:spacing w:line="240" w:lineRule="auto"/>
              <w:ind w:firstLine="0" w:firstLineChars="0"/>
              <w:jc w:val="center"/>
              <w:rPr>
                <w:rFonts w:hint="eastAsia"/>
                <w:color w:val="auto"/>
                <w:sz w:val="21"/>
              </w:rPr>
            </w:pPr>
            <w:r>
              <w:rPr>
                <w:rFonts w:hint="eastAsia"/>
                <w:color w:val="auto"/>
                <w:sz w:val="21"/>
              </w:rPr>
              <w:t>卷材铺贴的安全要求</w:t>
            </w:r>
          </w:p>
        </w:tc>
        <w:tc>
          <w:tcPr>
            <w:tcW w:w="7902" w:type="dxa"/>
            <w:tcBorders>
              <w:top w:val="single" w:color="auto" w:sz="4" w:space="0"/>
              <w:left w:val="nil"/>
              <w:bottom w:val="single" w:color="auto" w:sz="4" w:space="0"/>
              <w:right w:val="single" w:color="auto" w:sz="4" w:space="0"/>
            </w:tcBorders>
            <w:vAlign w:val="center"/>
          </w:tcPr>
          <w:p w14:paraId="632CCF8B">
            <w:pPr>
              <w:spacing w:line="240" w:lineRule="auto"/>
              <w:ind w:firstLine="420"/>
              <w:rPr>
                <w:rFonts w:hint="eastAsia"/>
                <w:color w:val="auto"/>
                <w:sz w:val="21"/>
              </w:rPr>
            </w:pPr>
            <w:r>
              <w:rPr>
                <w:rFonts w:hint="eastAsia"/>
                <w:color w:val="auto"/>
                <w:sz w:val="21"/>
              </w:rPr>
              <w:t>1、盛装热沥青的铁勺、铁壶、铁桶要用咬口接头，严禁用锡进行焊接，桶宜加盖，装油量不得超过上述容器容积的2/3。</w:t>
            </w:r>
          </w:p>
          <w:p w14:paraId="1CBB52EE">
            <w:pPr>
              <w:spacing w:line="240" w:lineRule="auto"/>
              <w:ind w:firstLine="420"/>
              <w:rPr>
                <w:rFonts w:hint="eastAsia"/>
                <w:color w:val="auto"/>
                <w:sz w:val="21"/>
              </w:rPr>
            </w:pPr>
            <w:r>
              <w:rPr>
                <w:rFonts w:hint="eastAsia"/>
                <w:color w:val="auto"/>
                <w:sz w:val="21"/>
              </w:rPr>
              <w:t>2、油桶要平放，不得二人抬运。在运输途中，应注意平稳，精神集中，防止不慎跌倒造成伤害。</w:t>
            </w:r>
          </w:p>
          <w:p w14:paraId="4039312D">
            <w:pPr>
              <w:spacing w:line="240" w:lineRule="auto"/>
              <w:ind w:firstLine="420"/>
              <w:rPr>
                <w:rFonts w:hint="eastAsia"/>
                <w:color w:val="auto"/>
                <w:sz w:val="21"/>
              </w:rPr>
            </w:pPr>
            <w:r>
              <w:rPr>
                <w:rFonts w:hint="eastAsia"/>
                <w:color w:val="auto"/>
                <w:sz w:val="21"/>
              </w:rPr>
              <w:t>3、垂直运输热沥青，应采用运输机具，运输机具应牢固可靠。如用滑轮吊运，上面的操作平台应设置防护栏杆，提升时要系拉牵绳，防止油桶摆动，油桶下方10m半径范围内禁止站人。</w:t>
            </w:r>
          </w:p>
          <w:p w14:paraId="2D7F49D1">
            <w:pPr>
              <w:spacing w:line="240" w:lineRule="auto"/>
              <w:ind w:firstLine="420"/>
              <w:rPr>
                <w:rFonts w:hint="eastAsia"/>
                <w:color w:val="auto"/>
                <w:sz w:val="21"/>
              </w:rPr>
            </w:pPr>
            <w:r>
              <w:rPr>
                <w:rFonts w:hint="eastAsia"/>
                <w:color w:val="auto"/>
                <w:sz w:val="21"/>
              </w:rPr>
              <w:t>4、禁止直接用手传递，也不准工人沿梯挑上。接料人员应用钩子将油桶钩放在平台上放稳，不得过于探身用手接触油桶。</w:t>
            </w:r>
          </w:p>
          <w:p w14:paraId="016A7F70">
            <w:pPr>
              <w:spacing w:line="240" w:lineRule="auto"/>
              <w:ind w:firstLine="420"/>
              <w:rPr>
                <w:rFonts w:hint="eastAsia"/>
                <w:color w:val="auto"/>
                <w:sz w:val="21"/>
              </w:rPr>
            </w:pPr>
            <w:r>
              <w:rPr>
                <w:rFonts w:hint="eastAsia"/>
                <w:color w:val="auto"/>
                <w:sz w:val="21"/>
              </w:rPr>
              <w:t>5、浇倒热沥青与铺贴卷材的操作人员应保持一定距离，并根据风向错位，壶嘴要向下，不准对人，浇至四周边沿时，要侧身操作，以避免热沥青飞溅烫伤。</w:t>
            </w:r>
          </w:p>
          <w:p w14:paraId="305E4689">
            <w:pPr>
              <w:spacing w:line="240" w:lineRule="auto"/>
              <w:ind w:firstLine="420"/>
              <w:rPr>
                <w:rFonts w:hint="eastAsia"/>
                <w:color w:val="auto"/>
                <w:sz w:val="21"/>
              </w:rPr>
            </w:pPr>
            <w:r>
              <w:rPr>
                <w:rFonts w:hint="eastAsia"/>
                <w:color w:val="auto"/>
                <w:sz w:val="21"/>
              </w:rPr>
              <w:t>6、避免在高温烈日下施工。</w:t>
            </w:r>
          </w:p>
          <w:p w14:paraId="08F4F719">
            <w:pPr>
              <w:spacing w:line="240" w:lineRule="auto"/>
              <w:ind w:firstLine="420"/>
              <w:rPr>
                <w:rFonts w:hint="eastAsia"/>
                <w:color w:val="auto"/>
                <w:sz w:val="21"/>
              </w:rPr>
            </w:pPr>
            <w:r>
              <w:rPr>
                <w:rFonts w:hint="eastAsia"/>
                <w:color w:val="auto"/>
                <w:sz w:val="21"/>
              </w:rPr>
              <w:t>7、配制速凝剂时，操作人员必须戴口罩和手套。</w:t>
            </w:r>
          </w:p>
          <w:p w14:paraId="58A25A00">
            <w:pPr>
              <w:spacing w:line="240" w:lineRule="auto"/>
              <w:ind w:firstLine="420"/>
              <w:rPr>
                <w:rFonts w:hint="eastAsia"/>
                <w:color w:val="auto"/>
                <w:sz w:val="21"/>
              </w:rPr>
            </w:pPr>
            <w:r>
              <w:rPr>
                <w:rFonts w:hint="eastAsia"/>
                <w:color w:val="auto"/>
                <w:sz w:val="21"/>
              </w:rPr>
              <w:t>8、处理漏水部位，须用手接触掺有促凝剂的砂浆时，要戴脱皮手套或胶皮手指套。</w:t>
            </w:r>
          </w:p>
          <w:p w14:paraId="15F905E8">
            <w:pPr>
              <w:spacing w:line="240" w:lineRule="auto"/>
              <w:ind w:firstLine="420"/>
              <w:rPr>
                <w:rFonts w:hint="eastAsia"/>
                <w:color w:val="auto"/>
                <w:sz w:val="21"/>
              </w:rPr>
            </w:pPr>
            <w:r>
              <w:rPr>
                <w:rFonts w:hint="eastAsia"/>
                <w:color w:val="auto"/>
                <w:sz w:val="21"/>
              </w:rPr>
              <w:t>9、使用喷灯时，应清除周围的易燃物品；必须远离冷底子油，严禁在涂刷冷底子油区域内使用喷灯。喷灯装煤油不得过满，打气不应过足，并必须在用火地点备有防火器材。</w:t>
            </w:r>
          </w:p>
          <w:p w14:paraId="660D9FC9">
            <w:pPr>
              <w:spacing w:line="240" w:lineRule="auto"/>
              <w:ind w:firstLine="420"/>
              <w:rPr>
                <w:rFonts w:hint="eastAsia"/>
                <w:color w:val="auto"/>
                <w:sz w:val="21"/>
              </w:rPr>
            </w:pPr>
            <w:r>
              <w:rPr>
                <w:rFonts w:hint="eastAsia"/>
                <w:color w:val="auto"/>
                <w:sz w:val="21"/>
              </w:rPr>
              <w:t>10、铺贴垂直墙面卷材，其高度超过1.5m时，应搭设牢固的脚手架。</w:t>
            </w:r>
          </w:p>
        </w:tc>
      </w:tr>
      <w:tr w14:paraId="4E6E7B04">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C409A26">
            <w:pPr>
              <w:spacing w:line="240" w:lineRule="auto"/>
              <w:ind w:firstLine="0" w:firstLineChars="0"/>
              <w:jc w:val="center"/>
              <w:rPr>
                <w:rFonts w:hint="eastAsia"/>
                <w:color w:val="auto"/>
                <w:sz w:val="21"/>
              </w:rPr>
            </w:pPr>
            <w:r>
              <w:rPr>
                <w:rFonts w:hint="eastAsia"/>
                <w:color w:val="auto"/>
                <w:sz w:val="21"/>
              </w:rPr>
              <w:t>3</w:t>
            </w:r>
          </w:p>
        </w:tc>
        <w:tc>
          <w:tcPr>
            <w:tcW w:w="709" w:type="dxa"/>
            <w:tcBorders>
              <w:top w:val="single" w:color="auto" w:sz="4" w:space="0"/>
              <w:left w:val="nil"/>
              <w:bottom w:val="single" w:color="auto" w:sz="4" w:space="0"/>
              <w:right w:val="single" w:color="auto" w:sz="4" w:space="0"/>
            </w:tcBorders>
            <w:vAlign w:val="center"/>
          </w:tcPr>
          <w:p w14:paraId="5ABA4C09">
            <w:pPr>
              <w:spacing w:line="240" w:lineRule="auto"/>
              <w:ind w:firstLine="0" w:firstLineChars="0"/>
              <w:jc w:val="center"/>
              <w:rPr>
                <w:rFonts w:hint="eastAsia"/>
                <w:color w:val="auto"/>
                <w:sz w:val="21"/>
              </w:rPr>
            </w:pPr>
            <w:r>
              <w:rPr>
                <w:rFonts w:hint="eastAsia"/>
                <w:color w:val="auto"/>
                <w:sz w:val="21"/>
              </w:rPr>
              <w:t>防水工程安全技术措施</w:t>
            </w:r>
          </w:p>
        </w:tc>
        <w:tc>
          <w:tcPr>
            <w:tcW w:w="7902" w:type="dxa"/>
            <w:tcBorders>
              <w:top w:val="single" w:color="auto" w:sz="4" w:space="0"/>
              <w:left w:val="nil"/>
              <w:bottom w:val="single" w:color="auto" w:sz="4" w:space="0"/>
              <w:right w:val="single" w:color="auto" w:sz="4" w:space="0"/>
            </w:tcBorders>
            <w:vAlign w:val="center"/>
          </w:tcPr>
          <w:p w14:paraId="4EF9838B">
            <w:pPr>
              <w:spacing w:line="240" w:lineRule="auto"/>
              <w:ind w:firstLine="420"/>
              <w:rPr>
                <w:rFonts w:hint="eastAsia"/>
                <w:color w:val="auto"/>
                <w:sz w:val="21"/>
              </w:rPr>
            </w:pPr>
            <w:r>
              <w:rPr>
                <w:rFonts w:hint="eastAsia"/>
                <w:color w:val="auto"/>
                <w:sz w:val="21"/>
              </w:rPr>
              <w:t>1、悬空作业处应有牢靠的立足处，并必须视具体情况配置防护网、栏杆或其他安全设施。</w:t>
            </w:r>
          </w:p>
          <w:p w14:paraId="53F656D2">
            <w:pPr>
              <w:spacing w:line="240" w:lineRule="auto"/>
              <w:ind w:firstLine="420"/>
              <w:rPr>
                <w:rFonts w:hint="eastAsia"/>
                <w:color w:val="auto"/>
                <w:sz w:val="21"/>
              </w:rPr>
            </w:pPr>
            <w:r>
              <w:rPr>
                <w:rFonts w:hint="eastAsia"/>
                <w:color w:val="auto"/>
                <w:sz w:val="21"/>
              </w:rPr>
              <w:t>2、悬空作业所用的索具、平台等设备均需经过技术鉴定或验证方可使用。</w:t>
            </w:r>
          </w:p>
          <w:p w14:paraId="272E36F1">
            <w:pPr>
              <w:spacing w:line="240" w:lineRule="auto"/>
              <w:ind w:firstLine="420"/>
              <w:rPr>
                <w:rFonts w:hint="eastAsia"/>
                <w:color w:val="auto"/>
                <w:sz w:val="21"/>
              </w:rPr>
            </w:pPr>
            <w:r>
              <w:rPr>
                <w:rFonts w:hint="eastAsia"/>
                <w:color w:val="auto"/>
                <w:sz w:val="21"/>
              </w:rPr>
              <w:t>3、配制材料的现场应有安全及防火措施，遵守安全操作要求。</w:t>
            </w:r>
          </w:p>
          <w:p w14:paraId="5649C7B8">
            <w:pPr>
              <w:spacing w:line="240" w:lineRule="auto"/>
              <w:ind w:firstLine="420"/>
              <w:rPr>
                <w:rFonts w:hint="eastAsia"/>
                <w:color w:val="auto"/>
                <w:sz w:val="21"/>
              </w:rPr>
            </w:pPr>
            <w:r>
              <w:rPr>
                <w:rFonts w:hint="eastAsia"/>
                <w:color w:val="auto"/>
                <w:sz w:val="21"/>
              </w:rPr>
              <w:t>4、配制胶泥的稳定剂有的是有毒粉末，应防止吸入鼻内。</w:t>
            </w:r>
          </w:p>
          <w:p w14:paraId="3517135A">
            <w:pPr>
              <w:spacing w:line="240" w:lineRule="auto"/>
              <w:ind w:firstLine="420"/>
              <w:rPr>
                <w:rFonts w:hint="eastAsia"/>
                <w:color w:val="auto"/>
                <w:sz w:val="21"/>
              </w:rPr>
            </w:pPr>
            <w:r>
              <w:rPr>
                <w:rFonts w:hint="eastAsia"/>
                <w:color w:val="auto"/>
                <w:sz w:val="21"/>
              </w:rPr>
              <w:t>5、配制、施工操作时应戴手套、口罩，穿工作服等。</w:t>
            </w:r>
          </w:p>
          <w:p w14:paraId="165DF6DD">
            <w:pPr>
              <w:spacing w:line="240" w:lineRule="auto"/>
              <w:ind w:firstLine="420"/>
              <w:rPr>
                <w:rFonts w:hint="eastAsia"/>
                <w:color w:val="auto"/>
                <w:sz w:val="21"/>
              </w:rPr>
            </w:pPr>
            <w:r>
              <w:rPr>
                <w:rFonts w:hint="eastAsia"/>
                <w:color w:val="auto"/>
                <w:sz w:val="21"/>
              </w:rPr>
              <w:t>6、搅拌材料时，加料口及出料口要关严，传动部件加防护罩。</w:t>
            </w:r>
          </w:p>
        </w:tc>
      </w:tr>
      <w:tr w14:paraId="41E04C08">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136C43D">
            <w:pPr>
              <w:spacing w:line="240" w:lineRule="auto"/>
              <w:ind w:firstLine="0" w:firstLineChars="0"/>
              <w:jc w:val="center"/>
              <w:rPr>
                <w:rFonts w:hint="eastAsia"/>
                <w:color w:val="auto"/>
                <w:sz w:val="21"/>
              </w:rPr>
            </w:pPr>
            <w:r>
              <w:rPr>
                <w:rFonts w:hint="eastAsia"/>
                <w:color w:val="auto"/>
                <w:sz w:val="21"/>
              </w:rPr>
              <w:t>4</w:t>
            </w:r>
          </w:p>
        </w:tc>
        <w:tc>
          <w:tcPr>
            <w:tcW w:w="709" w:type="dxa"/>
            <w:tcBorders>
              <w:top w:val="single" w:color="auto" w:sz="4" w:space="0"/>
              <w:left w:val="nil"/>
              <w:bottom w:val="single" w:color="auto" w:sz="4" w:space="0"/>
              <w:right w:val="single" w:color="auto" w:sz="4" w:space="0"/>
            </w:tcBorders>
            <w:vAlign w:val="center"/>
          </w:tcPr>
          <w:p w14:paraId="2C69E288">
            <w:pPr>
              <w:spacing w:line="240" w:lineRule="auto"/>
              <w:ind w:firstLine="0" w:firstLineChars="0"/>
              <w:jc w:val="center"/>
              <w:rPr>
                <w:rFonts w:hint="eastAsia"/>
                <w:color w:val="auto"/>
                <w:sz w:val="21"/>
              </w:rPr>
            </w:pPr>
            <w:r>
              <w:rPr>
                <w:rFonts w:hint="eastAsia"/>
                <w:color w:val="auto"/>
                <w:sz w:val="21"/>
              </w:rPr>
              <w:t>地下防水堵漏安全技术措施</w:t>
            </w:r>
          </w:p>
        </w:tc>
        <w:tc>
          <w:tcPr>
            <w:tcW w:w="7902" w:type="dxa"/>
            <w:tcBorders>
              <w:top w:val="single" w:color="auto" w:sz="4" w:space="0"/>
              <w:left w:val="nil"/>
              <w:bottom w:val="single" w:color="auto" w:sz="4" w:space="0"/>
              <w:right w:val="single" w:color="auto" w:sz="4" w:space="0"/>
            </w:tcBorders>
            <w:vAlign w:val="center"/>
          </w:tcPr>
          <w:p w14:paraId="014D0335">
            <w:pPr>
              <w:spacing w:line="240" w:lineRule="auto"/>
              <w:ind w:firstLine="420"/>
              <w:rPr>
                <w:rFonts w:hint="eastAsia"/>
                <w:color w:val="auto"/>
                <w:sz w:val="21"/>
              </w:rPr>
            </w:pPr>
            <w:r>
              <w:rPr>
                <w:rFonts w:hint="eastAsia"/>
                <w:color w:val="auto"/>
                <w:sz w:val="21"/>
              </w:rPr>
              <w:t>1、现场施工必须戴好安全帽、口罩、手套等防护用品，必须穿软底鞋，不得穿硬底或带钉子的鞋。</w:t>
            </w:r>
          </w:p>
          <w:p w14:paraId="49C78D88">
            <w:pPr>
              <w:spacing w:line="240" w:lineRule="auto"/>
              <w:ind w:firstLine="420"/>
              <w:rPr>
                <w:rFonts w:hint="eastAsia"/>
                <w:color w:val="auto"/>
                <w:sz w:val="21"/>
              </w:rPr>
            </w:pPr>
            <w:r>
              <w:rPr>
                <w:rFonts w:hint="eastAsia"/>
                <w:color w:val="auto"/>
                <w:sz w:val="21"/>
              </w:rPr>
              <w:t>2、防水施工所用的材料属易燃物质，储存、运输和施工现场必须严禁烟火，通风良好，还必须配备相应的消防器材。</w:t>
            </w:r>
          </w:p>
          <w:p w14:paraId="2B46B449">
            <w:pPr>
              <w:spacing w:line="240" w:lineRule="auto"/>
              <w:ind w:firstLine="420"/>
              <w:rPr>
                <w:rFonts w:hint="eastAsia"/>
                <w:color w:val="auto"/>
                <w:sz w:val="21"/>
              </w:rPr>
            </w:pPr>
            <w:r>
              <w:rPr>
                <w:rFonts w:hint="eastAsia"/>
                <w:color w:val="auto"/>
                <w:sz w:val="21"/>
              </w:rPr>
              <w:t>3、熬制、配制防水灌浆堵漏材料时，必须穿戴规定的防护用品，皮肤不得外露。</w:t>
            </w:r>
          </w:p>
          <w:p w14:paraId="06315820">
            <w:pPr>
              <w:spacing w:line="240" w:lineRule="auto"/>
              <w:ind w:firstLine="420"/>
              <w:rPr>
                <w:rFonts w:hint="eastAsia"/>
                <w:color w:val="auto"/>
                <w:sz w:val="21"/>
              </w:rPr>
            </w:pPr>
            <w:r>
              <w:rPr>
                <w:rFonts w:hint="eastAsia"/>
                <w:color w:val="auto"/>
                <w:sz w:val="21"/>
              </w:rPr>
              <w:t>4、防水施工的照明用电，其电源电压应不大于36V，在特别潮湿的场所，其电源电压不得大于12V。</w:t>
            </w:r>
          </w:p>
          <w:p w14:paraId="7E6722A1">
            <w:pPr>
              <w:spacing w:line="240" w:lineRule="auto"/>
              <w:ind w:firstLine="420"/>
              <w:rPr>
                <w:rFonts w:hint="eastAsia"/>
                <w:color w:val="auto"/>
                <w:sz w:val="21"/>
              </w:rPr>
            </w:pPr>
            <w:r>
              <w:rPr>
                <w:rFonts w:hint="eastAsia"/>
                <w:color w:val="auto"/>
                <w:sz w:val="21"/>
              </w:rPr>
              <w:t>5、处理漏水部位，用手接触掺促凝剂的砂浆时，需戴橡胶手套或橡胶手指套。</w:t>
            </w:r>
          </w:p>
          <w:p w14:paraId="3E29D1C7">
            <w:pPr>
              <w:spacing w:line="240" w:lineRule="auto"/>
              <w:ind w:firstLine="420"/>
              <w:rPr>
                <w:rFonts w:hint="eastAsia"/>
                <w:color w:val="auto"/>
                <w:sz w:val="21"/>
              </w:rPr>
            </w:pPr>
            <w:r>
              <w:rPr>
                <w:rFonts w:hint="eastAsia"/>
                <w:color w:val="auto"/>
                <w:sz w:val="21"/>
              </w:rPr>
              <w:t>6、厚度在4mm以上的新型沥青防水卷材方可用热熔法施工，施工前要有动火申请审批手续。</w:t>
            </w:r>
          </w:p>
          <w:p w14:paraId="64185608">
            <w:pPr>
              <w:spacing w:line="240" w:lineRule="auto"/>
              <w:ind w:firstLine="420"/>
              <w:rPr>
                <w:rFonts w:hint="eastAsia"/>
                <w:color w:val="auto"/>
                <w:sz w:val="21"/>
              </w:rPr>
            </w:pPr>
            <w:r>
              <w:rPr>
                <w:rFonts w:hint="eastAsia"/>
                <w:color w:val="auto"/>
                <w:sz w:val="21"/>
              </w:rPr>
              <w:t>7、热熔施工时必须戴墨镜，并防止烫伤。施工现场应保持良好通风。</w:t>
            </w:r>
          </w:p>
        </w:tc>
      </w:tr>
      <w:tr w14:paraId="11143605">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31F9367">
            <w:pPr>
              <w:spacing w:line="240" w:lineRule="auto"/>
              <w:ind w:firstLine="0" w:firstLineChars="0"/>
              <w:jc w:val="center"/>
              <w:rPr>
                <w:rFonts w:hint="eastAsia"/>
                <w:color w:val="auto"/>
                <w:sz w:val="21"/>
              </w:rPr>
            </w:pPr>
            <w:r>
              <w:rPr>
                <w:rFonts w:hint="eastAsia"/>
                <w:color w:val="auto"/>
                <w:sz w:val="21"/>
              </w:rPr>
              <w:t>5</w:t>
            </w:r>
          </w:p>
        </w:tc>
        <w:tc>
          <w:tcPr>
            <w:tcW w:w="709" w:type="dxa"/>
            <w:tcBorders>
              <w:top w:val="single" w:color="auto" w:sz="4" w:space="0"/>
              <w:left w:val="nil"/>
              <w:bottom w:val="single" w:color="auto" w:sz="4" w:space="0"/>
              <w:right w:val="single" w:color="auto" w:sz="4" w:space="0"/>
            </w:tcBorders>
            <w:vAlign w:val="center"/>
          </w:tcPr>
          <w:p w14:paraId="2D52B8CF">
            <w:pPr>
              <w:spacing w:line="240" w:lineRule="auto"/>
              <w:ind w:firstLine="0" w:firstLineChars="0"/>
              <w:jc w:val="center"/>
              <w:rPr>
                <w:rFonts w:hint="eastAsia"/>
                <w:color w:val="auto"/>
                <w:sz w:val="21"/>
              </w:rPr>
            </w:pPr>
            <w:r>
              <w:rPr>
                <w:rFonts w:hint="eastAsia"/>
                <w:color w:val="auto"/>
                <w:sz w:val="21"/>
              </w:rPr>
              <w:t>灌浆堵漏安全技术措施</w:t>
            </w:r>
          </w:p>
        </w:tc>
        <w:tc>
          <w:tcPr>
            <w:tcW w:w="7902" w:type="dxa"/>
            <w:tcBorders>
              <w:top w:val="single" w:color="auto" w:sz="4" w:space="0"/>
              <w:left w:val="nil"/>
              <w:bottom w:val="single" w:color="auto" w:sz="4" w:space="0"/>
              <w:right w:val="single" w:color="auto" w:sz="4" w:space="0"/>
            </w:tcBorders>
            <w:vAlign w:val="center"/>
          </w:tcPr>
          <w:p w14:paraId="3997ED53">
            <w:pPr>
              <w:spacing w:line="240" w:lineRule="auto"/>
              <w:ind w:firstLine="420"/>
              <w:rPr>
                <w:rFonts w:hint="eastAsia"/>
                <w:color w:val="auto"/>
                <w:sz w:val="21"/>
              </w:rPr>
            </w:pPr>
            <w:r>
              <w:rPr>
                <w:rFonts w:hint="eastAsia"/>
                <w:color w:val="auto"/>
                <w:sz w:val="21"/>
              </w:rPr>
              <w:t>1、装卸、搬动、熬制、配制灌浆堵漏材料时，必须穿戴规定的防护用品，皮肤不得外露。</w:t>
            </w:r>
          </w:p>
          <w:p w14:paraId="7FF26E9B">
            <w:pPr>
              <w:spacing w:line="240" w:lineRule="auto"/>
              <w:ind w:firstLine="420"/>
              <w:rPr>
                <w:rFonts w:hint="eastAsia"/>
                <w:color w:val="auto"/>
                <w:sz w:val="21"/>
              </w:rPr>
            </w:pPr>
            <w:r>
              <w:rPr>
                <w:rFonts w:hint="eastAsia"/>
                <w:color w:val="auto"/>
                <w:sz w:val="21"/>
              </w:rPr>
              <w:t>2、灌浆施工前应严格检查工具、管路及接头处的牢靠程度，以防压力爆破伤人。</w:t>
            </w:r>
          </w:p>
          <w:p w14:paraId="0EA2CB06">
            <w:pPr>
              <w:spacing w:line="240" w:lineRule="auto"/>
              <w:ind w:firstLine="420"/>
              <w:rPr>
                <w:rFonts w:hint="eastAsia"/>
                <w:color w:val="auto"/>
                <w:sz w:val="21"/>
              </w:rPr>
            </w:pPr>
            <w:r>
              <w:rPr>
                <w:rFonts w:hint="eastAsia"/>
                <w:color w:val="auto"/>
                <w:sz w:val="21"/>
              </w:rPr>
              <w:t>3、有机化工材料均具有一定的刺激和腐蚀性，操作人员在配制浆液和灌浆时应戴眼镜、口罩、手套等劳保用品，以防浆液误入口、眼中或溅到皮肤上。</w:t>
            </w:r>
          </w:p>
          <w:p w14:paraId="6C5E86C1">
            <w:pPr>
              <w:spacing w:line="240" w:lineRule="auto"/>
              <w:ind w:firstLine="420"/>
              <w:rPr>
                <w:rFonts w:hint="eastAsia"/>
                <w:color w:val="auto"/>
                <w:sz w:val="21"/>
              </w:rPr>
            </w:pPr>
            <w:r>
              <w:rPr>
                <w:rFonts w:hint="eastAsia"/>
                <w:color w:val="auto"/>
                <w:sz w:val="21"/>
              </w:rPr>
              <w:t>4、在氰凝配制及灌浆施工中应采取以下安全措施</w:t>
            </w:r>
          </w:p>
          <w:p w14:paraId="0C91B283">
            <w:pPr>
              <w:spacing w:line="240" w:lineRule="auto"/>
              <w:ind w:firstLine="420"/>
              <w:rPr>
                <w:rFonts w:hint="eastAsia"/>
                <w:color w:val="auto"/>
                <w:sz w:val="21"/>
              </w:rPr>
            </w:pPr>
            <w:r>
              <w:rPr>
                <w:rFonts w:hint="eastAsia"/>
                <w:color w:val="auto"/>
                <w:sz w:val="21"/>
              </w:rPr>
              <w:t>（1）配制浆液和灌浆时操作人员应戴防护眼镜、口罩和橡胶手套等，以防浆液碰到皮肤上溅到眼睛里。如碰到皮肤上，可先用丙酮或酒精清洗再用稀氨水或肥皂水洗净，涂上油脂膏。溅到眼睛里应立即请医生处理。</w:t>
            </w:r>
          </w:p>
          <w:p w14:paraId="6A8B9306">
            <w:pPr>
              <w:spacing w:line="240" w:lineRule="auto"/>
              <w:ind w:firstLine="420"/>
              <w:rPr>
                <w:rFonts w:hint="eastAsia"/>
                <w:color w:val="auto"/>
                <w:sz w:val="21"/>
              </w:rPr>
            </w:pPr>
            <w:r>
              <w:rPr>
                <w:rFonts w:hint="eastAsia"/>
                <w:color w:val="auto"/>
                <w:sz w:val="21"/>
              </w:rPr>
              <w:t>（2）在通风不良的地方进行灌浆施工时，应有通风和排气设备以保证安全。</w:t>
            </w:r>
          </w:p>
          <w:p w14:paraId="625ABCDA">
            <w:pPr>
              <w:spacing w:line="240" w:lineRule="auto"/>
              <w:ind w:firstLine="420"/>
              <w:rPr>
                <w:rFonts w:hint="eastAsia"/>
                <w:color w:val="auto"/>
                <w:sz w:val="21"/>
              </w:rPr>
            </w:pPr>
            <w:r>
              <w:rPr>
                <w:rFonts w:hint="eastAsia"/>
                <w:color w:val="auto"/>
                <w:sz w:val="21"/>
              </w:rPr>
              <w:t>（3）氰凝是由有机材料制成，具有易燃性，施工现场应严禁火种、严禁吸烟，以防火灾发生。</w:t>
            </w:r>
          </w:p>
          <w:p w14:paraId="727C54B8">
            <w:pPr>
              <w:spacing w:line="240" w:lineRule="auto"/>
              <w:ind w:firstLine="420"/>
              <w:rPr>
                <w:rFonts w:hint="eastAsia"/>
                <w:color w:val="auto"/>
                <w:sz w:val="21"/>
              </w:rPr>
            </w:pPr>
            <w:r>
              <w:rPr>
                <w:rFonts w:hint="eastAsia"/>
                <w:color w:val="auto"/>
                <w:sz w:val="21"/>
              </w:rPr>
              <w:t>5、丙凝粉剂及浆液具有一定毒性，如经常与之接触会影响中枢神经系统。丙凝浆液聚合成凝胶后无毒性，除非凝胶中尚有少量未起聚合反应的材料。因此，要求接触粉剂的人员应戴口罩及橡胶手套，配制浆液和灌浆时应穿工作服或胶靴，避免皮肤接触。如已沾上粉末或浆液，应立即用肥皂水洗涤。</w:t>
            </w:r>
          </w:p>
          <w:p w14:paraId="019586D1">
            <w:pPr>
              <w:spacing w:line="240" w:lineRule="auto"/>
              <w:ind w:firstLine="420"/>
              <w:rPr>
                <w:rFonts w:hint="eastAsia"/>
                <w:color w:val="auto"/>
                <w:sz w:val="21"/>
              </w:rPr>
            </w:pPr>
            <w:r>
              <w:rPr>
                <w:rFonts w:hint="eastAsia"/>
                <w:color w:val="auto"/>
                <w:sz w:val="21"/>
              </w:rPr>
              <w:t>6、过硫酸氨能使衣服褪色或破坏纤维、刺激皮肤、腐蚀钢铁，应引起注意和采取相应防护措施。</w:t>
            </w:r>
          </w:p>
        </w:tc>
      </w:tr>
    </w:tbl>
    <w:p w14:paraId="491D84CB">
      <w:pPr>
        <w:pStyle w:val="5"/>
        <w:rPr>
          <w:rFonts w:hint="eastAsia"/>
          <w:b w:val="0"/>
          <w:bCs w:val="0"/>
          <w:color w:val="auto"/>
        </w:rPr>
      </w:pPr>
      <w:bookmarkStart w:id="430" w:name="_Toc202510618"/>
      <w:bookmarkEnd w:id="430"/>
      <w:bookmarkStart w:id="431" w:name="_Toc13657"/>
      <w:r>
        <w:rPr>
          <w:rFonts w:hint="eastAsia"/>
          <w:b w:val="0"/>
          <w:bCs w:val="0"/>
          <w:color w:val="auto"/>
        </w:rPr>
        <w:t>季节性施工安全措施</w:t>
      </w:r>
      <w:bookmarkEnd w:id="431"/>
    </w:p>
    <w:tbl>
      <w:tblPr>
        <w:tblStyle w:val="29"/>
        <w:tblW w:w="0" w:type="auto"/>
        <w:tblInd w:w="0" w:type="dxa"/>
        <w:tblLayout w:type="fixed"/>
        <w:tblCellMar>
          <w:top w:w="0" w:type="dxa"/>
          <w:left w:w="108" w:type="dxa"/>
          <w:bottom w:w="0" w:type="dxa"/>
          <w:right w:w="108" w:type="dxa"/>
        </w:tblCellMar>
      </w:tblPr>
      <w:tblGrid>
        <w:gridCol w:w="675"/>
        <w:gridCol w:w="1134"/>
        <w:gridCol w:w="7477"/>
      </w:tblGrid>
      <w:tr w14:paraId="118969A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4152901">
            <w:pPr>
              <w:spacing w:line="240" w:lineRule="auto"/>
              <w:ind w:firstLine="0" w:firstLineChars="0"/>
              <w:jc w:val="center"/>
              <w:rPr>
                <w:rFonts w:hint="eastAsia"/>
                <w:color w:val="auto"/>
                <w:sz w:val="21"/>
              </w:rPr>
            </w:pPr>
            <w:r>
              <w:rPr>
                <w:rFonts w:hint="eastAsia"/>
                <w:color w:val="auto"/>
                <w:sz w:val="21"/>
              </w:rPr>
              <w:t>序号</w:t>
            </w:r>
          </w:p>
        </w:tc>
        <w:tc>
          <w:tcPr>
            <w:tcW w:w="1134" w:type="dxa"/>
            <w:tcBorders>
              <w:top w:val="single" w:color="auto" w:sz="4" w:space="0"/>
              <w:left w:val="nil"/>
              <w:bottom w:val="single" w:color="auto" w:sz="4" w:space="0"/>
              <w:right w:val="single" w:color="auto" w:sz="4" w:space="0"/>
            </w:tcBorders>
            <w:vAlign w:val="center"/>
          </w:tcPr>
          <w:p w14:paraId="447D3D25">
            <w:pPr>
              <w:spacing w:line="240" w:lineRule="auto"/>
              <w:ind w:firstLine="0" w:firstLineChars="0"/>
              <w:jc w:val="center"/>
              <w:rPr>
                <w:rFonts w:hint="eastAsia"/>
                <w:color w:val="auto"/>
                <w:sz w:val="21"/>
              </w:rPr>
            </w:pPr>
            <w:r>
              <w:rPr>
                <w:rFonts w:hint="eastAsia"/>
                <w:color w:val="auto"/>
                <w:sz w:val="21"/>
              </w:rPr>
              <w:t>特殊季节</w:t>
            </w:r>
          </w:p>
        </w:tc>
        <w:tc>
          <w:tcPr>
            <w:tcW w:w="7477" w:type="dxa"/>
            <w:tcBorders>
              <w:top w:val="single" w:color="auto" w:sz="4" w:space="0"/>
              <w:left w:val="nil"/>
              <w:bottom w:val="single" w:color="auto" w:sz="4" w:space="0"/>
              <w:right w:val="single" w:color="auto" w:sz="4" w:space="0"/>
            </w:tcBorders>
            <w:vAlign w:val="center"/>
          </w:tcPr>
          <w:p w14:paraId="01FFEB34">
            <w:pPr>
              <w:spacing w:line="240" w:lineRule="auto"/>
              <w:ind w:firstLine="0" w:firstLineChars="0"/>
              <w:jc w:val="center"/>
              <w:rPr>
                <w:rFonts w:hint="eastAsia"/>
                <w:color w:val="auto"/>
                <w:sz w:val="21"/>
              </w:rPr>
            </w:pPr>
            <w:r>
              <w:rPr>
                <w:rFonts w:hint="eastAsia"/>
                <w:color w:val="auto"/>
                <w:sz w:val="21"/>
              </w:rPr>
              <w:t>施工安全措施</w:t>
            </w:r>
          </w:p>
        </w:tc>
      </w:tr>
      <w:tr w14:paraId="1BDE63B4">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9D4B60C">
            <w:pPr>
              <w:spacing w:line="240" w:lineRule="auto"/>
              <w:ind w:firstLine="0" w:firstLineChars="0"/>
              <w:jc w:val="center"/>
              <w:rPr>
                <w:rFonts w:hint="eastAsia"/>
                <w:color w:val="auto"/>
                <w:sz w:val="21"/>
              </w:rPr>
            </w:pPr>
            <w:r>
              <w:rPr>
                <w:rFonts w:hint="eastAsia"/>
                <w:color w:val="auto"/>
                <w:sz w:val="21"/>
              </w:rPr>
              <w:t>1</w:t>
            </w:r>
          </w:p>
        </w:tc>
        <w:tc>
          <w:tcPr>
            <w:tcW w:w="1134" w:type="dxa"/>
            <w:tcBorders>
              <w:top w:val="single" w:color="auto" w:sz="4" w:space="0"/>
              <w:left w:val="nil"/>
              <w:bottom w:val="single" w:color="auto" w:sz="4" w:space="0"/>
              <w:right w:val="single" w:color="auto" w:sz="4" w:space="0"/>
            </w:tcBorders>
            <w:vAlign w:val="center"/>
          </w:tcPr>
          <w:p w14:paraId="40475435">
            <w:pPr>
              <w:spacing w:line="240" w:lineRule="auto"/>
              <w:ind w:firstLine="0" w:firstLineChars="0"/>
              <w:jc w:val="center"/>
              <w:rPr>
                <w:rFonts w:hint="eastAsia"/>
                <w:color w:val="auto"/>
                <w:sz w:val="21"/>
              </w:rPr>
            </w:pPr>
            <w:r>
              <w:rPr>
                <w:rFonts w:hint="eastAsia"/>
                <w:color w:val="auto"/>
                <w:sz w:val="21"/>
              </w:rPr>
              <w:t>雨季施工</w:t>
            </w:r>
          </w:p>
        </w:tc>
        <w:tc>
          <w:tcPr>
            <w:tcW w:w="7477" w:type="dxa"/>
            <w:tcBorders>
              <w:top w:val="single" w:color="auto" w:sz="4" w:space="0"/>
              <w:left w:val="nil"/>
              <w:bottom w:val="single" w:color="auto" w:sz="4" w:space="0"/>
              <w:right w:val="single" w:color="auto" w:sz="4" w:space="0"/>
            </w:tcBorders>
            <w:vAlign w:val="center"/>
          </w:tcPr>
          <w:p w14:paraId="6767A8F8">
            <w:pPr>
              <w:spacing w:line="240" w:lineRule="auto"/>
              <w:ind w:firstLine="420"/>
              <w:rPr>
                <w:rFonts w:hint="eastAsia"/>
                <w:color w:val="auto"/>
                <w:sz w:val="21"/>
              </w:rPr>
            </w:pPr>
            <w:r>
              <w:rPr>
                <w:rFonts w:hint="eastAsia"/>
                <w:color w:val="auto"/>
                <w:sz w:val="21"/>
              </w:rPr>
              <w:t>1、做好施工人员的雨季培训工作，组织相关人员进行随机全面检查，尤其在大雨过后，此项工作必须进行。包括对临时设施、临电、机械设备防护等进行检查。检查施工现场及生产生活基地的排水设施，疏通各种排水渠道，清理雨水排水口，保证雨天排水通畅。</w:t>
            </w:r>
          </w:p>
          <w:p w14:paraId="17BF5A24">
            <w:pPr>
              <w:spacing w:line="240" w:lineRule="auto"/>
              <w:ind w:firstLine="420"/>
              <w:rPr>
                <w:rFonts w:hint="eastAsia"/>
                <w:color w:val="auto"/>
                <w:sz w:val="21"/>
              </w:rPr>
            </w:pPr>
            <w:r>
              <w:rPr>
                <w:rFonts w:hint="eastAsia"/>
                <w:color w:val="auto"/>
                <w:sz w:val="21"/>
              </w:rPr>
              <w:t>2、检查脚手架的基础是否牢固，脚手架立杆底脚必须设置垫木，并保证排水良好，避免积水浸泡。所有马道、斜梯均均采取防滑措施。</w:t>
            </w:r>
          </w:p>
          <w:p w14:paraId="45A0D2D2">
            <w:pPr>
              <w:spacing w:line="240" w:lineRule="auto"/>
              <w:ind w:firstLine="420"/>
              <w:rPr>
                <w:rFonts w:hint="eastAsia"/>
                <w:color w:val="auto"/>
                <w:sz w:val="21"/>
              </w:rPr>
            </w:pPr>
            <w:r>
              <w:rPr>
                <w:rFonts w:hint="eastAsia"/>
                <w:color w:val="auto"/>
                <w:sz w:val="21"/>
              </w:rPr>
              <w:t>3、在雨季到来前，做好脚手架的防雷避雷工作，并进行全面检查，确保防雷安全。</w:t>
            </w:r>
          </w:p>
          <w:p w14:paraId="202C658C">
            <w:pPr>
              <w:spacing w:line="240" w:lineRule="auto"/>
              <w:ind w:firstLine="420"/>
              <w:rPr>
                <w:rFonts w:hint="eastAsia"/>
                <w:color w:val="auto"/>
                <w:sz w:val="21"/>
              </w:rPr>
            </w:pPr>
            <w:r>
              <w:rPr>
                <w:rFonts w:hint="eastAsia"/>
                <w:color w:val="auto"/>
                <w:sz w:val="21"/>
              </w:rPr>
              <w:t>4、雨季所需材料，设备和其它用品，如水泵、抽水软管、塑料布等由材料部门提前准备，及时组织进行，水泵等设备应提前检修。</w:t>
            </w:r>
          </w:p>
          <w:p w14:paraId="1E089601">
            <w:pPr>
              <w:spacing w:line="240" w:lineRule="auto"/>
              <w:ind w:firstLine="420"/>
              <w:rPr>
                <w:rFonts w:hint="eastAsia"/>
                <w:color w:val="auto"/>
                <w:sz w:val="21"/>
              </w:rPr>
            </w:pPr>
            <w:r>
              <w:rPr>
                <w:rFonts w:hint="eastAsia"/>
                <w:color w:val="auto"/>
                <w:sz w:val="21"/>
              </w:rPr>
              <w:t>5、雨天施工时，必须对电焊机、电源装置、焊条等器具材料进行防雨保护，为了保证电焊机能在雨天正常作业，需在每个作业区域设立机电房（利用我公司现有钢工具棚），将电焊机等用电设备置入工具房中。</w:t>
            </w:r>
          </w:p>
          <w:p w14:paraId="058BB061">
            <w:pPr>
              <w:spacing w:line="240" w:lineRule="auto"/>
              <w:ind w:firstLine="420"/>
              <w:rPr>
                <w:rFonts w:hint="eastAsia"/>
                <w:color w:val="auto"/>
                <w:sz w:val="21"/>
              </w:rPr>
            </w:pPr>
            <w:r>
              <w:rPr>
                <w:rFonts w:hint="eastAsia"/>
                <w:color w:val="auto"/>
                <w:sz w:val="21"/>
              </w:rPr>
              <w:t>6、向施工人员提供防滑、防雨用品（雨衣、防滑鞋等）。除特殊情况外，降大雨时应停止高空作业，将高空人员撤到安全地带，拉断电闸。</w:t>
            </w:r>
          </w:p>
          <w:p w14:paraId="6B159FE7">
            <w:pPr>
              <w:spacing w:line="240" w:lineRule="auto"/>
              <w:ind w:firstLine="420"/>
              <w:rPr>
                <w:rFonts w:hint="eastAsia"/>
                <w:color w:val="auto"/>
                <w:sz w:val="21"/>
              </w:rPr>
            </w:pPr>
            <w:r>
              <w:rPr>
                <w:rFonts w:hint="eastAsia"/>
                <w:color w:val="auto"/>
                <w:sz w:val="21"/>
              </w:rPr>
              <w:t>7、当雨季气候恶劣，不能满足工艺要求及不能保证安全施工时，应停止吊装施工。同时，应保证作业面的安全，设置必要的临时紧固措施（如缆风绳、紧固卡）。</w:t>
            </w:r>
          </w:p>
        </w:tc>
      </w:tr>
      <w:tr w14:paraId="5CEA231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ABF3891">
            <w:pPr>
              <w:spacing w:line="240" w:lineRule="auto"/>
              <w:ind w:firstLine="0" w:firstLineChars="0"/>
              <w:jc w:val="center"/>
              <w:rPr>
                <w:rFonts w:hint="eastAsia"/>
                <w:color w:val="auto"/>
                <w:sz w:val="21"/>
              </w:rPr>
            </w:pPr>
            <w:r>
              <w:rPr>
                <w:rFonts w:hint="eastAsia"/>
                <w:color w:val="auto"/>
                <w:sz w:val="21"/>
              </w:rPr>
              <w:t>2</w:t>
            </w:r>
          </w:p>
        </w:tc>
        <w:tc>
          <w:tcPr>
            <w:tcW w:w="1134" w:type="dxa"/>
            <w:tcBorders>
              <w:top w:val="single" w:color="auto" w:sz="4" w:space="0"/>
              <w:left w:val="nil"/>
              <w:bottom w:val="single" w:color="auto" w:sz="4" w:space="0"/>
              <w:right w:val="single" w:color="auto" w:sz="4" w:space="0"/>
            </w:tcBorders>
            <w:vAlign w:val="center"/>
          </w:tcPr>
          <w:p w14:paraId="08C5A363">
            <w:pPr>
              <w:spacing w:line="240" w:lineRule="auto"/>
              <w:ind w:firstLine="0" w:firstLineChars="0"/>
              <w:jc w:val="center"/>
              <w:rPr>
                <w:rFonts w:hint="eastAsia"/>
                <w:color w:val="auto"/>
                <w:sz w:val="21"/>
              </w:rPr>
            </w:pPr>
            <w:r>
              <w:rPr>
                <w:rFonts w:hint="eastAsia"/>
                <w:color w:val="auto"/>
                <w:sz w:val="21"/>
              </w:rPr>
              <w:t>夏季高温施工</w:t>
            </w:r>
          </w:p>
        </w:tc>
        <w:tc>
          <w:tcPr>
            <w:tcW w:w="7477" w:type="dxa"/>
            <w:tcBorders>
              <w:top w:val="single" w:color="auto" w:sz="4" w:space="0"/>
              <w:left w:val="nil"/>
              <w:bottom w:val="single" w:color="auto" w:sz="4" w:space="0"/>
              <w:right w:val="single" w:color="auto" w:sz="4" w:space="0"/>
            </w:tcBorders>
            <w:vAlign w:val="center"/>
          </w:tcPr>
          <w:p w14:paraId="0525D624">
            <w:pPr>
              <w:spacing w:line="240" w:lineRule="auto"/>
              <w:ind w:firstLine="420"/>
              <w:rPr>
                <w:rFonts w:hint="eastAsia"/>
                <w:color w:val="auto"/>
                <w:sz w:val="21"/>
              </w:rPr>
            </w:pPr>
            <w:r>
              <w:rPr>
                <w:rFonts w:hint="eastAsia"/>
                <w:color w:val="auto"/>
                <w:sz w:val="21"/>
              </w:rPr>
              <w:t>1、在夏季高温季节增加职工食堂、宿舍、办公室、厕所的环境卫生检查次数，不合格的饭菜不允许出现在职工的餐桌上，定期喷洒杀虫剂，防止蚊、蝇滋生，杜绝常见流行病。在增加营养的同时向职工（特别是生产第一线和高温岗位职工）提供降温避暑药以及绿豆汤等，以确保安全和健康。对在特殊环境下（如露天、封闭等环境）施工的人员，采取诸如遮阳、通风等措施或调整工作时间，早晚工作，中午休息，防止职工中暑、窒息、中毒和其他事故的发生，炎热时期派医务人员深入工地进行巡回防治观察。一旦发生中暑、窒息、中毒等事故，立即进行紧急抢救或送医院急诊抢救。严禁职工到江河湖泊中洗澡、游泳，以免发生意外事故。</w:t>
            </w:r>
          </w:p>
          <w:p w14:paraId="021D90CC">
            <w:pPr>
              <w:spacing w:line="240" w:lineRule="auto"/>
              <w:ind w:firstLine="420"/>
              <w:rPr>
                <w:rFonts w:hint="eastAsia"/>
                <w:color w:val="auto"/>
                <w:sz w:val="21"/>
              </w:rPr>
            </w:pPr>
            <w:r>
              <w:rPr>
                <w:rFonts w:hint="eastAsia"/>
                <w:color w:val="auto"/>
                <w:sz w:val="21"/>
              </w:rPr>
              <w:t>2、夏季高温季节是现场用电高峰期，定期对电气设备逐台进行全面检查、保养，禁止不规范用电，对职工宿舍的降温用电设备及电线进行定期检查，同时在此阶段开展“安全用电活动”评比活动。</w:t>
            </w:r>
          </w:p>
          <w:p w14:paraId="104FF7CA">
            <w:pPr>
              <w:spacing w:line="240" w:lineRule="auto"/>
              <w:ind w:firstLine="420"/>
              <w:rPr>
                <w:rFonts w:hint="eastAsia"/>
                <w:color w:val="auto"/>
                <w:sz w:val="21"/>
              </w:rPr>
            </w:pPr>
            <w:r>
              <w:rPr>
                <w:rFonts w:hint="eastAsia"/>
                <w:color w:val="auto"/>
                <w:sz w:val="21"/>
              </w:rPr>
              <w:t>3、人容易在夏季高温季节产生烦躁心理，项目根据周边居民以及相关部门的实际情况，进行定期的走访、沟通，协调好与周边居民以及相关部门的关系，保证现场施工顺利进行。</w:t>
            </w:r>
          </w:p>
        </w:tc>
      </w:tr>
      <w:tr w14:paraId="49693EF7">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0D0A6DD">
            <w:pPr>
              <w:spacing w:line="240" w:lineRule="auto"/>
              <w:ind w:firstLine="0" w:firstLineChars="0"/>
              <w:jc w:val="center"/>
              <w:rPr>
                <w:rFonts w:hint="eastAsia"/>
                <w:color w:val="auto"/>
                <w:sz w:val="21"/>
              </w:rPr>
            </w:pPr>
            <w:r>
              <w:rPr>
                <w:rFonts w:hint="eastAsia"/>
                <w:color w:val="auto"/>
                <w:sz w:val="21"/>
              </w:rPr>
              <w:t>3</w:t>
            </w:r>
          </w:p>
        </w:tc>
        <w:tc>
          <w:tcPr>
            <w:tcW w:w="1134" w:type="dxa"/>
            <w:tcBorders>
              <w:top w:val="single" w:color="auto" w:sz="4" w:space="0"/>
              <w:left w:val="nil"/>
              <w:bottom w:val="single" w:color="auto" w:sz="4" w:space="0"/>
              <w:right w:val="single" w:color="auto" w:sz="4" w:space="0"/>
            </w:tcBorders>
            <w:vAlign w:val="center"/>
          </w:tcPr>
          <w:p w14:paraId="380462A1">
            <w:pPr>
              <w:spacing w:line="240" w:lineRule="auto"/>
              <w:ind w:firstLine="0" w:firstLineChars="0"/>
              <w:jc w:val="center"/>
              <w:rPr>
                <w:rFonts w:hint="eastAsia"/>
                <w:color w:val="auto"/>
                <w:sz w:val="21"/>
              </w:rPr>
            </w:pPr>
            <w:r>
              <w:rPr>
                <w:rFonts w:hint="eastAsia"/>
                <w:color w:val="auto"/>
                <w:sz w:val="21"/>
              </w:rPr>
              <w:t>大风天气施工</w:t>
            </w:r>
          </w:p>
        </w:tc>
        <w:tc>
          <w:tcPr>
            <w:tcW w:w="7477" w:type="dxa"/>
            <w:tcBorders>
              <w:top w:val="single" w:color="auto" w:sz="4" w:space="0"/>
              <w:left w:val="nil"/>
              <w:bottom w:val="single" w:color="auto" w:sz="4" w:space="0"/>
              <w:right w:val="single" w:color="auto" w:sz="4" w:space="0"/>
            </w:tcBorders>
            <w:vAlign w:val="center"/>
          </w:tcPr>
          <w:p w14:paraId="034AD4B9">
            <w:pPr>
              <w:spacing w:line="240" w:lineRule="auto"/>
              <w:ind w:firstLine="420"/>
              <w:rPr>
                <w:rFonts w:hint="eastAsia"/>
                <w:color w:val="auto"/>
                <w:sz w:val="21"/>
              </w:rPr>
            </w:pPr>
            <w:r>
              <w:rPr>
                <w:rFonts w:hint="eastAsia"/>
                <w:color w:val="auto"/>
                <w:sz w:val="21"/>
              </w:rPr>
              <w:t>1、大风会增加拆除、脚手架等作业环境危险性增加，当风力大于三级，影响钢筋焊接，风力大于四级，影响拆除作业，风力在五级以上应停止作业，必要时对相关设置进行加固处理。</w:t>
            </w:r>
          </w:p>
          <w:p w14:paraId="31E9D87D">
            <w:pPr>
              <w:spacing w:line="240" w:lineRule="auto"/>
              <w:ind w:firstLine="420"/>
              <w:rPr>
                <w:rFonts w:hint="eastAsia"/>
                <w:color w:val="auto"/>
                <w:sz w:val="21"/>
              </w:rPr>
            </w:pPr>
            <w:r>
              <w:rPr>
                <w:rFonts w:hint="eastAsia"/>
                <w:color w:val="auto"/>
                <w:sz w:val="21"/>
              </w:rPr>
              <w:t>2、大风来临时，必须立即停止吊装、焊接作业，及时将未就位的构件进行临时固定，对扳手、螺栓、焊条等小型材料用具必须装入工具包中带走。</w:t>
            </w:r>
          </w:p>
          <w:p w14:paraId="02B9C98A">
            <w:pPr>
              <w:spacing w:line="240" w:lineRule="auto"/>
              <w:ind w:firstLine="420"/>
              <w:rPr>
                <w:rFonts w:hint="eastAsia"/>
                <w:color w:val="auto"/>
                <w:sz w:val="21"/>
              </w:rPr>
            </w:pPr>
            <w:r>
              <w:rPr>
                <w:rFonts w:hint="eastAsia"/>
                <w:color w:val="auto"/>
                <w:sz w:val="21"/>
              </w:rPr>
              <w:t>3、对现场堆的放材料进行全面清理，在堆放整齐的同时必须进行可靠的压重和固定，防止被大风将材料吹散，外架围档要进行加固，防止材料吹落伤人。高空作业人员安全带必须与外架固定牢固。</w:t>
            </w:r>
          </w:p>
          <w:p w14:paraId="6DDA33AF">
            <w:pPr>
              <w:spacing w:line="240" w:lineRule="auto"/>
              <w:ind w:firstLine="420"/>
              <w:rPr>
                <w:rFonts w:hint="eastAsia"/>
                <w:color w:val="auto"/>
                <w:sz w:val="21"/>
              </w:rPr>
            </w:pPr>
            <w:r>
              <w:rPr>
                <w:rFonts w:hint="eastAsia"/>
                <w:color w:val="auto"/>
                <w:sz w:val="21"/>
              </w:rPr>
              <w:t>4、大风到来时各机械停止操作，人员停止施工。大风过后对各机械和安全设施进行全面检查，没有安全隐患时才可恢复施工作业。</w:t>
            </w:r>
          </w:p>
        </w:tc>
      </w:tr>
    </w:tbl>
    <w:p w14:paraId="7BAB163A">
      <w:pPr>
        <w:pStyle w:val="5"/>
        <w:rPr>
          <w:rFonts w:hint="eastAsia"/>
          <w:color w:val="auto"/>
        </w:rPr>
      </w:pPr>
      <w:bookmarkStart w:id="432" w:name="_Toc202510619"/>
      <w:bookmarkEnd w:id="432"/>
      <w:bookmarkStart w:id="433" w:name="_Toc27535"/>
      <w:r>
        <w:rPr>
          <w:rFonts w:hint="eastAsia"/>
          <w:color w:val="auto"/>
        </w:rPr>
        <w:t>夜间施工安全管理</w:t>
      </w:r>
      <w:bookmarkEnd w:id="433"/>
    </w:p>
    <w:p w14:paraId="02C4D075">
      <w:pPr>
        <w:pStyle w:val="6"/>
        <w:ind w:firstLine="480"/>
        <w:rPr>
          <w:rFonts w:hint="eastAsia"/>
          <w:color w:val="auto"/>
        </w:rPr>
      </w:pPr>
      <w:r>
        <w:rPr>
          <w:rFonts w:hint="eastAsia"/>
          <w:color w:val="auto"/>
        </w:rPr>
        <w:t>夜间施工安全生产组织</w:t>
      </w:r>
    </w:p>
    <w:p w14:paraId="58C64262">
      <w:pPr>
        <w:rPr>
          <w:rFonts w:hint="eastAsia"/>
          <w:color w:val="auto"/>
        </w:rPr>
      </w:pPr>
      <w:r>
        <w:rPr>
          <w:rFonts w:hint="eastAsia"/>
          <w:color w:val="auto"/>
        </w:rPr>
        <w:t>1、成立夜间施工安全生产巡查小组</w:t>
      </w:r>
    </w:p>
    <w:p w14:paraId="337ED4AA">
      <w:pPr>
        <w:rPr>
          <w:rFonts w:hint="eastAsia"/>
          <w:color w:val="auto"/>
        </w:rPr>
      </w:pPr>
      <w:r>
        <w:rPr>
          <w:rFonts w:hint="eastAsia"/>
          <w:color w:val="auto"/>
        </w:rPr>
        <w:t>项目部高度重视夜间施工安全工作，为了确保夜间施工各方面工作安全顺利进行，项目部成立“夜间施工安全巡查小组”，组长由项目经理担任，副组长由项目副经理担任，各部门负责人参加。主要成员及任务分工见下表：</w:t>
      </w:r>
    </w:p>
    <w:tbl>
      <w:tblPr>
        <w:tblStyle w:val="29"/>
        <w:tblW w:w="0" w:type="auto"/>
        <w:tblInd w:w="0" w:type="dxa"/>
        <w:tblLayout w:type="fixed"/>
        <w:tblCellMar>
          <w:top w:w="0" w:type="dxa"/>
          <w:left w:w="108" w:type="dxa"/>
          <w:bottom w:w="0" w:type="dxa"/>
          <w:right w:w="108" w:type="dxa"/>
        </w:tblCellMar>
      </w:tblPr>
      <w:tblGrid>
        <w:gridCol w:w="959"/>
        <w:gridCol w:w="1424"/>
        <w:gridCol w:w="6903"/>
      </w:tblGrid>
      <w:tr w14:paraId="1B55C273">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1D95E32C">
            <w:pPr>
              <w:spacing w:line="240" w:lineRule="auto"/>
              <w:ind w:firstLine="0" w:firstLineChars="0"/>
              <w:jc w:val="center"/>
              <w:rPr>
                <w:rFonts w:hint="eastAsia"/>
                <w:color w:val="auto"/>
                <w:sz w:val="21"/>
              </w:rPr>
            </w:pPr>
            <w:r>
              <w:rPr>
                <w:rFonts w:hint="eastAsia"/>
                <w:color w:val="auto"/>
                <w:sz w:val="21"/>
              </w:rPr>
              <w:t>序号</w:t>
            </w:r>
          </w:p>
        </w:tc>
        <w:tc>
          <w:tcPr>
            <w:tcW w:w="1424" w:type="dxa"/>
            <w:tcBorders>
              <w:top w:val="single" w:color="auto" w:sz="4" w:space="0"/>
              <w:left w:val="nil"/>
              <w:bottom w:val="single" w:color="auto" w:sz="4" w:space="0"/>
              <w:right w:val="single" w:color="auto" w:sz="4" w:space="0"/>
            </w:tcBorders>
            <w:vAlign w:val="center"/>
          </w:tcPr>
          <w:p w14:paraId="481BE672">
            <w:pPr>
              <w:spacing w:line="240" w:lineRule="auto"/>
              <w:ind w:firstLine="0" w:firstLineChars="0"/>
              <w:jc w:val="center"/>
              <w:rPr>
                <w:rFonts w:hint="eastAsia"/>
                <w:color w:val="auto"/>
                <w:sz w:val="21"/>
              </w:rPr>
            </w:pPr>
            <w:r>
              <w:rPr>
                <w:rFonts w:hint="eastAsia"/>
                <w:color w:val="auto"/>
                <w:sz w:val="21"/>
              </w:rPr>
              <w:t>职务</w:t>
            </w:r>
          </w:p>
        </w:tc>
        <w:tc>
          <w:tcPr>
            <w:tcW w:w="6903" w:type="dxa"/>
            <w:tcBorders>
              <w:top w:val="single" w:color="auto" w:sz="4" w:space="0"/>
              <w:left w:val="nil"/>
              <w:bottom w:val="single" w:color="auto" w:sz="4" w:space="0"/>
              <w:right w:val="single" w:color="auto" w:sz="4" w:space="0"/>
            </w:tcBorders>
            <w:vAlign w:val="center"/>
          </w:tcPr>
          <w:p w14:paraId="4946B37A">
            <w:pPr>
              <w:spacing w:line="240" w:lineRule="auto"/>
              <w:ind w:firstLine="0" w:firstLineChars="0"/>
              <w:jc w:val="center"/>
              <w:rPr>
                <w:rFonts w:hint="eastAsia"/>
                <w:color w:val="auto"/>
                <w:sz w:val="21"/>
              </w:rPr>
            </w:pPr>
            <w:r>
              <w:rPr>
                <w:rFonts w:hint="eastAsia"/>
                <w:color w:val="auto"/>
                <w:sz w:val="21"/>
              </w:rPr>
              <w:t>职责</w:t>
            </w:r>
          </w:p>
        </w:tc>
      </w:tr>
      <w:tr w14:paraId="3940B6B4">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324A3768">
            <w:pPr>
              <w:spacing w:line="240" w:lineRule="auto"/>
              <w:ind w:firstLine="0" w:firstLineChars="0"/>
              <w:jc w:val="center"/>
              <w:rPr>
                <w:rFonts w:hint="eastAsia"/>
                <w:color w:val="auto"/>
                <w:sz w:val="21"/>
              </w:rPr>
            </w:pPr>
            <w:r>
              <w:rPr>
                <w:rFonts w:hint="eastAsia"/>
                <w:color w:val="auto"/>
                <w:sz w:val="21"/>
              </w:rPr>
              <w:t>1</w:t>
            </w:r>
          </w:p>
        </w:tc>
        <w:tc>
          <w:tcPr>
            <w:tcW w:w="1424" w:type="dxa"/>
            <w:tcBorders>
              <w:top w:val="single" w:color="auto" w:sz="4" w:space="0"/>
              <w:left w:val="nil"/>
              <w:bottom w:val="single" w:color="auto" w:sz="4" w:space="0"/>
              <w:right w:val="single" w:color="auto" w:sz="4" w:space="0"/>
            </w:tcBorders>
            <w:vAlign w:val="center"/>
          </w:tcPr>
          <w:p w14:paraId="1C6FFBB5">
            <w:pPr>
              <w:spacing w:line="240" w:lineRule="auto"/>
              <w:ind w:firstLine="0" w:firstLineChars="0"/>
              <w:jc w:val="center"/>
              <w:rPr>
                <w:rFonts w:hint="eastAsia"/>
                <w:color w:val="auto"/>
                <w:sz w:val="21"/>
              </w:rPr>
            </w:pPr>
            <w:r>
              <w:rPr>
                <w:rFonts w:hint="eastAsia"/>
                <w:color w:val="auto"/>
                <w:sz w:val="21"/>
              </w:rPr>
              <w:t>项目经理</w:t>
            </w:r>
          </w:p>
        </w:tc>
        <w:tc>
          <w:tcPr>
            <w:tcW w:w="6903" w:type="dxa"/>
            <w:tcBorders>
              <w:top w:val="single" w:color="auto" w:sz="4" w:space="0"/>
              <w:left w:val="nil"/>
              <w:bottom w:val="single" w:color="auto" w:sz="4" w:space="0"/>
              <w:right w:val="single" w:color="auto" w:sz="4" w:space="0"/>
            </w:tcBorders>
            <w:vAlign w:val="center"/>
          </w:tcPr>
          <w:p w14:paraId="1CAACEF8">
            <w:pPr>
              <w:spacing w:line="240" w:lineRule="auto"/>
              <w:ind w:firstLine="0" w:firstLineChars="0"/>
              <w:jc w:val="center"/>
              <w:rPr>
                <w:rFonts w:hint="eastAsia"/>
                <w:color w:val="auto"/>
                <w:sz w:val="21"/>
              </w:rPr>
            </w:pPr>
            <w:r>
              <w:rPr>
                <w:rFonts w:hint="eastAsia"/>
                <w:color w:val="auto"/>
                <w:sz w:val="21"/>
              </w:rPr>
              <w:t>总体负责夜间施工安全工作。</w:t>
            </w:r>
          </w:p>
        </w:tc>
      </w:tr>
      <w:tr w14:paraId="145AA32D">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1FF4413E">
            <w:pPr>
              <w:spacing w:line="240" w:lineRule="auto"/>
              <w:ind w:firstLine="0" w:firstLineChars="0"/>
              <w:jc w:val="center"/>
              <w:rPr>
                <w:rFonts w:hint="eastAsia"/>
                <w:color w:val="auto"/>
                <w:sz w:val="21"/>
              </w:rPr>
            </w:pPr>
            <w:r>
              <w:rPr>
                <w:rFonts w:hint="eastAsia"/>
                <w:color w:val="auto"/>
                <w:sz w:val="21"/>
              </w:rPr>
              <w:t>2</w:t>
            </w:r>
          </w:p>
        </w:tc>
        <w:tc>
          <w:tcPr>
            <w:tcW w:w="1424" w:type="dxa"/>
            <w:tcBorders>
              <w:top w:val="single" w:color="auto" w:sz="4" w:space="0"/>
              <w:left w:val="nil"/>
              <w:bottom w:val="single" w:color="auto" w:sz="4" w:space="0"/>
              <w:right w:val="single" w:color="auto" w:sz="4" w:space="0"/>
            </w:tcBorders>
            <w:vAlign w:val="center"/>
          </w:tcPr>
          <w:p w14:paraId="345EE926">
            <w:pPr>
              <w:spacing w:line="240" w:lineRule="auto"/>
              <w:ind w:firstLine="0" w:firstLineChars="0"/>
              <w:jc w:val="center"/>
              <w:rPr>
                <w:rFonts w:hint="eastAsia"/>
                <w:color w:val="auto"/>
                <w:sz w:val="21"/>
              </w:rPr>
            </w:pPr>
            <w:r>
              <w:rPr>
                <w:rFonts w:hint="eastAsia"/>
                <w:color w:val="auto"/>
                <w:sz w:val="21"/>
              </w:rPr>
              <w:t>项目副经理</w:t>
            </w:r>
          </w:p>
        </w:tc>
        <w:tc>
          <w:tcPr>
            <w:tcW w:w="6903" w:type="dxa"/>
            <w:tcBorders>
              <w:top w:val="single" w:color="auto" w:sz="4" w:space="0"/>
              <w:left w:val="nil"/>
              <w:bottom w:val="single" w:color="auto" w:sz="4" w:space="0"/>
              <w:right w:val="single" w:color="auto" w:sz="4" w:space="0"/>
            </w:tcBorders>
            <w:vAlign w:val="center"/>
          </w:tcPr>
          <w:p w14:paraId="49FECA60">
            <w:pPr>
              <w:spacing w:line="240" w:lineRule="auto"/>
              <w:ind w:firstLine="0" w:firstLineChars="0"/>
              <w:jc w:val="center"/>
              <w:rPr>
                <w:rFonts w:hint="eastAsia"/>
                <w:color w:val="auto"/>
                <w:sz w:val="21"/>
              </w:rPr>
            </w:pPr>
            <w:r>
              <w:rPr>
                <w:rFonts w:hint="eastAsia"/>
                <w:color w:val="auto"/>
                <w:sz w:val="21"/>
              </w:rPr>
              <w:t>负责夜间施工现场指挥的工作。</w:t>
            </w:r>
          </w:p>
        </w:tc>
      </w:tr>
      <w:tr w14:paraId="4F2EBB22">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298D7F7C">
            <w:pPr>
              <w:spacing w:line="240" w:lineRule="auto"/>
              <w:ind w:firstLine="0" w:firstLineChars="0"/>
              <w:jc w:val="center"/>
              <w:rPr>
                <w:rFonts w:hint="eastAsia"/>
                <w:color w:val="auto"/>
                <w:sz w:val="21"/>
              </w:rPr>
            </w:pPr>
            <w:r>
              <w:rPr>
                <w:rFonts w:hint="eastAsia"/>
                <w:color w:val="auto"/>
                <w:sz w:val="21"/>
              </w:rPr>
              <w:t>3</w:t>
            </w:r>
          </w:p>
        </w:tc>
        <w:tc>
          <w:tcPr>
            <w:tcW w:w="1424" w:type="dxa"/>
            <w:tcBorders>
              <w:top w:val="single" w:color="auto" w:sz="4" w:space="0"/>
              <w:left w:val="nil"/>
              <w:bottom w:val="single" w:color="auto" w:sz="4" w:space="0"/>
              <w:right w:val="single" w:color="auto" w:sz="4" w:space="0"/>
            </w:tcBorders>
            <w:vAlign w:val="center"/>
          </w:tcPr>
          <w:p w14:paraId="215BDFE9">
            <w:pPr>
              <w:spacing w:line="240" w:lineRule="auto"/>
              <w:ind w:firstLine="0" w:firstLineChars="0"/>
              <w:jc w:val="center"/>
              <w:rPr>
                <w:rFonts w:hint="eastAsia"/>
                <w:color w:val="auto"/>
                <w:sz w:val="21"/>
              </w:rPr>
            </w:pPr>
            <w:r>
              <w:rPr>
                <w:rFonts w:hint="eastAsia"/>
                <w:color w:val="auto"/>
                <w:sz w:val="21"/>
              </w:rPr>
              <w:t>安全总监</w:t>
            </w:r>
          </w:p>
        </w:tc>
        <w:tc>
          <w:tcPr>
            <w:tcW w:w="6903" w:type="dxa"/>
            <w:tcBorders>
              <w:top w:val="single" w:color="auto" w:sz="4" w:space="0"/>
              <w:left w:val="nil"/>
              <w:bottom w:val="single" w:color="auto" w:sz="4" w:space="0"/>
              <w:right w:val="single" w:color="auto" w:sz="4" w:space="0"/>
            </w:tcBorders>
            <w:vAlign w:val="center"/>
          </w:tcPr>
          <w:p w14:paraId="73097200">
            <w:pPr>
              <w:spacing w:line="240" w:lineRule="auto"/>
              <w:ind w:firstLine="0" w:firstLineChars="0"/>
              <w:jc w:val="center"/>
              <w:rPr>
                <w:rFonts w:hint="eastAsia"/>
                <w:color w:val="auto"/>
                <w:sz w:val="21"/>
              </w:rPr>
            </w:pPr>
            <w:r>
              <w:rPr>
                <w:rFonts w:hint="eastAsia"/>
                <w:color w:val="auto"/>
                <w:sz w:val="21"/>
              </w:rPr>
              <w:t>施工生产安全监督工作。</w:t>
            </w:r>
          </w:p>
        </w:tc>
      </w:tr>
      <w:tr w14:paraId="304FDB47">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36BAC200">
            <w:pPr>
              <w:spacing w:line="240" w:lineRule="auto"/>
              <w:ind w:firstLine="0" w:firstLineChars="0"/>
              <w:jc w:val="center"/>
              <w:rPr>
                <w:rFonts w:hint="eastAsia"/>
                <w:color w:val="auto"/>
                <w:sz w:val="21"/>
              </w:rPr>
            </w:pPr>
            <w:r>
              <w:rPr>
                <w:rFonts w:hint="eastAsia"/>
                <w:color w:val="auto"/>
                <w:sz w:val="21"/>
              </w:rPr>
              <w:t>4</w:t>
            </w:r>
          </w:p>
        </w:tc>
        <w:tc>
          <w:tcPr>
            <w:tcW w:w="1424" w:type="dxa"/>
            <w:tcBorders>
              <w:top w:val="single" w:color="auto" w:sz="4" w:space="0"/>
              <w:left w:val="nil"/>
              <w:bottom w:val="single" w:color="auto" w:sz="4" w:space="0"/>
              <w:right w:val="single" w:color="auto" w:sz="4" w:space="0"/>
            </w:tcBorders>
            <w:vAlign w:val="center"/>
          </w:tcPr>
          <w:p w14:paraId="46924A99">
            <w:pPr>
              <w:spacing w:line="240" w:lineRule="auto"/>
              <w:ind w:firstLine="0" w:firstLineChars="0"/>
              <w:jc w:val="center"/>
              <w:rPr>
                <w:rFonts w:hint="eastAsia"/>
                <w:color w:val="auto"/>
                <w:sz w:val="21"/>
              </w:rPr>
            </w:pPr>
            <w:r>
              <w:rPr>
                <w:rFonts w:hint="eastAsia"/>
                <w:color w:val="auto"/>
                <w:sz w:val="21"/>
              </w:rPr>
              <w:t>安全员</w:t>
            </w:r>
          </w:p>
        </w:tc>
        <w:tc>
          <w:tcPr>
            <w:tcW w:w="6903" w:type="dxa"/>
            <w:tcBorders>
              <w:top w:val="single" w:color="auto" w:sz="4" w:space="0"/>
              <w:left w:val="nil"/>
              <w:bottom w:val="single" w:color="auto" w:sz="4" w:space="0"/>
              <w:right w:val="single" w:color="auto" w:sz="4" w:space="0"/>
            </w:tcBorders>
            <w:vAlign w:val="center"/>
          </w:tcPr>
          <w:p w14:paraId="74D4740A">
            <w:pPr>
              <w:spacing w:line="240" w:lineRule="auto"/>
              <w:ind w:firstLine="0" w:firstLineChars="0"/>
              <w:jc w:val="center"/>
              <w:rPr>
                <w:rFonts w:hint="eastAsia"/>
                <w:color w:val="auto"/>
                <w:sz w:val="21"/>
              </w:rPr>
            </w:pPr>
            <w:r>
              <w:rPr>
                <w:rFonts w:hint="eastAsia"/>
                <w:color w:val="auto"/>
                <w:sz w:val="21"/>
              </w:rPr>
              <w:t>安全巡查、问题处理及应急响应。</w:t>
            </w:r>
          </w:p>
        </w:tc>
      </w:tr>
      <w:tr w14:paraId="50F5F821">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68CE60FB">
            <w:pPr>
              <w:spacing w:line="240" w:lineRule="auto"/>
              <w:ind w:firstLine="0" w:firstLineChars="0"/>
              <w:jc w:val="center"/>
              <w:rPr>
                <w:rFonts w:hint="eastAsia"/>
                <w:color w:val="auto"/>
                <w:sz w:val="21"/>
              </w:rPr>
            </w:pPr>
            <w:r>
              <w:rPr>
                <w:rFonts w:hint="eastAsia"/>
                <w:color w:val="auto"/>
                <w:sz w:val="21"/>
              </w:rPr>
              <w:t>5</w:t>
            </w:r>
          </w:p>
        </w:tc>
        <w:tc>
          <w:tcPr>
            <w:tcW w:w="1424" w:type="dxa"/>
            <w:tcBorders>
              <w:top w:val="single" w:color="auto" w:sz="4" w:space="0"/>
              <w:left w:val="nil"/>
              <w:bottom w:val="single" w:color="auto" w:sz="4" w:space="0"/>
              <w:right w:val="single" w:color="auto" w:sz="4" w:space="0"/>
            </w:tcBorders>
            <w:vAlign w:val="center"/>
          </w:tcPr>
          <w:p w14:paraId="08674E6A">
            <w:pPr>
              <w:spacing w:line="240" w:lineRule="auto"/>
              <w:ind w:firstLine="0" w:firstLineChars="0"/>
              <w:jc w:val="center"/>
              <w:rPr>
                <w:rFonts w:hint="eastAsia"/>
                <w:color w:val="auto"/>
                <w:sz w:val="21"/>
              </w:rPr>
            </w:pPr>
            <w:r>
              <w:rPr>
                <w:rFonts w:hint="eastAsia"/>
                <w:color w:val="auto"/>
                <w:sz w:val="21"/>
              </w:rPr>
              <w:t>技术员</w:t>
            </w:r>
          </w:p>
        </w:tc>
        <w:tc>
          <w:tcPr>
            <w:tcW w:w="6903" w:type="dxa"/>
            <w:tcBorders>
              <w:top w:val="single" w:color="auto" w:sz="4" w:space="0"/>
              <w:left w:val="nil"/>
              <w:bottom w:val="single" w:color="auto" w:sz="4" w:space="0"/>
              <w:right w:val="single" w:color="auto" w:sz="4" w:space="0"/>
            </w:tcBorders>
            <w:vAlign w:val="center"/>
          </w:tcPr>
          <w:p w14:paraId="5C45E75D">
            <w:pPr>
              <w:spacing w:line="240" w:lineRule="auto"/>
              <w:ind w:firstLine="0" w:firstLineChars="0"/>
              <w:jc w:val="center"/>
              <w:rPr>
                <w:rFonts w:hint="eastAsia"/>
                <w:color w:val="auto"/>
                <w:sz w:val="21"/>
              </w:rPr>
            </w:pPr>
            <w:r>
              <w:rPr>
                <w:rFonts w:hint="eastAsia"/>
                <w:color w:val="auto"/>
                <w:sz w:val="21"/>
              </w:rPr>
              <w:t>负责夜间施工技术监管。</w:t>
            </w:r>
          </w:p>
        </w:tc>
      </w:tr>
      <w:tr w14:paraId="3E660372">
        <w:tblPrEx>
          <w:tblCellMar>
            <w:top w:w="0" w:type="dxa"/>
            <w:left w:w="108" w:type="dxa"/>
            <w:bottom w:w="0" w:type="dxa"/>
            <w:right w:w="108" w:type="dxa"/>
          </w:tblCellMar>
        </w:tblPrEx>
        <w:trPr>
          <w:trHeight w:val="454" w:hRule="atLeast"/>
        </w:trPr>
        <w:tc>
          <w:tcPr>
            <w:tcW w:w="959" w:type="dxa"/>
            <w:tcBorders>
              <w:top w:val="single" w:color="auto" w:sz="4" w:space="0"/>
              <w:left w:val="single" w:color="auto" w:sz="4" w:space="0"/>
              <w:bottom w:val="single" w:color="auto" w:sz="4" w:space="0"/>
              <w:right w:val="single" w:color="auto" w:sz="4" w:space="0"/>
            </w:tcBorders>
            <w:vAlign w:val="center"/>
          </w:tcPr>
          <w:p w14:paraId="1A99E5FC">
            <w:pPr>
              <w:spacing w:line="240" w:lineRule="auto"/>
              <w:ind w:firstLine="0" w:firstLineChars="0"/>
              <w:jc w:val="center"/>
              <w:rPr>
                <w:rFonts w:hint="eastAsia"/>
                <w:color w:val="auto"/>
                <w:sz w:val="21"/>
              </w:rPr>
            </w:pPr>
            <w:r>
              <w:rPr>
                <w:rFonts w:hint="eastAsia"/>
                <w:color w:val="auto"/>
                <w:sz w:val="21"/>
              </w:rPr>
              <w:t>6</w:t>
            </w:r>
          </w:p>
        </w:tc>
        <w:tc>
          <w:tcPr>
            <w:tcW w:w="1424" w:type="dxa"/>
            <w:tcBorders>
              <w:top w:val="single" w:color="auto" w:sz="4" w:space="0"/>
              <w:left w:val="nil"/>
              <w:bottom w:val="single" w:color="auto" w:sz="4" w:space="0"/>
              <w:right w:val="single" w:color="auto" w:sz="4" w:space="0"/>
            </w:tcBorders>
            <w:vAlign w:val="center"/>
          </w:tcPr>
          <w:p w14:paraId="2E106E11">
            <w:pPr>
              <w:spacing w:line="240" w:lineRule="auto"/>
              <w:ind w:firstLine="0" w:firstLineChars="0"/>
              <w:jc w:val="center"/>
              <w:rPr>
                <w:rFonts w:hint="eastAsia"/>
                <w:color w:val="auto"/>
                <w:sz w:val="21"/>
              </w:rPr>
            </w:pPr>
            <w:r>
              <w:rPr>
                <w:rFonts w:hint="eastAsia"/>
                <w:color w:val="auto"/>
                <w:sz w:val="21"/>
              </w:rPr>
              <w:t>保卫队</w:t>
            </w:r>
          </w:p>
        </w:tc>
        <w:tc>
          <w:tcPr>
            <w:tcW w:w="6903" w:type="dxa"/>
            <w:tcBorders>
              <w:top w:val="single" w:color="auto" w:sz="4" w:space="0"/>
              <w:left w:val="nil"/>
              <w:bottom w:val="single" w:color="auto" w:sz="4" w:space="0"/>
              <w:right w:val="single" w:color="auto" w:sz="4" w:space="0"/>
            </w:tcBorders>
            <w:vAlign w:val="center"/>
          </w:tcPr>
          <w:p w14:paraId="7BEB1146">
            <w:pPr>
              <w:spacing w:line="240" w:lineRule="auto"/>
              <w:ind w:firstLine="0" w:firstLineChars="0"/>
              <w:jc w:val="center"/>
              <w:rPr>
                <w:rFonts w:hint="eastAsia"/>
                <w:color w:val="auto"/>
                <w:sz w:val="21"/>
              </w:rPr>
            </w:pPr>
            <w:r>
              <w:rPr>
                <w:rFonts w:hint="eastAsia"/>
                <w:color w:val="auto"/>
                <w:sz w:val="21"/>
              </w:rPr>
              <w:t>现场巡逻。</w:t>
            </w:r>
          </w:p>
        </w:tc>
      </w:tr>
    </w:tbl>
    <w:p w14:paraId="76A90B79">
      <w:pPr>
        <w:rPr>
          <w:rFonts w:hint="eastAsia"/>
          <w:color w:val="auto"/>
        </w:rPr>
      </w:pPr>
      <w:r>
        <w:rPr>
          <w:rFonts w:hint="eastAsia"/>
          <w:color w:val="auto"/>
        </w:rPr>
        <w:t>2、夜间施工巡查工作安排</w:t>
      </w:r>
    </w:p>
    <w:p w14:paraId="08B7C4D5">
      <w:pPr>
        <w:rPr>
          <w:rFonts w:hint="eastAsia"/>
          <w:color w:val="auto"/>
        </w:rPr>
      </w:pPr>
      <w:r>
        <w:rPr>
          <w:rFonts w:hint="eastAsia"/>
          <w:color w:val="auto"/>
        </w:rPr>
        <w:t>夜间施工作业队在晚上6点前报告项目部综合办说明夜间施工的具体里程和工程内容，综合办报告“夜间施工安全巡查小组”组长和副组长，并按照组长和副组长的指示联系“夜间施工安全巡查小组”成员，并通知夜间值班司机，做好各项夜间施工安全巡查的各项准备工作。</w:t>
      </w:r>
    </w:p>
    <w:p w14:paraId="6DA7E564">
      <w:pPr>
        <w:pStyle w:val="6"/>
        <w:ind w:firstLine="480"/>
        <w:rPr>
          <w:rFonts w:hint="eastAsia"/>
          <w:color w:val="auto"/>
        </w:rPr>
      </w:pPr>
      <w:r>
        <w:rPr>
          <w:rFonts w:hint="eastAsia"/>
          <w:color w:val="auto"/>
        </w:rPr>
        <w:t>夜间施工安全保证措施</w:t>
      </w:r>
    </w:p>
    <w:p w14:paraId="0BED30BF">
      <w:pPr>
        <w:rPr>
          <w:rFonts w:hint="eastAsia"/>
          <w:color w:val="auto"/>
        </w:rPr>
      </w:pPr>
      <w:r>
        <w:rPr>
          <w:rFonts w:hint="eastAsia"/>
          <w:color w:val="auto"/>
        </w:rPr>
        <w:t>1、夜间工程施工使用的机械设备</w:t>
      </w:r>
    </w:p>
    <w:p w14:paraId="1D9F2D13">
      <w:pPr>
        <w:rPr>
          <w:rFonts w:hint="eastAsia"/>
          <w:color w:val="auto"/>
        </w:rPr>
      </w:pPr>
      <w:r>
        <w:rPr>
          <w:rFonts w:hint="eastAsia"/>
          <w:color w:val="auto"/>
        </w:rPr>
        <w:t>夜间施工作业中可能涉及的机械设备有自卸车、挖掘机、压路机、推土机、平地机等机械设备。夜间施工时，夜间交叉路口必须有专人指挥，施工现场应在危险性地段，深基坑开挖，高边坡等，施工中安排专人防护和检测危险源的变化情况，发现问题及时上报以便控制，且有夜间明显标志。</w:t>
      </w:r>
    </w:p>
    <w:p w14:paraId="262F0497">
      <w:pPr>
        <w:rPr>
          <w:rFonts w:hint="eastAsia"/>
          <w:color w:val="auto"/>
        </w:rPr>
      </w:pPr>
      <w:r>
        <w:rPr>
          <w:rFonts w:hint="eastAsia"/>
          <w:color w:val="auto"/>
        </w:rPr>
        <w:t>2、夜间施工机械设备总体安全要求</w:t>
      </w:r>
    </w:p>
    <w:tbl>
      <w:tblPr>
        <w:tblStyle w:val="29"/>
        <w:tblW w:w="0" w:type="auto"/>
        <w:tblInd w:w="0" w:type="dxa"/>
        <w:tblLayout w:type="fixed"/>
        <w:tblCellMar>
          <w:top w:w="0" w:type="dxa"/>
          <w:left w:w="108" w:type="dxa"/>
          <w:bottom w:w="0" w:type="dxa"/>
          <w:right w:w="108" w:type="dxa"/>
        </w:tblCellMar>
      </w:tblPr>
      <w:tblGrid>
        <w:gridCol w:w="675"/>
        <w:gridCol w:w="8611"/>
      </w:tblGrid>
      <w:tr w14:paraId="070DC22B">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745A689">
            <w:pPr>
              <w:spacing w:line="240" w:lineRule="auto"/>
              <w:ind w:firstLine="0" w:firstLineChars="0"/>
              <w:jc w:val="center"/>
              <w:rPr>
                <w:rFonts w:hint="eastAsia"/>
                <w:color w:val="auto"/>
                <w:sz w:val="21"/>
              </w:rPr>
            </w:pPr>
            <w:r>
              <w:rPr>
                <w:rFonts w:hint="eastAsia"/>
                <w:color w:val="auto"/>
                <w:sz w:val="21"/>
              </w:rPr>
              <w:t>序号</w:t>
            </w:r>
          </w:p>
        </w:tc>
        <w:tc>
          <w:tcPr>
            <w:tcW w:w="8611" w:type="dxa"/>
            <w:tcBorders>
              <w:top w:val="single" w:color="auto" w:sz="4" w:space="0"/>
              <w:left w:val="nil"/>
              <w:bottom w:val="single" w:color="auto" w:sz="4" w:space="0"/>
              <w:right w:val="single" w:color="auto" w:sz="4" w:space="0"/>
            </w:tcBorders>
            <w:vAlign w:val="center"/>
          </w:tcPr>
          <w:p w14:paraId="47BAEF11">
            <w:pPr>
              <w:spacing w:line="240" w:lineRule="auto"/>
              <w:ind w:firstLine="0" w:firstLineChars="0"/>
              <w:jc w:val="center"/>
              <w:rPr>
                <w:rFonts w:hint="eastAsia"/>
                <w:color w:val="auto"/>
                <w:sz w:val="21"/>
              </w:rPr>
            </w:pPr>
            <w:r>
              <w:rPr>
                <w:rFonts w:hint="eastAsia"/>
                <w:color w:val="auto"/>
                <w:sz w:val="21"/>
              </w:rPr>
              <w:t>具体要求</w:t>
            </w:r>
          </w:p>
        </w:tc>
      </w:tr>
      <w:tr w14:paraId="06E5B67D">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13FBE6C">
            <w:pPr>
              <w:spacing w:line="240" w:lineRule="auto"/>
              <w:ind w:firstLine="0" w:firstLineChars="0"/>
              <w:jc w:val="center"/>
              <w:rPr>
                <w:rFonts w:hint="eastAsia"/>
                <w:color w:val="auto"/>
                <w:sz w:val="21"/>
              </w:rPr>
            </w:pPr>
            <w:r>
              <w:rPr>
                <w:rFonts w:hint="eastAsia"/>
                <w:color w:val="auto"/>
                <w:sz w:val="21"/>
              </w:rPr>
              <w:t>1</w:t>
            </w:r>
          </w:p>
        </w:tc>
        <w:tc>
          <w:tcPr>
            <w:tcW w:w="8611" w:type="dxa"/>
            <w:tcBorders>
              <w:top w:val="single" w:color="auto" w:sz="4" w:space="0"/>
              <w:left w:val="nil"/>
              <w:bottom w:val="single" w:color="auto" w:sz="4" w:space="0"/>
              <w:right w:val="single" w:color="auto" w:sz="4" w:space="0"/>
            </w:tcBorders>
            <w:vAlign w:val="center"/>
          </w:tcPr>
          <w:p w14:paraId="50890C00">
            <w:pPr>
              <w:spacing w:line="240" w:lineRule="auto"/>
              <w:ind w:firstLine="0" w:firstLineChars="0"/>
              <w:jc w:val="center"/>
              <w:rPr>
                <w:rFonts w:hint="eastAsia"/>
                <w:color w:val="auto"/>
                <w:sz w:val="21"/>
              </w:rPr>
            </w:pPr>
            <w:r>
              <w:rPr>
                <w:rFonts w:hint="eastAsia"/>
                <w:color w:val="auto"/>
                <w:sz w:val="21"/>
              </w:rPr>
              <w:t>所有进入施工现场的机械都要经过验收合格之后，才准予投入生产工作。</w:t>
            </w:r>
          </w:p>
        </w:tc>
      </w:tr>
      <w:tr w14:paraId="4687A9B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4BFB9EF">
            <w:pPr>
              <w:spacing w:line="240" w:lineRule="auto"/>
              <w:ind w:firstLine="0" w:firstLineChars="0"/>
              <w:jc w:val="center"/>
              <w:rPr>
                <w:rFonts w:hint="eastAsia"/>
                <w:color w:val="auto"/>
                <w:sz w:val="21"/>
              </w:rPr>
            </w:pPr>
            <w:r>
              <w:rPr>
                <w:rFonts w:hint="eastAsia"/>
                <w:color w:val="auto"/>
                <w:sz w:val="21"/>
              </w:rPr>
              <w:t>2</w:t>
            </w:r>
          </w:p>
        </w:tc>
        <w:tc>
          <w:tcPr>
            <w:tcW w:w="8611" w:type="dxa"/>
            <w:tcBorders>
              <w:top w:val="single" w:color="auto" w:sz="4" w:space="0"/>
              <w:left w:val="nil"/>
              <w:bottom w:val="single" w:color="auto" w:sz="4" w:space="0"/>
              <w:right w:val="single" w:color="auto" w:sz="4" w:space="0"/>
            </w:tcBorders>
            <w:vAlign w:val="center"/>
          </w:tcPr>
          <w:p w14:paraId="6414DC34">
            <w:pPr>
              <w:spacing w:line="240" w:lineRule="auto"/>
              <w:ind w:firstLine="0" w:firstLineChars="0"/>
              <w:jc w:val="center"/>
              <w:rPr>
                <w:rFonts w:hint="eastAsia"/>
                <w:color w:val="auto"/>
                <w:sz w:val="21"/>
              </w:rPr>
            </w:pPr>
            <w:r>
              <w:rPr>
                <w:rFonts w:hint="eastAsia"/>
                <w:color w:val="auto"/>
                <w:sz w:val="21"/>
              </w:rPr>
              <w:t>施工现场使用的临时安装的设备必须经过相关部门进行验收，出具验收合格证件才可以投入使用。</w:t>
            </w:r>
          </w:p>
        </w:tc>
      </w:tr>
      <w:tr w14:paraId="3BCACF1B">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0B436EE">
            <w:pPr>
              <w:spacing w:line="240" w:lineRule="auto"/>
              <w:ind w:firstLine="0" w:firstLineChars="0"/>
              <w:jc w:val="center"/>
              <w:rPr>
                <w:rFonts w:hint="eastAsia"/>
                <w:color w:val="auto"/>
                <w:sz w:val="21"/>
              </w:rPr>
            </w:pPr>
            <w:r>
              <w:rPr>
                <w:rFonts w:hint="eastAsia"/>
                <w:color w:val="auto"/>
                <w:sz w:val="21"/>
              </w:rPr>
              <w:t>3</w:t>
            </w:r>
          </w:p>
        </w:tc>
        <w:tc>
          <w:tcPr>
            <w:tcW w:w="8611" w:type="dxa"/>
            <w:tcBorders>
              <w:top w:val="single" w:color="auto" w:sz="4" w:space="0"/>
              <w:left w:val="nil"/>
              <w:bottom w:val="single" w:color="auto" w:sz="4" w:space="0"/>
              <w:right w:val="single" w:color="auto" w:sz="4" w:space="0"/>
            </w:tcBorders>
            <w:vAlign w:val="center"/>
          </w:tcPr>
          <w:p w14:paraId="11386EEC">
            <w:pPr>
              <w:spacing w:line="240" w:lineRule="auto"/>
              <w:ind w:firstLine="0" w:firstLineChars="0"/>
              <w:jc w:val="center"/>
              <w:rPr>
                <w:rFonts w:hint="eastAsia"/>
                <w:color w:val="auto"/>
                <w:sz w:val="21"/>
              </w:rPr>
            </w:pPr>
            <w:r>
              <w:rPr>
                <w:rFonts w:hint="eastAsia"/>
                <w:color w:val="auto"/>
                <w:sz w:val="21"/>
              </w:rPr>
              <w:t>所有机械驾驶员（操作员）必须经过相关培训考核，必须持证上岗。</w:t>
            </w:r>
          </w:p>
        </w:tc>
      </w:tr>
      <w:tr w14:paraId="4BBF91F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4C79136">
            <w:pPr>
              <w:spacing w:line="240" w:lineRule="auto"/>
              <w:ind w:firstLine="0" w:firstLineChars="0"/>
              <w:jc w:val="center"/>
              <w:rPr>
                <w:rFonts w:hint="eastAsia"/>
                <w:color w:val="auto"/>
                <w:sz w:val="21"/>
              </w:rPr>
            </w:pPr>
            <w:r>
              <w:rPr>
                <w:rFonts w:hint="eastAsia"/>
                <w:color w:val="auto"/>
                <w:sz w:val="21"/>
              </w:rPr>
              <w:t>4</w:t>
            </w:r>
          </w:p>
        </w:tc>
        <w:tc>
          <w:tcPr>
            <w:tcW w:w="8611" w:type="dxa"/>
            <w:tcBorders>
              <w:top w:val="single" w:color="auto" w:sz="4" w:space="0"/>
              <w:left w:val="nil"/>
              <w:bottom w:val="single" w:color="auto" w:sz="4" w:space="0"/>
              <w:right w:val="single" w:color="auto" w:sz="4" w:space="0"/>
            </w:tcBorders>
            <w:vAlign w:val="center"/>
          </w:tcPr>
          <w:p w14:paraId="7CB0779D">
            <w:pPr>
              <w:spacing w:line="240" w:lineRule="auto"/>
              <w:ind w:firstLine="0" w:firstLineChars="0"/>
              <w:jc w:val="center"/>
              <w:rPr>
                <w:rFonts w:hint="eastAsia"/>
                <w:color w:val="auto"/>
                <w:sz w:val="21"/>
              </w:rPr>
            </w:pPr>
            <w:r>
              <w:rPr>
                <w:rFonts w:hint="eastAsia"/>
                <w:color w:val="auto"/>
                <w:sz w:val="21"/>
              </w:rPr>
              <w:t>所有机械必须定期进行检修、保养，保证机械运行状况良好。</w:t>
            </w:r>
          </w:p>
        </w:tc>
      </w:tr>
      <w:tr w14:paraId="2853B76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C80D25D">
            <w:pPr>
              <w:spacing w:line="240" w:lineRule="auto"/>
              <w:ind w:firstLine="0" w:firstLineChars="0"/>
              <w:jc w:val="center"/>
              <w:rPr>
                <w:rFonts w:hint="eastAsia"/>
                <w:color w:val="auto"/>
                <w:sz w:val="21"/>
              </w:rPr>
            </w:pPr>
            <w:r>
              <w:rPr>
                <w:rFonts w:hint="eastAsia"/>
                <w:color w:val="auto"/>
                <w:sz w:val="21"/>
              </w:rPr>
              <w:t>5</w:t>
            </w:r>
          </w:p>
        </w:tc>
        <w:tc>
          <w:tcPr>
            <w:tcW w:w="8611" w:type="dxa"/>
            <w:tcBorders>
              <w:top w:val="single" w:color="auto" w:sz="4" w:space="0"/>
              <w:left w:val="nil"/>
              <w:bottom w:val="single" w:color="auto" w:sz="4" w:space="0"/>
              <w:right w:val="single" w:color="auto" w:sz="4" w:space="0"/>
            </w:tcBorders>
            <w:vAlign w:val="center"/>
          </w:tcPr>
          <w:p w14:paraId="3490E770">
            <w:pPr>
              <w:spacing w:line="240" w:lineRule="auto"/>
              <w:ind w:firstLine="0" w:firstLineChars="0"/>
              <w:jc w:val="center"/>
              <w:rPr>
                <w:rFonts w:hint="eastAsia"/>
                <w:color w:val="auto"/>
                <w:sz w:val="21"/>
              </w:rPr>
            </w:pPr>
            <w:r>
              <w:rPr>
                <w:rFonts w:hint="eastAsia"/>
                <w:color w:val="auto"/>
                <w:sz w:val="21"/>
              </w:rPr>
              <w:t>机械交接班时双方要全面检查机械，包括机械的保养情况、零部件情况、存在的问题，都能要做到心中有数，及时采取相关措施。</w:t>
            </w:r>
          </w:p>
        </w:tc>
      </w:tr>
      <w:tr w14:paraId="72B74DE1">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6A9C90BF">
            <w:pPr>
              <w:spacing w:line="240" w:lineRule="auto"/>
              <w:ind w:firstLine="0" w:firstLineChars="0"/>
              <w:jc w:val="center"/>
              <w:rPr>
                <w:rFonts w:hint="eastAsia"/>
                <w:color w:val="auto"/>
                <w:sz w:val="21"/>
              </w:rPr>
            </w:pPr>
            <w:r>
              <w:rPr>
                <w:rFonts w:hint="eastAsia"/>
                <w:color w:val="auto"/>
                <w:sz w:val="21"/>
              </w:rPr>
              <w:t>6</w:t>
            </w:r>
          </w:p>
        </w:tc>
        <w:tc>
          <w:tcPr>
            <w:tcW w:w="8611" w:type="dxa"/>
            <w:tcBorders>
              <w:top w:val="single" w:color="auto" w:sz="4" w:space="0"/>
              <w:left w:val="nil"/>
              <w:bottom w:val="single" w:color="auto" w:sz="4" w:space="0"/>
              <w:right w:val="single" w:color="auto" w:sz="4" w:space="0"/>
            </w:tcBorders>
            <w:vAlign w:val="center"/>
          </w:tcPr>
          <w:p w14:paraId="73BD9A26">
            <w:pPr>
              <w:spacing w:line="240" w:lineRule="auto"/>
              <w:ind w:firstLine="0" w:firstLineChars="0"/>
              <w:jc w:val="center"/>
              <w:rPr>
                <w:rFonts w:hint="eastAsia"/>
                <w:color w:val="auto"/>
                <w:sz w:val="21"/>
              </w:rPr>
            </w:pPr>
            <w:r>
              <w:rPr>
                <w:rFonts w:hint="eastAsia"/>
                <w:color w:val="auto"/>
                <w:sz w:val="21"/>
              </w:rPr>
              <w:t>机械要“定人、定机、定岗位”制度。</w:t>
            </w:r>
          </w:p>
        </w:tc>
      </w:tr>
      <w:tr w14:paraId="47C7EDE4">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AE615BE">
            <w:pPr>
              <w:spacing w:line="240" w:lineRule="auto"/>
              <w:ind w:firstLine="0" w:firstLineChars="0"/>
              <w:jc w:val="center"/>
              <w:rPr>
                <w:rFonts w:hint="eastAsia"/>
                <w:color w:val="auto"/>
                <w:sz w:val="21"/>
              </w:rPr>
            </w:pPr>
            <w:r>
              <w:rPr>
                <w:rFonts w:hint="eastAsia"/>
                <w:color w:val="auto"/>
                <w:sz w:val="21"/>
              </w:rPr>
              <w:t>7</w:t>
            </w:r>
          </w:p>
        </w:tc>
        <w:tc>
          <w:tcPr>
            <w:tcW w:w="8611" w:type="dxa"/>
            <w:tcBorders>
              <w:top w:val="single" w:color="auto" w:sz="4" w:space="0"/>
              <w:left w:val="nil"/>
              <w:bottom w:val="single" w:color="auto" w:sz="4" w:space="0"/>
              <w:right w:val="single" w:color="auto" w:sz="4" w:space="0"/>
            </w:tcBorders>
            <w:vAlign w:val="center"/>
          </w:tcPr>
          <w:p w14:paraId="66BCF300">
            <w:pPr>
              <w:spacing w:line="240" w:lineRule="auto"/>
              <w:ind w:firstLine="0" w:firstLineChars="0"/>
              <w:jc w:val="center"/>
              <w:rPr>
                <w:rFonts w:hint="eastAsia"/>
                <w:color w:val="auto"/>
                <w:sz w:val="21"/>
              </w:rPr>
            </w:pPr>
            <w:r>
              <w:rPr>
                <w:rFonts w:hint="eastAsia"/>
                <w:color w:val="auto"/>
                <w:sz w:val="21"/>
              </w:rPr>
              <w:t>所有机械设备操作人员严禁酒后上岗。操作必须按照相关的机械操作规程进行规范操作。</w:t>
            </w:r>
          </w:p>
        </w:tc>
      </w:tr>
      <w:tr w14:paraId="3BC4724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C49E035">
            <w:pPr>
              <w:spacing w:line="240" w:lineRule="auto"/>
              <w:ind w:firstLine="0" w:firstLineChars="0"/>
              <w:jc w:val="center"/>
              <w:rPr>
                <w:rFonts w:hint="eastAsia"/>
                <w:color w:val="auto"/>
                <w:sz w:val="21"/>
              </w:rPr>
            </w:pPr>
            <w:r>
              <w:rPr>
                <w:rFonts w:hint="eastAsia"/>
                <w:color w:val="auto"/>
                <w:sz w:val="21"/>
              </w:rPr>
              <w:t>8</w:t>
            </w:r>
          </w:p>
        </w:tc>
        <w:tc>
          <w:tcPr>
            <w:tcW w:w="8611" w:type="dxa"/>
            <w:tcBorders>
              <w:top w:val="single" w:color="auto" w:sz="4" w:space="0"/>
              <w:left w:val="nil"/>
              <w:bottom w:val="single" w:color="auto" w:sz="4" w:space="0"/>
              <w:right w:val="single" w:color="auto" w:sz="4" w:space="0"/>
            </w:tcBorders>
            <w:vAlign w:val="center"/>
          </w:tcPr>
          <w:p w14:paraId="5383B8C4">
            <w:pPr>
              <w:spacing w:line="240" w:lineRule="auto"/>
              <w:ind w:firstLine="0" w:firstLineChars="0"/>
              <w:jc w:val="center"/>
              <w:rPr>
                <w:rFonts w:hint="eastAsia"/>
                <w:color w:val="auto"/>
                <w:sz w:val="21"/>
              </w:rPr>
            </w:pPr>
            <w:r>
              <w:rPr>
                <w:rFonts w:hint="eastAsia"/>
                <w:color w:val="auto"/>
                <w:sz w:val="21"/>
              </w:rPr>
              <w:t>严禁拉料机具载人。其他人员不得使用、玩弄机械。</w:t>
            </w:r>
          </w:p>
        </w:tc>
      </w:tr>
    </w:tbl>
    <w:p w14:paraId="003673AD">
      <w:pPr>
        <w:rPr>
          <w:rFonts w:hint="eastAsia"/>
          <w:color w:val="auto"/>
        </w:rPr>
      </w:pPr>
      <w:r>
        <w:rPr>
          <w:rFonts w:hint="eastAsia"/>
          <w:color w:val="auto"/>
        </w:rPr>
        <w:t>4、夜间作业人员安全教育</w:t>
      </w:r>
    </w:p>
    <w:p w14:paraId="12208B0E">
      <w:pPr>
        <w:rPr>
          <w:rFonts w:hint="eastAsia"/>
          <w:color w:val="auto"/>
        </w:rPr>
      </w:pPr>
      <w:r>
        <w:rPr>
          <w:rFonts w:hint="eastAsia"/>
          <w:color w:val="auto"/>
        </w:rPr>
        <w:t>对所有参与夜间施工的作业人员进行相关的安全教育和培训，学习夜间施工安全技术措施，并对作业人员进行详细的安全交底。</w:t>
      </w:r>
    </w:p>
    <w:p w14:paraId="0C4832DB">
      <w:pPr>
        <w:rPr>
          <w:rFonts w:hint="eastAsia"/>
          <w:color w:val="auto"/>
        </w:rPr>
      </w:pPr>
      <w:r>
        <w:rPr>
          <w:rFonts w:hint="eastAsia"/>
          <w:color w:val="auto"/>
        </w:rPr>
        <w:t>5.夜间照明措施内容及防扰民措施</w:t>
      </w:r>
    </w:p>
    <w:tbl>
      <w:tblPr>
        <w:tblStyle w:val="29"/>
        <w:tblW w:w="0" w:type="auto"/>
        <w:tblInd w:w="0" w:type="dxa"/>
        <w:tblLayout w:type="fixed"/>
        <w:tblCellMar>
          <w:top w:w="0" w:type="dxa"/>
          <w:left w:w="108" w:type="dxa"/>
          <w:bottom w:w="0" w:type="dxa"/>
          <w:right w:w="108" w:type="dxa"/>
        </w:tblCellMar>
      </w:tblPr>
      <w:tblGrid>
        <w:gridCol w:w="675"/>
        <w:gridCol w:w="8611"/>
      </w:tblGrid>
      <w:tr w14:paraId="7E78741D">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3361AAAB">
            <w:pPr>
              <w:spacing w:line="240" w:lineRule="auto"/>
              <w:ind w:firstLine="0" w:firstLineChars="0"/>
              <w:jc w:val="center"/>
              <w:rPr>
                <w:rFonts w:hint="eastAsia"/>
                <w:color w:val="auto"/>
                <w:sz w:val="21"/>
              </w:rPr>
            </w:pPr>
            <w:r>
              <w:rPr>
                <w:rFonts w:hint="eastAsia"/>
                <w:color w:val="auto"/>
                <w:sz w:val="21"/>
              </w:rPr>
              <w:t>序号</w:t>
            </w:r>
          </w:p>
        </w:tc>
        <w:tc>
          <w:tcPr>
            <w:tcW w:w="8611" w:type="dxa"/>
            <w:tcBorders>
              <w:top w:val="single" w:color="auto" w:sz="4" w:space="0"/>
              <w:left w:val="nil"/>
              <w:bottom w:val="single" w:color="auto" w:sz="4" w:space="0"/>
              <w:right w:val="single" w:color="auto" w:sz="4" w:space="0"/>
            </w:tcBorders>
            <w:vAlign w:val="center"/>
          </w:tcPr>
          <w:p w14:paraId="461484B3">
            <w:pPr>
              <w:spacing w:line="240" w:lineRule="auto"/>
              <w:ind w:firstLine="0" w:firstLineChars="0"/>
              <w:jc w:val="center"/>
              <w:rPr>
                <w:rFonts w:hint="eastAsia"/>
                <w:color w:val="auto"/>
                <w:sz w:val="21"/>
              </w:rPr>
            </w:pPr>
            <w:r>
              <w:rPr>
                <w:rFonts w:hint="eastAsia"/>
                <w:color w:val="auto"/>
                <w:sz w:val="21"/>
              </w:rPr>
              <w:t>具体措施</w:t>
            </w:r>
          </w:p>
        </w:tc>
      </w:tr>
      <w:tr w14:paraId="63DE5EB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94A63E0">
            <w:pPr>
              <w:spacing w:line="240" w:lineRule="auto"/>
              <w:ind w:firstLine="0" w:firstLineChars="0"/>
              <w:jc w:val="center"/>
              <w:rPr>
                <w:rFonts w:hint="eastAsia"/>
                <w:color w:val="auto"/>
                <w:sz w:val="21"/>
              </w:rPr>
            </w:pPr>
            <w:r>
              <w:rPr>
                <w:rFonts w:hint="eastAsia"/>
                <w:color w:val="auto"/>
                <w:sz w:val="21"/>
              </w:rPr>
              <w:t>1</w:t>
            </w:r>
          </w:p>
        </w:tc>
        <w:tc>
          <w:tcPr>
            <w:tcW w:w="8611" w:type="dxa"/>
            <w:tcBorders>
              <w:top w:val="single" w:color="auto" w:sz="4" w:space="0"/>
              <w:left w:val="nil"/>
              <w:bottom w:val="single" w:color="auto" w:sz="4" w:space="0"/>
              <w:right w:val="single" w:color="auto" w:sz="4" w:space="0"/>
            </w:tcBorders>
            <w:vAlign w:val="center"/>
          </w:tcPr>
          <w:p w14:paraId="4F5AAFA3">
            <w:pPr>
              <w:spacing w:line="240" w:lineRule="auto"/>
              <w:ind w:firstLine="420"/>
              <w:jc w:val="left"/>
              <w:rPr>
                <w:rFonts w:hint="eastAsia"/>
                <w:color w:val="auto"/>
                <w:sz w:val="21"/>
              </w:rPr>
            </w:pPr>
            <w:r>
              <w:rPr>
                <w:rFonts w:hint="eastAsia"/>
                <w:color w:val="auto"/>
                <w:sz w:val="21"/>
              </w:rPr>
              <w:t>为了防止车辆机械撞击，设置照明灯及专人指挥控制车辆压断电线，架空线高度要超过车辆限高，架线要设置明显反光标识。</w:t>
            </w:r>
          </w:p>
        </w:tc>
      </w:tr>
      <w:tr w14:paraId="45C0CE2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2B05CBB">
            <w:pPr>
              <w:spacing w:line="240" w:lineRule="auto"/>
              <w:ind w:firstLine="0" w:firstLineChars="0"/>
              <w:jc w:val="center"/>
              <w:rPr>
                <w:rFonts w:hint="eastAsia"/>
                <w:color w:val="auto"/>
                <w:sz w:val="21"/>
              </w:rPr>
            </w:pPr>
            <w:r>
              <w:rPr>
                <w:rFonts w:hint="eastAsia"/>
                <w:color w:val="auto"/>
                <w:sz w:val="21"/>
              </w:rPr>
              <w:t>2</w:t>
            </w:r>
          </w:p>
        </w:tc>
        <w:tc>
          <w:tcPr>
            <w:tcW w:w="8611" w:type="dxa"/>
            <w:tcBorders>
              <w:top w:val="single" w:color="auto" w:sz="4" w:space="0"/>
              <w:left w:val="nil"/>
              <w:bottom w:val="single" w:color="auto" w:sz="4" w:space="0"/>
              <w:right w:val="single" w:color="auto" w:sz="4" w:space="0"/>
            </w:tcBorders>
            <w:vAlign w:val="center"/>
          </w:tcPr>
          <w:p w14:paraId="22333ABF">
            <w:pPr>
              <w:spacing w:line="240" w:lineRule="auto"/>
              <w:ind w:firstLine="420"/>
              <w:jc w:val="left"/>
              <w:rPr>
                <w:rFonts w:hint="eastAsia"/>
                <w:color w:val="auto"/>
                <w:sz w:val="21"/>
              </w:rPr>
            </w:pPr>
            <w:r>
              <w:rPr>
                <w:rFonts w:hint="eastAsia"/>
                <w:color w:val="auto"/>
                <w:sz w:val="21"/>
              </w:rPr>
              <w:t>必须保证夜间施工期间的照明，保证整个场地具有较好的照明，夜间高空作业时，作业人员必须戴好安全帽，系好安全带、穿好防护鞋、并设置安全网，大雨，大风，大雾天气不得进行高空作业。</w:t>
            </w:r>
          </w:p>
        </w:tc>
      </w:tr>
      <w:tr w14:paraId="486FBCF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A1AA543">
            <w:pPr>
              <w:spacing w:line="240" w:lineRule="auto"/>
              <w:ind w:firstLine="0" w:firstLineChars="0"/>
              <w:jc w:val="center"/>
              <w:rPr>
                <w:rFonts w:hint="eastAsia"/>
                <w:color w:val="auto"/>
                <w:sz w:val="21"/>
              </w:rPr>
            </w:pPr>
            <w:r>
              <w:rPr>
                <w:rFonts w:hint="eastAsia"/>
                <w:color w:val="auto"/>
                <w:sz w:val="21"/>
              </w:rPr>
              <w:t>3</w:t>
            </w:r>
          </w:p>
        </w:tc>
        <w:tc>
          <w:tcPr>
            <w:tcW w:w="8611" w:type="dxa"/>
            <w:tcBorders>
              <w:top w:val="single" w:color="auto" w:sz="4" w:space="0"/>
              <w:left w:val="nil"/>
              <w:bottom w:val="single" w:color="auto" w:sz="4" w:space="0"/>
              <w:right w:val="single" w:color="auto" w:sz="4" w:space="0"/>
            </w:tcBorders>
            <w:vAlign w:val="center"/>
          </w:tcPr>
          <w:p w14:paraId="30D6AC99">
            <w:pPr>
              <w:spacing w:line="240" w:lineRule="auto"/>
              <w:ind w:firstLine="420"/>
              <w:jc w:val="left"/>
              <w:rPr>
                <w:rFonts w:hint="eastAsia"/>
                <w:color w:val="auto"/>
                <w:sz w:val="21"/>
              </w:rPr>
            </w:pPr>
            <w:r>
              <w:rPr>
                <w:rFonts w:hint="eastAsia"/>
                <w:color w:val="auto"/>
                <w:sz w:val="21"/>
              </w:rPr>
              <w:t>采用镝灯作为临时可移动照明灯具，作为对固定式照明的补充。</w:t>
            </w:r>
          </w:p>
        </w:tc>
      </w:tr>
      <w:tr w14:paraId="75F2B848">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2DEA9C82">
            <w:pPr>
              <w:spacing w:line="240" w:lineRule="auto"/>
              <w:ind w:firstLine="0" w:firstLineChars="0"/>
              <w:jc w:val="center"/>
              <w:rPr>
                <w:rFonts w:hint="eastAsia"/>
                <w:color w:val="auto"/>
                <w:sz w:val="21"/>
              </w:rPr>
            </w:pPr>
            <w:r>
              <w:rPr>
                <w:rFonts w:hint="eastAsia"/>
                <w:color w:val="auto"/>
                <w:sz w:val="21"/>
              </w:rPr>
              <w:t>4</w:t>
            </w:r>
          </w:p>
        </w:tc>
        <w:tc>
          <w:tcPr>
            <w:tcW w:w="8611" w:type="dxa"/>
            <w:tcBorders>
              <w:top w:val="single" w:color="auto" w:sz="4" w:space="0"/>
              <w:left w:val="nil"/>
              <w:bottom w:val="single" w:color="auto" w:sz="4" w:space="0"/>
              <w:right w:val="single" w:color="auto" w:sz="4" w:space="0"/>
            </w:tcBorders>
            <w:vAlign w:val="center"/>
          </w:tcPr>
          <w:p w14:paraId="243737D0">
            <w:pPr>
              <w:spacing w:line="240" w:lineRule="auto"/>
              <w:ind w:firstLine="420"/>
              <w:jc w:val="left"/>
              <w:rPr>
                <w:rFonts w:hint="eastAsia"/>
                <w:color w:val="auto"/>
                <w:sz w:val="21"/>
              </w:rPr>
            </w:pPr>
            <w:r>
              <w:rPr>
                <w:rFonts w:hint="eastAsia"/>
                <w:color w:val="auto"/>
                <w:sz w:val="21"/>
              </w:rPr>
              <w:t>需对施工作业人员进行日、夜班分班，并适当缩短夜间作业班组的作业时间，安排夜间作业人员适当的休息时间，并提供夜餐，减轻夜间作业人员的劳动强度。</w:t>
            </w:r>
          </w:p>
        </w:tc>
      </w:tr>
      <w:tr w14:paraId="78C0426A">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162F192E">
            <w:pPr>
              <w:spacing w:line="240" w:lineRule="auto"/>
              <w:ind w:firstLine="0" w:firstLineChars="0"/>
              <w:jc w:val="center"/>
              <w:rPr>
                <w:rFonts w:hint="eastAsia"/>
                <w:color w:val="auto"/>
                <w:sz w:val="21"/>
              </w:rPr>
            </w:pPr>
            <w:r>
              <w:rPr>
                <w:rFonts w:hint="eastAsia"/>
                <w:color w:val="auto"/>
                <w:sz w:val="21"/>
              </w:rPr>
              <w:t>5</w:t>
            </w:r>
          </w:p>
        </w:tc>
        <w:tc>
          <w:tcPr>
            <w:tcW w:w="8611" w:type="dxa"/>
            <w:tcBorders>
              <w:top w:val="single" w:color="auto" w:sz="4" w:space="0"/>
              <w:left w:val="nil"/>
              <w:bottom w:val="single" w:color="auto" w:sz="4" w:space="0"/>
              <w:right w:val="single" w:color="auto" w:sz="4" w:space="0"/>
            </w:tcBorders>
            <w:vAlign w:val="center"/>
          </w:tcPr>
          <w:p w14:paraId="2B09794B">
            <w:pPr>
              <w:spacing w:line="240" w:lineRule="auto"/>
              <w:ind w:firstLine="420"/>
              <w:jc w:val="left"/>
              <w:rPr>
                <w:rFonts w:hint="eastAsia"/>
                <w:color w:val="auto"/>
                <w:sz w:val="21"/>
              </w:rPr>
            </w:pPr>
            <w:r>
              <w:rPr>
                <w:rFonts w:hint="eastAsia"/>
                <w:color w:val="auto"/>
                <w:sz w:val="21"/>
              </w:rPr>
              <w:t>施工现场提倡文明施工，作业现场要有专人进行指挥，施工机械驶出工地前必须进行冲洗，施工场地为了防止扬尘，应进行洒水处理，作业区域应进行隔离围护，防止闲杂人员进入施工现场发生意外等。</w:t>
            </w:r>
          </w:p>
        </w:tc>
      </w:tr>
      <w:tr w14:paraId="1FFABC0A">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EBD871B">
            <w:pPr>
              <w:spacing w:line="240" w:lineRule="auto"/>
              <w:ind w:firstLine="0" w:firstLineChars="0"/>
              <w:jc w:val="center"/>
              <w:rPr>
                <w:rFonts w:hint="eastAsia"/>
                <w:color w:val="auto"/>
                <w:sz w:val="21"/>
              </w:rPr>
            </w:pPr>
            <w:r>
              <w:rPr>
                <w:rFonts w:hint="eastAsia"/>
                <w:color w:val="auto"/>
                <w:sz w:val="21"/>
              </w:rPr>
              <w:t>6</w:t>
            </w:r>
          </w:p>
        </w:tc>
        <w:tc>
          <w:tcPr>
            <w:tcW w:w="8611" w:type="dxa"/>
            <w:tcBorders>
              <w:top w:val="single" w:color="auto" w:sz="4" w:space="0"/>
              <w:left w:val="nil"/>
              <w:bottom w:val="single" w:color="auto" w:sz="4" w:space="0"/>
              <w:right w:val="single" w:color="auto" w:sz="4" w:space="0"/>
            </w:tcBorders>
            <w:vAlign w:val="center"/>
          </w:tcPr>
          <w:p w14:paraId="5A84DB38">
            <w:pPr>
              <w:spacing w:line="240" w:lineRule="auto"/>
              <w:ind w:firstLine="420"/>
              <w:jc w:val="left"/>
              <w:rPr>
                <w:rFonts w:hint="eastAsia"/>
                <w:color w:val="auto"/>
                <w:sz w:val="21"/>
              </w:rPr>
            </w:pPr>
            <w:r>
              <w:rPr>
                <w:rFonts w:hint="eastAsia"/>
                <w:color w:val="auto"/>
                <w:sz w:val="21"/>
              </w:rPr>
              <w:t>尽量减少人为的大声喧哗，增强全体作业人员防噪声扰民的自觉意识，车辆进出现场，应设专人指挥，减少鸣笛或不鸣笛。</w:t>
            </w:r>
          </w:p>
        </w:tc>
      </w:tr>
      <w:tr w14:paraId="52B45D5D">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4B05D67">
            <w:pPr>
              <w:spacing w:line="240" w:lineRule="auto"/>
              <w:ind w:firstLine="0" w:firstLineChars="0"/>
              <w:jc w:val="center"/>
              <w:rPr>
                <w:rFonts w:hint="eastAsia"/>
                <w:color w:val="auto"/>
                <w:sz w:val="21"/>
              </w:rPr>
            </w:pPr>
            <w:r>
              <w:rPr>
                <w:rFonts w:hint="eastAsia"/>
                <w:color w:val="auto"/>
                <w:sz w:val="21"/>
              </w:rPr>
              <w:t>7</w:t>
            </w:r>
          </w:p>
        </w:tc>
        <w:tc>
          <w:tcPr>
            <w:tcW w:w="8611" w:type="dxa"/>
            <w:tcBorders>
              <w:top w:val="single" w:color="auto" w:sz="4" w:space="0"/>
              <w:left w:val="nil"/>
              <w:bottom w:val="single" w:color="auto" w:sz="4" w:space="0"/>
              <w:right w:val="single" w:color="auto" w:sz="4" w:space="0"/>
            </w:tcBorders>
            <w:vAlign w:val="center"/>
          </w:tcPr>
          <w:p w14:paraId="43E22FF5">
            <w:pPr>
              <w:spacing w:line="240" w:lineRule="auto"/>
              <w:ind w:firstLine="420"/>
              <w:jc w:val="left"/>
              <w:rPr>
                <w:rFonts w:hint="eastAsia"/>
                <w:color w:val="auto"/>
                <w:sz w:val="21"/>
              </w:rPr>
            </w:pPr>
            <w:r>
              <w:rPr>
                <w:rFonts w:hint="eastAsia"/>
                <w:color w:val="auto"/>
                <w:sz w:val="21"/>
              </w:rPr>
              <w:t>遇到大雨、大雾天气禁止夜间施工。</w:t>
            </w:r>
          </w:p>
        </w:tc>
      </w:tr>
    </w:tbl>
    <w:p w14:paraId="5FA3F062">
      <w:pPr>
        <w:rPr>
          <w:rFonts w:hint="eastAsia"/>
          <w:color w:val="auto"/>
        </w:rPr>
      </w:pPr>
      <w:r>
        <w:rPr>
          <w:rFonts w:hint="eastAsia"/>
          <w:color w:val="auto"/>
        </w:rPr>
        <w:t>6.夜间安全用电措施</w:t>
      </w:r>
    </w:p>
    <w:tbl>
      <w:tblPr>
        <w:tblStyle w:val="29"/>
        <w:tblW w:w="0" w:type="auto"/>
        <w:tblInd w:w="0" w:type="dxa"/>
        <w:tblLayout w:type="fixed"/>
        <w:tblCellMar>
          <w:top w:w="0" w:type="dxa"/>
          <w:left w:w="108" w:type="dxa"/>
          <w:bottom w:w="0" w:type="dxa"/>
          <w:right w:w="108" w:type="dxa"/>
        </w:tblCellMar>
      </w:tblPr>
      <w:tblGrid>
        <w:gridCol w:w="675"/>
        <w:gridCol w:w="8611"/>
      </w:tblGrid>
      <w:tr w14:paraId="68B8AC42">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2A04679">
            <w:pPr>
              <w:spacing w:line="240" w:lineRule="auto"/>
              <w:ind w:firstLine="0" w:firstLineChars="0"/>
              <w:jc w:val="center"/>
              <w:rPr>
                <w:rFonts w:hint="eastAsia"/>
                <w:color w:val="auto"/>
                <w:sz w:val="21"/>
              </w:rPr>
            </w:pPr>
            <w:r>
              <w:rPr>
                <w:rFonts w:hint="eastAsia"/>
                <w:color w:val="auto"/>
                <w:sz w:val="21"/>
              </w:rPr>
              <w:t>序号</w:t>
            </w:r>
          </w:p>
        </w:tc>
        <w:tc>
          <w:tcPr>
            <w:tcW w:w="8611" w:type="dxa"/>
            <w:tcBorders>
              <w:top w:val="single" w:color="auto" w:sz="4" w:space="0"/>
              <w:left w:val="nil"/>
              <w:bottom w:val="single" w:color="auto" w:sz="4" w:space="0"/>
              <w:right w:val="single" w:color="auto" w:sz="4" w:space="0"/>
            </w:tcBorders>
            <w:vAlign w:val="center"/>
          </w:tcPr>
          <w:p w14:paraId="6E344A0C">
            <w:pPr>
              <w:spacing w:line="240" w:lineRule="auto"/>
              <w:ind w:firstLine="0" w:firstLineChars="0"/>
              <w:jc w:val="center"/>
              <w:rPr>
                <w:rFonts w:hint="eastAsia"/>
                <w:color w:val="auto"/>
                <w:sz w:val="21"/>
              </w:rPr>
            </w:pPr>
            <w:r>
              <w:rPr>
                <w:rFonts w:hint="eastAsia"/>
                <w:color w:val="auto"/>
                <w:sz w:val="21"/>
              </w:rPr>
              <w:t>具体措施</w:t>
            </w:r>
          </w:p>
        </w:tc>
      </w:tr>
      <w:tr w14:paraId="6D83405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70DD0210">
            <w:pPr>
              <w:spacing w:line="240" w:lineRule="auto"/>
              <w:ind w:firstLine="0" w:firstLineChars="0"/>
              <w:jc w:val="center"/>
              <w:rPr>
                <w:rFonts w:hint="eastAsia"/>
                <w:color w:val="auto"/>
                <w:sz w:val="21"/>
              </w:rPr>
            </w:pPr>
            <w:r>
              <w:rPr>
                <w:rFonts w:hint="eastAsia"/>
                <w:color w:val="auto"/>
                <w:sz w:val="21"/>
              </w:rPr>
              <w:t>1</w:t>
            </w:r>
          </w:p>
        </w:tc>
        <w:tc>
          <w:tcPr>
            <w:tcW w:w="8611" w:type="dxa"/>
            <w:tcBorders>
              <w:top w:val="single" w:color="auto" w:sz="4" w:space="0"/>
              <w:left w:val="nil"/>
              <w:bottom w:val="single" w:color="auto" w:sz="4" w:space="0"/>
              <w:right w:val="single" w:color="auto" w:sz="4" w:space="0"/>
            </w:tcBorders>
            <w:vAlign w:val="center"/>
          </w:tcPr>
          <w:p w14:paraId="3516EE0E">
            <w:pPr>
              <w:spacing w:line="240" w:lineRule="auto"/>
              <w:ind w:firstLine="420"/>
              <w:jc w:val="left"/>
              <w:rPr>
                <w:rFonts w:hint="eastAsia"/>
                <w:color w:val="auto"/>
                <w:sz w:val="21"/>
              </w:rPr>
            </w:pPr>
            <w:r>
              <w:rPr>
                <w:rFonts w:hint="eastAsia"/>
                <w:color w:val="auto"/>
                <w:sz w:val="21"/>
              </w:rPr>
              <w:t>夜间施工用电时，固定配电箱四周用钢筋网片封闭，前面设门，并配锁，箱体做接地或接零保护。</w:t>
            </w:r>
          </w:p>
        </w:tc>
      </w:tr>
      <w:tr w14:paraId="7FA6CCDC">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43A672E">
            <w:pPr>
              <w:spacing w:line="240" w:lineRule="auto"/>
              <w:ind w:firstLine="0" w:firstLineChars="0"/>
              <w:jc w:val="center"/>
              <w:rPr>
                <w:rFonts w:hint="eastAsia"/>
                <w:color w:val="auto"/>
                <w:sz w:val="21"/>
              </w:rPr>
            </w:pPr>
            <w:r>
              <w:rPr>
                <w:rFonts w:hint="eastAsia"/>
                <w:color w:val="auto"/>
                <w:sz w:val="21"/>
              </w:rPr>
              <w:t>2</w:t>
            </w:r>
          </w:p>
        </w:tc>
        <w:tc>
          <w:tcPr>
            <w:tcW w:w="8611" w:type="dxa"/>
            <w:tcBorders>
              <w:top w:val="single" w:color="auto" w:sz="4" w:space="0"/>
              <w:left w:val="nil"/>
              <w:bottom w:val="single" w:color="auto" w:sz="4" w:space="0"/>
              <w:right w:val="single" w:color="auto" w:sz="4" w:space="0"/>
            </w:tcBorders>
            <w:vAlign w:val="center"/>
          </w:tcPr>
          <w:p w14:paraId="6613DCD9">
            <w:pPr>
              <w:spacing w:line="240" w:lineRule="auto"/>
              <w:ind w:firstLine="420"/>
              <w:jc w:val="left"/>
              <w:rPr>
                <w:rFonts w:hint="eastAsia"/>
                <w:color w:val="auto"/>
                <w:sz w:val="21"/>
              </w:rPr>
            </w:pPr>
            <w:r>
              <w:rPr>
                <w:rFonts w:hint="eastAsia"/>
                <w:color w:val="auto"/>
                <w:sz w:val="21"/>
              </w:rPr>
              <w:t>夜间施工，箱内保持清洁，严禁存放任何物料。</w:t>
            </w:r>
          </w:p>
        </w:tc>
      </w:tr>
      <w:tr w14:paraId="01AEB1AF">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05B4748C">
            <w:pPr>
              <w:spacing w:line="240" w:lineRule="auto"/>
              <w:ind w:firstLine="0" w:firstLineChars="0"/>
              <w:jc w:val="center"/>
              <w:rPr>
                <w:rFonts w:hint="eastAsia"/>
                <w:color w:val="auto"/>
                <w:sz w:val="21"/>
              </w:rPr>
            </w:pPr>
            <w:r>
              <w:rPr>
                <w:rFonts w:hint="eastAsia"/>
                <w:color w:val="auto"/>
                <w:sz w:val="21"/>
              </w:rPr>
              <w:t>3</w:t>
            </w:r>
          </w:p>
        </w:tc>
        <w:tc>
          <w:tcPr>
            <w:tcW w:w="8611" w:type="dxa"/>
            <w:tcBorders>
              <w:top w:val="single" w:color="auto" w:sz="4" w:space="0"/>
              <w:left w:val="nil"/>
              <w:bottom w:val="single" w:color="auto" w:sz="4" w:space="0"/>
              <w:right w:val="single" w:color="auto" w:sz="4" w:space="0"/>
            </w:tcBorders>
            <w:vAlign w:val="center"/>
          </w:tcPr>
          <w:p w14:paraId="38FEA73C">
            <w:pPr>
              <w:spacing w:line="240" w:lineRule="auto"/>
              <w:ind w:firstLine="420"/>
              <w:jc w:val="left"/>
              <w:rPr>
                <w:rFonts w:hint="eastAsia"/>
                <w:color w:val="auto"/>
                <w:sz w:val="21"/>
              </w:rPr>
            </w:pPr>
            <w:r>
              <w:rPr>
                <w:rFonts w:hint="eastAsia"/>
                <w:color w:val="auto"/>
                <w:sz w:val="21"/>
              </w:rPr>
              <w:t>夜间用电时，必须要有专人看管，箱内电器设备标注控制设备名称，箱门内侧标注控制图，箱外左上角标注电器负责人。</w:t>
            </w:r>
          </w:p>
        </w:tc>
      </w:tr>
      <w:tr w14:paraId="5DC850FA">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425B9D18">
            <w:pPr>
              <w:spacing w:line="240" w:lineRule="auto"/>
              <w:ind w:firstLine="0" w:firstLineChars="0"/>
              <w:jc w:val="center"/>
              <w:rPr>
                <w:rFonts w:hint="eastAsia"/>
                <w:color w:val="auto"/>
                <w:sz w:val="21"/>
              </w:rPr>
            </w:pPr>
            <w:r>
              <w:rPr>
                <w:rFonts w:hint="eastAsia"/>
                <w:color w:val="auto"/>
                <w:sz w:val="21"/>
              </w:rPr>
              <w:t>4</w:t>
            </w:r>
          </w:p>
        </w:tc>
        <w:tc>
          <w:tcPr>
            <w:tcW w:w="8611" w:type="dxa"/>
            <w:tcBorders>
              <w:top w:val="single" w:color="auto" w:sz="4" w:space="0"/>
              <w:left w:val="nil"/>
              <w:bottom w:val="single" w:color="auto" w:sz="4" w:space="0"/>
              <w:right w:val="single" w:color="auto" w:sz="4" w:space="0"/>
            </w:tcBorders>
            <w:vAlign w:val="center"/>
          </w:tcPr>
          <w:p w14:paraId="466A2B8B">
            <w:pPr>
              <w:spacing w:line="240" w:lineRule="auto"/>
              <w:ind w:firstLine="420"/>
              <w:jc w:val="left"/>
              <w:rPr>
                <w:rFonts w:hint="eastAsia"/>
                <w:color w:val="auto"/>
                <w:sz w:val="21"/>
              </w:rPr>
            </w:pPr>
            <w:r>
              <w:rPr>
                <w:rFonts w:hint="eastAsia"/>
                <w:color w:val="auto"/>
                <w:sz w:val="21"/>
              </w:rPr>
              <w:t>进箱线与电器设备连接必须拧紧压牢以防夜间施工功率过大烧毁电器设备发生事故。</w:t>
            </w:r>
          </w:p>
        </w:tc>
      </w:tr>
      <w:tr w14:paraId="3BBAB606">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6B66B47">
            <w:pPr>
              <w:spacing w:line="240" w:lineRule="auto"/>
              <w:ind w:firstLine="0" w:firstLineChars="0"/>
              <w:jc w:val="center"/>
              <w:rPr>
                <w:rFonts w:hint="eastAsia"/>
                <w:color w:val="auto"/>
                <w:sz w:val="21"/>
              </w:rPr>
            </w:pPr>
            <w:r>
              <w:rPr>
                <w:rFonts w:hint="eastAsia"/>
                <w:color w:val="auto"/>
                <w:sz w:val="21"/>
              </w:rPr>
              <w:t>5</w:t>
            </w:r>
          </w:p>
        </w:tc>
        <w:tc>
          <w:tcPr>
            <w:tcW w:w="8611" w:type="dxa"/>
            <w:tcBorders>
              <w:top w:val="single" w:color="auto" w:sz="4" w:space="0"/>
              <w:left w:val="nil"/>
              <w:bottom w:val="single" w:color="auto" w:sz="4" w:space="0"/>
              <w:right w:val="single" w:color="auto" w:sz="4" w:space="0"/>
            </w:tcBorders>
            <w:vAlign w:val="center"/>
          </w:tcPr>
          <w:p w14:paraId="481C3FBD">
            <w:pPr>
              <w:spacing w:line="240" w:lineRule="auto"/>
              <w:ind w:firstLine="420"/>
              <w:jc w:val="left"/>
              <w:rPr>
                <w:rFonts w:hint="eastAsia"/>
                <w:color w:val="auto"/>
                <w:sz w:val="21"/>
              </w:rPr>
            </w:pPr>
            <w:r>
              <w:rPr>
                <w:rFonts w:hint="eastAsia"/>
                <w:color w:val="auto"/>
                <w:sz w:val="21"/>
              </w:rPr>
              <w:t>非专业电工严禁私自开箱合闸及动用电器设备。</w:t>
            </w:r>
          </w:p>
        </w:tc>
      </w:tr>
      <w:tr w14:paraId="5C1ECA13">
        <w:tblPrEx>
          <w:tblCellMar>
            <w:top w:w="0" w:type="dxa"/>
            <w:left w:w="108" w:type="dxa"/>
            <w:bottom w:w="0" w:type="dxa"/>
            <w:right w:w="108" w:type="dxa"/>
          </w:tblCellMar>
        </w:tblPrEx>
        <w:trPr>
          <w:trHeight w:val="454" w:hRule="atLeast"/>
        </w:trPr>
        <w:tc>
          <w:tcPr>
            <w:tcW w:w="675" w:type="dxa"/>
            <w:tcBorders>
              <w:top w:val="single" w:color="auto" w:sz="4" w:space="0"/>
              <w:left w:val="single" w:color="auto" w:sz="4" w:space="0"/>
              <w:bottom w:val="single" w:color="auto" w:sz="4" w:space="0"/>
              <w:right w:val="single" w:color="auto" w:sz="4" w:space="0"/>
            </w:tcBorders>
            <w:vAlign w:val="center"/>
          </w:tcPr>
          <w:p w14:paraId="5BE07C3F">
            <w:pPr>
              <w:spacing w:line="240" w:lineRule="auto"/>
              <w:ind w:firstLine="0" w:firstLineChars="0"/>
              <w:jc w:val="center"/>
              <w:rPr>
                <w:rFonts w:hint="eastAsia"/>
                <w:color w:val="auto"/>
                <w:sz w:val="21"/>
              </w:rPr>
            </w:pPr>
            <w:r>
              <w:rPr>
                <w:rFonts w:hint="eastAsia"/>
                <w:color w:val="auto"/>
                <w:sz w:val="21"/>
              </w:rPr>
              <w:t>6</w:t>
            </w:r>
          </w:p>
        </w:tc>
        <w:tc>
          <w:tcPr>
            <w:tcW w:w="8611" w:type="dxa"/>
            <w:tcBorders>
              <w:top w:val="single" w:color="auto" w:sz="4" w:space="0"/>
              <w:left w:val="nil"/>
              <w:bottom w:val="single" w:color="auto" w:sz="4" w:space="0"/>
              <w:right w:val="single" w:color="auto" w:sz="4" w:space="0"/>
            </w:tcBorders>
            <w:vAlign w:val="center"/>
          </w:tcPr>
          <w:p w14:paraId="7B08CC89">
            <w:pPr>
              <w:spacing w:line="240" w:lineRule="auto"/>
              <w:ind w:firstLine="420"/>
              <w:jc w:val="left"/>
              <w:rPr>
                <w:rFonts w:hint="eastAsia"/>
                <w:color w:val="auto"/>
                <w:sz w:val="21"/>
              </w:rPr>
            </w:pPr>
            <w:r>
              <w:rPr>
                <w:rFonts w:hint="eastAsia"/>
                <w:color w:val="auto"/>
                <w:sz w:val="21"/>
              </w:rPr>
              <w:t>本岗电工在工作完毕后必须切断电源，锁好箱门和护栏门锁确认正常在离开岗位。</w:t>
            </w:r>
          </w:p>
        </w:tc>
      </w:tr>
    </w:tbl>
    <w:p w14:paraId="213A3E50">
      <w:pPr>
        <w:pStyle w:val="4"/>
        <w:ind w:firstLine="482"/>
      </w:pPr>
      <w:bookmarkStart w:id="434" w:name="_Toc24541"/>
      <w:r>
        <w:rPr>
          <w:rFonts w:hint="eastAsia"/>
        </w:rPr>
        <w:t>文明施工与CI</w:t>
      </w:r>
      <w:bookmarkEnd w:id="434"/>
    </w:p>
    <w:p w14:paraId="2EC80047">
      <w:pPr>
        <w:pStyle w:val="5"/>
      </w:pPr>
      <w:bookmarkStart w:id="435" w:name="_Toc20243"/>
      <w:r>
        <w:rPr>
          <w:rFonts w:hint="eastAsia"/>
        </w:rPr>
        <w:t>创优管理体系</w:t>
      </w:r>
      <w:bookmarkEnd w:id="435"/>
    </w:p>
    <w:p w14:paraId="6AF059CD">
      <w:r>
        <w:rPr>
          <w:rFonts w:hint="eastAsia"/>
        </w:rPr>
        <w:t>为达到海南省“A</w:t>
      </w:r>
      <w:r>
        <w:t>A</w:t>
      </w:r>
      <w:r>
        <w:rPr>
          <w:rFonts w:hint="eastAsia"/>
        </w:rPr>
        <w:t>”及安全文明工地的评奖要求，本工程成立专门督导小组，以现场工序文明施工管理，总承包文明施工管理，办公区、生活区文明施工创建为组成的文明施工管理体系。</w:t>
      </w:r>
    </w:p>
    <w:p w14:paraId="624835D6">
      <w:r>
        <w:rPr>
          <w:rFonts w:hint="eastAsia"/>
        </w:rPr>
        <w:t>工程开始施工后，根据不同施工阶段深化设计现场文明施工布置图和文明施工责任分区图，实施现场文明施工区域管理和区域文明施工责任制，做到提前策划、精心操作、落实到位。</w:t>
      </w:r>
    </w:p>
    <w:p w14:paraId="73E18429">
      <w:pPr>
        <w:pStyle w:val="5"/>
      </w:pPr>
      <w:bookmarkStart w:id="436" w:name="_Toc10813"/>
      <w:r>
        <w:rPr>
          <w:rFonts w:hint="eastAsia"/>
        </w:rPr>
        <w:t>场容场貌文明施工管理创优</w:t>
      </w:r>
      <w:bookmarkEnd w:id="436"/>
    </w:p>
    <w:p w14:paraId="7B9BF752">
      <w:r>
        <w:rPr>
          <w:rFonts w:hint="eastAsia"/>
        </w:rPr>
        <w:t>为加强现场文明施工管理，从措施上保障施工现场文明施工标准化建设，本工程文明施工现场场容场貌管理采用“工厂化、区域化”管理，对现场不同工种的加工作业场所进行优化设计。通过对现场的临时设施和材料堆码进行标准化管理和设计，以达到保障文明施工创优的要求。</w:t>
      </w:r>
    </w:p>
    <w:p w14:paraId="65AE58C2">
      <w:r>
        <w:rPr>
          <w:rFonts w:hint="eastAsia"/>
        </w:rPr>
        <w:t>材料堆码方面根据材料的使用要求和规律以及材料特性对材料堆码做出更进一步的设计和规范化管理。对周转材料和设备设置材料专区，对零星材料和散料进行入库或集中堆码管理，做到现场材料分类堆码有序，标识标准清晰。</w:t>
      </w:r>
    </w:p>
    <w:p w14:paraId="6E0F835B">
      <w:pPr>
        <w:pStyle w:val="49"/>
        <w:rPr>
          <w:rFonts w:hint="eastAsia"/>
        </w:rPr>
      </w:pPr>
      <w:r>
        <w:drawing>
          <wp:inline distT="0" distB="0" distL="0" distR="0">
            <wp:extent cx="2472690" cy="1945005"/>
            <wp:effectExtent l="0" t="0" r="3810" b="10795"/>
            <wp:docPr id="2210" name="Picture 3" descr="说明: E:\照片\01曲江影视参观\DSC06829.JPG"/>
            <wp:cNvGraphicFramePr/>
            <a:graphic xmlns:a="http://schemas.openxmlformats.org/drawingml/2006/main">
              <a:graphicData uri="http://schemas.openxmlformats.org/drawingml/2006/picture">
                <pic:pic xmlns:pic="http://schemas.openxmlformats.org/drawingml/2006/picture">
                  <pic:nvPicPr>
                    <pic:cNvPr id="2210" name="Picture 3" descr="说明: E:\照片\01曲江影视参观\DSC06829.JPG"/>
                    <pic:cNvPicPr>
                      <a:picLocks noChangeArrowheads="1"/>
                    </pic:cNvPicPr>
                  </pic:nvPicPr>
                  <pic:blipFill>
                    <a:blip r:embed="rId272" cstate="print"/>
                    <a:srcRect/>
                    <a:stretch>
                      <a:fillRect/>
                    </a:stretch>
                  </pic:blipFill>
                  <pic:spPr>
                    <a:xfrm>
                      <a:off x="0" y="0"/>
                      <a:ext cx="2473517" cy="1945640"/>
                    </a:xfrm>
                    <a:prstGeom prst="rect">
                      <a:avLst/>
                    </a:prstGeom>
                    <a:noFill/>
                    <a:ln w="9525">
                      <a:noFill/>
                      <a:miter lim="800000"/>
                      <a:headEnd/>
                      <a:tailEnd/>
                    </a:ln>
                  </pic:spPr>
                </pic:pic>
              </a:graphicData>
            </a:graphic>
          </wp:inline>
        </w:drawing>
      </w:r>
      <w:r>
        <w:drawing>
          <wp:inline distT="0" distB="0" distL="0" distR="0">
            <wp:extent cx="2608580" cy="1972310"/>
            <wp:effectExtent l="0" t="0" r="7620" b="8890"/>
            <wp:docPr id="2212" name="Picture 2" descr="说明: E:\照片\01曲江影视参观\DSC06863.JPG"/>
            <wp:cNvGraphicFramePr/>
            <a:graphic xmlns:a="http://schemas.openxmlformats.org/drawingml/2006/main">
              <a:graphicData uri="http://schemas.openxmlformats.org/drawingml/2006/picture">
                <pic:pic xmlns:pic="http://schemas.openxmlformats.org/drawingml/2006/picture">
                  <pic:nvPicPr>
                    <pic:cNvPr id="2212" name="Picture 2" descr="说明: E:\照片\01曲江影视参观\DSC06863.JPG"/>
                    <pic:cNvPicPr>
                      <a:picLocks noChangeArrowheads="1"/>
                    </pic:cNvPicPr>
                  </pic:nvPicPr>
                  <pic:blipFill>
                    <a:blip r:embed="rId273" cstate="print"/>
                    <a:srcRect/>
                    <a:stretch>
                      <a:fillRect/>
                    </a:stretch>
                  </pic:blipFill>
                  <pic:spPr>
                    <a:xfrm>
                      <a:off x="0" y="0"/>
                      <a:ext cx="2608580" cy="1972310"/>
                    </a:xfrm>
                    <a:prstGeom prst="rect">
                      <a:avLst/>
                    </a:prstGeom>
                    <a:noFill/>
                    <a:ln w="9525">
                      <a:noFill/>
                      <a:miter lim="800000"/>
                      <a:headEnd/>
                      <a:tailEnd/>
                    </a:ln>
                  </pic:spPr>
                </pic:pic>
              </a:graphicData>
            </a:graphic>
          </wp:inline>
        </w:drawing>
      </w:r>
    </w:p>
    <w:p w14:paraId="4F62AC09">
      <w:pPr>
        <w:pStyle w:val="53"/>
      </w:pPr>
      <w:r>
        <w:rPr>
          <w:rFonts w:hint="eastAsia"/>
        </w:rPr>
        <w:t>钢管堆码与安装材料堆码</w:t>
      </w:r>
    </w:p>
    <w:p w14:paraId="7D4BCA63">
      <w:r>
        <w:rPr>
          <w:rFonts w:hint="eastAsia"/>
        </w:rPr>
        <w:t>垃圾清运和场区保洁是安全文明施工管理的一项重要工作，及时将楼层内建筑垃圾进行清扫归拢，对垃圾进行分类处理对工程安全文明施工有着决定性的作用。本工程采用先进的垃圾管道收集系统和分类标准化垃圾池，以达到措施有效，标准使用的效果。</w:t>
      </w:r>
    </w:p>
    <w:p w14:paraId="7715DBE1">
      <w:pPr>
        <w:pStyle w:val="5"/>
      </w:pPr>
      <w:bookmarkStart w:id="437" w:name="_Toc14028"/>
      <w:r>
        <w:rPr>
          <w:rFonts w:hint="eastAsia"/>
        </w:rPr>
        <w:t>生产、生活区形象文明施工创优</w:t>
      </w:r>
      <w:bookmarkEnd w:id="437"/>
    </w:p>
    <w:p w14:paraId="194E39DE">
      <w:pPr>
        <w:sectPr>
          <w:headerReference r:id="rId31" w:type="default"/>
          <w:pgSz w:w="11906" w:h="16838"/>
          <w:pgMar w:top="1440" w:right="1361" w:bottom="1440" w:left="1701" w:header="851" w:footer="992" w:gutter="0"/>
          <w:cols w:space="425" w:num="1"/>
          <w:docGrid w:type="lines" w:linePitch="326" w:charSpace="0"/>
        </w:sectPr>
      </w:pPr>
      <w:r>
        <w:rPr>
          <w:rFonts w:hint="eastAsia"/>
        </w:rPr>
        <w:t>施工现场是展示企业形象的窗口，为此本工程需专门编制了施工方案，在实施过程中“严格规范，覆盖全面，过程展现，动态管理”，通过企业CI形象设计，带动现场文明施工，创建精品工程。</w:t>
      </w:r>
    </w:p>
    <w:p w14:paraId="30DC63FF">
      <w:pPr>
        <w:ind w:firstLine="0" w:firstLineChars="0"/>
      </w:pPr>
    </w:p>
    <w:p w14:paraId="008CA629">
      <w:pPr>
        <w:pStyle w:val="4"/>
        <w:ind w:firstLine="482"/>
      </w:pPr>
      <w:bookmarkStart w:id="438" w:name="_Toc11686"/>
      <w:r>
        <w:rPr>
          <w:rFonts w:hint="eastAsia"/>
        </w:rPr>
        <w:t>降低成本措施</w:t>
      </w:r>
      <w:bookmarkEnd w:id="438"/>
    </w:p>
    <w:p w14:paraId="2ECF11D7">
      <w:pPr>
        <w:pStyle w:val="5"/>
      </w:pPr>
      <w:bookmarkStart w:id="439" w:name="_Toc20340"/>
      <w:r>
        <w:rPr>
          <w:rFonts w:hint="eastAsia"/>
        </w:rPr>
        <w:t>节约材料措施</w:t>
      </w:r>
      <w:bookmarkEnd w:id="439"/>
    </w:p>
    <w:p w14:paraId="58EC3F9E">
      <w:pPr>
        <w:pStyle w:val="6"/>
        <w:ind w:firstLine="480"/>
      </w:pPr>
      <w:r>
        <w:rPr>
          <w:rFonts w:hint="eastAsia"/>
        </w:rPr>
        <w:t>节约材料要点</w:t>
      </w:r>
    </w:p>
    <w:p w14:paraId="7A5185EC">
      <w:r>
        <w:rPr>
          <w:rFonts w:hint="eastAsia"/>
        </w:rPr>
        <w:t>（1）图纸会审时，应审核节材与材料资源利用的相关内容。</w:t>
      </w:r>
    </w:p>
    <w:p w14:paraId="248B9816">
      <w:r>
        <w:rPr>
          <w:rFonts w:hint="eastAsia"/>
        </w:rPr>
        <w:t>（2）根据施工进度、库存情况等合理安排材料的采购、进场时间和批次，减少库存。</w:t>
      </w:r>
    </w:p>
    <w:p w14:paraId="1A564675">
      <w:r>
        <w:rPr>
          <w:rFonts w:hint="eastAsia"/>
        </w:rPr>
        <w:t>（3）现场材料堆放有序。储存环境适宜，措施得当。保管制度健全，责任落实。</w:t>
      </w:r>
    </w:p>
    <w:p w14:paraId="7AD9AE66">
      <w:r>
        <w:rPr>
          <w:rFonts w:hint="eastAsia"/>
        </w:rPr>
        <w:t>（4）材料运输工具适宜，装卸方法得当，防止损坏和遗洒。根据现场平面布置情况就近卸载，避免和减少二次搬运。</w:t>
      </w:r>
    </w:p>
    <w:p w14:paraId="0C046C3B">
      <w:r>
        <w:rPr>
          <w:rFonts w:hint="eastAsia"/>
        </w:rPr>
        <w:t>（5）采取技术和管理措施提高模板、脚手架等的周转次数。</w:t>
      </w:r>
    </w:p>
    <w:p w14:paraId="20B8B993">
      <w:r>
        <w:rPr>
          <w:rFonts w:hint="eastAsia"/>
        </w:rPr>
        <w:t>（6）优化安装工程的预留、预埋、管线路径等方案。</w:t>
      </w:r>
    </w:p>
    <w:p w14:paraId="69B40156">
      <w:r>
        <w:rPr>
          <w:rFonts w:hint="eastAsia"/>
        </w:rPr>
        <w:t>（7）应就地取材。</w:t>
      </w:r>
    </w:p>
    <w:p w14:paraId="39A41E47">
      <w:pPr>
        <w:pStyle w:val="6"/>
        <w:ind w:firstLine="480"/>
      </w:pPr>
      <w:r>
        <w:rPr>
          <w:rFonts w:hint="eastAsia"/>
        </w:rPr>
        <w:t>结构材料</w:t>
      </w:r>
    </w:p>
    <w:p w14:paraId="682A620E">
      <w:r>
        <w:rPr>
          <w:rFonts w:hint="eastAsia"/>
        </w:rPr>
        <w:t>（1）推广使用预拌混凝土和商品砂浆。准确计算采购数量、供应频率、施工速度等，在施工过程中动态控制。</w:t>
      </w:r>
    </w:p>
    <w:p w14:paraId="3D00B23D">
      <w:r>
        <w:rPr>
          <w:rFonts w:hint="eastAsia"/>
        </w:rPr>
        <w:t>（2）优化钢筋配料和钢构件下料方案。钢筋制作前应对下料单及样品进行复核，无误后方可批量下料。</w:t>
      </w:r>
    </w:p>
    <w:p w14:paraId="5EC2B15D">
      <w:r>
        <w:rPr>
          <w:rFonts w:hint="eastAsia"/>
        </w:rPr>
        <w:t>（3）采取数字化技术，对大体积混凝土、大跨度结构等专项施工方案进行优化。</w:t>
      </w:r>
    </w:p>
    <w:p w14:paraId="6E1B2981">
      <w:pPr>
        <w:pStyle w:val="6"/>
        <w:ind w:firstLine="480"/>
      </w:pPr>
      <w:r>
        <w:rPr>
          <w:rFonts w:hint="eastAsia"/>
        </w:rPr>
        <w:t>周转材料</w:t>
      </w:r>
    </w:p>
    <w:p w14:paraId="23142935">
      <w:r>
        <w:rPr>
          <w:rFonts w:hint="eastAsia"/>
        </w:rPr>
        <w:t>（1）选用耐用、维护与拆卸方便的周转材料和机具。</w:t>
      </w:r>
    </w:p>
    <w:p w14:paraId="577DAD18">
      <w:r>
        <w:rPr>
          <w:rFonts w:hint="eastAsia"/>
        </w:rPr>
        <w:t>（2）优先选用制作、安装、拆除一体化的专业队伍进行木模板工程施工。</w:t>
      </w:r>
    </w:p>
    <w:p w14:paraId="0B665F91">
      <w:r>
        <w:rPr>
          <w:rFonts w:hint="eastAsia"/>
        </w:rPr>
        <w:t>（3）现场办公和生活用房采用周转式活动房。现场围挡应最大限度地利用已有围墙，或采用装配式可重复使用围挡封闭。力争工地临房、临时围挡材料的可重复使用率达到70％。</w:t>
      </w:r>
    </w:p>
    <w:p w14:paraId="716CFC17">
      <w:pPr>
        <w:pStyle w:val="5"/>
      </w:pPr>
      <w:bookmarkStart w:id="440" w:name="_Toc803"/>
      <w:r>
        <w:rPr>
          <w:rFonts w:hint="eastAsia"/>
        </w:rPr>
        <w:t>节水与水资源利用的技术要点</w:t>
      </w:r>
      <w:bookmarkEnd w:id="440"/>
    </w:p>
    <w:p w14:paraId="7D0FE3F4">
      <w:pPr>
        <w:pStyle w:val="6"/>
        <w:ind w:firstLine="480"/>
      </w:pPr>
      <w:r>
        <w:rPr>
          <w:rFonts w:hint="eastAsia"/>
        </w:rPr>
        <w:t>提高用水效率</w:t>
      </w:r>
    </w:p>
    <w:p w14:paraId="65A91388">
      <w:r>
        <w:rPr>
          <w:rFonts w:hint="eastAsia"/>
        </w:rPr>
        <w:t>（1）施工中采用先进的节水施工工艺。</w:t>
      </w:r>
    </w:p>
    <w:p w14:paraId="225F270B">
      <w:r>
        <w:rPr>
          <w:rFonts w:hint="eastAsia"/>
        </w:rPr>
        <w:t>（2）施工现场喷洒路面、绿化浇灌不宜使用市政自来水。现场搅拌用水、养护用水应采取有效的节水措施，严禁无措施浇水养护混凝土。</w:t>
      </w:r>
    </w:p>
    <w:p w14:paraId="37699448">
      <w:r>
        <w:rPr>
          <w:rFonts w:hint="eastAsia"/>
        </w:rPr>
        <w:t>（3）施工现场供水管网应根据用水量设计布置，管径合理、管路简捷，采取有效措施减少管网和用水器具的漏损。</w:t>
      </w:r>
    </w:p>
    <w:p w14:paraId="686A6C57">
      <w:r>
        <w:rPr>
          <w:rFonts w:hint="eastAsia"/>
        </w:rPr>
        <w:t>（4）现场机具、设备、车辆冲洗用水必须设立循环用水装置。施工现场办公区、生活区的生活用水采用节水系统和节水器具，提高节水器具配置比率。项目临时用水应使用节水型产品，安装计量装置，采取针对性的节水措施。</w:t>
      </w:r>
    </w:p>
    <w:p w14:paraId="55CB2BCF">
      <w:pPr>
        <w:pStyle w:val="6"/>
        <w:ind w:firstLine="480"/>
      </w:pPr>
      <w:r>
        <w:rPr>
          <w:rFonts w:hint="eastAsia"/>
        </w:rPr>
        <w:t>非传统水源利用</w:t>
      </w:r>
    </w:p>
    <w:p w14:paraId="6E5C74BF">
      <w:r>
        <w:rPr>
          <w:rFonts w:hint="eastAsia"/>
        </w:rPr>
        <w:t>（1）处于基坑降水阶段，宜优先采用地下水作为混凝土搅拌用水、养护用水、冲洗用水和部分生活用水。</w:t>
      </w:r>
    </w:p>
    <w:p w14:paraId="6BF7A757">
      <w:r>
        <w:rPr>
          <w:rFonts w:hint="eastAsia"/>
        </w:rPr>
        <w:t>（2）现场机具、设备、车辆冲洗、喷洒路面、绿化浇灌等用水，优先采用非传统水源，尽量不使用市政自来水。</w:t>
      </w:r>
    </w:p>
    <w:p w14:paraId="16DB9A70">
      <w:pPr>
        <w:pStyle w:val="6"/>
        <w:ind w:firstLine="480"/>
      </w:pPr>
      <w:r>
        <w:rPr>
          <w:rFonts w:hint="eastAsia"/>
        </w:rPr>
        <w:t>用水安全</w:t>
      </w:r>
    </w:p>
    <w:p w14:paraId="01C06879">
      <w:r>
        <w:rPr>
          <w:rFonts w:hint="eastAsia"/>
        </w:rPr>
        <w:t>在非传统水源和现场循环再利用水的使用过程中，应制定有效的水质检测与卫生保障措施，确保避免对人体健康、工程质量以及周围环境产生不良影响。</w:t>
      </w:r>
    </w:p>
    <w:p w14:paraId="4D749CC2">
      <w:pPr>
        <w:pStyle w:val="5"/>
      </w:pPr>
      <w:bookmarkStart w:id="441" w:name="_Toc22591"/>
      <w:r>
        <w:rPr>
          <w:rFonts w:hint="eastAsia"/>
        </w:rPr>
        <w:t>节能与能源利用的技术要点</w:t>
      </w:r>
      <w:bookmarkEnd w:id="441"/>
    </w:p>
    <w:p w14:paraId="0DAE9E2A">
      <w:pPr>
        <w:pStyle w:val="6"/>
        <w:ind w:firstLine="480"/>
      </w:pPr>
      <w:r>
        <w:rPr>
          <w:rFonts w:hint="eastAsia"/>
        </w:rPr>
        <w:t>节能措施</w:t>
      </w:r>
    </w:p>
    <w:p w14:paraId="7EF67A02">
      <w:r>
        <w:rPr>
          <w:rFonts w:hint="eastAsia"/>
        </w:rPr>
        <w:t>（1）制订合理施工能耗指标，提高施工能源利用率。</w:t>
      </w:r>
    </w:p>
    <w:p w14:paraId="50B3AD3D">
      <w:r>
        <w:rPr>
          <w:rFonts w:hint="eastAsia"/>
        </w:rPr>
        <w:t>（2）施工现场分别设定生产、生活、办公和施工设备的用电控制指标，定期进行计量、核算、对比分析，并有预防与纠正措施。</w:t>
      </w:r>
    </w:p>
    <w:p w14:paraId="1809E996">
      <w:r>
        <w:rPr>
          <w:rFonts w:hint="eastAsia"/>
        </w:rPr>
        <w:t>（3）在施工组织设计中，合理安排施工顺序、工作面，以减少作业区域的机具数量，相邻作业区充分利用共有的机具资源。安排施工工艺时，应优先考虑耗用电能的或其它能耗较少的施工工艺。避免设备额定功率远大于使用功率或超负荷使用设备的现象。</w:t>
      </w:r>
    </w:p>
    <w:p w14:paraId="4F52CC99">
      <w:pPr>
        <w:pStyle w:val="6"/>
        <w:ind w:firstLine="480"/>
      </w:pPr>
      <w:r>
        <w:rPr>
          <w:rFonts w:hint="eastAsia"/>
        </w:rPr>
        <w:t>机械设备与机具</w:t>
      </w:r>
    </w:p>
    <w:p w14:paraId="367FF0C2">
      <w:r>
        <w:rPr>
          <w:rFonts w:hint="eastAsia"/>
        </w:rPr>
        <w:t>（1）建立施工机械设备管理制度，开展用电、用油计量，完善设备档案，及时做好维修保养工作，使机械设备保持低耗、高效的状态。</w:t>
      </w:r>
    </w:p>
    <w:p w14:paraId="654420E2">
      <w:r>
        <w:rPr>
          <w:rFonts w:hint="eastAsia"/>
        </w:rPr>
        <w:t>（2）选择功率与负载相匹配的施工机械设备，避免大功率施工机械设备低负载长时间运行。机电安装可采用节电型机械设备，如逆变式电焊机和能耗低、效率高的手持电动工具等，以利节电。机械设备宜使用节能型油料添加剂，在可能的情况下，考虑回收利用，节约油量。</w:t>
      </w:r>
    </w:p>
    <w:p w14:paraId="01AE7936">
      <w:r>
        <w:rPr>
          <w:rFonts w:hint="eastAsia"/>
        </w:rPr>
        <w:t>（3）合理安排工序，提高各种机械的使用率和满载率，降低各种设备的单位耗能。</w:t>
      </w:r>
    </w:p>
    <w:p w14:paraId="1D6CD0CE">
      <w:pPr>
        <w:pStyle w:val="6"/>
        <w:ind w:firstLine="480"/>
      </w:pPr>
      <w:r>
        <w:rPr>
          <w:rFonts w:hint="eastAsia"/>
        </w:rPr>
        <w:t>生产、生活及办公临时设施</w:t>
      </w:r>
    </w:p>
    <w:p w14:paraId="72932D8D">
      <w:r>
        <w:rPr>
          <w:rFonts w:hint="eastAsia"/>
        </w:rPr>
        <w:t>（1）利用场地自然条件，合理设计生产、生活及办公临时设施的体形、朝向、间距和窗墙面积比，使其获得良好的日照、通风和采光。南方地区可根据需要在其外墙窗设遮阳设施。</w:t>
      </w:r>
    </w:p>
    <w:p w14:paraId="13476C57">
      <w:r>
        <w:rPr>
          <w:rFonts w:hint="eastAsia"/>
        </w:rPr>
        <w:t>（2）临时设施宜采用节能材料，墙体、屋面使用隔热性能好的的材料，减少夏天空调设备的使用时间及耗能量。</w:t>
      </w:r>
    </w:p>
    <w:p w14:paraId="361411A9">
      <w:r>
        <w:rPr>
          <w:rFonts w:hint="eastAsia"/>
        </w:rPr>
        <w:t>（3）合理配置空调、风扇数量，规定使用时间，实行分段分时使用，节约用电。</w:t>
      </w:r>
    </w:p>
    <w:p w14:paraId="3AF641E2">
      <w:pPr>
        <w:pStyle w:val="6"/>
        <w:ind w:firstLine="480"/>
      </w:pPr>
      <w:r>
        <w:rPr>
          <w:rFonts w:hint="eastAsia"/>
        </w:rPr>
        <w:t>施工用电及照明</w:t>
      </w:r>
    </w:p>
    <w:p w14:paraId="144A4B81">
      <w:r>
        <w:rPr>
          <w:rFonts w:hint="eastAsia"/>
        </w:rPr>
        <w:t>（1）临时用电优先选用节能电线和节能灯具，临电线路合理设计、布置，临电设备宜采用自动控制装置。采用声控、光控等节能照明灯具。</w:t>
      </w:r>
    </w:p>
    <w:p w14:paraId="013F4386">
      <w:r>
        <w:rPr>
          <w:rFonts w:hint="eastAsia"/>
        </w:rPr>
        <w:t>（2）照明设计以满足最低照度为原则，照度不应超过最低照度的20％。</w:t>
      </w:r>
    </w:p>
    <w:p w14:paraId="730E0CDF">
      <w:pPr>
        <w:pStyle w:val="5"/>
      </w:pPr>
      <w:bookmarkStart w:id="442" w:name="_Toc5669"/>
      <w:r>
        <w:rPr>
          <w:rFonts w:hint="eastAsia"/>
        </w:rPr>
        <w:t>节地与施工用地保护的技术要点</w:t>
      </w:r>
      <w:bookmarkEnd w:id="442"/>
    </w:p>
    <w:p w14:paraId="7D10B2C2">
      <w:pPr>
        <w:pStyle w:val="6"/>
        <w:ind w:firstLine="480"/>
      </w:pPr>
      <w:r>
        <w:rPr>
          <w:rFonts w:hint="eastAsia"/>
        </w:rPr>
        <w:t>临时用地指标</w:t>
      </w:r>
    </w:p>
    <w:p w14:paraId="04A6A980">
      <w:r>
        <w:rPr>
          <w:rFonts w:hint="eastAsia"/>
        </w:rPr>
        <w:t>（1）根据施工规模及现场条件等因素合理确定临时设施，如临时加工厂、现场作业棚及材料堆场、办公生活设施等的占地指标。</w:t>
      </w:r>
    </w:p>
    <w:p w14:paraId="08C15212">
      <w:r>
        <w:rPr>
          <w:rFonts w:hint="eastAsia"/>
        </w:rPr>
        <w:t>（2）要求平面布置合理、紧凑，在满足环境、职业健康与安全及文明施工要求的前提下尽可能减少废弃地和死角，临时设施占地面积有效利用率大于90%。</w:t>
      </w:r>
    </w:p>
    <w:p w14:paraId="7B762359">
      <w:pPr>
        <w:pStyle w:val="6"/>
        <w:ind w:firstLine="480"/>
      </w:pPr>
      <w:r>
        <w:rPr>
          <w:rFonts w:hint="eastAsia"/>
        </w:rPr>
        <w:t>临时用地保护</w:t>
      </w:r>
    </w:p>
    <w:p w14:paraId="7E3710FA">
      <w:r>
        <w:rPr>
          <w:rFonts w:hint="eastAsia"/>
        </w:rPr>
        <w:t>（1）应对基坑施工方案进行优化，减少土方开挖和回填量，最大限度地减少对土地的扰动，保护周边自然生态环境。</w:t>
      </w:r>
    </w:p>
    <w:p w14:paraId="21934C92">
      <w:r>
        <w:rPr>
          <w:rFonts w:hint="eastAsia"/>
        </w:rPr>
        <w:t>（2）利用和保护施工用地范围内原有绿色植被。对于施工周期较长的现场，可按建筑永久绿化的要求，安排场地新建绿化。</w:t>
      </w:r>
    </w:p>
    <w:p w14:paraId="2AED395C">
      <w:pPr>
        <w:pStyle w:val="6"/>
        <w:ind w:firstLine="480"/>
      </w:pPr>
      <w:r>
        <w:rPr>
          <w:rFonts w:hint="eastAsia"/>
        </w:rPr>
        <w:t>施工总平面布置</w:t>
      </w:r>
    </w:p>
    <w:p w14:paraId="69BE3A5D">
      <w:r>
        <w:rPr>
          <w:rFonts w:hint="eastAsia"/>
        </w:rPr>
        <w:t>（1）施工总平面布置应做到科学、合理，充分利用原有建筑物、构筑物、道路、管线为施工服务。</w:t>
      </w:r>
    </w:p>
    <w:p w14:paraId="41D1E79D">
      <w:r>
        <w:rPr>
          <w:rFonts w:hint="eastAsia"/>
        </w:rPr>
        <w:t>（2）施工现仓库、加工作业棚、材料堆场等布置应尽量靠近已有交通线路或即将修建的正式或临时交通线路，缩短运输距离。</w:t>
      </w:r>
    </w:p>
    <w:p w14:paraId="2CAF461B">
      <w:r>
        <w:rPr>
          <w:rFonts w:hint="eastAsia"/>
        </w:rPr>
        <w:t>（3）临时办公和生活用房应采用经济、美观、占地面积小、对周边地貌环境影响较小，且适合于施工平面布置动态调整的多层轻钢活动板房等标准化装配式结构。生活区与生产区应分开布置，并设置标准的分隔设施。</w:t>
      </w:r>
    </w:p>
    <w:p w14:paraId="10080CB8">
      <w:r>
        <w:rPr>
          <w:rFonts w:hint="eastAsia"/>
        </w:rPr>
        <w:t>（4）施工现场道路按照永久道路和临时道路相结合的原则布置。施工现场内形成环形通路，减少道路占用土地。</w:t>
      </w:r>
      <w:bookmarkEnd w:id="319"/>
    </w:p>
    <w:sectPr>
      <w:headerReference r:id="rId32" w:type="default"/>
      <w:pgSz w:w="11906" w:h="16838"/>
      <w:pgMar w:top="1440" w:right="1361" w:bottom="1440" w:left="1701"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swiss"/>
    <w:pitch w:val="default"/>
    <w:sig w:usb0="00000000" w:usb1="00000000" w:usb2="0000003F" w:usb3="00000000" w:csb0="603F01FF" w:csb1="FFFF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325FD">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FFFA0">
    <w:pPr>
      <w:framePr w:wrap="around" w:vAnchor="text" w:hAnchor="margin" w:xAlign="right" w:y="1"/>
    </w:pPr>
    <w:r>
      <w:fldChar w:fldCharType="begin"/>
    </w:r>
    <w:r>
      <w:instrText xml:space="preserve">PAGE  </w:instrText>
    </w:r>
    <w:r>
      <w:fldChar w:fldCharType="end"/>
    </w:r>
  </w:p>
  <w:p w14:paraId="424E6249">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942BD">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29FCE">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05EFC">
    <w:pPr>
      <w:pStyle w:val="1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FA115F">
    <w:pPr>
      <w:pStyle w:val="1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596A4">
    <w:pPr>
      <w:pStyle w:val="19"/>
    </w:pPr>
    <w:r>
      <w:fldChar w:fldCharType="begin"/>
    </w:r>
    <w:r>
      <w:instrText xml:space="preserve">PAGE   \* MERGEFORMAT</w:instrText>
    </w:r>
    <w:r>
      <w:fldChar w:fldCharType="separate"/>
    </w:r>
    <w:r>
      <w:rPr>
        <w:lang w:val="zh-CN"/>
      </w:rPr>
      <w:t>290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D45FDE">
    <w:pPr>
      <w:pStyle w:val="20"/>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FD2E30">
    <w:pPr>
      <w:pStyle w:val="20"/>
    </w:pPr>
    <w:r>
      <w:rPr>
        <w:rFonts w:hint="eastAsia"/>
      </w:rPr>
      <w:t>三亚崖州湾科教城公共教学区项目EPC施工组织设计</w:t>
    </w:r>
    <w:r>
      <w:t xml:space="preserve">                                                                                                                                                </w:t>
    </w:r>
    <w:r>
      <w:rPr>
        <w:rFonts w:hint="eastAsia"/>
      </w:rPr>
      <w:t>施工部署</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2398">
    <w:pPr>
      <w:pStyle w:val="20"/>
    </w:pPr>
    <w:r>
      <w:rPr>
        <w:rFonts w:hint="eastAsia"/>
      </w:rPr>
      <w:t>三亚崖州湾科教城公共教学区项目EPC施工组织设计</w:t>
    </w:r>
    <w:r>
      <w:t xml:space="preserve">                             </w:t>
    </w:r>
    <w:r>
      <w:rPr>
        <w:rFonts w:hint="eastAsia"/>
      </w:rPr>
      <w:t>施工部署</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5612E">
    <w:pPr>
      <w:pStyle w:val="20"/>
    </w:pPr>
    <w:r>
      <w:rPr>
        <w:rFonts w:hint="eastAsia"/>
      </w:rPr>
      <w:t>三亚崖州湾科教城公共教学区项目EPC施工组织设计</w:t>
    </w:r>
    <w:r>
      <w:t xml:space="preserve">                                                                              </w:t>
    </w:r>
    <w:r>
      <w:rPr>
        <w:rFonts w:hint="eastAsia"/>
      </w:rPr>
      <w:t>施工部署</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A662E">
    <w:pPr>
      <w:pStyle w:val="20"/>
      <w:jc w:val="both"/>
    </w:pPr>
    <w:r>
      <w:rPr>
        <w:rFonts w:hint="eastAsia"/>
      </w:rPr>
      <w:t>三亚崖州湾科教城公共教学区项目EPC施工组织设计</w:t>
    </w:r>
    <w:r>
      <w:t xml:space="preserve">                              </w:t>
    </w:r>
    <w:r>
      <w:rPr>
        <w:rFonts w:hint="eastAsia"/>
      </w:rPr>
      <w:t>施工部署</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41E71">
    <w:pPr>
      <w:pStyle w:val="20"/>
    </w:pPr>
    <w:r>
      <w:rPr>
        <w:rFonts w:hint="eastAsia"/>
      </w:rPr>
      <w:t>三亚崖州湾科教城公共教学区项目EPC施工组织设计</w:t>
    </w:r>
    <w:r>
      <w:t xml:space="preserve">                         </w:t>
    </w:r>
    <w:r>
      <w:rPr>
        <w:rFonts w:hint="eastAsia"/>
      </w:rPr>
      <w:t>施工进度计划</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60B22">
    <w:pPr>
      <w:pStyle w:val="20"/>
      <w:jc w:val="both"/>
    </w:pPr>
    <w:r>
      <w:rPr>
        <w:rFonts w:hint="eastAsia"/>
      </w:rPr>
      <w:t xml:space="preserve">三亚崖州湾科教城公共教学区项目EPC施工组织设计 </w:t>
    </w:r>
    <w:r>
      <w:t xml:space="preserve">                                                                                                                                           </w:t>
    </w:r>
    <w:r>
      <w:rPr>
        <w:rFonts w:hint="eastAsia"/>
      </w:rPr>
      <w:t>施工进度计划</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CA19D">
    <w:pPr>
      <w:pStyle w:val="20"/>
      <w:jc w:val="both"/>
    </w:pPr>
    <w:r>
      <w:rPr>
        <w:rFonts w:hint="eastAsia"/>
      </w:rPr>
      <w:t xml:space="preserve">三亚崖州湾科教城公共教学区项目EPC施工组织设计 </w:t>
    </w:r>
    <w:r>
      <w:t xml:space="preserve">                                                                                                                                            </w:t>
    </w:r>
    <w:r>
      <w:rPr>
        <w:rFonts w:hint="eastAsia"/>
      </w:rPr>
      <w:t>施工进度计划</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A33C1">
    <w:pPr>
      <w:pStyle w:val="20"/>
    </w:pPr>
    <w:r>
      <w:rPr>
        <w:rFonts w:hint="eastAsia"/>
      </w:rPr>
      <w:t xml:space="preserve">三亚崖州湾科教城公共教学区项目EPC施工组织设计 </w:t>
    </w:r>
    <w:r>
      <w:t xml:space="preserve">                      </w:t>
    </w:r>
    <w:r>
      <w:rPr>
        <w:rFonts w:hint="eastAsia"/>
      </w:rPr>
      <w:t>施工总平面布置</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C2EF0">
    <w:pPr>
      <w:pStyle w:val="20"/>
      <w:jc w:val="both"/>
    </w:pPr>
    <w:r>
      <w:rPr>
        <w:rFonts w:hint="eastAsia"/>
      </w:rPr>
      <w:t>三亚崖州湾科教城公共教学区项目EPC施工组织设计</w:t>
    </w:r>
    <w:r>
      <w:t xml:space="preserve">                                                                        </w:t>
    </w:r>
    <w:r>
      <w:rPr>
        <w:rFonts w:hint="eastAsia"/>
      </w:rPr>
      <w:t>施工总平面布置</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94FDF">
    <w:pPr>
      <w:pStyle w:val="20"/>
    </w:pPr>
    <w:r>
      <w:rPr>
        <w:rFonts w:hint="eastAsia"/>
      </w:rPr>
      <w:t xml:space="preserve">三亚崖州湾科教城公共教学区项目EPC施工组织设计 </w:t>
    </w:r>
    <w:r>
      <w:t xml:space="preserve">            </w:t>
    </w:r>
    <w:r>
      <w:rPr>
        <w:rFonts w:hint="eastAsia"/>
      </w:rPr>
      <w:t>主要分部分项工程施工方法</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0C36F">
    <w:pPr>
      <w:pStyle w:val="20"/>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3EA19">
    <w:pPr>
      <w:pStyle w:val="20"/>
    </w:pPr>
    <w:r>
      <w:rPr>
        <w:rFonts w:hint="eastAsia"/>
      </w:rPr>
      <w:t>三亚崖州湾科教城公共教学区项目EPC施工组织设计</w:t>
    </w:r>
    <w:r>
      <w:t xml:space="preserve">                   </w:t>
    </w:r>
    <w:r>
      <w:rPr>
        <w:rFonts w:hint="eastAsia"/>
      </w:rPr>
      <w:t>各项管理及保证措施</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C5426">
    <w:pPr>
      <w:pStyle w:val="20"/>
      <w:jc w:val="both"/>
    </w:pPr>
    <w:r>
      <w:rPr>
        <w:rFonts w:hint="eastAsia" w:cs="Times New Roman"/>
        <w:szCs w:val="24"/>
      </w:rPr>
      <w:t>三亚崖州湾科技城公共教学区（一期）EPC项目</w:t>
    </w:r>
    <w:r>
      <w:rPr>
        <w:rFonts w:hint="eastAsia"/>
      </w:rPr>
      <w:t>E</w:t>
    </w:r>
    <w:r>
      <w:t>PC</w:t>
    </w:r>
    <w:r>
      <w:rPr>
        <w:rFonts w:hint="eastAsia"/>
      </w:rPr>
      <w:t xml:space="preserve">施工组织设计 </w:t>
    </w:r>
    <w:r>
      <w:t xml:space="preserve">        </w:t>
    </w:r>
    <w:r>
      <w:rPr>
        <w:rFonts w:hint="eastAsia"/>
      </w:rPr>
      <w:t>主要经济技术指标</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89D82">
    <w:pPr>
      <w:pStyle w:val="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CDBBB">
    <w:pPr>
      <w:pStyle w:val="2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C3A00">
    <w:pPr>
      <w:pStyle w:val="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892B6">
    <w:pPr>
      <w:pStyle w:val="2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2FD6C">
    <w:pPr>
      <w:pStyle w:val="20"/>
    </w:pPr>
    <w:r>
      <w:rPr>
        <w:rFonts w:hint="eastAsia"/>
      </w:rPr>
      <w:t>三亚崖州湾科教城公共教学区项目EPC施工组织设计</w:t>
    </w:r>
    <w:r>
      <w:t xml:space="preserve">                             </w:t>
    </w:r>
    <w:r>
      <w:rPr>
        <w:rFonts w:hint="eastAsia"/>
      </w:rPr>
      <w:t>编制依据</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4CABB">
    <w:pPr>
      <w:pStyle w:val="20"/>
      <w:jc w:val="both"/>
    </w:pPr>
    <w:r>
      <w:rPr>
        <w:rFonts w:hint="eastAsia"/>
      </w:rPr>
      <w:t>三亚崖州湾科教城公共教学区项目EPC施工组织设计</w:t>
    </w:r>
    <w:r>
      <w:t xml:space="preserve">                              </w:t>
    </w:r>
    <w:r>
      <w:rPr>
        <w:rFonts w:hint="eastAsia"/>
      </w:rPr>
      <w:t>工程概况</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7D618">
    <w:pPr>
      <w:pStyle w:val="20"/>
    </w:pPr>
    <w:r>
      <w:rPr>
        <w:rFonts w:hint="eastAsia"/>
      </w:rPr>
      <w:t>三亚崖州湾科教城公共教学区项目EPC施工组织设计</w:t>
    </w:r>
    <w:r>
      <w:t xml:space="preserve">                             </w:t>
    </w:r>
    <w:r>
      <w:rPr>
        <w:rFonts w:hint="eastAsia"/>
      </w:rPr>
      <w:t>施工部署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B22A5D"/>
    <w:multiLevelType w:val="multilevel"/>
    <w:tmpl w:val="0DB22A5D"/>
    <w:lvl w:ilvl="0" w:tentative="0">
      <w:start w:val="1"/>
      <w:numFmt w:val="decimal"/>
      <w:suff w:val="nothing"/>
      <w:lvlText w:val="第%1章  "/>
      <w:lvlJc w:val="center"/>
      <w:pPr>
        <w:ind w:left="0" w:firstLine="0"/>
      </w:pPr>
      <w:rPr>
        <w:rFonts w:hint="default" w:ascii="Arial" w:hAnsi="Arial" w:eastAsia="宋体"/>
        <w:b/>
        <w:i w:val="0"/>
        <w:color w:val="auto"/>
        <w:kern w:val="2"/>
        <w:sz w:val="28"/>
      </w:rPr>
    </w:lvl>
    <w:lvl w:ilvl="1" w:tentative="0">
      <w:start w:val="1"/>
      <w:numFmt w:val="decimal"/>
      <w:suff w:val="nothing"/>
      <w:lvlText w:val="%1.%2 "/>
      <w:lvlJc w:val="left"/>
      <w:pPr>
        <w:ind w:left="2126" w:firstLine="0"/>
      </w:pPr>
      <w:rPr>
        <w:rFonts w:hint="default" w:ascii="宋体" w:hAnsi="宋体" w:eastAsia="宋体"/>
        <w:b/>
        <w:i w:val="0"/>
        <w:color w:val="auto"/>
        <w:sz w:val="24"/>
        <w:szCs w:val="24"/>
      </w:rPr>
    </w:lvl>
    <w:lvl w:ilvl="2" w:tentative="0">
      <w:start w:val="1"/>
      <w:numFmt w:val="decimal"/>
      <w:isLgl/>
      <w:suff w:val="nothing"/>
      <w:lvlText w:val="%1.%2.%3 "/>
      <w:lvlJc w:val="left"/>
      <w:pPr>
        <w:ind w:left="0" w:firstLine="0"/>
      </w:pPr>
      <w:rPr>
        <w:rFonts w:ascii="宋体" w:hAnsi="宋体" w:eastAsia="宋体"/>
      </w:rPr>
    </w:lvl>
    <w:lvl w:ilvl="3" w:tentative="0">
      <w:start w:val="1"/>
      <w:numFmt w:val="decimal"/>
      <w:suff w:val="nothing"/>
      <w:lvlText w:val="%1.%2.%3.%4 "/>
      <w:lvlJc w:val="left"/>
      <w:pPr>
        <w:ind w:left="0" w:firstLine="0"/>
      </w:pPr>
      <w:rPr>
        <w:rFonts w:hint="default" w:ascii="宋体" w:hAnsi="宋体" w:eastAsia="宋体"/>
        <w:b w:val="0"/>
        <w:i w:val="0"/>
        <w:color w:val="00B0F0"/>
        <w:sz w:val="24"/>
      </w:rPr>
    </w:lvl>
    <w:lvl w:ilvl="4" w:tentative="0">
      <w:start w:val="1"/>
      <w:numFmt w:val="lowerLetter"/>
      <w:lvlText w:val="%5)"/>
      <w:lvlJc w:val="left"/>
      <w:pPr>
        <w:ind w:left="3093" w:hanging="420"/>
      </w:pPr>
      <w:rPr>
        <w:rFonts w:hint="eastAsia"/>
      </w:rPr>
    </w:lvl>
    <w:lvl w:ilvl="5" w:tentative="0">
      <w:start w:val="1"/>
      <w:numFmt w:val="lowerRoman"/>
      <w:lvlText w:val="%6."/>
      <w:lvlJc w:val="right"/>
      <w:pPr>
        <w:ind w:left="3513" w:hanging="420"/>
      </w:pPr>
      <w:rPr>
        <w:rFonts w:hint="eastAsia"/>
      </w:rPr>
    </w:lvl>
    <w:lvl w:ilvl="6" w:tentative="0">
      <w:start w:val="1"/>
      <w:numFmt w:val="decimal"/>
      <w:lvlText w:val="%7."/>
      <w:lvlJc w:val="left"/>
      <w:pPr>
        <w:ind w:left="3933" w:hanging="420"/>
      </w:pPr>
      <w:rPr>
        <w:rFonts w:hint="eastAsia"/>
      </w:rPr>
    </w:lvl>
    <w:lvl w:ilvl="7" w:tentative="0">
      <w:start w:val="1"/>
      <w:numFmt w:val="none"/>
      <w:suff w:val="space"/>
      <w:lvlText w:val="插表"/>
      <w:lvlJc w:val="center"/>
      <w:pPr>
        <w:ind w:left="0" w:firstLine="0"/>
      </w:pPr>
      <w:rPr>
        <w:rFonts w:hint="eastAsia"/>
        <w:b/>
        <w:i w:val="0"/>
        <w:color w:val="auto"/>
        <w:sz w:val="24"/>
      </w:rPr>
    </w:lvl>
    <w:lvl w:ilvl="8" w:tentative="0">
      <w:start w:val="1"/>
      <w:numFmt w:val="none"/>
      <w:suff w:val="space"/>
      <w:lvlText w:val="插图"/>
      <w:lvlJc w:val="center"/>
      <w:pPr>
        <w:ind w:left="0" w:firstLine="0"/>
      </w:pPr>
      <w:rPr>
        <w:rFonts w:hint="eastAsia"/>
        <w:b/>
        <w:i w:val="0"/>
        <w:color w:val="auto"/>
        <w:sz w:val="24"/>
      </w:rPr>
    </w:lvl>
  </w:abstractNum>
  <w:abstractNum w:abstractNumId="1">
    <w:nsid w:val="1C20225D"/>
    <w:multiLevelType w:val="multilevel"/>
    <w:tmpl w:val="1C20225D"/>
    <w:lvl w:ilvl="0" w:tentative="0">
      <w:start w:val="1"/>
      <w:numFmt w:val="decimal"/>
      <w:suff w:val="space"/>
      <w:lvlText w:val="第%1部分"/>
      <w:lvlJc w:val="center"/>
      <w:pPr>
        <w:ind w:left="0" w:firstLine="0"/>
      </w:pPr>
      <w:rPr>
        <w:rFonts w:hint="default" w:ascii="Times New Roman" w:hAnsi="Times New Roman" w:eastAsia="宋体"/>
        <w:b/>
        <w:i w:val="0"/>
        <w:color w:val="FF0000"/>
        <w:kern w:val="2"/>
        <w:sz w:val="30"/>
      </w:rPr>
    </w:lvl>
    <w:lvl w:ilvl="1" w:tentative="0">
      <w:start w:val="1"/>
      <w:numFmt w:val="decimal"/>
      <w:suff w:val="space"/>
      <w:lvlText w:val="第%2章"/>
      <w:lvlJc w:val="center"/>
      <w:pPr>
        <w:ind w:left="0" w:firstLine="0"/>
      </w:pPr>
      <w:rPr>
        <w:rFonts w:hint="default" w:ascii="Times New Roman" w:hAnsi="Times New Roman" w:eastAsia="宋体"/>
        <w:b/>
        <w:i w:val="0"/>
        <w:color w:val="0033CC"/>
        <w:sz w:val="28"/>
      </w:rPr>
    </w:lvl>
    <w:lvl w:ilvl="2" w:tentative="0">
      <w:start w:val="1"/>
      <w:numFmt w:val="decimal"/>
      <w:suff w:val="space"/>
      <w:lvlText w:val="%2.%3"/>
      <w:lvlJc w:val="left"/>
      <w:pPr>
        <w:ind w:left="0" w:firstLine="0"/>
      </w:pPr>
      <w:rPr>
        <w:rFonts w:hint="default" w:ascii="Times New Roman" w:hAnsi="Times New Roman" w:eastAsia="宋体"/>
        <w:b/>
        <w:i w:val="0"/>
        <w:color w:val="auto"/>
        <w:sz w:val="24"/>
      </w:rPr>
    </w:lvl>
    <w:lvl w:ilvl="3" w:tentative="0">
      <w:start w:val="1"/>
      <w:numFmt w:val="decimal"/>
      <w:suff w:val="space"/>
      <w:lvlText w:val="%2.%3.%4"/>
      <w:lvlJc w:val="left"/>
      <w:pPr>
        <w:ind w:left="0" w:firstLine="0"/>
      </w:pPr>
      <w:rPr>
        <w:rFonts w:hint="default" w:ascii="Times New Roman" w:hAnsi="Times New Roman" w:eastAsia="宋体"/>
        <w:b/>
        <w:i w:val="0"/>
        <w:color w:val="auto"/>
        <w:sz w:val="24"/>
      </w:rPr>
    </w:lvl>
    <w:lvl w:ilvl="4" w:tentative="0">
      <w:start w:val="1"/>
      <w:numFmt w:val="decimal"/>
      <w:suff w:val="space"/>
      <w:lvlText w:val="%2.%3.%4.%5"/>
      <w:lvlJc w:val="left"/>
      <w:pPr>
        <w:ind w:left="0" w:firstLine="0"/>
      </w:pPr>
      <w:rPr>
        <w:rFonts w:hint="default" w:ascii="Times" w:hAnsi="Times" w:eastAsia="宋体"/>
        <w:b/>
        <w:i w:val="0"/>
        <w:sz w:val="24"/>
      </w:rPr>
    </w:lvl>
    <w:lvl w:ilvl="5" w:tentative="0">
      <w:start w:val="1"/>
      <w:numFmt w:val="decimal"/>
      <w:suff w:val="nothing"/>
      <w:lvlText w:val="%2.%3.%4.%5.%6 "/>
      <w:lvlJc w:val="left"/>
      <w:pPr>
        <w:ind w:left="0" w:firstLine="0"/>
      </w:pPr>
      <w:rPr>
        <w:rFonts w:hint="default" w:ascii="Times New Roman" w:hAnsi="Times New Roman" w:eastAsia="宋体"/>
        <w:b/>
        <w:i w:val="0"/>
        <w:sz w:val="24"/>
      </w:rPr>
    </w:lvl>
    <w:lvl w:ilvl="6" w:tentative="0">
      <w:start w:val="1"/>
      <w:numFmt w:val="none"/>
      <w:lvlText w:val=""/>
      <w:lvlJc w:val="left"/>
      <w:pPr>
        <w:ind w:left="3933" w:hanging="420"/>
      </w:pPr>
      <w:rPr>
        <w:rFonts w:hint="eastAsia"/>
      </w:rPr>
    </w:lvl>
    <w:lvl w:ilvl="7" w:tentative="0">
      <w:start w:val="1"/>
      <w:numFmt w:val="none"/>
      <w:pStyle w:val="104"/>
      <w:suff w:val="space"/>
      <w:lvlText w:val="插表"/>
      <w:lvlJc w:val="center"/>
      <w:pPr>
        <w:ind w:left="0" w:firstLine="0"/>
      </w:pPr>
      <w:rPr>
        <w:rFonts w:hint="eastAsia"/>
        <w:b/>
        <w:i w:val="0"/>
        <w:color w:val="auto"/>
        <w:sz w:val="30"/>
        <w:szCs w:val="30"/>
      </w:rPr>
    </w:lvl>
    <w:lvl w:ilvl="8" w:tentative="0">
      <w:start w:val="1"/>
      <w:numFmt w:val="none"/>
      <w:suff w:val="space"/>
      <w:lvlText w:val="插图"/>
      <w:lvlJc w:val="center"/>
      <w:pPr>
        <w:ind w:left="0" w:firstLine="0"/>
      </w:pPr>
      <w:rPr>
        <w:rFonts w:hint="eastAsia"/>
        <w:b/>
        <w:i w:val="0"/>
        <w:color w:val="auto"/>
        <w:sz w:val="28"/>
      </w:rPr>
    </w:lvl>
  </w:abstractNum>
  <w:abstractNum w:abstractNumId="2">
    <w:nsid w:val="403F732A"/>
    <w:multiLevelType w:val="multilevel"/>
    <w:tmpl w:val="403F732A"/>
    <w:lvl w:ilvl="0" w:tentative="0">
      <w:start w:val="1"/>
      <w:numFmt w:val="decimal"/>
      <w:suff w:val="nothing"/>
      <w:lvlText w:val="第%1章  "/>
      <w:lvlJc w:val="center"/>
      <w:pPr>
        <w:ind w:left="0" w:firstLine="0"/>
      </w:pPr>
      <w:rPr>
        <w:rFonts w:hint="default" w:ascii="Times New Roman" w:hAnsi="Times New Roman" w:eastAsia="宋体"/>
        <w:b/>
        <w:i w:val="0"/>
        <w:color w:val="FF0000"/>
        <w:kern w:val="2"/>
        <w:sz w:val="30"/>
      </w:rPr>
    </w:lvl>
    <w:lvl w:ilvl="1" w:tentative="0">
      <w:start w:val="1"/>
      <w:numFmt w:val="decimal"/>
      <w:suff w:val="nothing"/>
      <w:lvlText w:val="%1.%2"/>
      <w:lvlJc w:val="left"/>
      <w:pPr>
        <w:ind w:left="0" w:firstLine="0"/>
      </w:pPr>
      <w:rPr>
        <w:rFonts w:hint="default" w:ascii="Times New Roman" w:hAnsi="Times New Roman"/>
      </w:rPr>
    </w:lvl>
    <w:lvl w:ilvl="2" w:tentative="0">
      <w:start w:val="1"/>
      <w:numFmt w:val="decimal"/>
      <w:suff w:val="nothing"/>
      <w:lvlText w:val="%1.%2.%3"/>
      <w:lvlJc w:val="left"/>
      <w:pPr>
        <w:ind w:left="0" w:firstLine="0"/>
      </w:pPr>
      <w:rPr>
        <w:rFonts w:hint="eastAsia"/>
      </w:rPr>
    </w:lvl>
    <w:lvl w:ilvl="3" w:tentative="0">
      <w:start w:val="1"/>
      <w:numFmt w:val="decimal"/>
      <w:suff w:val="nothing"/>
      <w:lvlText w:val="%1.%2.%3.%4 "/>
      <w:lvlJc w:val="left"/>
      <w:pPr>
        <w:ind w:left="0" w:firstLine="0"/>
      </w:pPr>
      <w:rPr>
        <w:rFonts w:hint="default" w:ascii="Times New Roman" w:hAnsi="Times New Roman" w:eastAsia="宋体"/>
        <w:b/>
        <w:i w:val="0"/>
        <w:color w:val="auto"/>
        <w:sz w:val="24"/>
      </w:rPr>
    </w:lvl>
    <w:lvl w:ilvl="4" w:tentative="0">
      <w:start w:val="1"/>
      <w:numFmt w:val="none"/>
      <w:lvlText w:val=""/>
      <w:lvlJc w:val="left"/>
      <w:pPr>
        <w:ind w:left="3093" w:hanging="420"/>
      </w:pPr>
      <w:rPr>
        <w:rFonts w:hint="eastAsia"/>
      </w:rPr>
    </w:lvl>
    <w:lvl w:ilvl="5" w:tentative="0">
      <w:start w:val="1"/>
      <w:numFmt w:val="none"/>
      <w:lvlText w:val=""/>
      <w:lvlJc w:val="right"/>
      <w:pPr>
        <w:ind w:left="3513" w:hanging="420"/>
      </w:pPr>
      <w:rPr>
        <w:rFonts w:hint="eastAsia"/>
      </w:rPr>
    </w:lvl>
    <w:lvl w:ilvl="6" w:tentative="0">
      <w:start w:val="1"/>
      <w:numFmt w:val="none"/>
      <w:lvlText w:val=""/>
      <w:lvlJc w:val="left"/>
      <w:pPr>
        <w:ind w:left="3933" w:hanging="420"/>
      </w:pPr>
      <w:rPr>
        <w:rFonts w:hint="eastAsia"/>
      </w:rPr>
    </w:lvl>
    <w:lvl w:ilvl="7" w:tentative="0">
      <w:start w:val="1"/>
      <w:numFmt w:val="none"/>
      <w:pStyle w:val="102"/>
      <w:suff w:val="space"/>
      <w:lvlText w:val="插表"/>
      <w:lvlJc w:val="center"/>
      <w:pPr>
        <w:ind w:left="3827" w:firstLine="0"/>
      </w:pPr>
    </w:lvl>
    <w:lvl w:ilvl="8" w:tentative="0">
      <w:start w:val="1"/>
      <w:numFmt w:val="none"/>
      <w:suff w:val="space"/>
      <w:lvlText w:val="插图"/>
      <w:lvlJc w:val="center"/>
      <w:pPr>
        <w:ind w:left="4111" w:firstLine="0"/>
      </w:pPr>
      <w:rPr>
        <w:rFonts w:hint="eastAsia"/>
        <w:b/>
        <w:i w:val="0"/>
        <w:color w:val="auto"/>
        <w:sz w:val="24"/>
      </w:rPr>
    </w:lvl>
  </w:abstractNum>
  <w:abstractNum w:abstractNumId="3">
    <w:nsid w:val="513639B0"/>
    <w:multiLevelType w:val="multilevel"/>
    <w:tmpl w:val="513639B0"/>
    <w:lvl w:ilvl="0" w:tentative="0">
      <w:start w:val="1"/>
      <w:numFmt w:val="decimal"/>
      <w:pStyle w:val="3"/>
      <w:suff w:val="space"/>
      <w:lvlText w:val="第%1章"/>
      <w:lvlJc w:val="center"/>
      <w:pPr>
        <w:ind w:left="0" w:firstLine="0"/>
      </w:pPr>
      <w:rPr>
        <w:rFonts w:hint="eastAsia" w:ascii="宋体" w:hAnsi="宋体" w:cs="Times New Roman"/>
        <w:b/>
        <w:bCs w:val="0"/>
        <w:i w:val="0"/>
        <w:iCs w:val="0"/>
        <w:caps w:val="0"/>
        <w:strike w:val="0"/>
        <w:dstrike w:val="0"/>
        <w:outline w:val="0"/>
        <w:shadow w:val="0"/>
        <w:emboss w:val="0"/>
        <w:imprint w:val="0"/>
        <w:vanish w:val="0"/>
        <w:spacing w:val="0"/>
        <w:position w:val="0"/>
        <w:sz w:val="28"/>
        <w:u w:val="none"/>
        <w:vertAlign w:val="baseline"/>
      </w:rPr>
    </w:lvl>
    <w:lvl w:ilvl="1" w:tentative="0">
      <w:start w:val="1"/>
      <w:numFmt w:val="decimal"/>
      <w:pStyle w:val="4"/>
      <w:suff w:val="space"/>
      <w:lvlText w:val="%1.%2"/>
      <w:lvlJc w:val="left"/>
      <w:pPr>
        <w:ind w:left="0" w:firstLine="200"/>
      </w:pPr>
      <w:rPr>
        <w:rFonts w:hint="eastAsia" w:ascii="宋体" w:hAnsi="宋体" w:eastAsia="宋体"/>
        <w:sz w:val="24"/>
      </w:rPr>
    </w:lvl>
    <w:lvl w:ilvl="2" w:tentative="0">
      <w:start w:val="1"/>
      <w:numFmt w:val="decimal"/>
      <w:pStyle w:val="5"/>
      <w:suff w:val="space"/>
      <w:lvlText w:val="%1.%2.%3"/>
      <w:lvlJc w:val="left"/>
      <w:pPr>
        <w:ind w:left="0" w:firstLine="0"/>
      </w:pPr>
      <w:rPr>
        <w:rFonts w:hint="eastAsia" w:ascii="宋体" w:hAnsi="宋体" w:eastAsia="宋体" w:cs="Times New Roman"/>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3" w:tentative="0">
      <w:start w:val="1"/>
      <w:numFmt w:val="decimal"/>
      <w:pStyle w:val="6"/>
      <w:suff w:val="nothing"/>
      <w:lvlText w:val="%1.%2.%3.%4 "/>
      <w:lvlJc w:val="left"/>
      <w:pPr>
        <w:ind w:left="2126" w:firstLine="0"/>
      </w:pPr>
      <w:rPr>
        <w:rFonts w:hint="eastAsia" w:ascii="宋体" w:hAnsi="宋体" w:eastAsia="宋体" w:cs="Times New Roman"/>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4" w:tentative="0">
      <w:start w:val="1"/>
      <w:numFmt w:val="decimal"/>
      <w:lvlText w:val="%1.%2.%3.%4.%5."/>
      <w:lvlJc w:val="left"/>
      <w:pPr>
        <w:tabs>
          <w:tab w:val="left" w:pos="1142"/>
        </w:tabs>
        <w:ind w:left="0" w:firstLine="289"/>
      </w:pPr>
      <w:rPr>
        <w:rFonts w:hint="eastAsia"/>
      </w:rPr>
    </w:lvl>
    <w:lvl w:ilvl="5" w:tentative="0">
      <w:start w:val="1"/>
      <w:numFmt w:val="decimal"/>
      <w:lvlText w:val="%1.%2.%3.%4.%5.%6."/>
      <w:lvlJc w:val="left"/>
      <w:pPr>
        <w:tabs>
          <w:tab w:val="left" w:pos="1284"/>
        </w:tabs>
        <w:ind w:left="0" w:firstLine="289"/>
      </w:pPr>
      <w:rPr>
        <w:rFonts w:hint="eastAsia"/>
      </w:rPr>
    </w:lvl>
    <w:lvl w:ilvl="6" w:tentative="0">
      <w:start w:val="1"/>
      <w:numFmt w:val="decimal"/>
      <w:lvlText w:val="%1.%2.%3.%4.%5.%6.%7."/>
      <w:lvlJc w:val="left"/>
      <w:pPr>
        <w:tabs>
          <w:tab w:val="left" w:pos="1426"/>
        </w:tabs>
        <w:ind w:left="0" w:firstLine="289"/>
      </w:pPr>
      <w:rPr>
        <w:rFonts w:hint="eastAsia"/>
      </w:rPr>
    </w:lvl>
    <w:lvl w:ilvl="7" w:tentative="0">
      <w:start w:val="1"/>
      <w:numFmt w:val="decimal"/>
      <w:lvlText w:val="%1.%2.%3.%4.%5.%6.%7.%8."/>
      <w:lvlJc w:val="left"/>
      <w:pPr>
        <w:tabs>
          <w:tab w:val="left" w:pos="1568"/>
        </w:tabs>
        <w:ind w:left="0" w:firstLine="289"/>
      </w:pPr>
      <w:rPr>
        <w:rFonts w:hint="eastAsia"/>
      </w:rPr>
    </w:lvl>
    <w:lvl w:ilvl="8" w:tentative="0">
      <w:start w:val="1"/>
      <w:numFmt w:val="decimal"/>
      <w:lvlText w:val="%1.%2.%3.%4.%5.%6.%7.%8.%9."/>
      <w:lvlJc w:val="left"/>
      <w:pPr>
        <w:tabs>
          <w:tab w:val="left" w:pos="1709"/>
        </w:tabs>
        <w:ind w:left="0" w:firstLine="289"/>
      </w:pPr>
      <w:rPr>
        <w:rFonts w:hint="eastAsia"/>
      </w:rPr>
    </w:lvl>
  </w:abstractNum>
  <w:abstractNum w:abstractNumId="4">
    <w:nsid w:val="6542503D"/>
    <w:multiLevelType w:val="multilevel"/>
    <w:tmpl w:val="6542503D"/>
    <w:lvl w:ilvl="0" w:tentative="0">
      <w:start w:val="1"/>
      <w:numFmt w:val="decimal"/>
      <w:suff w:val="space"/>
      <w:lvlText w:val="第%1章"/>
      <w:lvlJc w:val="center"/>
      <w:pPr>
        <w:ind w:left="0" w:firstLine="0"/>
      </w:pPr>
      <w:rPr>
        <w:rFonts w:hint="eastAsia" w:ascii="宋体" w:hAnsi="宋体" w:cs="Times New Roman"/>
        <w:b/>
        <w:bCs w:val="0"/>
        <w:i w:val="0"/>
        <w:iCs w:val="0"/>
        <w:caps w:val="0"/>
        <w:strike w:val="0"/>
        <w:dstrike w:val="0"/>
        <w:outline w:val="0"/>
        <w:shadow w:val="0"/>
        <w:emboss w:val="0"/>
        <w:imprint w:val="0"/>
        <w:vanish w:val="0"/>
        <w:spacing w:val="0"/>
        <w:position w:val="0"/>
        <w:sz w:val="28"/>
        <w:u w:val="none"/>
        <w:vertAlign w:val="baseline"/>
      </w:rPr>
    </w:lvl>
    <w:lvl w:ilvl="1" w:tentative="0">
      <w:start w:val="1"/>
      <w:numFmt w:val="none"/>
      <w:pStyle w:val="54"/>
      <w:suff w:val="space"/>
      <w:lvlText w:val="插表"/>
      <w:lvlJc w:val="left"/>
      <w:pPr>
        <w:ind w:left="0" w:firstLine="0"/>
      </w:pPr>
      <w:rPr>
        <w:rFonts w:hint="eastAsia" w:ascii="宋体" w:hAnsi="宋体" w:eastAsia="宋体"/>
        <w:sz w:val="24"/>
      </w:rPr>
    </w:lvl>
    <w:lvl w:ilvl="2" w:tentative="0">
      <w:start w:val="1"/>
      <w:numFmt w:val="decimal"/>
      <w:suff w:val="space"/>
      <w:lvlText w:val="%1.%2.%3"/>
      <w:lvlJc w:val="left"/>
      <w:pPr>
        <w:ind w:left="0" w:firstLine="0"/>
      </w:pPr>
      <w:rPr>
        <w:rFonts w:hint="eastAsia"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3" w:tentative="0">
      <w:start w:val="1"/>
      <w:numFmt w:val="decimal"/>
      <w:suff w:val="nothing"/>
      <w:lvlText w:val="%1.%2.%3.%4 "/>
      <w:lvlJc w:val="left"/>
      <w:pPr>
        <w:ind w:left="2126" w:firstLine="0"/>
      </w:pPr>
      <w:rPr>
        <w:rFonts w:hint="eastAsia"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4" w:tentative="0">
      <w:start w:val="1"/>
      <w:numFmt w:val="decimal"/>
      <w:lvlText w:val="%1.%2.%3.%4.%5."/>
      <w:lvlJc w:val="left"/>
      <w:pPr>
        <w:tabs>
          <w:tab w:val="left" w:pos="1142"/>
        </w:tabs>
        <w:ind w:left="0" w:firstLine="289"/>
      </w:pPr>
      <w:rPr>
        <w:rFonts w:hint="eastAsia"/>
      </w:rPr>
    </w:lvl>
    <w:lvl w:ilvl="5" w:tentative="0">
      <w:start w:val="1"/>
      <w:numFmt w:val="decimal"/>
      <w:lvlText w:val="%1.%2.%3.%4.%5.%6."/>
      <w:lvlJc w:val="left"/>
      <w:pPr>
        <w:tabs>
          <w:tab w:val="left" w:pos="1284"/>
        </w:tabs>
        <w:ind w:left="0" w:firstLine="289"/>
      </w:pPr>
      <w:rPr>
        <w:rFonts w:hint="eastAsia"/>
      </w:rPr>
    </w:lvl>
    <w:lvl w:ilvl="6" w:tentative="0">
      <w:start w:val="1"/>
      <w:numFmt w:val="decimal"/>
      <w:lvlText w:val="%1.%2.%3.%4.%5.%6.%7."/>
      <w:lvlJc w:val="left"/>
      <w:pPr>
        <w:tabs>
          <w:tab w:val="left" w:pos="1426"/>
        </w:tabs>
        <w:ind w:left="0" w:firstLine="289"/>
      </w:pPr>
      <w:rPr>
        <w:rFonts w:hint="eastAsia"/>
      </w:rPr>
    </w:lvl>
    <w:lvl w:ilvl="7" w:tentative="0">
      <w:start w:val="1"/>
      <w:numFmt w:val="decimal"/>
      <w:lvlText w:val="%1.%2.%3.%4.%5.%6.%7.%8."/>
      <w:lvlJc w:val="left"/>
      <w:pPr>
        <w:tabs>
          <w:tab w:val="left" w:pos="1568"/>
        </w:tabs>
        <w:ind w:left="0" w:firstLine="289"/>
      </w:pPr>
      <w:rPr>
        <w:rFonts w:hint="eastAsia"/>
      </w:rPr>
    </w:lvl>
    <w:lvl w:ilvl="8" w:tentative="0">
      <w:start w:val="1"/>
      <w:numFmt w:val="decimal"/>
      <w:lvlText w:val="%1.%2.%3.%4.%5.%6.%7.%8.%9."/>
      <w:lvlJc w:val="left"/>
      <w:pPr>
        <w:tabs>
          <w:tab w:val="left" w:pos="1709"/>
        </w:tabs>
        <w:ind w:left="0" w:firstLine="289"/>
      </w:pPr>
      <w:rPr>
        <w:rFonts w:hint="eastAsia"/>
      </w:rPr>
    </w:lvl>
  </w:abstractNum>
  <w:abstractNum w:abstractNumId="5">
    <w:nsid w:val="6C6F3FCA"/>
    <w:multiLevelType w:val="multilevel"/>
    <w:tmpl w:val="6C6F3FCA"/>
    <w:lvl w:ilvl="0" w:tentative="0">
      <w:start w:val="1"/>
      <w:numFmt w:val="none"/>
      <w:pStyle w:val="53"/>
      <w:suff w:val="space"/>
      <w:lvlText w:val="%1插图"/>
      <w:lvlJc w:val="left"/>
      <w:pPr>
        <w:ind w:left="0" w:firstLine="0"/>
      </w:pPr>
      <w:rPr>
        <w:rFonts w:hint="eastAsia"/>
        <w:color w:val="000000" w:themeColor="text1"/>
        <w14:textFill>
          <w14:solidFill>
            <w14:schemeClr w14:val="tx1"/>
          </w14:solidFill>
        </w14:textFill>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
    <w:nsid w:val="77025032"/>
    <w:multiLevelType w:val="multilevel"/>
    <w:tmpl w:val="77025032"/>
    <w:lvl w:ilvl="0" w:tentative="0">
      <w:start w:val="2"/>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3"/>
  </w:num>
  <w:num w:numId="2">
    <w:abstractNumId w:val="5"/>
  </w:num>
  <w:num w:numId="3">
    <w:abstractNumId w:val="4"/>
  </w:num>
  <w:num w:numId="4">
    <w:abstractNumId w:val="2"/>
  </w:num>
  <w:num w:numId="5">
    <w:abstractNumId w:val="1"/>
  </w:num>
  <w:num w:numId="6">
    <w:abstractNumId w:val="6"/>
  </w:num>
  <w:num w:numId="7">
    <w:abstractNumId w:val="3"/>
    <w:lvlOverride w:ilvl="0">
      <w:lvl w:ilvl="0" w:tentative="1">
        <w:start w:val="1"/>
        <w:numFmt w:val="decimal"/>
        <w:suff w:val="space"/>
        <w:lvlText w:val="第%1章"/>
        <w:lvlJc w:val="center"/>
        <w:pPr>
          <w:ind w:left="0" w:firstLine="0"/>
        </w:pPr>
        <w:rPr>
          <w:rFonts w:hint="eastAsia" w:ascii="宋体" w:hAnsi="宋体" w:cs="Times New Roman"/>
          <w:b/>
          <w:bCs w:val="0"/>
          <w:i w:val="0"/>
          <w:iCs w:val="0"/>
          <w:caps w:val="0"/>
          <w:strike w:val="0"/>
          <w:dstrike w:val="0"/>
          <w:outline w:val="0"/>
          <w:shadow w:val="0"/>
          <w:emboss w:val="0"/>
          <w:imprint w:val="0"/>
          <w:vanish w:val="0"/>
          <w:spacing w:val="0"/>
          <w:position w:val="0"/>
          <w:sz w:val="28"/>
          <w:u w:val="none"/>
          <w:vertAlign w:val="baseline"/>
        </w:rPr>
      </w:lvl>
    </w:lvlOverride>
    <w:lvlOverride w:ilvl="1">
      <w:lvl w:ilvl="1" w:tentative="1">
        <w:start w:val="1"/>
        <w:numFmt w:val="decimal"/>
        <w:suff w:val="space"/>
        <w:lvlText w:val="%1.%2"/>
        <w:lvlJc w:val="left"/>
        <w:pPr>
          <w:ind w:left="0" w:firstLine="200"/>
        </w:pPr>
        <w:rPr>
          <w:rFonts w:hint="eastAsia" w:ascii="宋体" w:hAnsi="宋体" w:eastAsia="宋体"/>
          <w:sz w:val="24"/>
        </w:rPr>
      </w:lvl>
    </w:lvlOverride>
    <w:lvlOverride w:ilvl="2">
      <w:lvl w:ilvl="2" w:tentative="1">
        <w:start w:val="1"/>
        <w:numFmt w:val="decimal"/>
        <w:suff w:val="space"/>
        <w:lvlText w:val="%1.%2.%3"/>
        <w:lvlJc w:val="left"/>
        <w:pPr>
          <w:ind w:left="0" w:firstLine="0"/>
        </w:pPr>
        <w:rPr>
          <w:rFonts w:hint="eastAsia"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Override>
    <w:lvlOverride w:ilvl="3">
      <w:lvl w:ilvl="3" w:tentative="1">
        <w:start w:val="1"/>
        <w:numFmt w:val="decimal"/>
        <w:suff w:val="nothing"/>
        <w:lvlText w:val="%1.%2.%3.%4 "/>
        <w:lvlJc w:val="left"/>
        <w:pPr>
          <w:ind w:left="0" w:firstLine="0"/>
        </w:pPr>
        <w:rPr>
          <w:rFonts w:hint="eastAsia" w:hAnsi="Times New Roman" w:cs="Times New Roman"/>
          <w:b w:val="0"/>
          <w:bCs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Override>
    <w:lvlOverride w:ilvl="4">
      <w:lvl w:ilvl="4" w:tentative="1">
        <w:start w:val="1"/>
        <w:numFmt w:val="decimal"/>
        <w:lvlText w:val="%1.%2.%3.%4.%5."/>
        <w:lvlJc w:val="left"/>
        <w:pPr>
          <w:tabs>
            <w:tab w:val="left" w:pos="1142"/>
          </w:tabs>
          <w:ind w:left="0" w:firstLine="289"/>
        </w:pPr>
        <w:rPr>
          <w:rFonts w:hint="eastAsia"/>
        </w:rPr>
      </w:lvl>
    </w:lvlOverride>
    <w:lvlOverride w:ilvl="5">
      <w:lvl w:ilvl="5" w:tentative="1">
        <w:start w:val="1"/>
        <w:numFmt w:val="decimal"/>
        <w:lvlText w:val="%1.%2.%3.%4.%5.%6."/>
        <w:lvlJc w:val="left"/>
        <w:pPr>
          <w:tabs>
            <w:tab w:val="left" w:pos="1284"/>
          </w:tabs>
          <w:ind w:left="0" w:firstLine="289"/>
        </w:pPr>
        <w:rPr>
          <w:rFonts w:hint="eastAsia"/>
        </w:rPr>
      </w:lvl>
    </w:lvlOverride>
    <w:lvlOverride w:ilvl="6">
      <w:lvl w:ilvl="6" w:tentative="1">
        <w:start w:val="1"/>
        <w:numFmt w:val="decimal"/>
        <w:lvlText w:val="%1.%2.%3.%4.%5.%6.%7."/>
        <w:lvlJc w:val="left"/>
        <w:pPr>
          <w:tabs>
            <w:tab w:val="left" w:pos="1426"/>
          </w:tabs>
          <w:ind w:left="0" w:firstLine="289"/>
        </w:pPr>
        <w:rPr>
          <w:rFonts w:hint="eastAsia"/>
        </w:rPr>
      </w:lvl>
    </w:lvlOverride>
    <w:lvlOverride w:ilvl="7">
      <w:lvl w:ilvl="7" w:tentative="1">
        <w:start w:val="1"/>
        <w:numFmt w:val="decimal"/>
        <w:lvlText w:val="%1.%2.%3.%4.%5.%6.%7.%8."/>
        <w:lvlJc w:val="left"/>
        <w:pPr>
          <w:tabs>
            <w:tab w:val="left" w:pos="1568"/>
          </w:tabs>
          <w:ind w:left="0" w:firstLine="289"/>
        </w:pPr>
        <w:rPr>
          <w:rFonts w:hint="eastAsia"/>
        </w:rPr>
      </w:lvl>
    </w:lvlOverride>
    <w:lvlOverride w:ilvl="8">
      <w:lvl w:ilvl="8" w:tentative="1">
        <w:start w:val="1"/>
        <w:numFmt w:val="decimal"/>
        <w:lvlText w:val="%1.%2.%3.%4.%5.%6.%7.%8.%9."/>
        <w:lvlJc w:val="left"/>
        <w:pPr>
          <w:tabs>
            <w:tab w:val="left" w:pos="1709"/>
          </w:tabs>
          <w:ind w:left="0" w:firstLine="289"/>
        </w:pPr>
        <w:rPr>
          <w:rFonts w:hint="eastAsia"/>
        </w:rPr>
      </w:lvl>
    </w:lvlOverride>
  </w:num>
  <w:num w:numId="8">
    <w:abstractNumId w:val="0"/>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hideSpellingErrors/>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NkODdjMmFmMWRjNzE1OTcxNGQ2NTdmNzM2YWFlMDcifQ=="/>
  </w:docVars>
  <w:rsids>
    <w:rsidRoot w:val="00AE0165"/>
    <w:rsid w:val="000009AB"/>
    <w:rsid w:val="00001C26"/>
    <w:rsid w:val="00001D84"/>
    <w:rsid w:val="000020E0"/>
    <w:rsid w:val="0000266F"/>
    <w:rsid w:val="00002FF3"/>
    <w:rsid w:val="00006684"/>
    <w:rsid w:val="00006DC2"/>
    <w:rsid w:val="000075DD"/>
    <w:rsid w:val="00010B1E"/>
    <w:rsid w:val="00014AC8"/>
    <w:rsid w:val="0001684C"/>
    <w:rsid w:val="00017431"/>
    <w:rsid w:val="00020FED"/>
    <w:rsid w:val="00037E72"/>
    <w:rsid w:val="00042A82"/>
    <w:rsid w:val="00042EC9"/>
    <w:rsid w:val="0004305B"/>
    <w:rsid w:val="00044B46"/>
    <w:rsid w:val="0005107E"/>
    <w:rsid w:val="0005233F"/>
    <w:rsid w:val="00053A34"/>
    <w:rsid w:val="00054386"/>
    <w:rsid w:val="000631A0"/>
    <w:rsid w:val="00071C1B"/>
    <w:rsid w:val="00072F9C"/>
    <w:rsid w:val="00074164"/>
    <w:rsid w:val="00077532"/>
    <w:rsid w:val="000805DE"/>
    <w:rsid w:val="00080DA2"/>
    <w:rsid w:val="00084615"/>
    <w:rsid w:val="00086743"/>
    <w:rsid w:val="0009487D"/>
    <w:rsid w:val="00094BD2"/>
    <w:rsid w:val="0009641C"/>
    <w:rsid w:val="000A029D"/>
    <w:rsid w:val="000A2783"/>
    <w:rsid w:val="000A3A7F"/>
    <w:rsid w:val="000A648B"/>
    <w:rsid w:val="000A7777"/>
    <w:rsid w:val="000B73B8"/>
    <w:rsid w:val="000C1D41"/>
    <w:rsid w:val="000C1DCE"/>
    <w:rsid w:val="000C3B10"/>
    <w:rsid w:val="000C4F88"/>
    <w:rsid w:val="000D0F19"/>
    <w:rsid w:val="000D27A0"/>
    <w:rsid w:val="000D5B75"/>
    <w:rsid w:val="000D6E3E"/>
    <w:rsid w:val="000D72EC"/>
    <w:rsid w:val="000E035E"/>
    <w:rsid w:val="000E174E"/>
    <w:rsid w:val="000E5311"/>
    <w:rsid w:val="000E7504"/>
    <w:rsid w:val="000F0C04"/>
    <w:rsid w:val="000F349A"/>
    <w:rsid w:val="000F37E3"/>
    <w:rsid w:val="000F5739"/>
    <w:rsid w:val="000F7BC7"/>
    <w:rsid w:val="00101AA3"/>
    <w:rsid w:val="00102FE8"/>
    <w:rsid w:val="0010396A"/>
    <w:rsid w:val="001040F8"/>
    <w:rsid w:val="00106BFE"/>
    <w:rsid w:val="00107087"/>
    <w:rsid w:val="001139C8"/>
    <w:rsid w:val="00113C62"/>
    <w:rsid w:val="0011659D"/>
    <w:rsid w:val="00116B22"/>
    <w:rsid w:val="00116C7F"/>
    <w:rsid w:val="00126187"/>
    <w:rsid w:val="00130C96"/>
    <w:rsid w:val="00131D13"/>
    <w:rsid w:val="001331CD"/>
    <w:rsid w:val="001337EC"/>
    <w:rsid w:val="00134473"/>
    <w:rsid w:val="001349E2"/>
    <w:rsid w:val="00137841"/>
    <w:rsid w:val="00143562"/>
    <w:rsid w:val="00154617"/>
    <w:rsid w:val="001663F5"/>
    <w:rsid w:val="00167CB3"/>
    <w:rsid w:val="001706AF"/>
    <w:rsid w:val="0017161C"/>
    <w:rsid w:val="001743F9"/>
    <w:rsid w:val="00174AAC"/>
    <w:rsid w:val="001752F1"/>
    <w:rsid w:val="00175CFC"/>
    <w:rsid w:val="00177124"/>
    <w:rsid w:val="00177585"/>
    <w:rsid w:val="00180A19"/>
    <w:rsid w:val="001817EF"/>
    <w:rsid w:val="00182491"/>
    <w:rsid w:val="00183365"/>
    <w:rsid w:val="001838AE"/>
    <w:rsid w:val="0019256A"/>
    <w:rsid w:val="001947D1"/>
    <w:rsid w:val="0019617B"/>
    <w:rsid w:val="001A2F01"/>
    <w:rsid w:val="001A404F"/>
    <w:rsid w:val="001A7A59"/>
    <w:rsid w:val="001B04A0"/>
    <w:rsid w:val="001B17EC"/>
    <w:rsid w:val="001B4A79"/>
    <w:rsid w:val="001B5FA9"/>
    <w:rsid w:val="001B7B4D"/>
    <w:rsid w:val="001B7D42"/>
    <w:rsid w:val="001C12D1"/>
    <w:rsid w:val="001C2D11"/>
    <w:rsid w:val="001C39B0"/>
    <w:rsid w:val="001D101E"/>
    <w:rsid w:val="001D1BB4"/>
    <w:rsid w:val="001D2539"/>
    <w:rsid w:val="001D4997"/>
    <w:rsid w:val="001E1BB6"/>
    <w:rsid w:val="001E62F3"/>
    <w:rsid w:val="001E776B"/>
    <w:rsid w:val="001F71CF"/>
    <w:rsid w:val="00201E19"/>
    <w:rsid w:val="00203DA7"/>
    <w:rsid w:val="00204236"/>
    <w:rsid w:val="00204A05"/>
    <w:rsid w:val="002110AB"/>
    <w:rsid w:val="0021339F"/>
    <w:rsid w:val="00215E5E"/>
    <w:rsid w:val="0022301F"/>
    <w:rsid w:val="0022751B"/>
    <w:rsid w:val="00227EF9"/>
    <w:rsid w:val="002438A1"/>
    <w:rsid w:val="00251105"/>
    <w:rsid w:val="00252891"/>
    <w:rsid w:val="00261F11"/>
    <w:rsid w:val="00263306"/>
    <w:rsid w:val="00267C64"/>
    <w:rsid w:val="00270047"/>
    <w:rsid w:val="0027047C"/>
    <w:rsid w:val="00274B7A"/>
    <w:rsid w:val="0027737C"/>
    <w:rsid w:val="002806B9"/>
    <w:rsid w:val="00281122"/>
    <w:rsid w:val="002837AA"/>
    <w:rsid w:val="00284BFF"/>
    <w:rsid w:val="00292395"/>
    <w:rsid w:val="0029383D"/>
    <w:rsid w:val="00295A90"/>
    <w:rsid w:val="002966B4"/>
    <w:rsid w:val="002A19D0"/>
    <w:rsid w:val="002A7AEC"/>
    <w:rsid w:val="002B31A1"/>
    <w:rsid w:val="002C0B05"/>
    <w:rsid w:val="002C2059"/>
    <w:rsid w:val="002C5897"/>
    <w:rsid w:val="002C69A0"/>
    <w:rsid w:val="002C7FD7"/>
    <w:rsid w:val="002D0BE8"/>
    <w:rsid w:val="002D17DB"/>
    <w:rsid w:val="002D71E2"/>
    <w:rsid w:val="002D7FE7"/>
    <w:rsid w:val="002E5042"/>
    <w:rsid w:val="002F194F"/>
    <w:rsid w:val="0030032F"/>
    <w:rsid w:val="00304B42"/>
    <w:rsid w:val="003061F8"/>
    <w:rsid w:val="00307A4C"/>
    <w:rsid w:val="00307DBE"/>
    <w:rsid w:val="00311513"/>
    <w:rsid w:val="00311EAE"/>
    <w:rsid w:val="00311FC9"/>
    <w:rsid w:val="003128A6"/>
    <w:rsid w:val="00312F09"/>
    <w:rsid w:val="00314152"/>
    <w:rsid w:val="0031465B"/>
    <w:rsid w:val="00315D99"/>
    <w:rsid w:val="0032006A"/>
    <w:rsid w:val="003235B8"/>
    <w:rsid w:val="00325830"/>
    <w:rsid w:val="0032630C"/>
    <w:rsid w:val="00334410"/>
    <w:rsid w:val="00337D14"/>
    <w:rsid w:val="00340EA8"/>
    <w:rsid w:val="003413BF"/>
    <w:rsid w:val="00345B2B"/>
    <w:rsid w:val="00351973"/>
    <w:rsid w:val="00351A16"/>
    <w:rsid w:val="00360542"/>
    <w:rsid w:val="00361885"/>
    <w:rsid w:val="0036468A"/>
    <w:rsid w:val="00365140"/>
    <w:rsid w:val="00376FF0"/>
    <w:rsid w:val="0038663D"/>
    <w:rsid w:val="00393ED2"/>
    <w:rsid w:val="003A1B32"/>
    <w:rsid w:val="003C49F3"/>
    <w:rsid w:val="003C6154"/>
    <w:rsid w:val="003D3598"/>
    <w:rsid w:val="003D635B"/>
    <w:rsid w:val="003D7408"/>
    <w:rsid w:val="003D77EB"/>
    <w:rsid w:val="003E178E"/>
    <w:rsid w:val="003E3572"/>
    <w:rsid w:val="003F1DE4"/>
    <w:rsid w:val="003F3E6F"/>
    <w:rsid w:val="003F4575"/>
    <w:rsid w:val="003F4AD7"/>
    <w:rsid w:val="003F6EFB"/>
    <w:rsid w:val="003F7C09"/>
    <w:rsid w:val="00402512"/>
    <w:rsid w:val="00404A0D"/>
    <w:rsid w:val="00406B45"/>
    <w:rsid w:val="00412789"/>
    <w:rsid w:val="004146F5"/>
    <w:rsid w:val="00414CB4"/>
    <w:rsid w:val="004176CB"/>
    <w:rsid w:val="00420C12"/>
    <w:rsid w:val="00423920"/>
    <w:rsid w:val="00423A40"/>
    <w:rsid w:val="00424DFC"/>
    <w:rsid w:val="004277A9"/>
    <w:rsid w:val="00431706"/>
    <w:rsid w:val="00437140"/>
    <w:rsid w:val="00447EE9"/>
    <w:rsid w:val="00450B4F"/>
    <w:rsid w:val="004513A7"/>
    <w:rsid w:val="004517A5"/>
    <w:rsid w:val="004545F7"/>
    <w:rsid w:val="00454AFA"/>
    <w:rsid w:val="00455E1E"/>
    <w:rsid w:val="0045782A"/>
    <w:rsid w:val="004614DC"/>
    <w:rsid w:val="004631A5"/>
    <w:rsid w:val="004653FA"/>
    <w:rsid w:val="00465C21"/>
    <w:rsid w:val="004703C8"/>
    <w:rsid w:val="004720EF"/>
    <w:rsid w:val="00472DCE"/>
    <w:rsid w:val="004735CF"/>
    <w:rsid w:val="00476212"/>
    <w:rsid w:val="00483E1B"/>
    <w:rsid w:val="00483F8B"/>
    <w:rsid w:val="00485533"/>
    <w:rsid w:val="004860FB"/>
    <w:rsid w:val="00486267"/>
    <w:rsid w:val="00490B76"/>
    <w:rsid w:val="00490C98"/>
    <w:rsid w:val="004A125E"/>
    <w:rsid w:val="004A2D75"/>
    <w:rsid w:val="004A4855"/>
    <w:rsid w:val="004B10F8"/>
    <w:rsid w:val="004B1A4E"/>
    <w:rsid w:val="004B7A4A"/>
    <w:rsid w:val="004C1758"/>
    <w:rsid w:val="004C1CF4"/>
    <w:rsid w:val="004C1D4F"/>
    <w:rsid w:val="004C208B"/>
    <w:rsid w:val="004C20D8"/>
    <w:rsid w:val="004C416E"/>
    <w:rsid w:val="004D0728"/>
    <w:rsid w:val="004D2B56"/>
    <w:rsid w:val="004E2029"/>
    <w:rsid w:val="004E53A0"/>
    <w:rsid w:val="004E6098"/>
    <w:rsid w:val="004E7F8E"/>
    <w:rsid w:val="004F13BD"/>
    <w:rsid w:val="004F4667"/>
    <w:rsid w:val="004F49B4"/>
    <w:rsid w:val="004F4DA2"/>
    <w:rsid w:val="004F7063"/>
    <w:rsid w:val="004F7B3A"/>
    <w:rsid w:val="0050357A"/>
    <w:rsid w:val="005053CD"/>
    <w:rsid w:val="00512D6E"/>
    <w:rsid w:val="00513AB3"/>
    <w:rsid w:val="00515957"/>
    <w:rsid w:val="0052022B"/>
    <w:rsid w:val="0052052E"/>
    <w:rsid w:val="00521DF8"/>
    <w:rsid w:val="00522BA2"/>
    <w:rsid w:val="00527726"/>
    <w:rsid w:val="00527934"/>
    <w:rsid w:val="00527993"/>
    <w:rsid w:val="0053012A"/>
    <w:rsid w:val="00532A28"/>
    <w:rsid w:val="00533897"/>
    <w:rsid w:val="00537693"/>
    <w:rsid w:val="0053782A"/>
    <w:rsid w:val="005423BC"/>
    <w:rsid w:val="0054396F"/>
    <w:rsid w:val="00544F2C"/>
    <w:rsid w:val="005478E7"/>
    <w:rsid w:val="00552C34"/>
    <w:rsid w:val="00557796"/>
    <w:rsid w:val="0056002C"/>
    <w:rsid w:val="00562127"/>
    <w:rsid w:val="005658A0"/>
    <w:rsid w:val="005671D5"/>
    <w:rsid w:val="00570E40"/>
    <w:rsid w:val="00571332"/>
    <w:rsid w:val="005726F5"/>
    <w:rsid w:val="00581FDD"/>
    <w:rsid w:val="0058295A"/>
    <w:rsid w:val="00583E55"/>
    <w:rsid w:val="005843D5"/>
    <w:rsid w:val="005976B7"/>
    <w:rsid w:val="00597DD4"/>
    <w:rsid w:val="005A35C4"/>
    <w:rsid w:val="005A77B8"/>
    <w:rsid w:val="005B02E5"/>
    <w:rsid w:val="005B18D8"/>
    <w:rsid w:val="005B5D0B"/>
    <w:rsid w:val="005B7FA2"/>
    <w:rsid w:val="005C0AD1"/>
    <w:rsid w:val="005D2487"/>
    <w:rsid w:val="005D3E2E"/>
    <w:rsid w:val="005D4557"/>
    <w:rsid w:val="005D5EB9"/>
    <w:rsid w:val="005D6CE8"/>
    <w:rsid w:val="005E09D5"/>
    <w:rsid w:val="005E1663"/>
    <w:rsid w:val="005E23FE"/>
    <w:rsid w:val="005E2FEC"/>
    <w:rsid w:val="005E3305"/>
    <w:rsid w:val="005E3D47"/>
    <w:rsid w:val="005E6FA3"/>
    <w:rsid w:val="005F009A"/>
    <w:rsid w:val="005F138E"/>
    <w:rsid w:val="005F34D9"/>
    <w:rsid w:val="005F7DAA"/>
    <w:rsid w:val="00600507"/>
    <w:rsid w:val="00603D92"/>
    <w:rsid w:val="00607066"/>
    <w:rsid w:val="00607F83"/>
    <w:rsid w:val="00610F9D"/>
    <w:rsid w:val="00610FD9"/>
    <w:rsid w:val="006135EC"/>
    <w:rsid w:val="0062088E"/>
    <w:rsid w:val="00625768"/>
    <w:rsid w:val="00627DD3"/>
    <w:rsid w:val="00630D94"/>
    <w:rsid w:val="00631D27"/>
    <w:rsid w:val="006334F6"/>
    <w:rsid w:val="00637C77"/>
    <w:rsid w:val="00653A79"/>
    <w:rsid w:val="00653E54"/>
    <w:rsid w:val="00654568"/>
    <w:rsid w:val="00654DB2"/>
    <w:rsid w:val="00655F7F"/>
    <w:rsid w:val="00656C57"/>
    <w:rsid w:val="006705EC"/>
    <w:rsid w:val="0067092B"/>
    <w:rsid w:val="00670B53"/>
    <w:rsid w:val="00672DD4"/>
    <w:rsid w:val="00674E29"/>
    <w:rsid w:val="006764ED"/>
    <w:rsid w:val="006778BB"/>
    <w:rsid w:val="00685D01"/>
    <w:rsid w:val="0069033D"/>
    <w:rsid w:val="006924E1"/>
    <w:rsid w:val="0069316E"/>
    <w:rsid w:val="0069340F"/>
    <w:rsid w:val="006A3F4A"/>
    <w:rsid w:val="006A7394"/>
    <w:rsid w:val="006B1F7E"/>
    <w:rsid w:val="006B40D8"/>
    <w:rsid w:val="006B7D6D"/>
    <w:rsid w:val="006C1DF4"/>
    <w:rsid w:val="006C1E34"/>
    <w:rsid w:val="006C210A"/>
    <w:rsid w:val="006C2131"/>
    <w:rsid w:val="006D12CB"/>
    <w:rsid w:val="006D1651"/>
    <w:rsid w:val="006D2E89"/>
    <w:rsid w:val="006D32BA"/>
    <w:rsid w:val="006D7104"/>
    <w:rsid w:val="006E5625"/>
    <w:rsid w:val="006F0700"/>
    <w:rsid w:val="006F1373"/>
    <w:rsid w:val="006F5D25"/>
    <w:rsid w:val="006F6351"/>
    <w:rsid w:val="006F6FE6"/>
    <w:rsid w:val="006F7E8B"/>
    <w:rsid w:val="007004CA"/>
    <w:rsid w:val="00702F22"/>
    <w:rsid w:val="00703F94"/>
    <w:rsid w:val="0070477C"/>
    <w:rsid w:val="0071230C"/>
    <w:rsid w:val="00714D32"/>
    <w:rsid w:val="00716D6C"/>
    <w:rsid w:val="007174DA"/>
    <w:rsid w:val="007176FD"/>
    <w:rsid w:val="007213A3"/>
    <w:rsid w:val="007239CA"/>
    <w:rsid w:val="0073557E"/>
    <w:rsid w:val="00736849"/>
    <w:rsid w:val="00736B1E"/>
    <w:rsid w:val="00736CB0"/>
    <w:rsid w:val="0074204E"/>
    <w:rsid w:val="007443CB"/>
    <w:rsid w:val="00746FAD"/>
    <w:rsid w:val="0075085F"/>
    <w:rsid w:val="00753042"/>
    <w:rsid w:val="00753144"/>
    <w:rsid w:val="00753B52"/>
    <w:rsid w:val="00762EF2"/>
    <w:rsid w:val="00765D69"/>
    <w:rsid w:val="00766834"/>
    <w:rsid w:val="0077177B"/>
    <w:rsid w:val="00772848"/>
    <w:rsid w:val="00773088"/>
    <w:rsid w:val="00780407"/>
    <w:rsid w:val="00780E31"/>
    <w:rsid w:val="0078465D"/>
    <w:rsid w:val="00786F08"/>
    <w:rsid w:val="00790201"/>
    <w:rsid w:val="00791A52"/>
    <w:rsid w:val="0079265A"/>
    <w:rsid w:val="00796CBB"/>
    <w:rsid w:val="007A16D7"/>
    <w:rsid w:val="007A39DE"/>
    <w:rsid w:val="007A4E76"/>
    <w:rsid w:val="007B1ABE"/>
    <w:rsid w:val="007B21DF"/>
    <w:rsid w:val="007B28CB"/>
    <w:rsid w:val="007B2F93"/>
    <w:rsid w:val="007B5606"/>
    <w:rsid w:val="007C0385"/>
    <w:rsid w:val="007C6B6F"/>
    <w:rsid w:val="007D0219"/>
    <w:rsid w:val="007D0DF4"/>
    <w:rsid w:val="007D1D6E"/>
    <w:rsid w:val="007D21B8"/>
    <w:rsid w:val="007D25F3"/>
    <w:rsid w:val="007D57D8"/>
    <w:rsid w:val="007D5A62"/>
    <w:rsid w:val="007D5AEE"/>
    <w:rsid w:val="007D6344"/>
    <w:rsid w:val="007D6DD3"/>
    <w:rsid w:val="007D6FCE"/>
    <w:rsid w:val="007E20CF"/>
    <w:rsid w:val="007E2728"/>
    <w:rsid w:val="007E51CA"/>
    <w:rsid w:val="007E7455"/>
    <w:rsid w:val="007F0596"/>
    <w:rsid w:val="007F1FB5"/>
    <w:rsid w:val="007F594F"/>
    <w:rsid w:val="00804B35"/>
    <w:rsid w:val="008143C2"/>
    <w:rsid w:val="008154E5"/>
    <w:rsid w:val="00815E43"/>
    <w:rsid w:val="00822A27"/>
    <w:rsid w:val="008231A5"/>
    <w:rsid w:val="008233C4"/>
    <w:rsid w:val="008246C4"/>
    <w:rsid w:val="00826AFF"/>
    <w:rsid w:val="0083269B"/>
    <w:rsid w:val="00841376"/>
    <w:rsid w:val="00844C13"/>
    <w:rsid w:val="0085376D"/>
    <w:rsid w:val="00857368"/>
    <w:rsid w:val="00864ED8"/>
    <w:rsid w:val="008704B4"/>
    <w:rsid w:val="008707AF"/>
    <w:rsid w:val="00872736"/>
    <w:rsid w:val="00875283"/>
    <w:rsid w:val="00891099"/>
    <w:rsid w:val="008945E9"/>
    <w:rsid w:val="00895CEC"/>
    <w:rsid w:val="008A1908"/>
    <w:rsid w:val="008A1BC0"/>
    <w:rsid w:val="008B4730"/>
    <w:rsid w:val="008C2367"/>
    <w:rsid w:val="008C3A47"/>
    <w:rsid w:val="008C4377"/>
    <w:rsid w:val="008C561F"/>
    <w:rsid w:val="008C609B"/>
    <w:rsid w:val="008D3369"/>
    <w:rsid w:val="008D3467"/>
    <w:rsid w:val="008D49B3"/>
    <w:rsid w:val="008D757C"/>
    <w:rsid w:val="008E7BC3"/>
    <w:rsid w:val="008F1BFF"/>
    <w:rsid w:val="008F74B1"/>
    <w:rsid w:val="00901CC6"/>
    <w:rsid w:val="009030B8"/>
    <w:rsid w:val="009033AA"/>
    <w:rsid w:val="00905075"/>
    <w:rsid w:val="0090562D"/>
    <w:rsid w:val="00907EA8"/>
    <w:rsid w:val="00911682"/>
    <w:rsid w:val="0091538C"/>
    <w:rsid w:val="0093244A"/>
    <w:rsid w:val="00932627"/>
    <w:rsid w:val="00933EA3"/>
    <w:rsid w:val="00942227"/>
    <w:rsid w:val="00942CA9"/>
    <w:rsid w:val="00950203"/>
    <w:rsid w:val="00952291"/>
    <w:rsid w:val="00952ED9"/>
    <w:rsid w:val="00956642"/>
    <w:rsid w:val="00960398"/>
    <w:rsid w:val="009645A3"/>
    <w:rsid w:val="00965407"/>
    <w:rsid w:val="00965E65"/>
    <w:rsid w:val="00965F75"/>
    <w:rsid w:val="00966E20"/>
    <w:rsid w:val="00976177"/>
    <w:rsid w:val="00977190"/>
    <w:rsid w:val="00980425"/>
    <w:rsid w:val="00985A5E"/>
    <w:rsid w:val="0099624D"/>
    <w:rsid w:val="009A2643"/>
    <w:rsid w:val="009A2BD2"/>
    <w:rsid w:val="009A5C6C"/>
    <w:rsid w:val="009B2307"/>
    <w:rsid w:val="009B27FC"/>
    <w:rsid w:val="009B5347"/>
    <w:rsid w:val="009B58CD"/>
    <w:rsid w:val="009B614D"/>
    <w:rsid w:val="009B6B04"/>
    <w:rsid w:val="009C0FCF"/>
    <w:rsid w:val="009C1EC0"/>
    <w:rsid w:val="009C5DCB"/>
    <w:rsid w:val="009C6261"/>
    <w:rsid w:val="009C6BC6"/>
    <w:rsid w:val="009D2B1E"/>
    <w:rsid w:val="009E30A4"/>
    <w:rsid w:val="009E3482"/>
    <w:rsid w:val="009E35AB"/>
    <w:rsid w:val="009E44DB"/>
    <w:rsid w:val="009E6331"/>
    <w:rsid w:val="009E6CE1"/>
    <w:rsid w:val="009F0AB1"/>
    <w:rsid w:val="009F52F5"/>
    <w:rsid w:val="00A00A3B"/>
    <w:rsid w:val="00A02C77"/>
    <w:rsid w:val="00A04189"/>
    <w:rsid w:val="00A0577E"/>
    <w:rsid w:val="00A07316"/>
    <w:rsid w:val="00A07696"/>
    <w:rsid w:val="00A078F8"/>
    <w:rsid w:val="00A11727"/>
    <w:rsid w:val="00A14A1E"/>
    <w:rsid w:val="00A20265"/>
    <w:rsid w:val="00A20F7C"/>
    <w:rsid w:val="00A34A98"/>
    <w:rsid w:val="00A43733"/>
    <w:rsid w:val="00A46D98"/>
    <w:rsid w:val="00A52510"/>
    <w:rsid w:val="00A56AF6"/>
    <w:rsid w:val="00A56EAC"/>
    <w:rsid w:val="00A575C0"/>
    <w:rsid w:val="00A637C4"/>
    <w:rsid w:val="00A653EE"/>
    <w:rsid w:val="00A717AF"/>
    <w:rsid w:val="00A73A51"/>
    <w:rsid w:val="00A765E8"/>
    <w:rsid w:val="00A77050"/>
    <w:rsid w:val="00A85C65"/>
    <w:rsid w:val="00A86ED1"/>
    <w:rsid w:val="00A874ED"/>
    <w:rsid w:val="00A93E17"/>
    <w:rsid w:val="00AA09BF"/>
    <w:rsid w:val="00AA2A98"/>
    <w:rsid w:val="00AB14B5"/>
    <w:rsid w:val="00AB4E5F"/>
    <w:rsid w:val="00AB5F39"/>
    <w:rsid w:val="00AB6D01"/>
    <w:rsid w:val="00AC0C29"/>
    <w:rsid w:val="00AC4C93"/>
    <w:rsid w:val="00AC5F2A"/>
    <w:rsid w:val="00AC7A85"/>
    <w:rsid w:val="00AD24B6"/>
    <w:rsid w:val="00AD3C79"/>
    <w:rsid w:val="00AD47D3"/>
    <w:rsid w:val="00AD7A8D"/>
    <w:rsid w:val="00AE0165"/>
    <w:rsid w:val="00AE0B8A"/>
    <w:rsid w:val="00AE0EFF"/>
    <w:rsid w:val="00AE13A4"/>
    <w:rsid w:val="00AE1A94"/>
    <w:rsid w:val="00AE1ADC"/>
    <w:rsid w:val="00AE7DFB"/>
    <w:rsid w:val="00AF1FA4"/>
    <w:rsid w:val="00AF4340"/>
    <w:rsid w:val="00B00956"/>
    <w:rsid w:val="00B03DD6"/>
    <w:rsid w:val="00B061ED"/>
    <w:rsid w:val="00B0623E"/>
    <w:rsid w:val="00B20485"/>
    <w:rsid w:val="00B20B69"/>
    <w:rsid w:val="00B225F8"/>
    <w:rsid w:val="00B319EC"/>
    <w:rsid w:val="00B33A71"/>
    <w:rsid w:val="00B33B6E"/>
    <w:rsid w:val="00B34619"/>
    <w:rsid w:val="00B36E78"/>
    <w:rsid w:val="00B438F2"/>
    <w:rsid w:val="00B514DC"/>
    <w:rsid w:val="00B5493C"/>
    <w:rsid w:val="00B568E4"/>
    <w:rsid w:val="00B5708B"/>
    <w:rsid w:val="00B570D7"/>
    <w:rsid w:val="00B627C9"/>
    <w:rsid w:val="00B67117"/>
    <w:rsid w:val="00B71F57"/>
    <w:rsid w:val="00B73788"/>
    <w:rsid w:val="00B73C9B"/>
    <w:rsid w:val="00B73D24"/>
    <w:rsid w:val="00B775C2"/>
    <w:rsid w:val="00B821D6"/>
    <w:rsid w:val="00B8621C"/>
    <w:rsid w:val="00B90396"/>
    <w:rsid w:val="00B97EF6"/>
    <w:rsid w:val="00BA1F02"/>
    <w:rsid w:val="00BA2C92"/>
    <w:rsid w:val="00BB1142"/>
    <w:rsid w:val="00BC02B0"/>
    <w:rsid w:val="00BC0ABB"/>
    <w:rsid w:val="00BC2970"/>
    <w:rsid w:val="00BC443E"/>
    <w:rsid w:val="00BD01EB"/>
    <w:rsid w:val="00BD6B63"/>
    <w:rsid w:val="00BD7016"/>
    <w:rsid w:val="00BD740E"/>
    <w:rsid w:val="00BE06E8"/>
    <w:rsid w:val="00BE2E71"/>
    <w:rsid w:val="00BE3443"/>
    <w:rsid w:val="00BE51EF"/>
    <w:rsid w:val="00BE7A58"/>
    <w:rsid w:val="00BE7B1D"/>
    <w:rsid w:val="00BF07FF"/>
    <w:rsid w:val="00BF0E99"/>
    <w:rsid w:val="00BF6EEF"/>
    <w:rsid w:val="00C039AA"/>
    <w:rsid w:val="00C03C76"/>
    <w:rsid w:val="00C0436A"/>
    <w:rsid w:val="00C07498"/>
    <w:rsid w:val="00C07BC1"/>
    <w:rsid w:val="00C10574"/>
    <w:rsid w:val="00C16C35"/>
    <w:rsid w:val="00C22782"/>
    <w:rsid w:val="00C2452D"/>
    <w:rsid w:val="00C25498"/>
    <w:rsid w:val="00C275CF"/>
    <w:rsid w:val="00C35FA2"/>
    <w:rsid w:val="00C4783E"/>
    <w:rsid w:val="00C5761A"/>
    <w:rsid w:val="00C60D3C"/>
    <w:rsid w:val="00C63656"/>
    <w:rsid w:val="00C643B5"/>
    <w:rsid w:val="00C711B4"/>
    <w:rsid w:val="00C74011"/>
    <w:rsid w:val="00C74600"/>
    <w:rsid w:val="00C751B6"/>
    <w:rsid w:val="00C75C84"/>
    <w:rsid w:val="00C76B47"/>
    <w:rsid w:val="00C8167A"/>
    <w:rsid w:val="00C83657"/>
    <w:rsid w:val="00C85495"/>
    <w:rsid w:val="00C85F64"/>
    <w:rsid w:val="00C93273"/>
    <w:rsid w:val="00C957B3"/>
    <w:rsid w:val="00C964B0"/>
    <w:rsid w:val="00C96ED8"/>
    <w:rsid w:val="00CA02D8"/>
    <w:rsid w:val="00CA04AD"/>
    <w:rsid w:val="00CA4436"/>
    <w:rsid w:val="00CA7554"/>
    <w:rsid w:val="00CB09C6"/>
    <w:rsid w:val="00CB6E48"/>
    <w:rsid w:val="00CC1D5E"/>
    <w:rsid w:val="00CC3191"/>
    <w:rsid w:val="00CC332C"/>
    <w:rsid w:val="00CC3B34"/>
    <w:rsid w:val="00CC5D8D"/>
    <w:rsid w:val="00CC6BB1"/>
    <w:rsid w:val="00CD4563"/>
    <w:rsid w:val="00CD6FE8"/>
    <w:rsid w:val="00CE02AB"/>
    <w:rsid w:val="00CE1024"/>
    <w:rsid w:val="00CE303D"/>
    <w:rsid w:val="00CE3706"/>
    <w:rsid w:val="00CE5537"/>
    <w:rsid w:val="00CE5890"/>
    <w:rsid w:val="00CF06C9"/>
    <w:rsid w:val="00CF3CB3"/>
    <w:rsid w:val="00CF5C94"/>
    <w:rsid w:val="00CF7B1B"/>
    <w:rsid w:val="00D04644"/>
    <w:rsid w:val="00D1189B"/>
    <w:rsid w:val="00D12346"/>
    <w:rsid w:val="00D12D18"/>
    <w:rsid w:val="00D16B7F"/>
    <w:rsid w:val="00D16F73"/>
    <w:rsid w:val="00D17FFB"/>
    <w:rsid w:val="00D31B51"/>
    <w:rsid w:val="00D33941"/>
    <w:rsid w:val="00D33CA1"/>
    <w:rsid w:val="00D362FF"/>
    <w:rsid w:val="00D404AE"/>
    <w:rsid w:val="00D41A48"/>
    <w:rsid w:val="00D456A0"/>
    <w:rsid w:val="00D4670F"/>
    <w:rsid w:val="00D515D2"/>
    <w:rsid w:val="00D5192E"/>
    <w:rsid w:val="00D53199"/>
    <w:rsid w:val="00D57988"/>
    <w:rsid w:val="00D63AD4"/>
    <w:rsid w:val="00D63FB3"/>
    <w:rsid w:val="00D67146"/>
    <w:rsid w:val="00D71A64"/>
    <w:rsid w:val="00D71D50"/>
    <w:rsid w:val="00D7430E"/>
    <w:rsid w:val="00D75CDE"/>
    <w:rsid w:val="00D83191"/>
    <w:rsid w:val="00D83B95"/>
    <w:rsid w:val="00D8505E"/>
    <w:rsid w:val="00D85B19"/>
    <w:rsid w:val="00D86D33"/>
    <w:rsid w:val="00D93FB1"/>
    <w:rsid w:val="00D94760"/>
    <w:rsid w:val="00DB12BE"/>
    <w:rsid w:val="00DB3DEE"/>
    <w:rsid w:val="00DB4479"/>
    <w:rsid w:val="00DB5A3C"/>
    <w:rsid w:val="00DC18C2"/>
    <w:rsid w:val="00DC34D8"/>
    <w:rsid w:val="00DC5079"/>
    <w:rsid w:val="00DD0A27"/>
    <w:rsid w:val="00DD3B47"/>
    <w:rsid w:val="00DE0835"/>
    <w:rsid w:val="00DE09C1"/>
    <w:rsid w:val="00DE6A36"/>
    <w:rsid w:val="00DE7C9B"/>
    <w:rsid w:val="00DE7CFE"/>
    <w:rsid w:val="00DF049F"/>
    <w:rsid w:val="00DF1495"/>
    <w:rsid w:val="00DF4967"/>
    <w:rsid w:val="00DF6A88"/>
    <w:rsid w:val="00DF7A88"/>
    <w:rsid w:val="00E01779"/>
    <w:rsid w:val="00E05297"/>
    <w:rsid w:val="00E124B4"/>
    <w:rsid w:val="00E20210"/>
    <w:rsid w:val="00E2094E"/>
    <w:rsid w:val="00E214F2"/>
    <w:rsid w:val="00E21AF6"/>
    <w:rsid w:val="00E23143"/>
    <w:rsid w:val="00E25E73"/>
    <w:rsid w:val="00E26027"/>
    <w:rsid w:val="00E26FB7"/>
    <w:rsid w:val="00E27A1A"/>
    <w:rsid w:val="00E31CC2"/>
    <w:rsid w:val="00E31DBD"/>
    <w:rsid w:val="00E359E5"/>
    <w:rsid w:val="00E36011"/>
    <w:rsid w:val="00E40369"/>
    <w:rsid w:val="00E44972"/>
    <w:rsid w:val="00E45CD7"/>
    <w:rsid w:val="00E46193"/>
    <w:rsid w:val="00E46729"/>
    <w:rsid w:val="00E507BE"/>
    <w:rsid w:val="00E516BA"/>
    <w:rsid w:val="00E525CF"/>
    <w:rsid w:val="00E531F2"/>
    <w:rsid w:val="00E664F1"/>
    <w:rsid w:val="00E6754F"/>
    <w:rsid w:val="00E67621"/>
    <w:rsid w:val="00E7158F"/>
    <w:rsid w:val="00E722BB"/>
    <w:rsid w:val="00E73369"/>
    <w:rsid w:val="00E73540"/>
    <w:rsid w:val="00E746F8"/>
    <w:rsid w:val="00E80AF9"/>
    <w:rsid w:val="00E80EB7"/>
    <w:rsid w:val="00E85519"/>
    <w:rsid w:val="00E874AA"/>
    <w:rsid w:val="00E874EF"/>
    <w:rsid w:val="00E91E90"/>
    <w:rsid w:val="00E95C89"/>
    <w:rsid w:val="00EA20C9"/>
    <w:rsid w:val="00EA236A"/>
    <w:rsid w:val="00EA431D"/>
    <w:rsid w:val="00EB44BD"/>
    <w:rsid w:val="00EB60D5"/>
    <w:rsid w:val="00EC15D9"/>
    <w:rsid w:val="00EC5464"/>
    <w:rsid w:val="00EC62D8"/>
    <w:rsid w:val="00EC66D7"/>
    <w:rsid w:val="00EC6D65"/>
    <w:rsid w:val="00EC6D75"/>
    <w:rsid w:val="00ED078D"/>
    <w:rsid w:val="00ED4F87"/>
    <w:rsid w:val="00ED7242"/>
    <w:rsid w:val="00EE3E7F"/>
    <w:rsid w:val="00EE70BC"/>
    <w:rsid w:val="00EF64B0"/>
    <w:rsid w:val="00F02353"/>
    <w:rsid w:val="00F062AF"/>
    <w:rsid w:val="00F116F6"/>
    <w:rsid w:val="00F13635"/>
    <w:rsid w:val="00F17232"/>
    <w:rsid w:val="00F201E6"/>
    <w:rsid w:val="00F2044B"/>
    <w:rsid w:val="00F24BEA"/>
    <w:rsid w:val="00F267B9"/>
    <w:rsid w:val="00F31790"/>
    <w:rsid w:val="00F463A7"/>
    <w:rsid w:val="00F5475E"/>
    <w:rsid w:val="00F547F0"/>
    <w:rsid w:val="00F56A9A"/>
    <w:rsid w:val="00F64BC6"/>
    <w:rsid w:val="00F66AE4"/>
    <w:rsid w:val="00F711B2"/>
    <w:rsid w:val="00F72278"/>
    <w:rsid w:val="00F7267D"/>
    <w:rsid w:val="00F8085D"/>
    <w:rsid w:val="00F81030"/>
    <w:rsid w:val="00F853D9"/>
    <w:rsid w:val="00F872E0"/>
    <w:rsid w:val="00F901E1"/>
    <w:rsid w:val="00F90EE3"/>
    <w:rsid w:val="00F91C60"/>
    <w:rsid w:val="00F9423F"/>
    <w:rsid w:val="00F973E1"/>
    <w:rsid w:val="00FA0E54"/>
    <w:rsid w:val="00FA17D0"/>
    <w:rsid w:val="00FA24E1"/>
    <w:rsid w:val="00FA4A18"/>
    <w:rsid w:val="00FB511C"/>
    <w:rsid w:val="00FB5368"/>
    <w:rsid w:val="00FD1DC9"/>
    <w:rsid w:val="00FD21E9"/>
    <w:rsid w:val="00FD7AD8"/>
    <w:rsid w:val="00FE20DE"/>
    <w:rsid w:val="00FE2C96"/>
    <w:rsid w:val="00FE2EF2"/>
    <w:rsid w:val="00FE336B"/>
    <w:rsid w:val="00FE42F2"/>
    <w:rsid w:val="00FE53C2"/>
    <w:rsid w:val="00FE6A20"/>
    <w:rsid w:val="00FE77DB"/>
    <w:rsid w:val="00FF18C3"/>
    <w:rsid w:val="00FF2605"/>
    <w:rsid w:val="00FF6008"/>
    <w:rsid w:val="00FF62B1"/>
    <w:rsid w:val="02032024"/>
    <w:rsid w:val="057818E1"/>
    <w:rsid w:val="07547101"/>
    <w:rsid w:val="0ABB01BB"/>
    <w:rsid w:val="0D057B5D"/>
    <w:rsid w:val="0DD014D8"/>
    <w:rsid w:val="121B0DDB"/>
    <w:rsid w:val="14F5235A"/>
    <w:rsid w:val="157C4C14"/>
    <w:rsid w:val="169E46A9"/>
    <w:rsid w:val="1FE822CD"/>
    <w:rsid w:val="21D21EDD"/>
    <w:rsid w:val="22122567"/>
    <w:rsid w:val="23A61D56"/>
    <w:rsid w:val="257F6755"/>
    <w:rsid w:val="276A1EBA"/>
    <w:rsid w:val="2E716D50"/>
    <w:rsid w:val="306003A8"/>
    <w:rsid w:val="34252315"/>
    <w:rsid w:val="347700BE"/>
    <w:rsid w:val="4484778B"/>
    <w:rsid w:val="4F2F6D1C"/>
    <w:rsid w:val="506C1023"/>
    <w:rsid w:val="51107396"/>
    <w:rsid w:val="6B6769EC"/>
    <w:rsid w:val="6E6C7247"/>
    <w:rsid w:val="6ED35F1E"/>
    <w:rsid w:val="6F69784D"/>
    <w:rsid w:val="76585231"/>
    <w:rsid w:val="7699176B"/>
    <w:rsid w:val="790D7737"/>
    <w:rsid w:val="7A792D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39" w:semiHidden="0" w:name="toc 4"/>
    <w:lsdException w:qFormat="1" w:unhideWhenUsed="0"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nhideWhenUsed="0" w:uiPriority="8"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99" w:semiHidden="0" w:name="Message Header"/>
    <w:lsdException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480" w:firstLineChars="200"/>
      <w:jc w:val="both"/>
    </w:pPr>
    <w:rPr>
      <w:rFonts w:ascii="Times New Roman" w:hAnsi="Times New Roman" w:eastAsia="宋体" w:cstheme="minorBidi"/>
      <w:kern w:val="2"/>
      <w:sz w:val="24"/>
      <w:szCs w:val="21"/>
      <w:lang w:val="en-US" w:eastAsia="zh-CN" w:bidi="ar-SA"/>
    </w:rPr>
  </w:style>
  <w:style w:type="paragraph" w:styleId="3">
    <w:name w:val="heading 1"/>
    <w:next w:val="1"/>
    <w:link w:val="34"/>
    <w:qFormat/>
    <w:uiPriority w:val="0"/>
    <w:pPr>
      <w:keepNext/>
      <w:keepLines/>
      <w:numPr>
        <w:ilvl w:val="0"/>
        <w:numId w:val="1"/>
      </w:numPr>
      <w:spacing w:line="360" w:lineRule="auto"/>
      <w:jc w:val="center"/>
      <w:outlineLvl w:val="0"/>
    </w:pPr>
    <w:rPr>
      <w:rFonts w:ascii="Times New Roman" w:hAnsi="Times New Roman" w:eastAsia="宋体" w:cstheme="minorBidi"/>
      <w:b/>
      <w:bCs/>
      <w:kern w:val="44"/>
      <w:sz w:val="28"/>
      <w:szCs w:val="44"/>
      <w:lang w:val="en-US" w:eastAsia="zh-CN" w:bidi="ar-SA"/>
    </w:rPr>
  </w:style>
  <w:style w:type="paragraph" w:styleId="4">
    <w:name w:val="heading 2"/>
    <w:basedOn w:val="1"/>
    <w:next w:val="1"/>
    <w:link w:val="35"/>
    <w:qFormat/>
    <w:uiPriority w:val="0"/>
    <w:pPr>
      <w:keepNext/>
      <w:keepLines/>
      <w:numPr>
        <w:ilvl w:val="1"/>
        <w:numId w:val="1"/>
      </w:numPr>
      <w:ind w:firstLine="0"/>
      <w:outlineLvl w:val="1"/>
    </w:pPr>
    <w:rPr>
      <w:rFonts w:cstheme="majorBidi"/>
      <w:b/>
      <w:bCs/>
      <w:szCs w:val="32"/>
    </w:rPr>
  </w:style>
  <w:style w:type="paragraph" w:styleId="5">
    <w:name w:val="heading 3"/>
    <w:basedOn w:val="1"/>
    <w:next w:val="1"/>
    <w:link w:val="36"/>
    <w:qFormat/>
    <w:uiPriority w:val="0"/>
    <w:pPr>
      <w:keepNext/>
      <w:keepLines/>
      <w:numPr>
        <w:ilvl w:val="2"/>
        <w:numId w:val="1"/>
      </w:numPr>
      <w:spacing w:line="360" w:lineRule="auto"/>
      <w:jc w:val="both"/>
      <w:outlineLvl w:val="2"/>
    </w:pPr>
    <w:rPr>
      <w:rFonts w:ascii="Times New Roman" w:hAnsi="Times New Roman" w:eastAsia="宋体" w:cstheme="minorBidi"/>
      <w:bCs/>
      <w:kern w:val="2"/>
      <w:sz w:val="24"/>
      <w:szCs w:val="32"/>
      <w:lang w:val="en-US" w:eastAsia="zh-CN" w:bidi="ar-SA"/>
    </w:rPr>
  </w:style>
  <w:style w:type="paragraph" w:styleId="6">
    <w:name w:val="heading 4"/>
    <w:basedOn w:val="1"/>
    <w:next w:val="1"/>
    <w:link w:val="37"/>
    <w:qFormat/>
    <w:uiPriority w:val="0"/>
    <w:pPr>
      <w:keepNext/>
      <w:keepLines/>
      <w:numPr>
        <w:ilvl w:val="3"/>
        <w:numId w:val="1"/>
      </w:numPr>
      <w:ind w:left="0"/>
      <w:outlineLvl w:val="3"/>
    </w:pPr>
    <w:rPr>
      <w:rFonts w:cstheme="majorBidi"/>
      <w:bCs/>
      <w:szCs w:val="28"/>
    </w:rPr>
  </w:style>
  <w:style w:type="paragraph" w:styleId="7">
    <w:name w:val="heading 5"/>
    <w:basedOn w:val="1"/>
    <w:next w:val="1"/>
    <w:link w:val="38"/>
    <w:unhideWhenUsed/>
    <w:qFormat/>
    <w:uiPriority w:val="99"/>
    <w:pPr>
      <w:keepNext/>
      <w:keepLines/>
      <w:spacing w:before="280" w:after="290" w:line="376" w:lineRule="auto"/>
      <w:outlineLvl w:val="4"/>
    </w:pPr>
    <w:rPr>
      <w:b/>
      <w:bCs/>
      <w:sz w:val="28"/>
      <w:szCs w:val="28"/>
    </w:rPr>
  </w:style>
  <w:style w:type="paragraph" w:styleId="8">
    <w:name w:val="heading 8"/>
    <w:basedOn w:val="1"/>
    <w:next w:val="1"/>
    <w:link w:val="39"/>
    <w:semiHidden/>
    <w:unhideWhenUsed/>
    <w:qFormat/>
    <w:uiPriority w:val="9"/>
    <w:pPr>
      <w:keepNext/>
      <w:keepLines/>
      <w:spacing w:before="240" w:after="64" w:line="320" w:lineRule="auto"/>
      <w:outlineLvl w:val="7"/>
    </w:pPr>
    <w:rPr>
      <w:rFonts w:asciiTheme="majorHAnsi" w:hAnsiTheme="majorHAnsi" w:eastAsiaTheme="majorEastAsia" w:cstheme="majorBidi"/>
      <w:szCs w:val="24"/>
    </w:rPr>
  </w:style>
  <w:style w:type="character" w:default="1" w:styleId="31">
    <w:name w:val="Default Paragraph Font"/>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link w:val="99"/>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Cs w:val="24"/>
    </w:rPr>
  </w:style>
  <w:style w:type="paragraph" w:styleId="9">
    <w:name w:val="toc 7"/>
    <w:basedOn w:val="1"/>
    <w:next w:val="1"/>
    <w:unhideWhenUsed/>
    <w:qFormat/>
    <w:uiPriority w:val="39"/>
    <w:pPr>
      <w:spacing w:line="240" w:lineRule="auto"/>
      <w:ind w:left="2520" w:leftChars="1200" w:firstLine="0" w:firstLineChars="0"/>
    </w:pPr>
    <w:rPr>
      <w:rFonts w:asciiTheme="minorHAnsi" w:hAnsiTheme="minorHAnsi" w:eastAsiaTheme="minorEastAsia"/>
      <w:sz w:val="21"/>
      <w:szCs w:val="22"/>
    </w:rPr>
  </w:style>
  <w:style w:type="paragraph" w:styleId="10">
    <w:name w:val="Document Map"/>
    <w:basedOn w:val="1"/>
    <w:link w:val="85"/>
    <w:semiHidden/>
    <w:unhideWhenUsed/>
    <w:qFormat/>
    <w:uiPriority w:val="99"/>
    <w:pPr>
      <w:ind w:firstLine="200"/>
    </w:pPr>
    <w:rPr>
      <w:rFonts w:ascii="宋体" w:hAnsi="Calibri" w:cs="Times New Roman"/>
      <w:kern w:val="0"/>
      <w:sz w:val="18"/>
      <w:szCs w:val="18"/>
    </w:rPr>
  </w:style>
  <w:style w:type="paragraph" w:styleId="11">
    <w:name w:val="annotation text"/>
    <w:basedOn w:val="1"/>
    <w:link w:val="79"/>
    <w:semiHidden/>
    <w:unhideWhenUsed/>
    <w:qFormat/>
    <w:uiPriority w:val="99"/>
    <w:pPr>
      <w:jc w:val="left"/>
    </w:pPr>
  </w:style>
  <w:style w:type="paragraph" w:styleId="12">
    <w:name w:val="Body Text"/>
    <w:basedOn w:val="1"/>
    <w:link w:val="40"/>
    <w:semiHidden/>
    <w:unhideWhenUsed/>
    <w:qFormat/>
    <w:uiPriority w:val="0"/>
    <w:pPr>
      <w:spacing w:after="120"/>
    </w:pPr>
  </w:style>
  <w:style w:type="paragraph" w:styleId="13">
    <w:name w:val="toc 5"/>
    <w:basedOn w:val="1"/>
    <w:next w:val="1"/>
    <w:qFormat/>
    <w:uiPriority w:val="39"/>
    <w:pPr>
      <w:spacing w:line="240" w:lineRule="auto"/>
      <w:ind w:left="1680" w:leftChars="800" w:firstLine="0" w:firstLineChars="0"/>
    </w:pPr>
    <w:rPr>
      <w:rFonts w:asciiTheme="minorHAnsi" w:hAnsiTheme="minorHAnsi" w:eastAsiaTheme="minorEastAsia"/>
      <w:sz w:val="21"/>
      <w:szCs w:val="22"/>
    </w:rPr>
  </w:style>
  <w:style w:type="paragraph" w:styleId="14">
    <w:name w:val="toc 3"/>
    <w:next w:val="1"/>
    <w:unhideWhenUsed/>
    <w:qFormat/>
    <w:uiPriority w:val="39"/>
    <w:pPr>
      <w:tabs>
        <w:tab w:val="right" w:leader="dot" w:pos="8834"/>
      </w:tabs>
      <w:spacing w:line="360" w:lineRule="auto"/>
      <w:ind w:firstLine="480" w:firstLineChars="200"/>
      <w:jc w:val="both"/>
    </w:pPr>
    <w:rPr>
      <w:rFonts w:ascii="Times New Roman" w:hAnsi="Times New Roman" w:eastAsia="宋体" w:cstheme="minorBidi"/>
      <w:kern w:val="2"/>
      <w:sz w:val="24"/>
      <w:szCs w:val="21"/>
      <w:lang w:val="en-US" w:eastAsia="zh-CN" w:bidi="ar-SA"/>
    </w:rPr>
  </w:style>
  <w:style w:type="paragraph" w:styleId="15">
    <w:name w:val="toc 8"/>
    <w:basedOn w:val="1"/>
    <w:next w:val="1"/>
    <w:unhideWhenUsed/>
    <w:qFormat/>
    <w:uiPriority w:val="39"/>
    <w:pPr>
      <w:spacing w:line="240" w:lineRule="auto"/>
      <w:ind w:left="2940" w:leftChars="1400" w:firstLine="0" w:firstLineChars="0"/>
    </w:pPr>
    <w:rPr>
      <w:rFonts w:asciiTheme="minorHAnsi" w:hAnsiTheme="minorHAnsi" w:eastAsiaTheme="minorEastAsia"/>
      <w:sz w:val="21"/>
      <w:szCs w:val="22"/>
    </w:rPr>
  </w:style>
  <w:style w:type="paragraph" w:styleId="16">
    <w:name w:val="Date"/>
    <w:basedOn w:val="1"/>
    <w:next w:val="1"/>
    <w:link w:val="82"/>
    <w:semiHidden/>
    <w:unhideWhenUsed/>
    <w:qFormat/>
    <w:uiPriority w:val="99"/>
    <w:pPr>
      <w:ind w:left="100" w:leftChars="2500"/>
    </w:pPr>
  </w:style>
  <w:style w:type="paragraph" w:styleId="17">
    <w:name w:val="Body Text Indent 2"/>
    <w:basedOn w:val="1"/>
    <w:link w:val="72"/>
    <w:semiHidden/>
    <w:unhideWhenUsed/>
    <w:qFormat/>
    <w:uiPriority w:val="99"/>
    <w:pPr>
      <w:spacing w:after="120" w:line="480" w:lineRule="auto"/>
      <w:ind w:left="420" w:leftChars="200"/>
    </w:pPr>
  </w:style>
  <w:style w:type="paragraph" w:styleId="18">
    <w:name w:val="Balloon Text"/>
    <w:basedOn w:val="1"/>
    <w:link w:val="41"/>
    <w:semiHidden/>
    <w:unhideWhenUsed/>
    <w:qFormat/>
    <w:uiPriority w:val="99"/>
    <w:pPr>
      <w:spacing w:line="240" w:lineRule="auto"/>
    </w:pPr>
    <w:rPr>
      <w:sz w:val="18"/>
      <w:szCs w:val="18"/>
    </w:rPr>
  </w:style>
  <w:style w:type="paragraph" w:styleId="19">
    <w:name w:val="footer"/>
    <w:basedOn w:val="1"/>
    <w:link w:val="42"/>
    <w:qFormat/>
    <w:uiPriority w:val="99"/>
    <w:pPr>
      <w:tabs>
        <w:tab w:val="center" w:pos="4153"/>
        <w:tab w:val="right" w:pos="8306"/>
      </w:tabs>
      <w:snapToGrid w:val="0"/>
      <w:ind w:firstLine="0" w:firstLineChars="0"/>
      <w:jc w:val="center"/>
    </w:pPr>
    <w:rPr>
      <w:sz w:val="21"/>
      <w:szCs w:val="18"/>
    </w:rPr>
  </w:style>
  <w:style w:type="paragraph" w:styleId="20">
    <w:name w:val="header"/>
    <w:basedOn w:val="1"/>
    <w:link w:val="43"/>
    <w:qFormat/>
    <w:uiPriority w:val="8"/>
    <w:pPr>
      <w:pBdr>
        <w:bottom w:val="single" w:color="auto" w:sz="6" w:space="1"/>
      </w:pBdr>
      <w:tabs>
        <w:tab w:val="center" w:pos="4153"/>
        <w:tab w:val="right" w:pos="8306"/>
      </w:tabs>
      <w:snapToGrid w:val="0"/>
      <w:spacing w:line="240" w:lineRule="auto"/>
      <w:ind w:firstLine="0" w:firstLineChars="0"/>
      <w:jc w:val="center"/>
    </w:pPr>
    <w:rPr>
      <w:sz w:val="21"/>
      <w:szCs w:val="18"/>
    </w:rPr>
  </w:style>
  <w:style w:type="paragraph" w:styleId="21">
    <w:name w:val="toc 1"/>
    <w:next w:val="1"/>
    <w:unhideWhenUsed/>
    <w:qFormat/>
    <w:uiPriority w:val="39"/>
    <w:pPr>
      <w:spacing w:line="360" w:lineRule="auto"/>
      <w:jc w:val="both"/>
    </w:pPr>
    <w:rPr>
      <w:rFonts w:ascii="Times New Roman" w:hAnsi="Times New Roman" w:eastAsia="宋体" w:cstheme="minorBidi"/>
      <w:b/>
      <w:kern w:val="2"/>
      <w:sz w:val="28"/>
      <w:szCs w:val="21"/>
      <w:lang w:val="en-US" w:eastAsia="zh-CN" w:bidi="ar-SA"/>
    </w:rPr>
  </w:style>
  <w:style w:type="paragraph" w:styleId="22">
    <w:name w:val="toc 4"/>
    <w:basedOn w:val="1"/>
    <w:next w:val="1"/>
    <w:qFormat/>
    <w:uiPriority w:val="39"/>
    <w:pPr>
      <w:spacing w:line="240" w:lineRule="auto"/>
      <w:ind w:left="1260" w:leftChars="600" w:firstLine="0" w:firstLineChars="0"/>
    </w:pPr>
    <w:rPr>
      <w:rFonts w:asciiTheme="minorHAnsi" w:hAnsiTheme="minorHAnsi" w:eastAsiaTheme="minorEastAsia"/>
      <w:sz w:val="21"/>
      <w:szCs w:val="22"/>
    </w:rPr>
  </w:style>
  <w:style w:type="paragraph" w:styleId="23">
    <w:name w:val="List"/>
    <w:basedOn w:val="1"/>
    <w:semiHidden/>
    <w:unhideWhenUsed/>
    <w:qFormat/>
    <w:uiPriority w:val="99"/>
    <w:pPr>
      <w:ind w:left="200" w:hanging="200" w:hangingChars="200"/>
      <w:contextualSpacing/>
    </w:pPr>
  </w:style>
  <w:style w:type="paragraph" w:styleId="24">
    <w:name w:val="toc 6"/>
    <w:basedOn w:val="1"/>
    <w:next w:val="1"/>
    <w:unhideWhenUsed/>
    <w:qFormat/>
    <w:uiPriority w:val="39"/>
    <w:pPr>
      <w:spacing w:line="240" w:lineRule="auto"/>
      <w:ind w:left="2100" w:leftChars="1000" w:firstLine="0" w:firstLineChars="0"/>
    </w:pPr>
    <w:rPr>
      <w:rFonts w:asciiTheme="minorHAnsi" w:hAnsiTheme="minorHAnsi" w:eastAsiaTheme="minorEastAsia"/>
      <w:sz w:val="21"/>
      <w:szCs w:val="22"/>
    </w:rPr>
  </w:style>
  <w:style w:type="paragraph" w:styleId="25">
    <w:name w:val="toc 2"/>
    <w:next w:val="1"/>
    <w:unhideWhenUsed/>
    <w:qFormat/>
    <w:uiPriority w:val="39"/>
    <w:pPr>
      <w:spacing w:line="360" w:lineRule="auto"/>
      <w:ind w:firstLine="100" w:firstLineChars="100"/>
    </w:pPr>
    <w:rPr>
      <w:rFonts w:ascii="Times New Roman" w:hAnsi="Times New Roman" w:eastAsia="宋体" w:cstheme="minorBidi"/>
      <w:kern w:val="2"/>
      <w:sz w:val="24"/>
      <w:szCs w:val="21"/>
      <w:lang w:val="en-US" w:eastAsia="zh-CN" w:bidi="ar-SA"/>
    </w:rPr>
  </w:style>
  <w:style w:type="paragraph" w:styleId="26">
    <w:name w:val="toc 9"/>
    <w:basedOn w:val="1"/>
    <w:next w:val="1"/>
    <w:unhideWhenUsed/>
    <w:qFormat/>
    <w:uiPriority w:val="39"/>
    <w:pPr>
      <w:spacing w:line="240" w:lineRule="auto"/>
      <w:ind w:left="3360" w:leftChars="1600" w:firstLine="0" w:firstLineChars="0"/>
    </w:pPr>
    <w:rPr>
      <w:rFonts w:asciiTheme="minorHAnsi" w:hAnsiTheme="minorHAnsi" w:eastAsiaTheme="minorEastAsia"/>
      <w:sz w:val="21"/>
      <w:szCs w:val="22"/>
    </w:rPr>
  </w:style>
  <w:style w:type="paragraph" w:styleId="27">
    <w:name w:val="Body Text 2"/>
    <w:basedOn w:val="1"/>
    <w:link w:val="81"/>
    <w:semiHidden/>
    <w:unhideWhenUsed/>
    <w:qFormat/>
    <w:uiPriority w:val="99"/>
    <w:pPr>
      <w:spacing w:after="120" w:line="480" w:lineRule="auto"/>
    </w:pPr>
  </w:style>
  <w:style w:type="paragraph" w:styleId="28">
    <w:name w:val="annotation subject"/>
    <w:basedOn w:val="11"/>
    <w:next w:val="11"/>
    <w:link w:val="80"/>
    <w:semiHidden/>
    <w:unhideWhenUsed/>
    <w:qFormat/>
    <w:uiPriority w:val="99"/>
    <w:rPr>
      <w:b/>
      <w:bCs/>
    </w:rPr>
  </w:style>
  <w:style w:type="table" w:styleId="30">
    <w:name w:val="Table Grid"/>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Hyperlink"/>
    <w:basedOn w:val="31"/>
    <w:unhideWhenUsed/>
    <w:qFormat/>
    <w:uiPriority w:val="99"/>
    <w:rPr>
      <w:color w:val="0563C1" w:themeColor="hyperlink"/>
      <w:u w:val="single"/>
      <w14:textFill>
        <w14:solidFill>
          <w14:schemeClr w14:val="hlink"/>
        </w14:solidFill>
      </w14:textFill>
    </w:rPr>
  </w:style>
  <w:style w:type="character" w:styleId="33">
    <w:name w:val="annotation reference"/>
    <w:basedOn w:val="31"/>
    <w:semiHidden/>
    <w:unhideWhenUsed/>
    <w:qFormat/>
    <w:uiPriority w:val="99"/>
    <w:rPr>
      <w:sz w:val="21"/>
      <w:szCs w:val="21"/>
    </w:rPr>
  </w:style>
  <w:style w:type="character" w:customStyle="1" w:styleId="34">
    <w:name w:val="标题 1 字符"/>
    <w:basedOn w:val="31"/>
    <w:link w:val="3"/>
    <w:qFormat/>
    <w:uiPriority w:val="9"/>
    <w:rPr>
      <w:rFonts w:ascii="Times New Roman" w:hAnsi="Times New Roman" w:eastAsia="宋体"/>
      <w:b/>
      <w:bCs/>
      <w:kern w:val="44"/>
      <w:sz w:val="28"/>
      <w:szCs w:val="44"/>
    </w:rPr>
  </w:style>
  <w:style w:type="character" w:customStyle="1" w:styleId="35">
    <w:name w:val="标题 2 字符"/>
    <w:basedOn w:val="31"/>
    <w:link w:val="4"/>
    <w:qFormat/>
    <w:uiPriority w:val="9"/>
    <w:rPr>
      <w:rFonts w:ascii="Times New Roman" w:hAnsi="Times New Roman" w:eastAsia="宋体" w:cstheme="majorBidi"/>
      <w:b/>
      <w:bCs/>
      <w:sz w:val="24"/>
      <w:szCs w:val="32"/>
    </w:rPr>
  </w:style>
  <w:style w:type="character" w:customStyle="1" w:styleId="36">
    <w:name w:val="标题 3 字符"/>
    <w:basedOn w:val="31"/>
    <w:link w:val="5"/>
    <w:qFormat/>
    <w:uiPriority w:val="0"/>
    <w:rPr>
      <w:rFonts w:ascii="Times New Roman" w:hAnsi="Times New Roman" w:eastAsia="宋体"/>
      <w:bCs/>
      <w:sz w:val="24"/>
      <w:szCs w:val="32"/>
    </w:rPr>
  </w:style>
  <w:style w:type="character" w:customStyle="1" w:styleId="37">
    <w:name w:val="标题 4 字符"/>
    <w:basedOn w:val="31"/>
    <w:link w:val="6"/>
    <w:qFormat/>
    <w:uiPriority w:val="0"/>
    <w:rPr>
      <w:rFonts w:ascii="Times New Roman" w:hAnsi="Times New Roman" w:eastAsia="宋体" w:cstheme="majorBidi"/>
      <w:bCs/>
      <w:sz w:val="24"/>
      <w:szCs w:val="28"/>
    </w:rPr>
  </w:style>
  <w:style w:type="character" w:customStyle="1" w:styleId="38">
    <w:name w:val="标题 5 字符"/>
    <w:basedOn w:val="31"/>
    <w:link w:val="7"/>
    <w:qFormat/>
    <w:uiPriority w:val="99"/>
    <w:rPr>
      <w:rFonts w:ascii="Times New Roman" w:hAnsi="Times New Roman" w:eastAsia="宋体"/>
      <w:b/>
      <w:bCs/>
      <w:sz w:val="28"/>
      <w:szCs w:val="28"/>
    </w:rPr>
  </w:style>
  <w:style w:type="character" w:customStyle="1" w:styleId="39">
    <w:name w:val="标题 8 字符"/>
    <w:basedOn w:val="31"/>
    <w:link w:val="8"/>
    <w:semiHidden/>
    <w:qFormat/>
    <w:uiPriority w:val="9"/>
    <w:rPr>
      <w:rFonts w:asciiTheme="majorHAnsi" w:hAnsiTheme="majorHAnsi" w:eastAsiaTheme="majorEastAsia" w:cstheme="majorBidi"/>
      <w:kern w:val="2"/>
      <w:sz w:val="24"/>
      <w:szCs w:val="24"/>
    </w:rPr>
  </w:style>
  <w:style w:type="character" w:customStyle="1" w:styleId="40">
    <w:name w:val="正文文本 字符"/>
    <w:basedOn w:val="31"/>
    <w:link w:val="12"/>
    <w:semiHidden/>
    <w:qFormat/>
    <w:uiPriority w:val="0"/>
    <w:rPr>
      <w:rFonts w:ascii="Times New Roman" w:hAnsi="Times New Roman" w:eastAsia="宋体"/>
      <w:sz w:val="24"/>
    </w:rPr>
  </w:style>
  <w:style w:type="character" w:customStyle="1" w:styleId="41">
    <w:name w:val="批注框文本 字符"/>
    <w:basedOn w:val="31"/>
    <w:link w:val="18"/>
    <w:semiHidden/>
    <w:qFormat/>
    <w:uiPriority w:val="99"/>
    <w:rPr>
      <w:rFonts w:ascii="Times New Roman" w:hAnsi="Times New Roman" w:eastAsia="宋体"/>
      <w:sz w:val="18"/>
      <w:szCs w:val="18"/>
    </w:rPr>
  </w:style>
  <w:style w:type="character" w:customStyle="1" w:styleId="42">
    <w:name w:val="页脚 字符"/>
    <w:basedOn w:val="31"/>
    <w:link w:val="19"/>
    <w:qFormat/>
    <w:uiPriority w:val="99"/>
    <w:rPr>
      <w:rFonts w:ascii="Times New Roman" w:hAnsi="Times New Roman" w:eastAsia="宋体"/>
      <w:szCs w:val="18"/>
    </w:rPr>
  </w:style>
  <w:style w:type="character" w:customStyle="1" w:styleId="43">
    <w:name w:val="页眉 字符"/>
    <w:basedOn w:val="31"/>
    <w:link w:val="20"/>
    <w:qFormat/>
    <w:uiPriority w:val="8"/>
    <w:rPr>
      <w:rFonts w:ascii="Times New Roman" w:hAnsi="Times New Roman" w:eastAsia="宋体"/>
      <w:szCs w:val="18"/>
    </w:rPr>
  </w:style>
  <w:style w:type="table" w:customStyle="1" w:styleId="44">
    <w:name w:val="表格"/>
    <w:basedOn w:val="29"/>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Pr>
  </w:style>
  <w:style w:type="paragraph" w:customStyle="1" w:styleId="45">
    <w:name w:val="表格内容居中"/>
    <w:next w:val="1"/>
    <w:link w:val="46"/>
    <w:qFormat/>
    <w:uiPriority w:val="0"/>
    <w:pPr>
      <w:jc w:val="center"/>
    </w:pPr>
    <w:rPr>
      <w:rFonts w:ascii="宋体" w:hAnsi="宋体" w:eastAsia="宋体" w:cstheme="minorBidi"/>
      <w:kern w:val="2"/>
      <w:sz w:val="21"/>
      <w:szCs w:val="21"/>
      <w:lang w:val="en-US" w:eastAsia="zh-CN" w:bidi="ar-SA"/>
    </w:rPr>
  </w:style>
  <w:style w:type="character" w:customStyle="1" w:styleId="46">
    <w:name w:val="表格内容居中 字符"/>
    <w:basedOn w:val="31"/>
    <w:link w:val="45"/>
    <w:qFormat/>
    <w:uiPriority w:val="0"/>
    <w:rPr>
      <w:rFonts w:ascii="宋体" w:hAnsi="宋体" w:eastAsia="宋体"/>
    </w:rPr>
  </w:style>
  <w:style w:type="paragraph" w:customStyle="1" w:styleId="47">
    <w:name w:val="表格内容缩进"/>
    <w:next w:val="1"/>
    <w:link w:val="48"/>
    <w:qFormat/>
    <w:uiPriority w:val="0"/>
    <w:pPr>
      <w:ind w:firstLine="200" w:firstLineChars="200"/>
      <w:jc w:val="both"/>
    </w:pPr>
    <w:rPr>
      <w:rFonts w:ascii="Times New Roman" w:hAnsi="Times New Roman" w:eastAsia="宋体" w:cstheme="minorBidi"/>
      <w:kern w:val="2"/>
      <w:sz w:val="21"/>
      <w:szCs w:val="21"/>
      <w:lang w:val="en-US" w:eastAsia="zh-CN" w:bidi="ar-SA"/>
    </w:rPr>
  </w:style>
  <w:style w:type="character" w:customStyle="1" w:styleId="48">
    <w:name w:val="表格内容缩进 字符"/>
    <w:basedOn w:val="31"/>
    <w:link w:val="47"/>
    <w:qFormat/>
    <w:uiPriority w:val="0"/>
    <w:rPr>
      <w:rFonts w:ascii="Times New Roman" w:hAnsi="Times New Roman" w:eastAsia="宋体"/>
    </w:rPr>
  </w:style>
  <w:style w:type="paragraph" w:customStyle="1" w:styleId="49">
    <w:name w:val="图片居中"/>
    <w:next w:val="1"/>
    <w:link w:val="50"/>
    <w:qFormat/>
    <w:uiPriority w:val="0"/>
    <w:pPr>
      <w:adjustRightInd w:val="0"/>
      <w:snapToGrid w:val="0"/>
      <w:jc w:val="center"/>
    </w:pPr>
    <w:rPr>
      <w:rFonts w:ascii="宋体" w:hAnsi="宋体" w:eastAsia="宋体" w:cstheme="minorBidi"/>
      <w:bCs/>
      <w:kern w:val="2"/>
      <w:sz w:val="24"/>
      <w:szCs w:val="21"/>
      <w:lang w:val="en-US" w:eastAsia="zh-CN" w:bidi="ar-SA"/>
    </w:rPr>
  </w:style>
  <w:style w:type="character" w:customStyle="1" w:styleId="50">
    <w:name w:val="图片居中 字符"/>
    <w:basedOn w:val="31"/>
    <w:link w:val="49"/>
    <w:qFormat/>
    <w:uiPriority w:val="0"/>
    <w:rPr>
      <w:rFonts w:ascii="宋体" w:hAnsi="宋体" w:eastAsia="宋体"/>
      <w:bCs/>
      <w:sz w:val="24"/>
    </w:rPr>
  </w:style>
  <w:style w:type="paragraph" w:customStyle="1" w:styleId="51">
    <w:name w:val="表格居中"/>
    <w:basedOn w:val="1"/>
    <w:link w:val="93"/>
    <w:qFormat/>
    <w:uiPriority w:val="0"/>
    <w:pPr>
      <w:spacing w:line="240" w:lineRule="auto"/>
      <w:ind w:firstLine="0" w:firstLineChars="0"/>
      <w:jc w:val="center"/>
    </w:pPr>
    <w:rPr>
      <w:rFonts w:ascii="Arial" w:hAnsi="Arial"/>
    </w:rPr>
  </w:style>
  <w:style w:type="character" w:customStyle="1" w:styleId="52">
    <w:name w:val="表格居中 Char"/>
    <w:basedOn w:val="31"/>
    <w:qFormat/>
    <w:uiPriority w:val="0"/>
    <w:rPr>
      <w:rFonts w:ascii="Arial" w:hAnsi="Arial" w:eastAsia="宋体"/>
      <w:sz w:val="24"/>
    </w:rPr>
  </w:style>
  <w:style w:type="paragraph" w:customStyle="1" w:styleId="53">
    <w:name w:val="题 注  插图"/>
    <w:basedOn w:val="1"/>
    <w:next w:val="1"/>
    <w:qFormat/>
    <w:uiPriority w:val="0"/>
    <w:pPr>
      <w:numPr>
        <w:ilvl w:val="0"/>
        <w:numId w:val="2"/>
      </w:numPr>
      <w:ind w:firstLineChars="0"/>
      <w:jc w:val="center"/>
    </w:pPr>
    <w:rPr>
      <w:rFonts w:ascii="Arial" w:hAnsi="Arial" w:cs="Times New Roman"/>
      <w:b/>
      <w:szCs w:val="22"/>
    </w:rPr>
  </w:style>
  <w:style w:type="paragraph" w:customStyle="1" w:styleId="54">
    <w:name w:val="题 注  插表"/>
    <w:basedOn w:val="1"/>
    <w:next w:val="1"/>
    <w:qFormat/>
    <w:uiPriority w:val="0"/>
    <w:pPr>
      <w:numPr>
        <w:ilvl w:val="1"/>
        <w:numId w:val="3"/>
      </w:numPr>
      <w:ind w:firstLineChars="0"/>
      <w:jc w:val="center"/>
    </w:pPr>
    <w:rPr>
      <w:rFonts w:cs="Times New Roman"/>
      <w:b/>
      <w:szCs w:val="22"/>
    </w:rPr>
  </w:style>
  <w:style w:type="character" w:customStyle="1" w:styleId="55">
    <w:name w:val="未处理的提及1"/>
    <w:basedOn w:val="31"/>
    <w:semiHidden/>
    <w:unhideWhenUsed/>
    <w:qFormat/>
    <w:uiPriority w:val="99"/>
    <w:rPr>
      <w:color w:val="605E5C"/>
      <w:shd w:val="clear" w:color="auto" w:fill="E1DFDD"/>
    </w:rPr>
  </w:style>
  <w:style w:type="paragraph" w:customStyle="1" w:styleId="56">
    <w:name w:val="HLGC-表格文字居左"/>
    <w:basedOn w:val="57"/>
    <w:next w:val="1"/>
    <w:qFormat/>
    <w:uiPriority w:val="0"/>
    <w:pPr>
      <w:wordWrap w:val="0"/>
      <w:ind w:firstLine="200" w:firstLineChars="200"/>
      <w:jc w:val="left"/>
    </w:pPr>
    <w:rPr>
      <w:rFonts w:ascii="宋体" w:hAnsi="宋体"/>
      <w:szCs w:val="32"/>
    </w:rPr>
  </w:style>
  <w:style w:type="paragraph" w:customStyle="1" w:styleId="57">
    <w:name w:val="HLGC-表格文字"/>
    <w:basedOn w:val="23"/>
    <w:next w:val="1"/>
    <w:link w:val="58"/>
    <w:qFormat/>
    <w:uiPriority w:val="0"/>
    <w:pPr>
      <w:spacing w:line="240" w:lineRule="auto"/>
      <w:ind w:left="0" w:firstLine="0" w:firstLineChars="0"/>
      <w:jc w:val="center"/>
    </w:pPr>
    <w:rPr>
      <w:rFonts w:eastAsia="仿宋" w:cs="Times New Roman"/>
      <w:szCs w:val="22"/>
    </w:rPr>
  </w:style>
  <w:style w:type="character" w:customStyle="1" w:styleId="58">
    <w:name w:val="HLGC-表格文字 字符"/>
    <w:basedOn w:val="31"/>
    <w:link w:val="57"/>
    <w:qFormat/>
    <w:uiPriority w:val="0"/>
    <w:rPr>
      <w:rFonts w:ascii="Times New Roman" w:hAnsi="Times New Roman" w:eastAsia="仿宋" w:cs="Times New Roman"/>
      <w:sz w:val="24"/>
      <w:szCs w:val="22"/>
    </w:rPr>
  </w:style>
  <w:style w:type="table" w:customStyle="1" w:styleId="59">
    <w:name w:val="HLGC-表格"/>
    <w:basedOn w:val="29"/>
    <w:qFormat/>
    <w:uiPriority w:val="99"/>
    <w:pPr>
      <w:jc w:val="center"/>
    </w:pPr>
    <w:tblPr>
      <w:jc w:val="center"/>
      <w:tblBorders>
        <w:top w:val="thinThickSmallGap" w:color="000000" w:sz="18" w:space="0"/>
        <w:left w:val="thinThickSmallGap" w:color="000000" w:sz="18" w:space="0"/>
        <w:bottom w:val="thinThickSmallGap" w:color="000000" w:sz="18" w:space="0"/>
        <w:right w:val="thinThickSmallGap" w:color="000000" w:sz="18" w:space="0"/>
        <w:insideH w:val="single" w:color="000000" w:sz="8" w:space="0"/>
        <w:insideV w:val="single" w:color="000000" w:sz="8" w:space="0"/>
      </w:tblBorders>
    </w:tblPr>
    <w:trPr>
      <w:jc w:val="center"/>
    </w:trPr>
    <w:tcPr>
      <w:shd w:val="clear" w:color="auto" w:fill="FFFFFF"/>
      <w:vAlign w:val="center"/>
    </w:tcPr>
    <w:tblStylePr w:type="firstRow">
      <w:tblPr/>
      <w:trPr>
        <w:tblHeader/>
      </w:trPr>
      <w:tcPr>
        <w:shd w:val="clear" w:color="auto" w:fill="C8FFFF"/>
      </w:tcPr>
    </w:tblStylePr>
  </w:style>
  <w:style w:type="paragraph" w:customStyle="1" w:styleId="60">
    <w:name w:val="插图"/>
    <w:basedOn w:val="12"/>
    <w:next w:val="1"/>
    <w:link w:val="61"/>
    <w:qFormat/>
    <w:uiPriority w:val="0"/>
    <w:pPr>
      <w:tabs>
        <w:tab w:val="left" w:pos="0"/>
        <w:tab w:val="left" w:pos="420"/>
      </w:tabs>
      <w:ind w:firstLine="0" w:firstLineChars="0"/>
      <w:jc w:val="center"/>
    </w:pPr>
    <w:rPr>
      <w:rFonts w:cs="Times New Roman"/>
      <w:b/>
      <w:bCs/>
      <w:szCs w:val="24"/>
    </w:rPr>
  </w:style>
  <w:style w:type="character" w:customStyle="1" w:styleId="61">
    <w:name w:val="图名 Char"/>
    <w:link w:val="60"/>
    <w:qFormat/>
    <w:uiPriority w:val="0"/>
    <w:rPr>
      <w:rFonts w:ascii="Times New Roman" w:hAnsi="Times New Roman" w:eastAsia="宋体" w:cs="Times New Roman"/>
      <w:b/>
      <w:bCs/>
      <w:sz w:val="24"/>
      <w:szCs w:val="24"/>
    </w:rPr>
  </w:style>
  <w:style w:type="paragraph" w:customStyle="1" w:styleId="62">
    <w:name w:val="插表"/>
    <w:basedOn w:val="60"/>
    <w:next w:val="1"/>
    <w:qFormat/>
    <w:uiPriority w:val="0"/>
    <w:pPr>
      <w:tabs>
        <w:tab w:val="left" w:pos="1568"/>
      </w:tabs>
      <w:spacing w:line="240" w:lineRule="auto"/>
      <w:ind w:firstLine="289"/>
    </w:pPr>
  </w:style>
  <w:style w:type="table" w:customStyle="1" w:styleId="63">
    <w:name w:val="网格型3"/>
    <w:basedOn w:val="29"/>
    <w:unhideWhenUsed/>
    <w:qFormat/>
    <w:uiPriority w:val="9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CC"/>
    </w:tcPr>
    <w:tblStylePr w:type="firstRow">
      <w:tcPr>
        <w:shd w:val="clear" w:color="auto" w:fill="8EAADB"/>
      </w:tcPr>
    </w:tblStylePr>
    <w:tblStylePr w:type="firstCol">
      <w:tcPr>
        <w:shd w:val="clear" w:color="auto" w:fill="D9E2F3"/>
      </w:tcPr>
    </w:tblStylePr>
    <w:tblStylePr w:type="seCell">
      <w:tcPr>
        <w:shd w:val="clear" w:color="auto" w:fill="FFFFCC"/>
      </w:tcPr>
    </w:tblStylePr>
  </w:style>
  <w:style w:type="table" w:customStyle="1" w:styleId="64">
    <w:name w:val="网格型4"/>
    <w:basedOn w:val="29"/>
    <w:unhideWhenUsed/>
    <w:qFormat/>
    <w:uiPriority w:val="99"/>
    <w:pPr>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shd w:val="clear" w:color="auto" w:fill="FFFFCC"/>
    </w:tcPr>
    <w:tblStylePr w:type="firstRow">
      <w:tcPr>
        <w:shd w:val="clear" w:color="auto" w:fill="8EAADB"/>
      </w:tcPr>
    </w:tblStylePr>
    <w:tblStylePr w:type="firstCol">
      <w:tcPr>
        <w:shd w:val="clear" w:color="auto" w:fill="D9E2F3"/>
      </w:tcPr>
    </w:tblStylePr>
    <w:tblStylePr w:type="seCell">
      <w:tcPr>
        <w:shd w:val="clear" w:color="auto" w:fill="FFFFCC"/>
      </w:tcPr>
    </w:tblStylePr>
  </w:style>
  <w:style w:type="paragraph" w:customStyle="1" w:styleId="65">
    <w:name w:val="插图居中"/>
    <w:basedOn w:val="1"/>
    <w:next w:val="1"/>
    <w:qFormat/>
    <w:uiPriority w:val="0"/>
    <w:pPr>
      <w:spacing w:before="50" w:beforeLines="50" w:after="50" w:afterLines="50"/>
      <w:ind w:firstLine="0" w:firstLineChars="0"/>
      <w:jc w:val="center"/>
    </w:pPr>
  </w:style>
  <w:style w:type="paragraph" w:styleId="66">
    <w:name w:val="List Paragraph"/>
    <w:basedOn w:val="1"/>
    <w:qFormat/>
    <w:uiPriority w:val="99"/>
    <w:pPr>
      <w:ind w:firstLine="420"/>
    </w:pPr>
  </w:style>
  <w:style w:type="paragraph" w:customStyle="1" w:styleId="67">
    <w:name w:val="表格左缩进"/>
    <w:link w:val="68"/>
    <w:qFormat/>
    <w:uiPriority w:val="0"/>
    <w:pPr>
      <w:ind w:firstLine="200" w:firstLineChars="200"/>
      <w:jc w:val="both"/>
    </w:pPr>
    <w:rPr>
      <w:rFonts w:ascii="宋体" w:hAnsi="宋体" w:eastAsia="宋体" w:cs="Times New Roman"/>
      <w:snapToGrid w:val="0"/>
      <w:kern w:val="10"/>
      <w:sz w:val="21"/>
      <w:lang w:val="en-US" w:eastAsia="zh-CN" w:bidi="ar-SA"/>
    </w:rPr>
  </w:style>
  <w:style w:type="character" w:customStyle="1" w:styleId="68">
    <w:name w:val="表格左缩进 字符"/>
    <w:basedOn w:val="31"/>
    <w:link w:val="67"/>
    <w:qFormat/>
    <w:uiPriority w:val="0"/>
    <w:rPr>
      <w:rFonts w:ascii="宋体" w:hAnsi="宋体"/>
      <w:snapToGrid w:val="0"/>
      <w:kern w:val="10"/>
      <w:sz w:val="21"/>
    </w:rPr>
  </w:style>
  <w:style w:type="paragraph" w:customStyle="1" w:styleId="69">
    <w:name w:val="表格文字居中"/>
    <w:link w:val="70"/>
    <w:autoRedefine/>
    <w:qFormat/>
    <w:uiPriority w:val="0"/>
    <w:pPr>
      <w:jc w:val="center"/>
    </w:pPr>
    <w:rPr>
      <w:rFonts w:ascii="Times New Roman" w:hAnsi="宋体" w:eastAsia="宋体" w:cs="Times New Roman"/>
      <w:sz w:val="21"/>
      <w:szCs w:val="21"/>
      <w:lang w:val="zh-CN" w:eastAsia="zh-CN" w:bidi="ar-SA"/>
    </w:rPr>
  </w:style>
  <w:style w:type="character" w:customStyle="1" w:styleId="70">
    <w:name w:val="表格文字居中 Char"/>
    <w:link w:val="69"/>
    <w:qFormat/>
    <w:uiPriority w:val="0"/>
    <w:rPr>
      <w:rFonts w:hAnsi="宋体"/>
      <w:sz w:val="21"/>
      <w:szCs w:val="21"/>
      <w:lang w:val="zh-CN" w:eastAsia="zh-CN"/>
    </w:rPr>
  </w:style>
  <w:style w:type="character" w:customStyle="1" w:styleId="71">
    <w:name w:val="未处理的提及2"/>
    <w:basedOn w:val="31"/>
    <w:semiHidden/>
    <w:unhideWhenUsed/>
    <w:qFormat/>
    <w:uiPriority w:val="99"/>
    <w:rPr>
      <w:color w:val="605E5C"/>
      <w:shd w:val="clear" w:color="auto" w:fill="E1DFDD"/>
    </w:rPr>
  </w:style>
  <w:style w:type="character" w:customStyle="1" w:styleId="72">
    <w:name w:val="正文文本缩进 2 字符"/>
    <w:basedOn w:val="31"/>
    <w:link w:val="17"/>
    <w:semiHidden/>
    <w:qFormat/>
    <w:uiPriority w:val="99"/>
    <w:rPr>
      <w:rFonts w:cstheme="minorBidi"/>
      <w:kern w:val="2"/>
      <w:sz w:val="24"/>
      <w:szCs w:val="21"/>
    </w:rPr>
  </w:style>
  <w:style w:type="character" w:customStyle="1" w:styleId="73">
    <w:name w:val="*表格居中 Char"/>
    <w:link w:val="74"/>
    <w:qFormat/>
    <w:uiPriority w:val="0"/>
    <w:rPr>
      <w:kern w:val="2"/>
      <w:sz w:val="21"/>
      <w:szCs w:val="22"/>
    </w:rPr>
  </w:style>
  <w:style w:type="paragraph" w:customStyle="1" w:styleId="74">
    <w:name w:val="*表格居中"/>
    <w:next w:val="1"/>
    <w:link w:val="73"/>
    <w:qFormat/>
    <w:uiPriority w:val="0"/>
    <w:pPr>
      <w:jc w:val="center"/>
    </w:pPr>
    <w:rPr>
      <w:rFonts w:ascii="Times New Roman" w:hAnsi="Times New Roman" w:eastAsia="宋体" w:cs="Times New Roman"/>
      <w:kern w:val="2"/>
      <w:sz w:val="21"/>
      <w:szCs w:val="22"/>
      <w:lang w:val="en-US" w:eastAsia="zh-CN" w:bidi="ar-SA"/>
    </w:rPr>
  </w:style>
  <w:style w:type="paragraph" w:customStyle="1" w:styleId="75">
    <w:name w:val="保利施组5"/>
    <w:basedOn w:val="1"/>
    <w:qFormat/>
    <w:uiPriority w:val="0"/>
    <w:pPr>
      <w:adjustRightInd w:val="0"/>
      <w:snapToGrid w:val="0"/>
      <w:spacing w:line="240" w:lineRule="auto"/>
      <w:ind w:firstLine="0" w:firstLineChars="0"/>
      <w:jc w:val="center"/>
    </w:pPr>
    <w:rPr>
      <w:rFonts w:cs="Times New Roman"/>
      <w:snapToGrid w:val="0"/>
      <w:kern w:val="0"/>
      <w:sz w:val="21"/>
      <w:szCs w:val="24"/>
    </w:rPr>
  </w:style>
  <w:style w:type="paragraph" w:customStyle="1" w:styleId="76">
    <w:name w:val="样式 正文npg"/>
    <w:basedOn w:val="1"/>
    <w:qFormat/>
    <w:uiPriority w:val="0"/>
    <w:pPr>
      <w:overflowPunct w:val="0"/>
      <w:autoSpaceDE w:val="0"/>
      <w:autoSpaceDN w:val="0"/>
      <w:adjustRightInd w:val="0"/>
      <w:ind w:firstLine="200"/>
      <w:jc w:val="left"/>
    </w:pPr>
    <w:rPr>
      <w:rFonts w:cs="宋体"/>
      <w:kern w:val="0"/>
      <w:szCs w:val="20"/>
      <w:lang w:val="zh-CN"/>
    </w:rPr>
  </w:style>
  <w:style w:type="paragraph" w:customStyle="1" w:styleId="77">
    <w:name w:val="表字居中格式"/>
    <w:basedOn w:val="1"/>
    <w:qFormat/>
    <w:uiPriority w:val="0"/>
    <w:pPr>
      <w:spacing w:line="400" w:lineRule="exact"/>
      <w:ind w:firstLine="0" w:firstLineChars="0"/>
      <w:jc w:val="center"/>
    </w:pPr>
    <w:rPr>
      <w:rFonts w:cs="宋体"/>
      <w:kern w:val="0"/>
      <w:szCs w:val="20"/>
    </w:rPr>
  </w:style>
  <w:style w:type="paragraph" w:customStyle="1" w:styleId="78">
    <w:name w:val="修订1"/>
    <w:hidden/>
    <w:semiHidden/>
    <w:qFormat/>
    <w:uiPriority w:val="99"/>
    <w:rPr>
      <w:rFonts w:ascii="Times New Roman" w:hAnsi="Times New Roman" w:eastAsia="宋体" w:cstheme="minorBidi"/>
      <w:kern w:val="2"/>
      <w:sz w:val="24"/>
      <w:szCs w:val="21"/>
      <w:lang w:val="en-US" w:eastAsia="zh-CN" w:bidi="ar-SA"/>
    </w:rPr>
  </w:style>
  <w:style w:type="character" w:customStyle="1" w:styleId="79">
    <w:name w:val="批注文字 字符"/>
    <w:basedOn w:val="31"/>
    <w:link w:val="11"/>
    <w:semiHidden/>
    <w:qFormat/>
    <w:uiPriority w:val="99"/>
    <w:rPr>
      <w:rFonts w:cstheme="minorBidi"/>
      <w:kern w:val="2"/>
      <w:sz w:val="24"/>
      <w:szCs w:val="21"/>
    </w:rPr>
  </w:style>
  <w:style w:type="character" w:customStyle="1" w:styleId="80">
    <w:name w:val="批注主题 字符"/>
    <w:basedOn w:val="79"/>
    <w:link w:val="28"/>
    <w:semiHidden/>
    <w:qFormat/>
    <w:uiPriority w:val="99"/>
    <w:rPr>
      <w:rFonts w:cstheme="minorBidi"/>
      <w:b/>
      <w:bCs/>
      <w:kern w:val="2"/>
      <w:sz w:val="24"/>
      <w:szCs w:val="21"/>
    </w:rPr>
  </w:style>
  <w:style w:type="character" w:customStyle="1" w:styleId="81">
    <w:name w:val="正文文本 2 字符"/>
    <w:basedOn w:val="31"/>
    <w:link w:val="27"/>
    <w:semiHidden/>
    <w:qFormat/>
    <w:uiPriority w:val="99"/>
    <w:rPr>
      <w:rFonts w:cstheme="minorBidi"/>
      <w:kern w:val="2"/>
      <w:sz w:val="24"/>
      <w:szCs w:val="21"/>
    </w:rPr>
  </w:style>
  <w:style w:type="character" w:customStyle="1" w:styleId="82">
    <w:name w:val="日期 字符"/>
    <w:basedOn w:val="31"/>
    <w:link w:val="16"/>
    <w:semiHidden/>
    <w:qFormat/>
    <w:uiPriority w:val="99"/>
    <w:rPr>
      <w:rFonts w:cstheme="minorBidi"/>
      <w:kern w:val="2"/>
      <w:sz w:val="24"/>
      <w:szCs w:val="21"/>
    </w:rPr>
  </w:style>
  <w:style w:type="paragraph" w:customStyle="1" w:styleId="83">
    <w:name w:val="正文1"/>
    <w:qFormat/>
    <w:uiPriority w:val="0"/>
    <w:pPr>
      <w:jc w:val="both"/>
    </w:pPr>
    <w:rPr>
      <w:rFonts w:ascii="Calibri" w:hAnsi="Calibri" w:eastAsia="宋体" w:cs="Calibri"/>
      <w:kern w:val="2"/>
      <w:sz w:val="21"/>
      <w:szCs w:val="21"/>
      <w:lang w:val="en-US" w:eastAsia="zh-CN" w:bidi="ar-SA"/>
    </w:rPr>
  </w:style>
  <w:style w:type="paragraph" w:customStyle="1" w:styleId="84">
    <w:name w:val="Table Paragraph"/>
    <w:basedOn w:val="1"/>
    <w:qFormat/>
    <w:uiPriority w:val="0"/>
    <w:pPr>
      <w:autoSpaceDE w:val="0"/>
      <w:autoSpaceDN w:val="0"/>
      <w:spacing w:before="99" w:line="240" w:lineRule="auto"/>
      <w:ind w:left="114" w:firstLine="0" w:firstLineChars="0"/>
      <w:jc w:val="center"/>
    </w:pPr>
    <w:rPr>
      <w:rFonts w:ascii="宋体" w:hAnsi="宋体" w:cs="宋体"/>
      <w:kern w:val="0"/>
      <w:sz w:val="22"/>
      <w:szCs w:val="22"/>
    </w:rPr>
  </w:style>
  <w:style w:type="character" w:customStyle="1" w:styleId="85">
    <w:name w:val="文档结构图 字符"/>
    <w:basedOn w:val="31"/>
    <w:link w:val="10"/>
    <w:semiHidden/>
    <w:qFormat/>
    <w:uiPriority w:val="99"/>
    <w:rPr>
      <w:rFonts w:ascii="宋体" w:hAnsi="Calibri"/>
      <w:sz w:val="18"/>
      <w:szCs w:val="18"/>
    </w:rPr>
  </w:style>
  <w:style w:type="paragraph" w:customStyle="1" w:styleId="86">
    <w:name w:val="样式 样式 样式 正文npg + 首行缩进:  2 字符 + 首行缩进:  11.34 字符"/>
    <w:basedOn w:val="1"/>
    <w:qFormat/>
    <w:uiPriority w:val="0"/>
    <w:pPr>
      <w:widowControl/>
      <w:ind w:firstLine="200"/>
      <w:jc w:val="left"/>
    </w:pPr>
    <w:rPr>
      <w:rFonts w:cs="宋体"/>
      <w:kern w:val="0"/>
      <w:szCs w:val="20"/>
      <w:lang w:val="zh-CN"/>
    </w:rPr>
  </w:style>
  <w:style w:type="character" w:customStyle="1" w:styleId="87">
    <w:name w:val="未处理的提及3"/>
    <w:basedOn w:val="31"/>
    <w:semiHidden/>
    <w:unhideWhenUsed/>
    <w:qFormat/>
    <w:uiPriority w:val="99"/>
    <w:rPr>
      <w:color w:val="605E5C"/>
      <w:shd w:val="clear" w:color="auto" w:fill="E1DFDD"/>
    </w:rPr>
  </w:style>
  <w:style w:type="character" w:customStyle="1" w:styleId="88">
    <w:name w:val="未处理的提及4"/>
    <w:basedOn w:val="31"/>
    <w:semiHidden/>
    <w:unhideWhenUsed/>
    <w:qFormat/>
    <w:uiPriority w:val="99"/>
    <w:rPr>
      <w:color w:val="605E5C"/>
      <w:shd w:val="clear" w:color="auto" w:fill="E1DFDD"/>
    </w:rPr>
  </w:style>
  <w:style w:type="paragraph" w:customStyle="1" w:styleId="89">
    <w:name w:val="正文（标书标准）1"/>
    <w:basedOn w:val="1"/>
    <w:qFormat/>
    <w:uiPriority w:val="0"/>
    <w:pPr>
      <w:spacing w:line="552" w:lineRule="auto"/>
      <w:ind w:firstLine="568"/>
    </w:pPr>
    <w:rPr>
      <w:rFonts w:ascii="宋体" w:cs="宋体"/>
      <w:sz w:val="28"/>
      <w:szCs w:val="20"/>
    </w:rPr>
  </w:style>
  <w:style w:type="paragraph" w:customStyle="1" w:styleId="90">
    <w:name w:val=".表格居中"/>
    <w:basedOn w:val="1"/>
    <w:qFormat/>
    <w:uiPriority w:val="0"/>
    <w:pPr>
      <w:spacing w:line="312" w:lineRule="auto"/>
      <w:ind w:firstLine="0" w:firstLineChars="0"/>
      <w:contextualSpacing/>
      <w:jc w:val="center"/>
    </w:pPr>
    <w:rPr>
      <w:rFonts w:ascii="宋体" w:hAnsi="Arial"/>
      <w:kern w:val="0"/>
      <w:sz w:val="21"/>
    </w:rPr>
  </w:style>
  <w:style w:type="paragraph" w:customStyle="1" w:styleId="91">
    <w:name w:val=".图表名称"/>
    <w:basedOn w:val="1"/>
    <w:qFormat/>
    <w:uiPriority w:val="0"/>
    <w:pPr>
      <w:adjustRightInd w:val="0"/>
      <w:snapToGrid w:val="0"/>
      <w:spacing w:line="240" w:lineRule="auto"/>
      <w:ind w:firstLine="0" w:firstLineChars="0"/>
      <w:contextualSpacing/>
      <w:jc w:val="center"/>
    </w:pPr>
    <w:rPr>
      <w:rFonts w:ascii="宋体" w:hAnsi="宋体"/>
      <w:b/>
      <w:kern w:val="0"/>
    </w:rPr>
  </w:style>
  <w:style w:type="paragraph" w:customStyle="1" w:styleId="92">
    <w:name w:val="表格首行缩进"/>
    <w:basedOn w:val="1"/>
    <w:qFormat/>
    <w:uiPriority w:val="0"/>
    <w:pPr>
      <w:adjustRightInd w:val="0"/>
      <w:snapToGrid w:val="0"/>
      <w:ind w:firstLine="0" w:firstLineChars="0"/>
      <w:jc w:val="center"/>
      <w:textAlignment w:val="center"/>
    </w:pPr>
    <w:rPr>
      <w:rFonts w:ascii="宋体" w:cs="宋体"/>
      <w:snapToGrid w:val="0"/>
      <w:kern w:val="0"/>
      <w:sz w:val="28"/>
      <w:szCs w:val="20"/>
    </w:rPr>
  </w:style>
  <w:style w:type="character" w:customStyle="1" w:styleId="93">
    <w:name w:val="表格居中 Char Char"/>
    <w:link w:val="51"/>
    <w:qFormat/>
    <w:uiPriority w:val="0"/>
    <w:rPr>
      <w:kern w:val="2"/>
      <w:sz w:val="30"/>
      <w:szCs w:val="24"/>
    </w:rPr>
  </w:style>
  <w:style w:type="paragraph" w:customStyle="1" w:styleId="94">
    <w:name w:val=".2级标题"/>
    <w:basedOn w:val="4"/>
    <w:next w:val="95"/>
    <w:qFormat/>
    <w:uiPriority w:val="0"/>
    <w:pPr>
      <w:tabs>
        <w:tab w:val="left" w:pos="1400"/>
        <w:tab w:val="left" w:pos="4536"/>
      </w:tabs>
      <w:snapToGrid w:val="0"/>
      <w:spacing w:line="312" w:lineRule="auto"/>
      <w:ind w:firstLineChars="0"/>
      <w:contextualSpacing/>
      <w:jc w:val="left"/>
    </w:pPr>
    <w:rPr>
      <w:rFonts w:ascii="宋体" w:hAnsi="宋体"/>
      <w:szCs w:val="21"/>
    </w:rPr>
  </w:style>
  <w:style w:type="paragraph" w:customStyle="1" w:styleId="95">
    <w:name w:val=".3级标题"/>
    <w:basedOn w:val="96"/>
    <w:next w:val="1"/>
    <w:qFormat/>
    <w:uiPriority w:val="0"/>
    <w:pPr>
      <w:ind w:firstLine="200"/>
      <w:outlineLvl w:val="2"/>
    </w:pPr>
    <w:rPr>
      <w:b/>
      <w:lang w:eastAsia="zh-TW"/>
    </w:rPr>
  </w:style>
  <w:style w:type="paragraph" w:customStyle="1" w:styleId="96">
    <w:name w:val=".标书正文"/>
    <w:basedOn w:val="1"/>
    <w:qFormat/>
    <w:uiPriority w:val="0"/>
    <w:pPr>
      <w:snapToGrid w:val="0"/>
      <w:contextualSpacing/>
      <w:jc w:val="left"/>
    </w:pPr>
    <w:rPr>
      <w:rFonts w:ascii="宋体" w:hAnsi="宋体"/>
      <w:kern w:val="0"/>
      <w:lang w:val="zh-TW"/>
    </w:rPr>
  </w:style>
  <w:style w:type="paragraph" w:customStyle="1" w:styleId="97">
    <w:name w:val="样式 中行正文 + 首行缩进:  2 字符"/>
    <w:basedOn w:val="98"/>
    <w:qFormat/>
    <w:uiPriority w:val="0"/>
    <w:pPr>
      <w:ind w:firstLine="200"/>
    </w:pPr>
    <w:rPr>
      <w:rFonts w:ascii="宋体" w:hAnsi="宋体" w:cs="宋体"/>
      <w:sz w:val="28"/>
      <w:szCs w:val="28"/>
    </w:rPr>
  </w:style>
  <w:style w:type="paragraph" w:customStyle="1" w:styleId="98">
    <w:name w:val="中行正文"/>
    <w:basedOn w:val="1"/>
    <w:qFormat/>
    <w:uiPriority w:val="0"/>
    <w:pPr>
      <w:spacing w:line="549" w:lineRule="auto"/>
      <w:ind w:firstLine="200"/>
    </w:pPr>
    <w:rPr>
      <w:rFonts w:ascii="宋体" w:hAnsi="宋体" w:cs="宋体"/>
      <w:sz w:val="28"/>
      <w:szCs w:val="28"/>
    </w:rPr>
  </w:style>
  <w:style w:type="character" w:customStyle="1" w:styleId="99">
    <w:name w:val="信息标题 字符"/>
    <w:basedOn w:val="31"/>
    <w:link w:val="2"/>
    <w:qFormat/>
    <w:uiPriority w:val="99"/>
    <w:rPr>
      <w:rFonts w:ascii="Cambria" w:hAnsi="Cambria" w:cstheme="minorBidi"/>
      <w:kern w:val="2"/>
      <w:sz w:val="24"/>
      <w:szCs w:val="24"/>
      <w:shd w:val="pct20" w:color="auto" w:fill="auto"/>
    </w:rPr>
  </w:style>
  <w:style w:type="paragraph" w:customStyle="1" w:styleId="100">
    <w:name w:val="msonormal"/>
    <w:basedOn w:val="1"/>
    <w:qFormat/>
    <w:uiPriority w:val="0"/>
    <w:pPr>
      <w:widowControl/>
      <w:spacing w:before="100" w:beforeAutospacing="1" w:after="100" w:afterAutospacing="1" w:line="240" w:lineRule="auto"/>
      <w:ind w:firstLine="0" w:firstLineChars="0"/>
      <w:jc w:val="left"/>
    </w:pPr>
    <w:rPr>
      <w:rFonts w:ascii="宋体" w:hAnsi="宋体" w:cs="宋体"/>
      <w:kern w:val="0"/>
      <w:szCs w:val="24"/>
    </w:rPr>
  </w:style>
  <w:style w:type="paragraph" w:customStyle="1" w:styleId="101">
    <w:name w:val="01表格居中"/>
    <w:qFormat/>
    <w:uiPriority w:val="0"/>
    <w:pPr>
      <w:jc w:val="center"/>
    </w:pPr>
    <w:rPr>
      <w:rFonts w:ascii="Times New Roman" w:hAnsi="Times New Roman" w:eastAsia="宋体" w:cs="Times New Roman"/>
      <w:sz w:val="21"/>
      <w:lang w:val="en-US" w:eastAsia="zh-CN" w:bidi="ar-SA"/>
    </w:rPr>
  </w:style>
  <w:style w:type="paragraph" w:customStyle="1" w:styleId="102">
    <w:name w:val="01题注  插表"/>
    <w:basedOn w:val="1"/>
    <w:next w:val="1"/>
    <w:qFormat/>
    <w:uiPriority w:val="0"/>
    <w:pPr>
      <w:widowControl/>
      <w:numPr>
        <w:ilvl w:val="7"/>
        <w:numId w:val="4"/>
      </w:numPr>
      <w:ind w:left="420" w:hanging="420" w:firstLineChars="0"/>
      <w:jc w:val="center"/>
    </w:pPr>
    <w:rPr>
      <w:b/>
      <w:szCs w:val="22"/>
    </w:rPr>
  </w:style>
  <w:style w:type="paragraph" w:customStyle="1" w:styleId="103">
    <w:name w:val="01表格左缩进"/>
    <w:qFormat/>
    <w:uiPriority w:val="0"/>
    <w:pPr>
      <w:ind w:firstLine="200" w:firstLineChars="200"/>
    </w:pPr>
    <w:rPr>
      <w:rFonts w:ascii="Times New Roman" w:hAnsi="Times New Roman" w:eastAsia="宋体" w:cs="Times New Roman"/>
      <w:sz w:val="21"/>
      <w:lang w:val="en-US" w:eastAsia="zh-CN" w:bidi="ar-SA"/>
    </w:rPr>
  </w:style>
  <w:style w:type="paragraph" w:customStyle="1" w:styleId="104">
    <w:name w:val="题 注  表"/>
    <w:basedOn w:val="1"/>
    <w:next w:val="1"/>
    <w:qFormat/>
    <w:uiPriority w:val="0"/>
    <w:pPr>
      <w:widowControl/>
      <w:numPr>
        <w:ilvl w:val="7"/>
        <w:numId w:val="5"/>
      </w:numPr>
      <w:ind w:firstLineChars="0"/>
      <w:jc w:val="center"/>
    </w:pPr>
    <w:rPr>
      <w:b/>
      <w:szCs w:val="22"/>
    </w:rPr>
  </w:style>
  <w:style w:type="paragraph" w:customStyle="1" w:styleId="105">
    <w:name w:val="方案正文"/>
    <w:next w:val="1"/>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customStyle="1" w:styleId="106">
    <w:name w:val="美兰机场正文"/>
    <w:basedOn w:val="1"/>
    <w:qFormat/>
    <w:uiPriority w:val="0"/>
    <w:pPr>
      <w:spacing w:line="552" w:lineRule="auto"/>
      <w:ind w:firstLine="480"/>
      <w:jc w:val="left"/>
    </w:pPr>
    <w:rPr>
      <w:rFonts w:ascii="宋体" w:hAnsi="宋体"/>
    </w:rPr>
  </w:style>
  <w:style w:type="paragraph" w:customStyle="1" w:styleId="107">
    <w:name w:val=".表格靠左"/>
    <w:basedOn w:val="90"/>
    <w:qFormat/>
    <w:uiPriority w:val="0"/>
    <w:pPr>
      <w:jc w:val="left"/>
    </w:pPr>
    <w:rPr>
      <w:rFonts w:hAnsi="宋体"/>
      <w:color w:val="000000"/>
      <w:kern w:val="2"/>
      <w:szCs w:val="21"/>
    </w:rPr>
  </w:style>
</w:styles>
</file>

<file path=word/_rels/document.xml.rels><?xml version="1.0" encoding="UTF-8" standalone="yes"?>
<Relationships xmlns="http://schemas.openxmlformats.org/package/2006/relationships"><Relationship Id="rId99" Type="http://schemas.openxmlformats.org/officeDocument/2006/relationships/image" Target="media/image60.jpeg"/><Relationship Id="rId98" Type="http://schemas.openxmlformats.org/officeDocument/2006/relationships/image" Target="media/image59.jpeg"/><Relationship Id="rId97" Type="http://schemas.openxmlformats.org/officeDocument/2006/relationships/image" Target="media/image58.jpeg"/><Relationship Id="rId96" Type="http://schemas.openxmlformats.org/officeDocument/2006/relationships/image" Target="media/image57.jpeg"/><Relationship Id="rId95" Type="http://schemas.openxmlformats.org/officeDocument/2006/relationships/image" Target="media/image56.jpeg"/><Relationship Id="rId94" Type="http://schemas.openxmlformats.org/officeDocument/2006/relationships/image" Target="media/image55.jpeg"/><Relationship Id="rId93" Type="http://schemas.openxmlformats.org/officeDocument/2006/relationships/image" Target="media/image54.jpeg"/><Relationship Id="rId92" Type="http://schemas.openxmlformats.org/officeDocument/2006/relationships/image" Target="media/image53.jpeg"/><Relationship Id="rId91" Type="http://schemas.openxmlformats.org/officeDocument/2006/relationships/image" Target="media/image52.png"/><Relationship Id="rId90" Type="http://schemas.openxmlformats.org/officeDocument/2006/relationships/image" Target="media/image51.png"/><Relationship Id="rId9" Type="http://schemas.openxmlformats.org/officeDocument/2006/relationships/footer" Target="footer2.xml"/><Relationship Id="rId89" Type="http://schemas.openxmlformats.org/officeDocument/2006/relationships/image" Target="media/image50.png"/><Relationship Id="rId88" Type="http://schemas.openxmlformats.org/officeDocument/2006/relationships/image" Target="media/image49.png"/><Relationship Id="rId87" Type="http://schemas.openxmlformats.org/officeDocument/2006/relationships/image" Target="media/image48.png"/><Relationship Id="rId86" Type="http://schemas.openxmlformats.org/officeDocument/2006/relationships/image" Target="media/image47.png"/><Relationship Id="rId85" Type="http://schemas.openxmlformats.org/officeDocument/2006/relationships/image" Target="media/image46.png"/><Relationship Id="rId84" Type="http://schemas.openxmlformats.org/officeDocument/2006/relationships/image" Target="media/image45.png"/><Relationship Id="rId83" Type="http://schemas.openxmlformats.org/officeDocument/2006/relationships/image" Target="media/image44.png"/><Relationship Id="rId82" Type="http://schemas.openxmlformats.org/officeDocument/2006/relationships/image" Target="media/image43.png"/><Relationship Id="rId81" Type="http://schemas.openxmlformats.org/officeDocument/2006/relationships/image" Target="media/image42.png"/><Relationship Id="rId80" Type="http://schemas.openxmlformats.org/officeDocument/2006/relationships/image" Target="media/image41.png"/><Relationship Id="rId8" Type="http://schemas.openxmlformats.org/officeDocument/2006/relationships/footer" Target="footer1.xml"/><Relationship Id="rId79" Type="http://schemas.openxmlformats.org/officeDocument/2006/relationships/image" Target="media/image40.png"/><Relationship Id="rId78" Type="http://schemas.openxmlformats.org/officeDocument/2006/relationships/image" Target="media/image39.png"/><Relationship Id="rId77" Type="http://schemas.openxmlformats.org/officeDocument/2006/relationships/image" Target="media/image38.jpeg"/><Relationship Id="rId76" Type="http://schemas.openxmlformats.org/officeDocument/2006/relationships/image" Target="media/image37.jpeg"/><Relationship Id="rId75" Type="http://schemas.openxmlformats.org/officeDocument/2006/relationships/image" Target="media/image36.png"/><Relationship Id="rId74" Type="http://schemas.openxmlformats.org/officeDocument/2006/relationships/image" Target="media/image35.jpeg"/><Relationship Id="rId73" Type="http://schemas.openxmlformats.org/officeDocument/2006/relationships/image" Target="media/image34.jpeg"/><Relationship Id="rId72" Type="http://schemas.openxmlformats.org/officeDocument/2006/relationships/image" Target="media/image33.png"/><Relationship Id="rId71" Type="http://schemas.openxmlformats.org/officeDocument/2006/relationships/image" Target="media/image32.png"/><Relationship Id="rId70" Type="http://schemas.openxmlformats.org/officeDocument/2006/relationships/image" Target="media/image31.png"/><Relationship Id="rId7" Type="http://schemas.openxmlformats.org/officeDocument/2006/relationships/header" Target="header3.xml"/><Relationship Id="rId69" Type="http://schemas.openxmlformats.org/officeDocument/2006/relationships/image" Target="media/image30.png"/><Relationship Id="rId68" Type="http://schemas.openxmlformats.org/officeDocument/2006/relationships/image" Target="media/image29.wmf"/><Relationship Id="rId67" Type="http://schemas.openxmlformats.org/officeDocument/2006/relationships/oleObject" Target="embeddings/oleObject6.bin"/><Relationship Id="rId66" Type="http://schemas.openxmlformats.org/officeDocument/2006/relationships/image" Target="media/image28.png"/><Relationship Id="rId65" Type="http://schemas.openxmlformats.org/officeDocument/2006/relationships/image" Target="media/image27.png"/><Relationship Id="rId64" Type="http://schemas.openxmlformats.org/officeDocument/2006/relationships/image" Target="media/image26.png"/><Relationship Id="rId63" Type="http://schemas.openxmlformats.org/officeDocument/2006/relationships/image" Target="media/image25.jpeg"/><Relationship Id="rId62" Type="http://schemas.openxmlformats.org/officeDocument/2006/relationships/image" Target="media/image24.jpeg"/><Relationship Id="rId61" Type="http://schemas.openxmlformats.org/officeDocument/2006/relationships/image" Target="media/image23.png"/><Relationship Id="rId60" Type="http://schemas.openxmlformats.org/officeDocument/2006/relationships/image" Target="media/image22.png"/><Relationship Id="rId6" Type="http://schemas.openxmlformats.org/officeDocument/2006/relationships/header" Target="header2.xml"/><Relationship Id="rId59" Type="http://schemas.openxmlformats.org/officeDocument/2006/relationships/image" Target="media/image21.png"/><Relationship Id="rId58" Type="http://schemas.openxmlformats.org/officeDocument/2006/relationships/image" Target="media/image20.png"/><Relationship Id="rId57" Type="http://schemas.openxmlformats.org/officeDocument/2006/relationships/image" Target="media/image19.png"/><Relationship Id="rId56" Type="http://schemas.openxmlformats.org/officeDocument/2006/relationships/image" Target="media/image18.wmf"/><Relationship Id="rId55" Type="http://schemas.openxmlformats.org/officeDocument/2006/relationships/oleObject" Target="embeddings/oleObject5.bin"/><Relationship Id="rId54" Type="http://schemas.openxmlformats.org/officeDocument/2006/relationships/image" Target="media/image17.wmf"/><Relationship Id="rId53" Type="http://schemas.openxmlformats.org/officeDocument/2006/relationships/oleObject" Target="embeddings/oleObject4.bin"/><Relationship Id="rId52" Type="http://schemas.openxmlformats.org/officeDocument/2006/relationships/image" Target="media/image16.wmf"/><Relationship Id="rId51" Type="http://schemas.openxmlformats.org/officeDocument/2006/relationships/oleObject" Target="embeddings/oleObject3.bin"/><Relationship Id="rId50" Type="http://schemas.openxmlformats.org/officeDocument/2006/relationships/image" Target="media/image15.wmf"/><Relationship Id="rId5" Type="http://schemas.openxmlformats.org/officeDocument/2006/relationships/header" Target="header1.xml"/><Relationship Id="rId49" Type="http://schemas.openxmlformats.org/officeDocument/2006/relationships/oleObject" Target="embeddings/oleObject2.bin"/><Relationship Id="rId48" Type="http://schemas.openxmlformats.org/officeDocument/2006/relationships/image" Target="media/image14.wmf"/><Relationship Id="rId47" Type="http://schemas.openxmlformats.org/officeDocument/2006/relationships/oleObject" Target="embeddings/oleObject1.bin"/><Relationship Id="rId46" Type="http://schemas.openxmlformats.org/officeDocument/2006/relationships/image" Target="media/image13.jpeg"/><Relationship Id="rId45" Type="http://schemas.openxmlformats.org/officeDocument/2006/relationships/image" Target="media/image12.jpeg"/><Relationship Id="rId44" Type="http://schemas.openxmlformats.org/officeDocument/2006/relationships/image" Target="media/image11.png"/><Relationship Id="rId43" Type="http://schemas.openxmlformats.org/officeDocument/2006/relationships/image" Target="media/image10.png"/><Relationship Id="rId42" Type="http://schemas.openxmlformats.org/officeDocument/2006/relationships/image" Target="media/image9.png"/><Relationship Id="rId41" Type="http://schemas.openxmlformats.org/officeDocument/2006/relationships/image" Target="media/image8.png"/><Relationship Id="rId40" Type="http://schemas.openxmlformats.org/officeDocument/2006/relationships/image" Target="media/image7.png"/><Relationship Id="rId4" Type="http://schemas.openxmlformats.org/officeDocument/2006/relationships/endnotes" Target="endnotes.xml"/><Relationship Id="rId39" Type="http://schemas.openxmlformats.org/officeDocument/2006/relationships/image" Target="media/image6.emf"/><Relationship Id="rId38" Type="http://schemas.openxmlformats.org/officeDocument/2006/relationships/image" Target="media/image5.png"/><Relationship Id="rId37" Type="http://schemas.openxmlformats.org/officeDocument/2006/relationships/image" Target="media/image4.png"/><Relationship Id="rId36" Type="http://schemas.openxmlformats.org/officeDocument/2006/relationships/image" Target="media/image3.png"/><Relationship Id="rId35" Type="http://schemas.openxmlformats.org/officeDocument/2006/relationships/image" Target="media/image2.png"/><Relationship Id="rId34" Type="http://schemas.openxmlformats.org/officeDocument/2006/relationships/image" Target="media/image1.png"/><Relationship Id="rId33" Type="http://schemas.openxmlformats.org/officeDocument/2006/relationships/theme" Target="theme/theme1.xml"/><Relationship Id="rId32" Type="http://schemas.openxmlformats.org/officeDocument/2006/relationships/header" Target="header21.xml"/><Relationship Id="rId31" Type="http://schemas.openxmlformats.org/officeDocument/2006/relationships/header" Target="header20.xml"/><Relationship Id="rId30" Type="http://schemas.openxmlformats.org/officeDocument/2006/relationships/header" Target="header19.xml"/><Relationship Id="rId3" Type="http://schemas.openxmlformats.org/officeDocument/2006/relationships/footnotes" Target="footnotes.xml"/><Relationship Id="rId29" Type="http://schemas.openxmlformats.org/officeDocument/2006/relationships/header" Target="header18.xml"/><Relationship Id="rId28" Type="http://schemas.openxmlformats.org/officeDocument/2006/relationships/header" Target="header17.xml"/><Relationship Id="rId276" Type="http://schemas.openxmlformats.org/officeDocument/2006/relationships/fontTable" Target="fontTable.xml"/><Relationship Id="rId275" Type="http://schemas.openxmlformats.org/officeDocument/2006/relationships/numbering" Target="numbering.xml"/><Relationship Id="rId274" Type="http://schemas.openxmlformats.org/officeDocument/2006/relationships/customXml" Target="../customXml/item1.xml"/><Relationship Id="rId273" Type="http://schemas.openxmlformats.org/officeDocument/2006/relationships/image" Target="media/image223.jpeg"/><Relationship Id="rId272" Type="http://schemas.openxmlformats.org/officeDocument/2006/relationships/image" Target="media/image222.jpeg"/><Relationship Id="rId271" Type="http://schemas.openxmlformats.org/officeDocument/2006/relationships/image" Target="media/image221.png"/><Relationship Id="rId270" Type="http://schemas.openxmlformats.org/officeDocument/2006/relationships/image" Target="media/image220.png"/><Relationship Id="rId27" Type="http://schemas.openxmlformats.org/officeDocument/2006/relationships/header" Target="header16.xml"/><Relationship Id="rId269" Type="http://schemas.openxmlformats.org/officeDocument/2006/relationships/image" Target="media/image219.png"/><Relationship Id="rId268" Type="http://schemas.openxmlformats.org/officeDocument/2006/relationships/image" Target="media/image218.png"/><Relationship Id="rId267" Type="http://schemas.openxmlformats.org/officeDocument/2006/relationships/image" Target="media/image217.png"/><Relationship Id="rId266" Type="http://schemas.openxmlformats.org/officeDocument/2006/relationships/image" Target="media/image216.png"/><Relationship Id="rId265" Type="http://schemas.openxmlformats.org/officeDocument/2006/relationships/image" Target="media/image215.png"/><Relationship Id="rId264" Type="http://schemas.openxmlformats.org/officeDocument/2006/relationships/image" Target="media/image214.png"/><Relationship Id="rId263" Type="http://schemas.openxmlformats.org/officeDocument/2006/relationships/image" Target="media/image213.png"/><Relationship Id="rId262" Type="http://schemas.openxmlformats.org/officeDocument/2006/relationships/image" Target="media/image212.jpeg"/><Relationship Id="rId261" Type="http://schemas.openxmlformats.org/officeDocument/2006/relationships/image" Target="media/image211.emf"/><Relationship Id="rId260" Type="http://schemas.openxmlformats.org/officeDocument/2006/relationships/oleObject" Target="embeddings/oleObject16.bin"/><Relationship Id="rId26" Type="http://schemas.openxmlformats.org/officeDocument/2006/relationships/header" Target="header15.xml"/><Relationship Id="rId259" Type="http://schemas.openxmlformats.org/officeDocument/2006/relationships/image" Target="media/image210.emf"/><Relationship Id="rId258" Type="http://schemas.openxmlformats.org/officeDocument/2006/relationships/oleObject" Target="embeddings/oleObject15.bin"/><Relationship Id="rId257" Type="http://schemas.openxmlformats.org/officeDocument/2006/relationships/image" Target="media/image209.png"/><Relationship Id="rId256" Type="http://schemas.openxmlformats.org/officeDocument/2006/relationships/image" Target="media/image208.png"/><Relationship Id="rId255" Type="http://schemas.openxmlformats.org/officeDocument/2006/relationships/image" Target="media/image207.png"/><Relationship Id="rId254" Type="http://schemas.openxmlformats.org/officeDocument/2006/relationships/image" Target="media/image206.png"/><Relationship Id="rId253" Type="http://schemas.openxmlformats.org/officeDocument/2006/relationships/image" Target="media/image205.emf"/><Relationship Id="rId252" Type="http://schemas.openxmlformats.org/officeDocument/2006/relationships/image" Target="media/image204.jpeg"/><Relationship Id="rId251" Type="http://schemas.openxmlformats.org/officeDocument/2006/relationships/image" Target="media/image203.jpeg"/><Relationship Id="rId250" Type="http://schemas.openxmlformats.org/officeDocument/2006/relationships/image" Target="media/image202.jpeg"/><Relationship Id="rId25" Type="http://schemas.openxmlformats.org/officeDocument/2006/relationships/header" Target="header14.xml"/><Relationship Id="rId249" Type="http://schemas.openxmlformats.org/officeDocument/2006/relationships/image" Target="media/image201.jpeg"/><Relationship Id="rId248" Type="http://schemas.openxmlformats.org/officeDocument/2006/relationships/image" Target="media/image200.jpeg"/><Relationship Id="rId247" Type="http://schemas.openxmlformats.org/officeDocument/2006/relationships/image" Target="media/image199.jpeg"/><Relationship Id="rId246" Type="http://schemas.openxmlformats.org/officeDocument/2006/relationships/image" Target="media/image198.jpeg"/><Relationship Id="rId245" Type="http://schemas.openxmlformats.org/officeDocument/2006/relationships/image" Target="media/image197.png"/><Relationship Id="rId244" Type="http://schemas.openxmlformats.org/officeDocument/2006/relationships/image" Target="media/image196.jpeg"/><Relationship Id="rId243" Type="http://schemas.openxmlformats.org/officeDocument/2006/relationships/image" Target="media/image195.jpeg"/><Relationship Id="rId242" Type="http://schemas.openxmlformats.org/officeDocument/2006/relationships/image" Target="media/image194.jpeg"/><Relationship Id="rId241" Type="http://schemas.openxmlformats.org/officeDocument/2006/relationships/image" Target="media/image193.png"/><Relationship Id="rId240" Type="http://schemas.openxmlformats.org/officeDocument/2006/relationships/image" Target="media/image192.png"/><Relationship Id="rId24" Type="http://schemas.openxmlformats.org/officeDocument/2006/relationships/header" Target="header13.xml"/><Relationship Id="rId239" Type="http://schemas.openxmlformats.org/officeDocument/2006/relationships/image" Target="media/image191.png"/><Relationship Id="rId238" Type="http://schemas.openxmlformats.org/officeDocument/2006/relationships/image" Target="media/image190.png"/><Relationship Id="rId237" Type="http://schemas.openxmlformats.org/officeDocument/2006/relationships/image" Target="media/image189.png"/><Relationship Id="rId236" Type="http://schemas.openxmlformats.org/officeDocument/2006/relationships/image" Target="media/image188.png"/><Relationship Id="rId235" Type="http://schemas.openxmlformats.org/officeDocument/2006/relationships/image" Target="media/image187.png"/><Relationship Id="rId234" Type="http://schemas.openxmlformats.org/officeDocument/2006/relationships/image" Target="media/image186.jpeg"/><Relationship Id="rId233" Type="http://schemas.openxmlformats.org/officeDocument/2006/relationships/image" Target="media/image185.jpeg"/><Relationship Id="rId232" Type="http://schemas.openxmlformats.org/officeDocument/2006/relationships/image" Target="media/image184.jpeg"/><Relationship Id="rId231" Type="http://schemas.openxmlformats.org/officeDocument/2006/relationships/image" Target="media/image183.jpeg"/><Relationship Id="rId230" Type="http://schemas.openxmlformats.org/officeDocument/2006/relationships/image" Target="media/image182.jpeg"/><Relationship Id="rId23" Type="http://schemas.openxmlformats.org/officeDocument/2006/relationships/header" Target="header12.xml"/><Relationship Id="rId229" Type="http://schemas.openxmlformats.org/officeDocument/2006/relationships/image" Target="media/image181.jpeg"/><Relationship Id="rId228" Type="http://schemas.openxmlformats.org/officeDocument/2006/relationships/image" Target="media/image180.png"/><Relationship Id="rId227" Type="http://schemas.openxmlformats.org/officeDocument/2006/relationships/image" Target="media/image179.emf"/><Relationship Id="rId226" Type="http://schemas.openxmlformats.org/officeDocument/2006/relationships/oleObject" Target="embeddings/oleObject14.bin"/><Relationship Id="rId225" Type="http://schemas.openxmlformats.org/officeDocument/2006/relationships/image" Target="media/image178.png"/><Relationship Id="rId224" Type="http://schemas.openxmlformats.org/officeDocument/2006/relationships/image" Target="media/image177.emf"/><Relationship Id="rId223" Type="http://schemas.openxmlformats.org/officeDocument/2006/relationships/image" Target="media/image176.emf"/><Relationship Id="rId222" Type="http://schemas.openxmlformats.org/officeDocument/2006/relationships/image" Target="media/image175.emf"/><Relationship Id="rId221" Type="http://schemas.openxmlformats.org/officeDocument/2006/relationships/image" Target="media/image174.png"/><Relationship Id="rId220" Type="http://schemas.openxmlformats.org/officeDocument/2006/relationships/image" Target="media/image173.png"/><Relationship Id="rId22" Type="http://schemas.openxmlformats.org/officeDocument/2006/relationships/header" Target="header11.xml"/><Relationship Id="rId219" Type="http://schemas.openxmlformats.org/officeDocument/2006/relationships/image" Target="media/image172.jpeg"/><Relationship Id="rId218" Type="http://schemas.openxmlformats.org/officeDocument/2006/relationships/image" Target="media/image171.jpeg"/><Relationship Id="rId217" Type="http://schemas.openxmlformats.org/officeDocument/2006/relationships/image" Target="media/image170.png"/><Relationship Id="rId216" Type="http://schemas.openxmlformats.org/officeDocument/2006/relationships/image" Target="media/image169.png"/><Relationship Id="rId215" Type="http://schemas.openxmlformats.org/officeDocument/2006/relationships/image" Target="media/image168.png"/><Relationship Id="rId214" Type="http://schemas.openxmlformats.org/officeDocument/2006/relationships/image" Target="media/image167.png"/><Relationship Id="rId213" Type="http://schemas.openxmlformats.org/officeDocument/2006/relationships/image" Target="media/image166.png"/><Relationship Id="rId212" Type="http://schemas.openxmlformats.org/officeDocument/2006/relationships/image" Target="media/image165.png"/><Relationship Id="rId211" Type="http://schemas.openxmlformats.org/officeDocument/2006/relationships/image" Target="media/image164.jpeg"/><Relationship Id="rId210" Type="http://schemas.openxmlformats.org/officeDocument/2006/relationships/image" Target="media/image163.png"/><Relationship Id="rId21" Type="http://schemas.openxmlformats.org/officeDocument/2006/relationships/header" Target="header10.xml"/><Relationship Id="rId209" Type="http://schemas.openxmlformats.org/officeDocument/2006/relationships/image" Target="media/image162.png"/><Relationship Id="rId208" Type="http://schemas.openxmlformats.org/officeDocument/2006/relationships/image" Target="media/image161.png"/><Relationship Id="rId207" Type="http://schemas.openxmlformats.org/officeDocument/2006/relationships/image" Target="media/image160.emf"/><Relationship Id="rId206" Type="http://schemas.openxmlformats.org/officeDocument/2006/relationships/oleObject" Target="embeddings/oleObject13.bin"/><Relationship Id="rId205" Type="http://schemas.openxmlformats.org/officeDocument/2006/relationships/image" Target="media/image159.emf"/><Relationship Id="rId204" Type="http://schemas.openxmlformats.org/officeDocument/2006/relationships/oleObject" Target="embeddings/oleObject12.bin"/><Relationship Id="rId203" Type="http://schemas.openxmlformats.org/officeDocument/2006/relationships/image" Target="media/image158.emf"/><Relationship Id="rId202" Type="http://schemas.openxmlformats.org/officeDocument/2006/relationships/oleObject" Target="embeddings/oleObject11.bin"/><Relationship Id="rId201" Type="http://schemas.openxmlformats.org/officeDocument/2006/relationships/image" Target="media/image157.jpeg"/><Relationship Id="rId200" Type="http://schemas.openxmlformats.org/officeDocument/2006/relationships/image" Target="media/image156.jpeg"/><Relationship Id="rId20" Type="http://schemas.openxmlformats.org/officeDocument/2006/relationships/header" Target="header9.xml"/><Relationship Id="rId2" Type="http://schemas.openxmlformats.org/officeDocument/2006/relationships/settings" Target="settings.xml"/><Relationship Id="rId199" Type="http://schemas.openxmlformats.org/officeDocument/2006/relationships/image" Target="media/image155.jpeg"/><Relationship Id="rId198" Type="http://schemas.openxmlformats.org/officeDocument/2006/relationships/image" Target="media/image154.emf"/><Relationship Id="rId197" Type="http://schemas.openxmlformats.org/officeDocument/2006/relationships/package" Target="embeddings/Microsoft_Visio___1.vsdx"/><Relationship Id="rId196" Type="http://schemas.openxmlformats.org/officeDocument/2006/relationships/image" Target="media/image153.png"/><Relationship Id="rId195" Type="http://schemas.openxmlformats.org/officeDocument/2006/relationships/image" Target="media/image152.emf"/><Relationship Id="rId194" Type="http://schemas.openxmlformats.org/officeDocument/2006/relationships/image" Target="media/image151.png"/><Relationship Id="rId193" Type="http://schemas.openxmlformats.org/officeDocument/2006/relationships/image" Target="media/image150.png"/><Relationship Id="rId192" Type="http://schemas.openxmlformats.org/officeDocument/2006/relationships/image" Target="media/image149.jpeg"/><Relationship Id="rId191" Type="http://schemas.openxmlformats.org/officeDocument/2006/relationships/image" Target="media/image148.png"/><Relationship Id="rId190" Type="http://schemas.openxmlformats.org/officeDocument/2006/relationships/image" Target="media/image147.emf"/><Relationship Id="rId19" Type="http://schemas.openxmlformats.org/officeDocument/2006/relationships/header" Target="header8.xml"/><Relationship Id="rId189" Type="http://schemas.openxmlformats.org/officeDocument/2006/relationships/image" Target="media/image146.jpeg"/><Relationship Id="rId188" Type="http://schemas.openxmlformats.org/officeDocument/2006/relationships/image" Target="media/image145.jpeg"/><Relationship Id="rId187" Type="http://schemas.openxmlformats.org/officeDocument/2006/relationships/image" Target="media/image144.jpeg"/><Relationship Id="rId186" Type="http://schemas.openxmlformats.org/officeDocument/2006/relationships/image" Target="media/image143.jpeg"/><Relationship Id="rId185" Type="http://schemas.openxmlformats.org/officeDocument/2006/relationships/image" Target="media/image142.jpeg"/><Relationship Id="rId184" Type="http://schemas.openxmlformats.org/officeDocument/2006/relationships/image" Target="media/image141.png"/><Relationship Id="rId183" Type="http://schemas.openxmlformats.org/officeDocument/2006/relationships/image" Target="media/image140.jpeg"/><Relationship Id="rId182" Type="http://schemas.openxmlformats.org/officeDocument/2006/relationships/image" Target="media/image139.jpeg"/><Relationship Id="rId181" Type="http://schemas.openxmlformats.org/officeDocument/2006/relationships/image" Target="media/image138.png"/><Relationship Id="rId180" Type="http://schemas.openxmlformats.org/officeDocument/2006/relationships/image" Target="media/image137.png"/><Relationship Id="rId18" Type="http://schemas.openxmlformats.org/officeDocument/2006/relationships/footer" Target="footer7.xml"/><Relationship Id="rId179" Type="http://schemas.openxmlformats.org/officeDocument/2006/relationships/image" Target="media/image136.png"/><Relationship Id="rId178" Type="http://schemas.openxmlformats.org/officeDocument/2006/relationships/image" Target="media/image135.png"/><Relationship Id="rId177" Type="http://schemas.openxmlformats.org/officeDocument/2006/relationships/image" Target="media/image134.emf"/><Relationship Id="rId176" Type="http://schemas.openxmlformats.org/officeDocument/2006/relationships/image" Target="media/image133.png"/><Relationship Id="rId175" Type="http://schemas.openxmlformats.org/officeDocument/2006/relationships/image" Target="media/image132.emf"/><Relationship Id="rId174" Type="http://schemas.openxmlformats.org/officeDocument/2006/relationships/oleObject" Target="embeddings/oleObject10.bin"/><Relationship Id="rId173" Type="http://schemas.openxmlformats.org/officeDocument/2006/relationships/image" Target="media/image131.png"/><Relationship Id="rId172" Type="http://schemas.openxmlformats.org/officeDocument/2006/relationships/image" Target="media/image130.png"/><Relationship Id="rId171" Type="http://schemas.openxmlformats.org/officeDocument/2006/relationships/image" Target="media/image129.png"/><Relationship Id="rId170" Type="http://schemas.openxmlformats.org/officeDocument/2006/relationships/image" Target="media/image128.emf"/><Relationship Id="rId17" Type="http://schemas.openxmlformats.org/officeDocument/2006/relationships/header" Target="header7.xml"/><Relationship Id="rId169" Type="http://schemas.openxmlformats.org/officeDocument/2006/relationships/image" Target="media/image127.emf"/><Relationship Id="rId168" Type="http://schemas.openxmlformats.org/officeDocument/2006/relationships/image" Target="media/image126.emf"/><Relationship Id="rId167" Type="http://schemas.openxmlformats.org/officeDocument/2006/relationships/image" Target="media/image125.png"/><Relationship Id="rId166" Type="http://schemas.openxmlformats.org/officeDocument/2006/relationships/image" Target="media/image124.png"/><Relationship Id="rId165" Type="http://schemas.openxmlformats.org/officeDocument/2006/relationships/image" Target="media/image123.emf"/><Relationship Id="rId164" Type="http://schemas.openxmlformats.org/officeDocument/2006/relationships/image" Target="media/image122.png"/><Relationship Id="rId163" Type="http://schemas.openxmlformats.org/officeDocument/2006/relationships/image" Target="media/image121.png"/><Relationship Id="rId162" Type="http://schemas.openxmlformats.org/officeDocument/2006/relationships/image" Target="media/image120.png"/><Relationship Id="rId161" Type="http://schemas.openxmlformats.org/officeDocument/2006/relationships/image" Target="media/image119.emf"/><Relationship Id="rId160" Type="http://schemas.openxmlformats.org/officeDocument/2006/relationships/oleObject" Target="embeddings/oleObject9.bin"/><Relationship Id="rId16" Type="http://schemas.openxmlformats.org/officeDocument/2006/relationships/footer" Target="footer6.xml"/><Relationship Id="rId159" Type="http://schemas.openxmlformats.org/officeDocument/2006/relationships/image" Target="media/image118.emf"/><Relationship Id="rId158" Type="http://schemas.openxmlformats.org/officeDocument/2006/relationships/oleObject" Target="embeddings/oleObject8.bin"/><Relationship Id="rId157" Type="http://schemas.openxmlformats.org/officeDocument/2006/relationships/image" Target="media/image117.emf"/><Relationship Id="rId156" Type="http://schemas.openxmlformats.org/officeDocument/2006/relationships/image" Target="media/image116.emf"/><Relationship Id="rId155" Type="http://schemas.openxmlformats.org/officeDocument/2006/relationships/image" Target="media/image115.emf"/><Relationship Id="rId154" Type="http://schemas.openxmlformats.org/officeDocument/2006/relationships/image" Target="media/image114.emf"/><Relationship Id="rId153" Type="http://schemas.openxmlformats.org/officeDocument/2006/relationships/image" Target="media/image113.emf"/><Relationship Id="rId152" Type="http://schemas.openxmlformats.org/officeDocument/2006/relationships/image" Target="media/image112.emf"/><Relationship Id="rId151" Type="http://schemas.openxmlformats.org/officeDocument/2006/relationships/image" Target="media/image111.wmf"/><Relationship Id="rId150" Type="http://schemas.openxmlformats.org/officeDocument/2006/relationships/image" Target="media/image110.jpeg"/><Relationship Id="rId15" Type="http://schemas.openxmlformats.org/officeDocument/2006/relationships/footer" Target="footer5.xml"/><Relationship Id="rId149" Type="http://schemas.openxmlformats.org/officeDocument/2006/relationships/image" Target="media/image109.jpeg"/><Relationship Id="rId148" Type="http://schemas.openxmlformats.org/officeDocument/2006/relationships/image" Target="media/image108.png"/><Relationship Id="rId147" Type="http://schemas.openxmlformats.org/officeDocument/2006/relationships/image" Target="media/image107.jpeg"/><Relationship Id="rId146" Type="http://schemas.openxmlformats.org/officeDocument/2006/relationships/image" Target="media/image106.wmf"/><Relationship Id="rId145" Type="http://schemas.openxmlformats.org/officeDocument/2006/relationships/image" Target="media/image105.wmf"/><Relationship Id="rId144" Type="http://schemas.openxmlformats.org/officeDocument/2006/relationships/image" Target="media/image104.wmf"/><Relationship Id="rId143" Type="http://schemas.openxmlformats.org/officeDocument/2006/relationships/image" Target="media/image103.wmf"/><Relationship Id="rId142" Type="http://schemas.openxmlformats.org/officeDocument/2006/relationships/image" Target="media/image102.wmf"/><Relationship Id="rId141" Type="http://schemas.openxmlformats.org/officeDocument/2006/relationships/image" Target="media/image101.wmf"/><Relationship Id="rId140" Type="http://schemas.openxmlformats.org/officeDocument/2006/relationships/image" Target="media/image100.emf"/><Relationship Id="rId14" Type="http://schemas.openxmlformats.org/officeDocument/2006/relationships/footer" Target="footer4.xml"/><Relationship Id="rId139" Type="http://schemas.openxmlformats.org/officeDocument/2006/relationships/oleObject" Target="embeddings/oleObject7.bin"/><Relationship Id="rId138" Type="http://schemas.openxmlformats.org/officeDocument/2006/relationships/image" Target="media/image99.png"/><Relationship Id="rId137" Type="http://schemas.openxmlformats.org/officeDocument/2006/relationships/image" Target="media/image98.png"/><Relationship Id="rId136" Type="http://schemas.openxmlformats.org/officeDocument/2006/relationships/image" Target="media/image97.png"/><Relationship Id="rId135" Type="http://schemas.openxmlformats.org/officeDocument/2006/relationships/image" Target="media/image96.png"/><Relationship Id="rId134" Type="http://schemas.openxmlformats.org/officeDocument/2006/relationships/image" Target="media/image95.png"/><Relationship Id="rId133" Type="http://schemas.openxmlformats.org/officeDocument/2006/relationships/image" Target="media/image94.png"/><Relationship Id="rId132" Type="http://schemas.openxmlformats.org/officeDocument/2006/relationships/image" Target="media/image93.png"/><Relationship Id="rId131" Type="http://schemas.openxmlformats.org/officeDocument/2006/relationships/image" Target="media/image92.png"/><Relationship Id="rId130" Type="http://schemas.openxmlformats.org/officeDocument/2006/relationships/image" Target="media/image91.png"/><Relationship Id="rId13" Type="http://schemas.openxmlformats.org/officeDocument/2006/relationships/header" Target="header6.xml"/><Relationship Id="rId129" Type="http://schemas.openxmlformats.org/officeDocument/2006/relationships/image" Target="media/image90.png"/><Relationship Id="rId128" Type="http://schemas.openxmlformats.org/officeDocument/2006/relationships/image" Target="media/image89.wmf"/><Relationship Id="rId127" Type="http://schemas.openxmlformats.org/officeDocument/2006/relationships/image" Target="media/image88.png"/><Relationship Id="rId126" Type="http://schemas.openxmlformats.org/officeDocument/2006/relationships/image" Target="media/image87.png"/><Relationship Id="rId125" Type="http://schemas.openxmlformats.org/officeDocument/2006/relationships/image" Target="media/image86.png"/><Relationship Id="rId124" Type="http://schemas.openxmlformats.org/officeDocument/2006/relationships/image" Target="media/image85.png"/><Relationship Id="rId123" Type="http://schemas.openxmlformats.org/officeDocument/2006/relationships/image" Target="media/image84.jpeg"/><Relationship Id="rId122" Type="http://schemas.openxmlformats.org/officeDocument/2006/relationships/image" Target="media/image83.jpeg"/><Relationship Id="rId121" Type="http://schemas.openxmlformats.org/officeDocument/2006/relationships/image" Target="media/image82.jpeg"/><Relationship Id="rId120" Type="http://schemas.openxmlformats.org/officeDocument/2006/relationships/image" Target="media/image81.jpeg"/><Relationship Id="rId12" Type="http://schemas.openxmlformats.org/officeDocument/2006/relationships/header" Target="header5.xml"/><Relationship Id="rId119" Type="http://schemas.openxmlformats.org/officeDocument/2006/relationships/image" Target="media/image80.png"/><Relationship Id="rId118" Type="http://schemas.openxmlformats.org/officeDocument/2006/relationships/image" Target="media/image79.png"/><Relationship Id="rId117" Type="http://schemas.openxmlformats.org/officeDocument/2006/relationships/image" Target="media/image78.jpeg"/><Relationship Id="rId116" Type="http://schemas.openxmlformats.org/officeDocument/2006/relationships/image" Target="media/image77.jpeg"/><Relationship Id="rId115" Type="http://schemas.openxmlformats.org/officeDocument/2006/relationships/image" Target="media/image76.jpeg"/><Relationship Id="rId114" Type="http://schemas.openxmlformats.org/officeDocument/2006/relationships/image" Target="media/image75.wmf"/><Relationship Id="rId113" Type="http://schemas.openxmlformats.org/officeDocument/2006/relationships/image" Target="media/image74.png"/><Relationship Id="rId112" Type="http://schemas.openxmlformats.org/officeDocument/2006/relationships/image" Target="media/image73.wmf"/><Relationship Id="rId111" Type="http://schemas.openxmlformats.org/officeDocument/2006/relationships/image" Target="media/image72.wmf"/><Relationship Id="rId110" Type="http://schemas.openxmlformats.org/officeDocument/2006/relationships/image" Target="media/image71.wmf"/><Relationship Id="rId11" Type="http://schemas.openxmlformats.org/officeDocument/2006/relationships/header" Target="header4.xml"/><Relationship Id="rId109" Type="http://schemas.openxmlformats.org/officeDocument/2006/relationships/image" Target="media/image70.png"/><Relationship Id="rId108" Type="http://schemas.openxmlformats.org/officeDocument/2006/relationships/image" Target="media/image69.emf"/><Relationship Id="rId107" Type="http://schemas.openxmlformats.org/officeDocument/2006/relationships/image" Target="media/image68.png"/><Relationship Id="rId106" Type="http://schemas.openxmlformats.org/officeDocument/2006/relationships/image" Target="media/image67.png"/><Relationship Id="rId105" Type="http://schemas.openxmlformats.org/officeDocument/2006/relationships/image" Target="media/image66.wmf"/><Relationship Id="rId104" Type="http://schemas.openxmlformats.org/officeDocument/2006/relationships/image" Target="media/image65.jpeg"/><Relationship Id="rId103" Type="http://schemas.openxmlformats.org/officeDocument/2006/relationships/image" Target="media/image64.jpeg"/><Relationship Id="rId102" Type="http://schemas.openxmlformats.org/officeDocument/2006/relationships/image" Target="media/image63.jpeg"/><Relationship Id="rId101" Type="http://schemas.openxmlformats.org/officeDocument/2006/relationships/image" Target="media/image62.jpeg"/><Relationship Id="rId100" Type="http://schemas.openxmlformats.org/officeDocument/2006/relationships/image" Target="media/image61.jpeg"/><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496</Pages>
  <Words>3936</Words>
  <Characters>5817</Characters>
  <DocSecurity>0</DocSecurity>
  <Lines>8372</Lines>
  <Paragraphs>10897</Paragraphs>
  <ScaleCrop>false</ScaleCrop>
  <LinksUpToDate>false</LinksUpToDate>
  <CharactersWithSpaces>6292</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2021-07-19T01:07:00Z</dcterms:created>
  <dc:creator>we</dc:creator>
  <cp:lastModifiedBy> </cp:lastModifiedBy>
  <cp:lastPrinted>2022-1-26T07:35:00Z</cp:lastPrinted>
  <dcterms:modified xsi:type="dcterms:W3CDTF">2021-10-15T14:37:19Z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540578421B8C40E1AE3C79BFFA899DD1_13</vt:lpwstr>
  </property>
  <property fmtid="{D5CDD505-2E9C-101B-9397-08002B2CF9AE}" pid="4" name="KSOTemplateDocerSaveRecord">
    <vt:lpwstr>eyJoZGlkIjoiNTk4ZDUyNmM2ZTg1NGE5YjAzZWFkMmU3ZGQ4MjIzYjYiLCJ1c2VySWQiOiI1ODg2OTIxNzAifQ==</vt:lpwstr>
  </property>
</Properties>
</file>